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1067D" w14:textId="77777777" w:rsidR="0002122E" w:rsidRDefault="0002122E" w:rsidP="0002122E">
      <w:pPr>
        <w:spacing w:line="360" w:lineRule="auto"/>
        <w:jc w:val="center"/>
        <w:rPr>
          <w:rFonts w:ascii="Times New Roman" w:hAnsi="Times New Roman" w:cs="Times New Roman"/>
          <w:b/>
          <w:bCs/>
        </w:rPr>
      </w:pPr>
      <w:r>
        <w:rPr>
          <w:noProof/>
        </w:rPr>
        <w:drawing>
          <wp:inline distT="0" distB="0" distL="0" distR="0" wp14:anchorId="7EBD2359" wp14:editId="49D2B687">
            <wp:extent cx="3536846" cy="1965960"/>
            <wp:effectExtent l="0" t="0" r="6985" b="0"/>
            <wp:docPr id="1593071324" name="Picture 3"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1804" cy="1968716"/>
                    </a:xfrm>
                    <a:prstGeom prst="rect">
                      <a:avLst/>
                    </a:prstGeom>
                    <a:noFill/>
                    <a:ln>
                      <a:noFill/>
                    </a:ln>
                  </pic:spPr>
                </pic:pic>
              </a:graphicData>
            </a:graphic>
          </wp:inline>
        </w:drawing>
      </w:r>
    </w:p>
    <w:p w14:paraId="4038CFB8" w14:textId="05D109C9" w:rsidR="00D05E04" w:rsidRPr="0002122E" w:rsidRDefault="004A5486" w:rsidP="0002122E">
      <w:pPr>
        <w:spacing w:line="360" w:lineRule="auto"/>
        <w:jc w:val="center"/>
        <w:rPr>
          <w:rFonts w:ascii="Times New Roman" w:hAnsi="Times New Roman" w:cs="Times New Roman"/>
          <w:b/>
          <w:bCs/>
        </w:rPr>
      </w:pPr>
      <w:r w:rsidRPr="0002122E">
        <w:rPr>
          <w:rFonts w:ascii="Times New Roman" w:hAnsi="Times New Roman" w:cs="Times New Roman"/>
          <w:b/>
          <w:bCs/>
        </w:rPr>
        <w:t>International Marketing: Principles and Practices</w:t>
      </w:r>
    </w:p>
    <w:p w14:paraId="5E85A2FA" w14:textId="77777777" w:rsidR="001D104C" w:rsidRPr="0002122E" w:rsidRDefault="004A5486" w:rsidP="0002122E">
      <w:pPr>
        <w:spacing w:line="360" w:lineRule="auto"/>
        <w:jc w:val="center"/>
        <w:rPr>
          <w:rFonts w:ascii="Times New Roman" w:hAnsi="Times New Roman" w:cs="Times New Roman"/>
          <w:b/>
          <w:bCs/>
        </w:rPr>
      </w:pPr>
      <w:r w:rsidRPr="0002122E">
        <w:rPr>
          <w:rFonts w:ascii="Times New Roman" w:hAnsi="Times New Roman" w:cs="Times New Roman"/>
          <w:b/>
          <w:bCs/>
        </w:rPr>
        <w:t>(LCMB7026)</w:t>
      </w:r>
    </w:p>
    <w:p w14:paraId="47CA488E" w14:textId="77777777" w:rsidR="001D104C" w:rsidRPr="0002122E" w:rsidRDefault="004A5486" w:rsidP="0002122E">
      <w:pPr>
        <w:spacing w:line="360" w:lineRule="auto"/>
        <w:jc w:val="center"/>
        <w:rPr>
          <w:rFonts w:ascii="Times New Roman" w:hAnsi="Times New Roman" w:cs="Times New Roman"/>
          <w:b/>
          <w:bCs/>
        </w:rPr>
      </w:pPr>
      <w:r w:rsidRPr="0002122E">
        <w:rPr>
          <w:rFonts w:ascii="Times New Roman" w:hAnsi="Times New Roman" w:cs="Times New Roman"/>
          <w:b/>
          <w:bCs/>
        </w:rPr>
        <w:t>International Market Entry Strategy and Marketing Mix:</w:t>
      </w:r>
    </w:p>
    <w:p w14:paraId="364E5377" w14:textId="77777777" w:rsidR="001D104C" w:rsidRPr="0002122E" w:rsidRDefault="004A5486" w:rsidP="0002122E">
      <w:pPr>
        <w:spacing w:line="360" w:lineRule="auto"/>
        <w:jc w:val="center"/>
        <w:rPr>
          <w:rFonts w:ascii="Times New Roman" w:hAnsi="Times New Roman" w:cs="Times New Roman"/>
          <w:b/>
          <w:bCs/>
        </w:rPr>
      </w:pPr>
      <w:r w:rsidRPr="0002122E">
        <w:rPr>
          <w:rFonts w:ascii="Times New Roman" w:hAnsi="Times New Roman" w:cs="Times New Roman"/>
          <w:b/>
          <w:bCs/>
        </w:rPr>
        <w:t>A Comparative Analysis of the Cadbury Brand in the United Kingdom and India</w:t>
      </w:r>
    </w:p>
    <w:p w14:paraId="75E4DAF0" w14:textId="77777777" w:rsidR="001D104C" w:rsidRPr="0002122E" w:rsidRDefault="001D104C" w:rsidP="0002122E">
      <w:pPr>
        <w:spacing w:line="360" w:lineRule="auto"/>
        <w:jc w:val="center"/>
        <w:rPr>
          <w:rFonts w:ascii="Times New Roman" w:hAnsi="Times New Roman" w:cs="Times New Roman"/>
          <w:b/>
          <w:bCs/>
        </w:rPr>
      </w:pPr>
    </w:p>
    <w:p w14:paraId="67B019CD" w14:textId="77777777" w:rsidR="001D104C" w:rsidRPr="0002122E" w:rsidRDefault="004A5486" w:rsidP="0002122E">
      <w:pPr>
        <w:spacing w:line="360" w:lineRule="auto"/>
        <w:jc w:val="center"/>
        <w:rPr>
          <w:rFonts w:ascii="Times New Roman" w:hAnsi="Times New Roman" w:cs="Times New Roman"/>
          <w:b/>
          <w:bCs/>
        </w:rPr>
      </w:pPr>
      <w:r w:rsidRPr="0002122E">
        <w:rPr>
          <w:rFonts w:ascii="Times New Roman" w:hAnsi="Times New Roman" w:cs="Times New Roman"/>
          <w:b/>
          <w:bCs/>
          <w:i/>
          <w:iCs/>
        </w:rPr>
        <w:t>Assessment Component 1: Individual Report</w:t>
      </w:r>
    </w:p>
    <w:p w14:paraId="69DACDF9" w14:textId="77777777" w:rsidR="001D104C" w:rsidRPr="00EF2C6D" w:rsidRDefault="001D104C" w:rsidP="00EF2C6D">
      <w:pPr>
        <w:spacing w:line="360" w:lineRule="auto"/>
        <w:jc w:val="both"/>
        <w:rPr>
          <w:rFonts w:ascii="Times New Roman" w:hAnsi="Times New Roman" w:cs="Times New Roman"/>
        </w:rPr>
      </w:pPr>
    </w:p>
    <w:tbl>
      <w:tblPr>
        <w:tblStyle w:val="TableGrid"/>
        <w:tblW w:w="7800" w:type="dxa"/>
        <w:jc w:val="center"/>
        <w:tblLook w:val="04A0" w:firstRow="1" w:lastRow="0" w:firstColumn="1" w:lastColumn="0" w:noHBand="0" w:noVBand="1"/>
      </w:tblPr>
      <w:tblGrid>
        <w:gridCol w:w="3200"/>
        <w:gridCol w:w="4600"/>
      </w:tblGrid>
      <w:tr w:rsidR="001D104C" w:rsidRPr="00EF2C6D" w14:paraId="06EAA8CB" w14:textId="77777777" w:rsidTr="0002122E">
        <w:trPr>
          <w:jc w:val="center"/>
        </w:trPr>
        <w:tc>
          <w:tcPr>
            <w:tcW w:w="3200" w:type="dxa"/>
          </w:tcPr>
          <w:p w14:paraId="0A1CB701"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Student Name:</w:t>
            </w:r>
          </w:p>
        </w:tc>
        <w:tc>
          <w:tcPr>
            <w:tcW w:w="4600" w:type="dxa"/>
          </w:tcPr>
          <w:p w14:paraId="0AA56A46" w14:textId="11B65290" w:rsidR="001D104C" w:rsidRPr="00EF2C6D" w:rsidRDefault="00234C86" w:rsidP="00EF2C6D">
            <w:pPr>
              <w:spacing w:line="360" w:lineRule="auto"/>
              <w:jc w:val="both"/>
              <w:rPr>
                <w:rFonts w:ascii="Times New Roman" w:hAnsi="Times New Roman" w:cs="Times New Roman"/>
              </w:rPr>
            </w:pPr>
            <w:r>
              <w:rPr>
                <w:rFonts w:ascii="Times New Roman" w:hAnsi="Times New Roman" w:cs="Shruti"/>
                <w:lang w:bidi="gu-IN"/>
              </w:rPr>
              <w:t>Makwana rajesh rameshbhaj</w:t>
            </w:r>
          </w:p>
        </w:tc>
      </w:tr>
      <w:tr w:rsidR="001D104C" w:rsidRPr="00EF2C6D" w14:paraId="6C81AEE8" w14:textId="77777777" w:rsidTr="0002122E">
        <w:trPr>
          <w:jc w:val="center"/>
        </w:trPr>
        <w:tc>
          <w:tcPr>
            <w:tcW w:w="3200" w:type="dxa"/>
          </w:tcPr>
          <w:p w14:paraId="735A3169"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Student ID Number:</w:t>
            </w:r>
          </w:p>
        </w:tc>
        <w:tc>
          <w:tcPr>
            <w:tcW w:w="4600" w:type="dxa"/>
          </w:tcPr>
          <w:p w14:paraId="662675CA" w14:textId="20F0CDE6" w:rsidR="001D104C" w:rsidRPr="00EF2C6D" w:rsidRDefault="003C2197" w:rsidP="00EF2C6D">
            <w:pPr>
              <w:spacing w:line="360" w:lineRule="auto"/>
              <w:jc w:val="both"/>
              <w:rPr>
                <w:rFonts w:ascii="Times New Roman" w:hAnsi="Times New Roman" w:cs="Times New Roman"/>
              </w:rPr>
            </w:pPr>
            <w:r>
              <w:rPr>
                <w:rFonts w:ascii="Times New Roman" w:hAnsi="Times New Roman" w:cs="Times New Roman"/>
              </w:rPr>
              <w:t>2518402</w:t>
            </w:r>
          </w:p>
        </w:tc>
      </w:tr>
      <w:tr w:rsidR="001D104C" w:rsidRPr="00EF2C6D" w14:paraId="7B500C32" w14:textId="77777777" w:rsidTr="0002122E">
        <w:trPr>
          <w:jc w:val="center"/>
        </w:trPr>
        <w:tc>
          <w:tcPr>
            <w:tcW w:w="3200" w:type="dxa"/>
          </w:tcPr>
          <w:p w14:paraId="461FE308"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Module:</w:t>
            </w:r>
          </w:p>
        </w:tc>
        <w:tc>
          <w:tcPr>
            <w:tcW w:w="4600" w:type="dxa"/>
          </w:tcPr>
          <w:p w14:paraId="50558159"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International Marketing: Principles and Practices</w:t>
            </w:r>
          </w:p>
        </w:tc>
      </w:tr>
      <w:tr w:rsidR="001D104C" w:rsidRPr="00EF2C6D" w14:paraId="096EAAB3" w14:textId="77777777" w:rsidTr="0002122E">
        <w:trPr>
          <w:jc w:val="center"/>
        </w:trPr>
        <w:tc>
          <w:tcPr>
            <w:tcW w:w="3200" w:type="dxa"/>
          </w:tcPr>
          <w:p w14:paraId="48F0C456"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Module Code:</w:t>
            </w:r>
          </w:p>
        </w:tc>
        <w:tc>
          <w:tcPr>
            <w:tcW w:w="4600" w:type="dxa"/>
          </w:tcPr>
          <w:p w14:paraId="57A8FFEA"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LCMB7026</w:t>
            </w:r>
          </w:p>
        </w:tc>
      </w:tr>
      <w:tr w:rsidR="001D104C" w:rsidRPr="00EF2C6D" w14:paraId="6FC7270D" w14:textId="77777777" w:rsidTr="0002122E">
        <w:trPr>
          <w:jc w:val="center"/>
        </w:trPr>
        <w:tc>
          <w:tcPr>
            <w:tcW w:w="3200" w:type="dxa"/>
          </w:tcPr>
          <w:p w14:paraId="75973DB6"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Lecturer:</w:t>
            </w:r>
          </w:p>
        </w:tc>
        <w:tc>
          <w:tcPr>
            <w:tcW w:w="4600" w:type="dxa"/>
          </w:tcPr>
          <w:p w14:paraId="46276128"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Tushara Balendran / Dian Mayasari</w:t>
            </w:r>
          </w:p>
        </w:tc>
      </w:tr>
      <w:tr w:rsidR="001D104C" w:rsidRPr="00EF2C6D" w14:paraId="296F8E0D" w14:textId="77777777" w:rsidTr="0002122E">
        <w:trPr>
          <w:jc w:val="center"/>
        </w:trPr>
        <w:tc>
          <w:tcPr>
            <w:tcW w:w="3200" w:type="dxa"/>
          </w:tcPr>
          <w:p w14:paraId="463210AA"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Word Count:</w:t>
            </w:r>
          </w:p>
        </w:tc>
        <w:tc>
          <w:tcPr>
            <w:tcW w:w="4600" w:type="dxa"/>
          </w:tcPr>
          <w:p w14:paraId="09B615D0" w14:textId="2E3B9FF8" w:rsidR="00F86FD6" w:rsidRPr="00EF2C6D" w:rsidRDefault="0002122E" w:rsidP="00EF2C6D">
            <w:pPr>
              <w:spacing w:line="360" w:lineRule="auto"/>
              <w:jc w:val="both"/>
              <w:rPr>
                <w:rFonts w:ascii="Times New Roman" w:hAnsi="Times New Roman" w:cs="Times New Roman"/>
              </w:rPr>
            </w:pPr>
            <w:r>
              <w:rPr>
                <w:rFonts w:ascii="Times New Roman" w:hAnsi="Times New Roman" w:cs="Times New Roman"/>
              </w:rPr>
              <w:t>5000</w:t>
            </w:r>
          </w:p>
        </w:tc>
      </w:tr>
      <w:tr w:rsidR="001D104C" w:rsidRPr="00EF2C6D" w14:paraId="2A5F21B7" w14:textId="77777777" w:rsidTr="0002122E">
        <w:trPr>
          <w:jc w:val="center"/>
        </w:trPr>
        <w:tc>
          <w:tcPr>
            <w:tcW w:w="3200" w:type="dxa"/>
          </w:tcPr>
          <w:p w14:paraId="37A9591F" w14:textId="77777777" w:rsidR="001D104C" w:rsidRPr="0002122E" w:rsidRDefault="004A5486" w:rsidP="00EF2C6D">
            <w:pPr>
              <w:spacing w:line="360" w:lineRule="auto"/>
              <w:jc w:val="both"/>
              <w:rPr>
                <w:rFonts w:ascii="Times New Roman" w:hAnsi="Times New Roman" w:cs="Times New Roman"/>
                <w:b/>
                <w:bCs/>
              </w:rPr>
            </w:pPr>
            <w:r w:rsidRPr="0002122E">
              <w:rPr>
                <w:rFonts w:ascii="Times New Roman" w:hAnsi="Times New Roman" w:cs="Times New Roman"/>
                <w:b/>
                <w:bCs/>
              </w:rPr>
              <w:t>Submission Date:</w:t>
            </w:r>
          </w:p>
        </w:tc>
        <w:tc>
          <w:tcPr>
            <w:tcW w:w="4600" w:type="dxa"/>
          </w:tcPr>
          <w:p w14:paraId="76CCD047" w14:textId="253CAA11" w:rsidR="001D104C" w:rsidRPr="00EF2C6D" w:rsidRDefault="00234C86" w:rsidP="00EF2C6D">
            <w:pPr>
              <w:spacing w:line="360" w:lineRule="auto"/>
              <w:jc w:val="both"/>
              <w:rPr>
                <w:rFonts w:ascii="Times New Roman" w:hAnsi="Times New Roman" w:cs="Times New Roman"/>
              </w:rPr>
            </w:pPr>
            <w:r>
              <w:rPr>
                <w:rFonts w:ascii="Times New Roman" w:hAnsi="Times New Roman" w:cs="Times New Roman"/>
              </w:rPr>
              <w:t>13/08/26</w:t>
            </w:r>
          </w:p>
        </w:tc>
      </w:tr>
    </w:tbl>
    <w:p w14:paraId="1E9D2EF1"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br w:type="page"/>
      </w:r>
    </w:p>
    <w:sdt>
      <w:sdtPr>
        <w:rPr>
          <w:rFonts w:ascii="Arial" w:eastAsia="Arial" w:hAnsi="Arial" w:cs="Arial"/>
          <w:color w:val="auto"/>
          <w:sz w:val="24"/>
          <w:szCs w:val="24"/>
        </w:rPr>
        <w:id w:val="2253720"/>
        <w:docPartObj>
          <w:docPartGallery w:val="Table of Contents"/>
          <w:docPartUnique/>
        </w:docPartObj>
      </w:sdtPr>
      <w:sdtEndPr>
        <w:rPr>
          <w:rFonts w:ascii="Times New Roman" w:hAnsi="Times New Roman" w:cs="Times New Roman"/>
          <w:b/>
          <w:bCs/>
          <w:noProof/>
        </w:rPr>
      </w:sdtEndPr>
      <w:sdtContent>
        <w:p w14:paraId="5B41E66A" w14:textId="42B5757E" w:rsidR="0002122E" w:rsidRPr="0002122E" w:rsidRDefault="0002122E" w:rsidP="0002122E">
          <w:pPr>
            <w:pStyle w:val="TOCHeading"/>
            <w:jc w:val="center"/>
            <w:rPr>
              <w:rFonts w:ascii="Times New Roman" w:hAnsi="Times New Roman" w:cs="Times New Roman"/>
              <w:b/>
              <w:bCs/>
              <w:color w:val="auto"/>
              <w:sz w:val="28"/>
              <w:szCs w:val="28"/>
            </w:rPr>
          </w:pPr>
          <w:r w:rsidRPr="0002122E">
            <w:rPr>
              <w:rFonts w:ascii="Times New Roman" w:hAnsi="Times New Roman" w:cs="Times New Roman"/>
              <w:b/>
              <w:bCs/>
              <w:color w:val="auto"/>
              <w:sz w:val="28"/>
              <w:szCs w:val="28"/>
            </w:rPr>
            <w:t>Tables of Contents</w:t>
          </w:r>
        </w:p>
        <w:p w14:paraId="1195BBF4" w14:textId="1FE679AE"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r w:rsidRPr="0002122E">
            <w:rPr>
              <w:rFonts w:ascii="Times New Roman" w:hAnsi="Times New Roman" w:cs="Times New Roman"/>
            </w:rPr>
            <w:fldChar w:fldCharType="begin"/>
          </w:r>
          <w:r w:rsidRPr="0002122E">
            <w:rPr>
              <w:rFonts w:ascii="Times New Roman" w:hAnsi="Times New Roman" w:cs="Times New Roman"/>
            </w:rPr>
            <w:instrText xml:space="preserve"> TOC \o "1-3" \h \z \u </w:instrText>
          </w:r>
          <w:r w:rsidRPr="0002122E">
            <w:rPr>
              <w:rFonts w:ascii="Times New Roman" w:hAnsi="Times New Roman" w:cs="Times New Roman"/>
            </w:rPr>
            <w:fldChar w:fldCharType="separate"/>
          </w:r>
          <w:hyperlink w:anchor="_Toc237480999" w:history="1">
            <w:r w:rsidRPr="0002122E">
              <w:rPr>
                <w:rStyle w:val="Hyperlink"/>
                <w:rFonts w:ascii="Times New Roman" w:hAnsi="Times New Roman" w:cs="Times New Roman"/>
                <w:noProof/>
              </w:rPr>
              <w:t>1</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Introduction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_Toc237480999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3</w:t>
            </w:r>
            <w:r w:rsidRPr="0002122E">
              <w:rPr>
                <w:rFonts w:ascii="Times New Roman" w:hAnsi="Times New Roman" w:cs="Times New Roman"/>
                <w:noProof/>
                <w:webHidden/>
              </w:rPr>
              <w:fldChar w:fldCharType="end"/>
            </w:r>
          </w:hyperlink>
        </w:p>
        <w:p w14:paraId="38584998" w14:textId="35A5D832"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00" w:history="1">
            <w:r w:rsidRPr="0002122E">
              <w:rPr>
                <w:rStyle w:val="Hyperlink"/>
                <w:rFonts w:ascii="Times New Roman" w:hAnsi="Times New Roman" w:cs="Times New Roman"/>
                <w:noProof/>
              </w:rPr>
              <w:t>2</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Comparative Analysis of the Two Markets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_Toc237481000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4</w:t>
            </w:r>
            <w:r w:rsidRPr="0002122E">
              <w:rPr>
                <w:rFonts w:ascii="Times New Roman" w:hAnsi="Times New Roman" w:cs="Times New Roman"/>
                <w:noProof/>
                <w:webHidden/>
              </w:rPr>
              <w:fldChar w:fldCharType="end"/>
            </w:r>
          </w:hyperlink>
        </w:p>
        <w:p w14:paraId="2E0C30C6" w14:textId="2D2FB38C"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01" w:history="1">
            <w:r w:rsidRPr="0002122E">
              <w:rPr>
                <w:rStyle w:val="Hyperlink"/>
                <w:rFonts w:ascii="Times New Roman" w:hAnsi="Times New Roman" w:cs="Times New Roman"/>
                <w:noProof/>
              </w:rPr>
              <w:t>2.1</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PESTEL Analysis: United Kingdom vs India</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_Toc237481001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4</w:t>
            </w:r>
            <w:r w:rsidRPr="0002122E">
              <w:rPr>
                <w:rFonts w:ascii="Times New Roman" w:hAnsi="Times New Roman" w:cs="Times New Roman"/>
                <w:noProof/>
                <w:webHidden/>
              </w:rPr>
              <w:fldChar w:fldCharType="end"/>
            </w:r>
          </w:hyperlink>
        </w:p>
        <w:p w14:paraId="24B7ECA1" w14:textId="37EC3193"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02" w:history="1">
            <w:r w:rsidRPr="0002122E">
              <w:rPr>
                <w:rStyle w:val="Hyperlink"/>
                <w:rFonts w:ascii="Times New Roman" w:hAnsi="Times New Roman" w:cs="Times New Roman"/>
                <w:noProof/>
              </w:rPr>
              <w:t>2.2</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Hofstede’s Cultural Dimensions: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_Toc237481002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6</w:t>
            </w:r>
            <w:r w:rsidRPr="0002122E">
              <w:rPr>
                <w:rFonts w:ascii="Times New Roman" w:hAnsi="Times New Roman" w:cs="Times New Roman"/>
                <w:noProof/>
                <w:webHidden/>
              </w:rPr>
              <w:fldChar w:fldCharType="end"/>
            </w:r>
          </w:hyperlink>
        </w:p>
        <w:p w14:paraId="3EFDA804" w14:textId="7AA4FF41"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03" w:history="1">
            <w:r w:rsidRPr="0002122E">
              <w:rPr>
                <w:rStyle w:val="Hyperlink"/>
                <w:rFonts w:ascii="Times New Roman" w:hAnsi="Times New Roman" w:cs="Times New Roman"/>
                <w:noProof/>
              </w:rPr>
              <w:t>3</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Comparative STP and International Marketing Mix (7Ps)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_Toc237481003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8</w:t>
            </w:r>
            <w:r w:rsidRPr="0002122E">
              <w:rPr>
                <w:rFonts w:ascii="Times New Roman" w:hAnsi="Times New Roman" w:cs="Times New Roman"/>
                <w:noProof/>
                <w:webHidden/>
              </w:rPr>
              <w:fldChar w:fldCharType="end"/>
            </w:r>
          </w:hyperlink>
        </w:p>
        <w:p w14:paraId="24237EE4" w14:textId="2E604E47"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04" w:history="1">
            <w:r w:rsidRPr="0002122E">
              <w:rPr>
                <w:rStyle w:val="Hyperlink"/>
                <w:rFonts w:ascii="Times New Roman" w:hAnsi="Times New Roman" w:cs="Times New Roman"/>
                <w:noProof/>
              </w:rPr>
              <w:t>3.1</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Segmentation, Targeting and Positioning:</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_Toc237481004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8</w:t>
            </w:r>
            <w:r w:rsidRPr="0002122E">
              <w:rPr>
                <w:rFonts w:ascii="Times New Roman" w:hAnsi="Times New Roman" w:cs="Times New Roman"/>
                <w:noProof/>
                <w:webHidden/>
              </w:rPr>
              <w:fldChar w:fldCharType="end"/>
            </w:r>
          </w:hyperlink>
        </w:p>
        <w:p w14:paraId="00C7B7B7" w14:textId="244F20F3"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05" w:history="1">
            <w:r w:rsidRPr="0002122E">
              <w:rPr>
                <w:rStyle w:val="Hyperlink"/>
                <w:rFonts w:ascii="Times New Roman" w:hAnsi="Times New Roman" w:cs="Times New Roman"/>
                <w:noProof/>
              </w:rPr>
              <w:t>3.2</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The Extended Marketing Mix (7Ps)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_Toc237481005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10</w:t>
            </w:r>
            <w:r w:rsidRPr="0002122E">
              <w:rPr>
                <w:rFonts w:ascii="Times New Roman" w:hAnsi="Times New Roman" w:cs="Times New Roman"/>
                <w:noProof/>
                <w:webHidden/>
              </w:rPr>
              <w:fldChar w:fldCharType="end"/>
            </w:r>
          </w:hyperlink>
        </w:p>
        <w:p w14:paraId="08DF9484" w14:textId="14097B89"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06" w:history="1">
            <w:r w:rsidRPr="0002122E">
              <w:rPr>
                <w:rStyle w:val="Hyperlink"/>
                <w:rFonts w:ascii="Times New Roman" w:hAnsi="Times New Roman" w:cs="Times New Roman"/>
                <w:noProof/>
              </w:rPr>
              <w:t>4</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Market Entry Strategy: India</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_Toc237481006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12</w:t>
            </w:r>
            <w:r w:rsidRPr="0002122E">
              <w:rPr>
                <w:rFonts w:ascii="Times New Roman" w:hAnsi="Times New Roman" w:cs="Times New Roman"/>
                <w:noProof/>
                <w:webHidden/>
              </w:rPr>
              <w:fldChar w:fldCharType="end"/>
            </w:r>
          </w:hyperlink>
        </w:p>
        <w:p w14:paraId="045145CE" w14:textId="68DCFA02"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07" w:history="1">
            <w:r w:rsidRPr="0002122E">
              <w:rPr>
                <w:rStyle w:val="Hyperlink"/>
                <w:rFonts w:ascii="Times New Roman" w:hAnsi="Times New Roman" w:cs="Times New Roman"/>
                <w:noProof/>
              </w:rPr>
              <w:t>5</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Ethical Evaluation: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_Toc237481007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13</w:t>
            </w:r>
            <w:r w:rsidRPr="0002122E">
              <w:rPr>
                <w:rFonts w:ascii="Times New Roman" w:hAnsi="Times New Roman" w:cs="Times New Roman"/>
                <w:noProof/>
                <w:webHidden/>
              </w:rPr>
              <w:fldChar w:fldCharType="end"/>
            </w:r>
          </w:hyperlink>
        </w:p>
        <w:p w14:paraId="3CEF9124" w14:textId="6657198A"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08" w:history="1">
            <w:r w:rsidRPr="0002122E">
              <w:rPr>
                <w:rStyle w:val="Hyperlink"/>
                <w:rFonts w:ascii="Times New Roman" w:hAnsi="Times New Roman" w:cs="Times New Roman"/>
                <w:noProof/>
              </w:rPr>
              <w:t>5.1</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Ethical Assessment</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_Toc237481008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14</w:t>
            </w:r>
            <w:r w:rsidRPr="0002122E">
              <w:rPr>
                <w:rFonts w:ascii="Times New Roman" w:hAnsi="Times New Roman" w:cs="Times New Roman"/>
                <w:noProof/>
                <w:webHidden/>
              </w:rPr>
              <w:fldChar w:fldCharType="end"/>
            </w:r>
          </w:hyperlink>
        </w:p>
        <w:p w14:paraId="4D9FF518" w14:textId="41BD1D03"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09" w:history="1">
            <w:r w:rsidRPr="0002122E">
              <w:rPr>
                <w:rStyle w:val="Hyperlink"/>
                <w:rFonts w:ascii="Times New Roman" w:hAnsi="Times New Roman" w:cs="Times New Roman"/>
                <w:noProof/>
              </w:rPr>
              <w:t>6</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Recommendations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_Toc237481009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15</w:t>
            </w:r>
            <w:r w:rsidRPr="0002122E">
              <w:rPr>
                <w:rFonts w:ascii="Times New Roman" w:hAnsi="Times New Roman" w:cs="Times New Roman"/>
                <w:noProof/>
                <w:webHidden/>
              </w:rPr>
              <w:fldChar w:fldCharType="end"/>
            </w:r>
          </w:hyperlink>
        </w:p>
        <w:p w14:paraId="0C8A882B" w14:textId="476B5A8C"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10" w:history="1">
            <w:r w:rsidRPr="0002122E">
              <w:rPr>
                <w:rStyle w:val="Hyperlink"/>
                <w:rFonts w:ascii="Times New Roman" w:hAnsi="Times New Roman" w:cs="Times New Roman"/>
                <w:noProof/>
              </w:rPr>
              <w:t>7</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Conclusion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_Toc237481010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16</w:t>
            </w:r>
            <w:r w:rsidRPr="0002122E">
              <w:rPr>
                <w:rFonts w:ascii="Times New Roman" w:hAnsi="Times New Roman" w:cs="Times New Roman"/>
                <w:noProof/>
                <w:webHidden/>
              </w:rPr>
              <w:fldChar w:fldCharType="end"/>
            </w:r>
          </w:hyperlink>
        </w:p>
        <w:p w14:paraId="3996830F" w14:textId="75B99D4D"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11" w:history="1">
            <w:r w:rsidRPr="0002122E">
              <w:rPr>
                <w:rStyle w:val="Hyperlink"/>
                <w:rFonts w:ascii="Times New Roman" w:hAnsi="Times New Roman" w:cs="Times New Roman"/>
                <w:noProof/>
              </w:rPr>
              <w:t>8</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Section 2: Reflective Account</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_Toc237481011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16</w:t>
            </w:r>
            <w:r w:rsidRPr="0002122E">
              <w:rPr>
                <w:rFonts w:ascii="Times New Roman" w:hAnsi="Times New Roman" w:cs="Times New Roman"/>
                <w:noProof/>
                <w:webHidden/>
              </w:rPr>
              <w:fldChar w:fldCharType="end"/>
            </w:r>
          </w:hyperlink>
        </w:p>
        <w:p w14:paraId="5E2E9B15" w14:textId="30F4048C"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12" w:history="1">
            <w:r w:rsidRPr="0002122E">
              <w:rPr>
                <w:rStyle w:val="Hyperlink"/>
                <w:rFonts w:ascii="Times New Roman" w:hAnsi="Times New Roman" w:cs="Times New Roman"/>
                <w:noProof/>
              </w:rPr>
              <w:t>8.1</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Description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_Toc237481012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17</w:t>
            </w:r>
            <w:r w:rsidRPr="0002122E">
              <w:rPr>
                <w:rFonts w:ascii="Times New Roman" w:hAnsi="Times New Roman" w:cs="Times New Roman"/>
                <w:noProof/>
                <w:webHidden/>
              </w:rPr>
              <w:fldChar w:fldCharType="end"/>
            </w:r>
          </w:hyperlink>
        </w:p>
        <w:p w14:paraId="3D005D28" w14:textId="0AAEF828"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13" w:history="1">
            <w:r w:rsidRPr="0002122E">
              <w:rPr>
                <w:rStyle w:val="Hyperlink"/>
                <w:rFonts w:ascii="Times New Roman" w:hAnsi="Times New Roman" w:cs="Times New Roman"/>
                <w:noProof/>
              </w:rPr>
              <w:t>8.2</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Feelings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_Toc237481013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17</w:t>
            </w:r>
            <w:r w:rsidRPr="0002122E">
              <w:rPr>
                <w:rFonts w:ascii="Times New Roman" w:hAnsi="Times New Roman" w:cs="Times New Roman"/>
                <w:noProof/>
                <w:webHidden/>
              </w:rPr>
              <w:fldChar w:fldCharType="end"/>
            </w:r>
          </w:hyperlink>
        </w:p>
        <w:p w14:paraId="520289EB" w14:textId="50353AF7"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14" w:history="1">
            <w:r w:rsidRPr="0002122E">
              <w:rPr>
                <w:rStyle w:val="Hyperlink"/>
                <w:rFonts w:ascii="Times New Roman" w:hAnsi="Times New Roman" w:cs="Times New Roman"/>
                <w:noProof/>
              </w:rPr>
              <w:t>8.3</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Evaluation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_Toc237481014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17</w:t>
            </w:r>
            <w:r w:rsidRPr="0002122E">
              <w:rPr>
                <w:rFonts w:ascii="Times New Roman" w:hAnsi="Times New Roman" w:cs="Times New Roman"/>
                <w:noProof/>
                <w:webHidden/>
              </w:rPr>
              <w:fldChar w:fldCharType="end"/>
            </w:r>
          </w:hyperlink>
        </w:p>
        <w:p w14:paraId="4671D3AA" w14:textId="7167E627"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15" w:history="1">
            <w:r w:rsidRPr="0002122E">
              <w:rPr>
                <w:rStyle w:val="Hyperlink"/>
                <w:rFonts w:ascii="Times New Roman" w:hAnsi="Times New Roman" w:cs="Times New Roman"/>
                <w:noProof/>
              </w:rPr>
              <w:t>8.4</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Analysis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_Toc237481015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18</w:t>
            </w:r>
            <w:r w:rsidRPr="0002122E">
              <w:rPr>
                <w:rFonts w:ascii="Times New Roman" w:hAnsi="Times New Roman" w:cs="Times New Roman"/>
                <w:noProof/>
                <w:webHidden/>
              </w:rPr>
              <w:fldChar w:fldCharType="end"/>
            </w:r>
          </w:hyperlink>
        </w:p>
        <w:p w14:paraId="17D1EBB0" w14:textId="151D6B01"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16" w:history="1">
            <w:r w:rsidRPr="0002122E">
              <w:rPr>
                <w:rStyle w:val="Hyperlink"/>
                <w:rFonts w:ascii="Times New Roman" w:hAnsi="Times New Roman" w:cs="Times New Roman"/>
                <w:noProof/>
              </w:rPr>
              <w:t>8.5</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Conclusion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_Toc237481016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18</w:t>
            </w:r>
            <w:r w:rsidRPr="0002122E">
              <w:rPr>
                <w:rFonts w:ascii="Times New Roman" w:hAnsi="Times New Roman" w:cs="Times New Roman"/>
                <w:noProof/>
                <w:webHidden/>
              </w:rPr>
              <w:fldChar w:fldCharType="end"/>
            </w:r>
          </w:hyperlink>
        </w:p>
        <w:p w14:paraId="6B4B8AFD" w14:textId="7A8A263A" w:rsidR="0002122E" w:rsidRPr="0002122E" w:rsidRDefault="0002122E" w:rsidP="0002122E">
          <w:pPr>
            <w:pStyle w:val="TOC2"/>
            <w:tabs>
              <w:tab w:val="left" w:pos="960"/>
              <w:tab w:val="right" w:leader="dot" w:pos="9016"/>
            </w:tabs>
            <w:spacing w:line="360" w:lineRule="auto"/>
            <w:rPr>
              <w:rFonts w:ascii="Times New Roman" w:eastAsiaTheme="minorEastAsia" w:hAnsi="Times New Roman" w:cs="Times New Roman"/>
              <w:noProof/>
              <w:kern w:val="2"/>
              <w14:ligatures w14:val="standardContextual"/>
            </w:rPr>
          </w:pPr>
          <w:hyperlink w:anchor="_Toc237481017" w:history="1">
            <w:r w:rsidRPr="0002122E">
              <w:rPr>
                <w:rStyle w:val="Hyperlink"/>
                <w:rFonts w:ascii="Times New Roman" w:hAnsi="Times New Roman" w:cs="Times New Roman"/>
                <w:noProof/>
              </w:rPr>
              <w:t>8.6</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Action Plan</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_Toc237481017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18</w:t>
            </w:r>
            <w:r w:rsidRPr="0002122E">
              <w:rPr>
                <w:rFonts w:ascii="Times New Roman" w:hAnsi="Times New Roman" w:cs="Times New Roman"/>
                <w:noProof/>
                <w:webHidden/>
              </w:rPr>
              <w:fldChar w:fldCharType="end"/>
            </w:r>
          </w:hyperlink>
        </w:p>
        <w:p w14:paraId="4C1FF3C3" w14:textId="39628B24" w:rsidR="0002122E" w:rsidRPr="0002122E" w:rsidRDefault="0002122E" w:rsidP="0002122E">
          <w:pPr>
            <w:pStyle w:val="TOC1"/>
            <w:tabs>
              <w:tab w:val="left" w:pos="480"/>
              <w:tab w:val="right" w:leader="dot" w:pos="9016"/>
            </w:tabs>
            <w:spacing w:line="360" w:lineRule="auto"/>
            <w:rPr>
              <w:rFonts w:ascii="Times New Roman" w:eastAsiaTheme="minorEastAsia" w:hAnsi="Times New Roman" w:cs="Times New Roman"/>
              <w:noProof/>
              <w:kern w:val="2"/>
              <w14:ligatures w14:val="standardContextual"/>
            </w:rPr>
          </w:pPr>
          <w:hyperlink w:anchor="_Toc237481018" w:history="1">
            <w:r w:rsidRPr="0002122E">
              <w:rPr>
                <w:rStyle w:val="Hyperlink"/>
                <w:rFonts w:ascii="Times New Roman" w:hAnsi="Times New Roman" w:cs="Times New Roman"/>
                <w:noProof/>
              </w:rPr>
              <w:t>9</w:t>
            </w:r>
            <w:r w:rsidRPr="0002122E">
              <w:rPr>
                <w:rFonts w:ascii="Times New Roman" w:eastAsiaTheme="minorEastAsia" w:hAnsi="Times New Roman" w:cs="Times New Roman"/>
                <w:noProof/>
                <w:kern w:val="2"/>
                <w14:ligatures w14:val="standardContextual"/>
              </w:rPr>
              <w:tab/>
            </w:r>
            <w:r w:rsidRPr="0002122E">
              <w:rPr>
                <w:rStyle w:val="Hyperlink"/>
                <w:rFonts w:ascii="Times New Roman" w:hAnsi="Times New Roman" w:cs="Times New Roman"/>
                <w:noProof/>
              </w:rPr>
              <w:t>References</w:t>
            </w:r>
            <w:r w:rsidRPr="0002122E">
              <w:rPr>
                <w:rFonts w:ascii="Times New Roman" w:hAnsi="Times New Roman" w:cs="Times New Roman"/>
                <w:noProof/>
                <w:webHidden/>
              </w:rPr>
              <w:tab/>
            </w:r>
            <w:r w:rsidRPr="0002122E">
              <w:rPr>
                <w:rFonts w:ascii="Times New Roman" w:hAnsi="Times New Roman" w:cs="Times New Roman"/>
                <w:noProof/>
                <w:webHidden/>
              </w:rPr>
              <w:fldChar w:fldCharType="begin"/>
            </w:r>
            <w:r w:rsidRPr="0002122E">
              <w:rPr>
                <w:rFonts w:ascii="Times New Roman" w:hAnsi="Times New Roman" w:cs="Times New Roman"/>
                <w:noProof/>
                <w:webHidden/>
              </w:rPr>
              <w:instrText xml:space="preserve"> PAGEREF _Toc237481018 \h </w:instrText>
            </w:r>
            <w:r w:rsidRPr="0002122E">
              <w:rPr>
                <w:rFonts w:ascii="Times New Roman" w:hAnsi="Times New Roman" w:cs="Times New Roman"/>
                <w:noProof/>
                <w:webHidden/>
              </w:rPr>
            </w:r>
            <w:r w:rsidRPr="0002122E">
              <w:rPr>
                <w:rFonts w:ascii="Times New Roman" w:hAnsi="Times New Roman" w:cs="Times New Roman"/>
                <w:noProof/>
                <w:webHidden/>
              </w:rPr>
              <w:fldChar w:fldCharType="separate"/>
            </w:r>
            <w:r w:rsidRPr="0002122E">
              <w:rPr>
                <w:rFonts w:ascii="Times New Roman" w:hAnsi="Times New Roman" w:cs="Times New Roman"/>
                <w:noProof/>
                <w:webHidden/>
              </w:rPr>
              <w:t>20</w:t>
            </w:r>
            <w:r w:rsidRPr="0002122E">
              <w:rPr>
                <w:rFonts w:ascii="Times New Roman" w:hAnsi="Times New Roman" w:cs="Times New Roman"/>
                <w:noProof/>
                <w:webHidden/>
              </w:rPr>
              <w:fldChar w:fldCharType="end"/>
            </w:r>
          </w:hyperlink>
        </w:p>
        <w:p w14:paraId="0A3168F5" w14:textId="1480A891" w:rsidR="0002122E" w:rsidRPr="0002122E" w:rsidRDefault="0002122E" w:rsidP="0002122E">
          <w:pPr>
            <w:spacing w:line="360" w:lineRule="auto"/>
            <w:rPr>
              <w:rFonts w:ascii="Times New Roman" w:hAnsi="Times New Roman" w:cs="Times New Roman"/>
            </w:rPr>
          </w:pPr>
          <w:r w:rsidRPr="0002122E">
            <w:rPr>
              <w:rFonts w:ascii="Times New Roman" w:hAnsi="Times New Roman" w:cs="Times New Roman"/>
              <w:b/>
              <w:bCs/>
              <w:noProof/>
            </w:rPr>
            <w:fldChar w:fldCharType="end"/>
          </w:r>
        </w:p>
      </w:sdtContent>
    </w:sdt>
    <w:p w14:paraId="7A5FD37F" w14:textId="4BEA6BB0" w:rsidR="001D104C" w:rsidRPr="00EF2C6D" w:rsidRDefault="001D104C" w:rsidP="00EF2C6D">
      <w:pPr>
        <w:spacing w:line="360" w:lineRule="auto"/>
        <w:jc w:val="both"/>
        <w:rPr>
          <w:rFonts w:ascii="Times New Roman" w:hAnsi="Times New Roman" w:cs="Times New Roman"/>
        </w:rPr>
      </w:pPr>
    </w:p>
    <w:p w14:paraId="4941A287"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br w:type="page"/>
      </w:r>
    </w:p>
    <w:p w14:paraId="7604E464" w14:textId="4AFCEC40" w:rsidR="001D104C" w:rsidRPr="00EF2C6D" w:rsidRDefault="004A5486" w:rsidP="0002122E">
      <w:pPr>
        <w:pStyle w:val="Heading1"/>
      </w:pPr>
      <w:bookmarkStart w:id="0" w:name="_Toc237141419"/>
      <w:bookmarkStart w:id="1" w:name="_Toc237480999"/>
      <w:r w:rsidRPr="00EF2C6D">
        <w:t>Introduction</w:t>
      </w:r>
      <w:bookmarkEnd w:id="0"/>
      <w:bookmarkEnd w:id="1"/>
    </w:p>
    <w:p w14:paraId="0E02DD68" w14:textId="77777777" w:rsidR="009A42C4" w:rsidRDefault="009A42C4" w:rsidP="00EF2C6D">
      <w:pPr>
        <w:spacing w:line="360" w:lineRule="auto"/>
        <w:jc w:val="both"/>
        <w:rPr>
          <w:rFonts w:ascii="Times New Roman" w:hAnsi="Times New Roman" w:cs="Times New Roman"/>
        </w:rPr>
      </w:pPr>
      <w:r w:rsidRPr="00EF2C6D">
        <w:rPr>
          <w:rFonts w:ascii="Times New Roman" w:hAnsi="Times New Roman" w:cs="Times New Roman"/>
        </w:rPr>
        <w:t>Founded in Birmingham in 1824, Cadbury is one of the most enduring brands in the world of chocolate and is now a part of the American multinational Mondelez International (Latterly, 2024). Mondelez’s product falls into the global chocolate confectionery market; one of the largest sectors within fast-moving consumer goods (FMCG) and accounted for about US$36 billion in net revenue for the company in 2023 (Latterly, 2024). This report will explore Cadbury's approach to entering overseas markets and their marketing-mix in two different markets – their target market, the UK, and one of their more successful markets where they have found a home – India.</w:t>
      </w:r>
    </w:p>
    <w:p w14:paraId="660821E9" w14:textId="23A05E69" w:rsidR="0002122E" w:rsidRDefault="0002122E" w:rsidP="0002122E">
      <w:pPr>
        <w:spacing w:line="360" w:lineRule="auto"/>
        <w:jc w:val="center"/>
        <w:rPr>
          <w:rFonts w:ascii="Times New Roman" w:hAnsi="Times New Roman" w:cs="Times New Roman"/>
        </w:rPr>
      </w:pPr>
      <w:r>
        <w:rPr>
          <w:noProof/>
        </w:rPr>
        <w:drawing>
          <wp:inline distT="0" distB="0" distL="0" distR="0" wp14:anchorId="31F7C2CC" wp14:editId="5970FF45">
            <wp:extent cx="4417451" cy="2484755"/>
            <wp:effectExtent l="0" t="0" r="2540" b="0"/>
            <wp:docPr id="114678797" name="Picture 2" descr="Cadbury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dbury Logo, symbol, meaning, history, PNG, br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1378" cy="2486964"/>
                    </a:xfrm>
                    <a:prstGeom prst="rect">
                      <a:avLst/>
                    </a:prstGeom>
                    <a:noFill/>
                    <a:ln>
                      <a:noFill/>
                    </a:ln>
                  </pic:spPr>
                </pic:pic>
              </a:graphicData>
            </a:graphic>
          </wp:inline>
        </w:drawing>
      </w:r>
    </w:p>
    <w:p w14:paraId="4AB73CF4" w14:textId="702BBBB7" w:rsidR="0002122E" w:rsidRPr="0002122E" w:rsidRDefault="0002122E" w:rsidP="0002122E">
      <w:pPr>
        <w:spacing w:line="360" w:lineRule="auto"/>
        <w:jc w:val="center"/>
        <w:rPr>
          <w:rFonts w:ascii="Times New Roman" w:hAnsi="Times New Roman" w:cs="Times New Roman"/>
          <w:i/>
          <w:iCs/>
        </w:rPr>
      </w:pPr>
      <w:r>
        <w:rPr>
          <w:rFonts w:ascii="Times New Roman" w:hAnsi="Times New Roman" w:cs="Times New Roman"/>
          <w:i/>
          <w:iCs/>
        </w:rPr>
        <w:t xml:space="preserve">Figure: </w:t>
      </w:r>
      <w:r w:rsidRPr="0002122E">
        <w:rPr>
          <w:rFonts w:ascii="Times New Roman" w:hAnsi="Times New Roman" w:cs="Times New Roman"/>
          <w:i/>
          <w:iCs/>
        </w:rPr>
        <w:t>Cadburry Plc (Latterly, 2024).</w:t>
      </w:r>
    </w:p>
    <w:p w14:paraId="1EF4A404" w14:textId="77777777" w:rsidR="009A42C4"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This is an instructive comparison of the two countries. Cadbury is a well-established product that has reached category leadership in the United Kingdom, a country characterized by a high per capita income and a culture that is individualistic, whereas Cadbury entered India in 1948 and has established near-category dominance in a culture that is collectivist and festival oriented with a large emerging market (Malodia, 2026; buildd, 2023). It uses international frameworks of marketing – PESTEL, Hofstede’s cultural dimensions, Segmentation-Targeting-Positioning (STP) and extended 7Ps marketing mix – to make comparisons between the two contexts, and contrast them. It then looks at the manner in which Cadbury entered the Indian market, critically examines the ethical issues entangled in Cadbury's actions in the United Kingdom in 2006 in connection with the salmonella recall and finally makes some strategic recommendations. In Section 2, there is an organised reflective description in the Gibbs' (1988) reflective cycle.</w:t>
      </w:r>
    </w:p>
    <w:p w14:paraId="2A450100" w14:textId="77777777" w:rsidR="009A42C4"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Methodologically, the report utilises a qualitative, desk based, comparative case study approach, with the evidence used being triangulated through the use of academic textbooks, peer reviewed journal literature, regulatory publications and industry reporting (Kotler et al., 2019). This is appropriate for the analytical goal, which is not to test a statistical hypothesis but to explain how a common corporate strategy can be conveyed to two different national marketing mixes that are structurally different. The analysis also takes into account the long-running academic debate between standardisation and adaptation in international marketing, as Levitt (1983) argued that consumer tastes were converging as a result of global communication and trade barriers had been dropping and that a standardised, low-cost offer was commercially superior, whereas Douglas and Craig (1986) pointed out that this was an underestimation of the enduring difference between national markets, and that unreflective standardisation was a form of ‘global marketing myopia’. This classic debate is put to the test today in Cadbury's UK-India comparison.</w:t>
      </w:r>
    </w:p>
    <w:p w14:paraId="331E70AD" w14:textId="344424C8" w:rsidR="009A42C4"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Chocolate is a globally familiar product form and culturally familiar consumption occasion – a Christmas gift for folks back home or a gift for Easter, sweets for festivals in India, etc. – and as such the confectionery category is a good place to discuss the debate. The insights gained into the use of one brand architecture in these varying meanings of consumption have wider implications for other fast-moving consumer goods (FMCG) multinationals contemplating the challenge of balancing global efficiency with local relevance (Vrontis, Thrassou and Lamprianou, 2009). The material in the balance of the report is organized first at a macro-environmental and cultural level (Section 2), followed by the level of the market and the strategy to be adopted (Section 3), the level of the entry mode (Section 4), the level of an ethical case study (Section 5), and the level of recommendations for the future (Sections 6, 7).</w:t>
      </w:r>
    </w:p>
    <w:p w14:paraId="6DA8DD79" w14:textId="0DC72BCF" w:rsidR="001D104C" w:rsidRPr="00EF2C6D" w:rsidRDefault="004A5486" w:rsidP="00EF2C6D">
      <w:pPr>
        <w:pStyle w:val="Heading1"/>
      </w:pPr>
      <w:bookmarkStart w:id="2" w:name="_Toc237141420"/>
      <w:bookmarkStart w:id="3" w:name="_Toc237481000"/>
      <w:r w:rsidRPr="00EF2C6D">
        <w:t>Comparative Analysis of the Two Markets</w:t>
      </w:r>
      <w:bookmarkEnd w:id="2"/>
      <w:bookmarkEnd w:id="3"/>
    </w:p>
    <w:p w14:paraId="02456937" w14:textId="5A11473C" w:rsidR="001D104C" w:rsidRPr="00EF2C6D" w:rsidRDefault="004A5486" w:rsidP="00EF2C6D">
      <w:pPr>
        <w:pStyle w:val="Heading2"/>
      </w:pPr>
      <w:bookmarkStart w:id="4" w:name="_Toc237141421"/>
      <w:bookmarkStart w:id="5" w:name="_Toc237481001"/>
      <w:r w:rsidRPr="00EF2C6D">
        <w:t>PESTEL Analysis: United Kingdom v</w:t>
      </w:r>
      <w:r w:rsidR="00EF2C6D">
        <w:t xml:space="preserve">s </w:t>
      </w:r>
      <w:r w:rsidRPr="00EF2C6D">
        <w:t>India</w:t>
      </w:r>
      <w:bookmarkEnd w:id="4"/>
      <w:bookmarkEnd w:id="5"/>
    </w:p>
    <w:p w14:paraId="3BE21901" w14:textId="18AB995F" w:rsidR="001D104C"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PESTEL is a tool to analyse the external factors that influence marketing strategy in international markets</w:t>
      </w:r>
      <w:r w:rsidR="00EF2C6D">
        <w:rPr>
          <w:rFonts w:ascii="Times New Roman" w:hAnsi="Times New Roman" w:cs="Times New Roman"/>
        </w:rPr>
        <w:t>:</w:t>
      </w:r>
      <w:r w:rsidRPr="00EF2C6D">
        <w:rPr>
          <w:rFonts w:ascii="Times New Roman" w:hAnsi="Times New Roman" w:cs="Times New Roman"/>
        </w:rPr>
        <w:t xml:space="preserve"> political, economic, social, technological, environmental and legal (Yüksel, 2012; Perera, 2017). The table below, Table 1, compares the two markets on each dimension.</w:t>
      </w:r>
    </w:p>
    <w:tbl>
      <w:tblPr>
        <w:tblStyle w:val="GridTable6Colorful"/>
        <w:tblW w:w="8100" w:type="dxa"/>
        <w:jc w:val="center"/>
        <w:tblLook w:val="04A0" w:firstRow="1" w:lastRow="0" w:firstColumn="1" w:lastColumn="0" w:noHBand="0" w:noVBand="1"/>
      </w:tblPr>
      <w:tblGrid>
        <w:gridCol w:w="1763"/>
        <w:gridCol w:w="3170"/>
        <w:gridCol w:w="3167"/>
      </w:tblGrid>
      <w:tr w:rsidR="001D104C" w:rsidRPr="00EF2C6D" w14:paraId="1BE50E04" w14:textId="77777777" w:rsidTr="00EF2C6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6BE613C7"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Factor</w:t>
            </w:r>
          </w:p>
        </w:tc>
        <w:tc>
          <w:tcPr>
            <w:tcW w:w="3300" w:type="dxa"/>
          </w:tcPr>
          <w:p w14:paraId="7491B705" w14:textId="77777777" w:rsidR="001D104C" w:rsidRPr="00EF2C6D" w:rsidRDefault="004A5486" w:rsidP="00EF2C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United Kingdom</w:t>
            </w:r>
          </w:p>
        </w:tc>
        <w:tc>
          <w:tcPr>
            <w:tcW w:w="3300" w:type="dxa"/>
          </w:tcPr>
          <w:p w14:paraId="1527333B" w14:textId="77777777" w:rsidR="001D104C" w:rsidRPr="00EF2C6D" w:rsidRDefault="004A5486" w:rsidP="00EF2C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India</w:t>
            </w:r>
          </w:p>
        </w:tc>
      </w:tr>
      <w:tr w:rsidR="001D104C" w:rsidRPr="00EF2C6D" w14:paraId="4180EDBC"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3D57700B"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Political</w:t>
            </w:r>
          </w:p>
        </w:tc>
        <w:tc>
          <w:tcPr>
            <w:tcW w:w="3300" w:type="dxa"/>
          </w:tcPr>
          <w:p w14:paraId="5E721F80"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Stable parliamentary democracy; predictable post-Brexit trade regime and strong regulatory institutions (e.g. Food Standards Agency).</w:t>
            </w:r>
          </w:p>
        </w:tc>
        <w:tc>
          <w:tcPr>
            <w:tcW w:w="3300" w:type="dxa"/>
          </w:tcPr>
          <w:p w14:paraId="5B2F529B"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Stable but complex federal system; ‘Make in India’ and FDI liberalisation</w:t>
            </w:r>
            <w:r w:rsidRPr="00EF2C6D">
              <w:rPr>
                <w:rFonts w:ascii="Times New Roman" w:hAnsi="Times New Roman" w:cs="Times New Roman"/>
              </w:rPr>
              <w:t xml:space="preserve"> encourage manufacturing investment; state-level variation in regulation.</w:t>
            </w:r>
          </w:p>
        </w:tc>
      </w:tr>
      <w:tr w:rsidR="001D104C" w:rsidRPr="00EF2C6D" w14:paraId="3E59F279"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500" w:type="dxa"/>
          </w:tcPr>
          <w:p w14:paraId="0A2D0E95"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Economic</w:t>
            </w:r>
          </w:p>
        </w:tc>
        <w:tc>
          <w:tcPr>
            <w:tcW w:w="3300" w:type="dxa"/>
          </w:tcPr>
          <w:p w14:paraId="7D950FF7"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Mature, high-income market with low chocolate volume growth; high cost base and inflation-sensitive shoppers.</w:t>
            </w:r>
          </w:p>
        </w:tc>
        <w:tc>
          <w:tcPr>
            <w:tcW w:w="3300" w:type="dxa"/>
          </w:tcPr>
          <w:p w14:paraId="5A926C84"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Rapidly growing middle-income economy; rising disposable incomes; price-sensitive but expanding premium segment.</w:t>
            </w:r>
          </w:p>
        </w:tc>
      </w:tr>
      <w:tr w:rsidR="001D104C" w:rsidRPr="00EF2C6D" w14:paraId="7C374045"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1BB7E2BA"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Social</w:t>
            </w:r>
          </w:p>
        </w:tc>
        <w:tc>
          <w:tcPr>
            <w:tcW w:w="3300" w:type="dxa"/>
          </w:tcPr>
          <w:p w14:paraId="7881BA15"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Individualistic, health-conscious consumers; established gifting at Christmas and Easter.</w:t>
            </w:r>
          </w:p>
        </w:tc>
        <w:tc>
          <w:tcPr>
            <w:tcW w:w="3300" w:type="dxa"/>
          </w:tcPr>
          <w:p w14:paraId="23CCA088"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Collectivist, family- and festival-centred</w:t>
            </w:r>
            <w:r w:rsidRPr="00EF2C6D">
              <w:rPr>
                <w:rFonts w:ascii="Times New Roman" w:hAnsi="Times New Roman" w:cs="Times New Roman"/>
              </w:rPr>
              <w:t xml:space="preserve"> society; sweets integral to Diwali, Raksha Bandhan and weddings.</w:t>
            </w:r>
          </w:p>
        </w:tc>
      </w:tr>
      <w:tr w:rsidR="001D104C" w:rsidRPr="00EF2C6D" w14:paraId="48FCFD05"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500" w:type="dxa"/>
          </w:tcPr>
          <w:p w14:paraId="6EA9801D"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Technological</w:t>
            </w:r>
          </w:p>
        </w:tc>
        <w:tc>
          <w:tcPr>
            <w:tcW w:w="3300" w:type="dxa"/>
          </w:tcPr>
          <w:p w14:paraId="77A4CBD9"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Advanced e-commerce and retail-media ecosystem; high digital penetration.</w:t>
            </w:r>
          </w:p>
        </w:tc>
        <w:tc>
          <w:tcPr>
            <w:tcW w:w="3300" w:type="dxa"/>
          </w:tcPr>
          <w:p w14:paraId="082D32A8"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Fast-scaling e-commerce and quick-commerce; rapid smartphone and digital-payments adoption.</w:t>
            </w:r>
          </w:p>
        </w:tc>
      </w:tr>
      <w:tr w:rsidR="001D104C" w:rsidRPr="00EF2C6D" w14:paraId="1E4CC26A"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2C83862E"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Environmental</w:t>
            </w:r>
          </w:p>
        </w:tc>
        <w:tc>
          <w:tcPr>
            <w:tcW w:w="3300" w:type="dxa"/>
          </w:tcPr>
          <w:p w14:paraId="4CBF52A0"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Strong pressure on sustainable cocoa, packaging and carbon reduction; Cocoa Life sourcing programme.</w:t>
            </w:r>
          </w:p>
        </w:tc>
        <w:tc>
          <w:tcPr>
            <w:tcW w:w="3300" w:type="dxa"/>
          </w:tcPr>
          <w:p w14:paraId="62D19BA4"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Cold-chain integrity critical in hot climate; growing scrutiny of sustainable sourcing and packaging waste.</w:t>
            </w:r>
          </w:p>
        </w:tc>
      </w:tr>
      <w:tr w:rsidR="001D104C" w:rsidRPr="00EF2C6D" w14:paraId="19EC9394"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500" w:type="dxa"/>
          </w:tcPr>
          <w:p w14:paraId="01CB1C33"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Legal</w:t>
            </w:r>
          </w:p>
        </w:tc>
        <w:tc>
          <w:tcPr>
            <w:tcW w:w="3300" w:type="dxa"/>
          </w:tcPr>
          <w:p w14:paraId="68059323"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Strict food-safety law (HACCP), advertising and labelling standards; HFSS advertising restrictions.</w:t>
            </w:r>
          </w:p>
        </w:tc>
        <w:tc>
          <w:tcPr>
            <w:tcW w:w="3300" w:type="dxa"/>
          </w:tcPr>
          <w:p w14:paraId="38EA91EA"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FSSAI food-safety regime; evolving advertising and packaging regulation; strict labelling requirements.</w:t>
            </w:r>
          </w:p>
        </w:tc>
      </w:tr>
    </w:tbl>
    <w:p w14:paraId="23E658E1" w14:textId="77777777" w:rsidR="001D104C" w:rsidRPr="00EF2C6D" w:rsidRDefault="004A5486" w:rsidP="00EF2C6D">
      <w:pPr>
        <w:spacing w:line="360" w:lineRule="auto"/>
        <w:jc w:val="center"/>
        <w:rPr>
          <w:rFonts w:ascii="Times New Roman" w:hAnsi="Times New Roman" w:cs="Times New Roman"/>
          <w:b/>
          <w:bCs/>
          <w:sz w:val="20"/>
          <w:szCs w:val="20"/>
        </w:rPr>
      </w:pPr>
      <w:r w:rsidRPr="00EF2C6D">
        <w:rPr>
          <w:rFonts w:ascii="Times New Roman" w:hAnsi="Times New Roman" w:cs="Times New Roman"/>
          <w:b/>
          <w:bCs/>
          <w:i/>
          <w:iCs/>
          <w:sz w:val="20"/>
          <w:szCs w:val="20"/>
        </w:rPr>
        <w:t>Table 1. Comparative PESTEL analysis of the UK and Indian markets (Malodia, 2026; FSA, 2006).</w:t>
      </w:r>
    </w:p>
    <w:p w14:paraId="4F988538" w14:textId="77777777" w:rsid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 xml:space="preserve">This comparison highlights key differences in strategic contexts. The UK is a mature market and has been saturated with growth in premiumisation, seasonal innovation and value as inflation sensitive shoppers will defend their choices (Latterly, 2024). However, India is a growth market with Mondelez investing about ₹4000 crore in the growth of its manufacturing and route-to-market capacity by 2026, in anticipation of the increased consumer demand and low chocolate consumption per capita (Malodia, 2026). The environmental dimension, however, is quite different: cold-chain compliance is an important factor in product quality and availability in India's hot climate, whereas the constraint does not exist in the temperate UK (Latterly, 2024). These contextual differences have direct implications for the standardisation–adaptation debate introduced above. In the UK, restrictions on the promotion and placement of high-fat, salt and sugar (HFSS) products significantly limit in-store merchandising and multibuy promotion of Cadbury's main stream Dairy Milk lines, which is likely to lead to a push for the company toward diversification with premiums and a focus on portion control, rather than volume-based promotions (FSA, 2006). </w:t>
      </w:r>
    </w:p>
    <w:p w14:paraId="2D656EFC" w14:textId="01DB27F5" w:rsidR="009A42C4"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 xml:space="preserve">Furthermore, regulatory divergence between the UK and EU has also increased the administrative burden of sourcing ingredients from across the border and complying with the ever-changing labelling consumer guidelines and health-claims regulations set forth by the Food Safety and Standards Authority of India (FSSAI) for Cadbury's Indian operation. While the economies of scale outlined in Levitt's (1983) model may seem seductive in theory, these legal asymmetries suggest a practical cap on the level of standardisation possible in the national environment as outlined by Douglas and Craig (1986). The difference between the two markets also influences investment priorities in terms of economics. UK chocolate confectionery is a comparatively low volume growth category with a squeeze on margins from the rising cost of cocoa and dairy ingredients and is thus encouraging Cadbury to maintain its market share through pack architecture and premiumisation, rather than aggressive price competition (Latterly, 2024). India has a distinct growth scenario with a young population, comparatively low per-capita chocolate consumption and rising disposable income driving Mondelez's growth trajectory, which has been seen in its investments in manufacturing and in the route to market (Malodia, 2026). This comparison highlights the broader concept of international marketing planning: PESTEL analysis is most valuable in the context of making decisions regarding an allocation of resources, as international brand management requires a different approach in different markets, with the one market requiring a defend-and-premiumise push and the other market a invest-and-expand push (Yüksel, 2012). </w:t>
      </w:r>
    </w:p>
    <w:p w14:paraId="29C5ACE7" w14:textId="150542A1" w:rsidR="009A42C4" w:rsidRPr="00EF2C6D" w:rsidRDefault="009A42C4" w:rsidP="00EF2C6D">
      <w:pPr>
        <w:pStyle w:val="Heading2"/>
      </w:pPr>
      <w:bookmarkStart w:id="6" w:name="_Toc237481002"/>
      <w:r w:rsidRPr="00EF2C6D">
        <w:t>Hofstede’s Cultural Dimensions:</w:t>
      </w:r>
      <w:bookmarkEnd w:id="6"/>
    </w:p>
    <w:p w14:paraId="72E0BB1F" w14:textId="3BD046DB" w:rsidR="009A42C4"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 xml:space="preserve"> Although the model has been criticized for its ecologic and temporal validity (Hofstede</w:t>
      </w:r>
      <w:r w:rsidR="00EF2C6D">
        <w:rPr>
          <w:rFonts w:ascii="Times New Roman" w:hAnsi="Times New Roman" w:cs="Times New Roman"/>
        </w:rPr>
        <w:t xml:space="preserve"> et al.</w:t>
      </w:r>
      <w:r w:rsidRPr="00EF2C6D">
        <w:rPr>
          <w:rFonts w:ascii="Times New Roman" w:hAnsi="Times New Roman" w:cs="Times New Roman"/>
        </w:rPr>
        <w:t>, 2010; Beugelsdijk and Welzel, 2018), Hofstede's model categorizes national culture in six dimensions and remains one of the most widely used frameworks when it comes to cross-cultural marketing. The UK and India can now be compared against the 6 dimensions, as shown in Figure 1.</w:t>
      </w:r>
    </w:p>
    <w:p w14:paraId="74371896" w14:textId="4991A12B"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noProof/>
        </w:rPr>
        <w:drawing>
          <wp:inline distT="0" distB="0" distL="0" distR="0" wp14:anchorId="67B353DE" wp14:editId="65A55DD6">
            <wp:extent cx="5334000"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2724150"/>
                    </a:xfrm>
                    <a:prstGeom prst="rect">
                      <a:avLst/>
                    </a:prstGeom>
                  </pic:spPr>
                </pic:pic>
              </a:graphicData>
            </a:graphic>
          </wp:inline>
        </w:drawing>
      </w:r>
    </w:p>
    <w:p w14:paraId="00B7316D" w14:textId="403B0B76" w:rsidR="001D104C" w:rsidRPr="00EF2C6D" w:rsidRDefault="004A5486" w:rsidP="00EF2C6D">
      <w:pPr>
        <w:spacing w:line="360" w:lineRule="auto"/>
        <w:jc w:val="center"/>
        <w:rPr>
          <w:rFonts w:ascii="Times New Roman" w:hAnsi="Times New Roman" w:cs="Times New Roman"/>
          <w:b/>
          <w:bCs/>
          <w:sz w:val="20"/>
          <w:szCs w:val="20"/>
        </w:rPr>
      </w:pPr>
      <w:r w:rsidRPr="00EF2C6D">
        <w:rPr>
          <w:rFonts w:ascii="Times New Roman" w:hAnsi="Times New Roman" w:cs="Times New Roman"/>
          <w:b/>
          <w:bCs/>
          <w:i/>
          <w:iCs/>
          <w:sz w:val="20"/>
          <w:szCs w:val="20"/>
        </w:rPr>
        <w:t>Figure 1. Hofstede cultural-dimension scores for the United Kingdom and India (Hofstede Insights, 2021; scores reported in ResearchGate, 2021).</w:t>
      </w:r>
    </w:p>
    <w:p w14:paraId="55C4CD93" w14:textId="77777777" w:rsid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 xml:space="preserve">The most striking differences are in power distance (UK 35 vs India 77) and individualism (UK 89 vs India 48) (Hofstede Insights, 2021). The UK is a low power distance, high individualistic country where advertisements mainly are focused on personal choices, humour and self-expression. India is a high power distance society, relatively collectivist, where the consumption is determined by family, community, and hierarchy, and where confectionery plays a part of the collective festive and gifting practices (OpenStax, 2019). This cultural difference can be directly attributed to the Indian communication Cadbury has used, most prominently in their long-running ‘Kuch Meetha Ho Jaaye’ (‘let's have something sweet’) platform, which is focused on collective celebration and auspicious moments, as opposed to UK campaigns like ‘Gorilla’ and ‘Glass and a Half’ which emphasize individual joy and playful whimsy (Markhub24, 2025; buildd, 2023). The higher indulgence score in the UK (69 versus 26) also reinforces the idea of chocolate as a day-to-day personal treat, while in India the brand has cleverly shifted the perception of chocolate from an indulgent western treat to a culturally acceptable alternative to the traditional mithai sweets (Malodia, 2026). Even though it is useful for the purposes of this case study, Hofstede's framework is subject to considerable methodological criticism and a strict use would involve recognition of these limitations. McSweeney (2002) suggests that the data used in the original IBM survey, based on responses from marketing and sales staff in one multinational organisation, should not be generalizable to national populations as a whole, and that any inferences made about the behaviour of individual consumers from national scores are an ecological fallacy. </w:t>
      </w:r>
    </w:p>
    <w:p w14:paraId="33FC43DB" w14:textId="26F72409" w:rsidR="009A42C4"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When applied to Cadbury, this is a general directional cue to understand the norms in a society</w:t>
      </w:r>
      <w:r w:rsidR="00EF2C6D">
        <w:rPr>
          <w:rFonts w:ascii="Times New Roman" w:hAnsi="Times New Roman" w:cs="Times New Roman"/>
        </w:rPr>
        <w:t xml:space="preserve">, </w:t>
      </w:r>
      <w:r w:rsidRPr="00EF2C6D">
        <w:rPr>
          <w:rFonts w:ascii="Times New Roman" w:hAnsi="Times New Roman" w:cs="Times New Roman"/>
        </w:rPr>
        <w:t>broadly speaking the UK and India</w:t>
      </w:r>
      <w:r w:rsidR="00EF2C6D">
        <w:rPr>
          <w:rFonts w:ascii="Times New Roman" w:hAnsi="Times New Roman" w:cs="Times New Roman"/>
        </w:rPr>
        <w:t>,</w:t>
      </w:r>
      <w:r w:rsidRPr="00EF2C6D">
        <w:rPr>
          <w:rFonts w:ascii="Times New Roman" w:hAnsi="Times New Roman" w:cs="Times New Roman"/>
        </w:rPr>
        <w:t xml:space="preserve"> which could well influence the tone of advertising and gifting habits, but which is not necessarily a reliable guide to any individual’s reaction to a given campaign. There are also some limitations in time; Hofstede's scores were based on data compiled several decades ago and the British and Indian society have been transformed by many developments in recent years, such as urbanization, more women working outside the home and the explosion of social network coverage on smartphones, which can be closing the recorded gaps (Beugelsdijk and Welzel, 2018). All of this said, the framework remains useful to marketers as a way to make sense of what is a nebulous term, “culture,” and to make it a comparison-based, actionable heuristic that can aid with positioning and tone of voice decisions, but only as one consideration among many — not as a rule of thumb (OpenStax, 2019). </w:t>
      </w:r>
    </w:p>
    <w:p w14:paraId="4EADE871" w14:textId="044BCC61" w:rsidR="009A42C4" w:rsidRPr="00EF2C6D" w:rsidRDefault="009A42C4" w:rsidP="00EF2C6D">
      <w:pPr>
        <w:pStyle w:val="Heading1"/>
      </w:pPr>
      <w:bookmarkStart w:id="7" w:name="_Toc237481003"/>
      <w:r w:rsidRPr="00EF2C6D">
        <w:t>Comparative STP and International Marketing Mix (7Ps)</w:t>
      </w:r>
      <w:bookmarkEnd w:id="7"/>
      <w:r w:rsidRPr="00EF2C6D">
        <w:t xml:space="preserve"> </w:t>
      </w:r>
    </w:p>
    <w:p w14:paraId="3007A3EB" w14:textId="64D4DA0C" w:rsidR="009A42C4" w:rsidRPr="00EF2C6D" w:rsidRDefault="009A42C4" w:rsidP="00EF2C6D">
      <w:pPr>
        <w:pStyle w:val="Heading2"/>
      </w:pPr>
      <w:bookmarkStart w:id="8" w:name="_Toc237481004"/>
      <w:r w:rsidRPr="00EF2C6D">
        <w:t>Segmentation, Targeting and Positioning:</w:t>
      </w:r>
      <w:bookmarkEnd w:id="8"/>
    </w:p>
    <w:p w14:paraId="14DC574E" w14:textId="5A2244B0" w:rsidR="001D104C" w:rsidRPr="00EF2C6D" w:rsidRDefault="009A42C4" w:rsidP="00EF2C6D">
      <w:pPr>
        <w:spacing w:line="360" w:lineRule="auto"/>
        <w:jc w:val="both"/>
        <w:rPr>
          <w:rFonts w:ascii="Times New Roman" w:hAnsi="Times New Roman" w:cs="Times New Roman"/>
        </w:rPr>
      </w:pPr>
      <w:r w:rsidRPr="00EF2C6D">
        <w:rPr>
          <w:rFonts w:ascii="Times New Roman" w:hAnsi="Times New Roman" w:cs="Times New Roman"/>
        </w:rPr>
        <w:t xml:space="preserve"> STP is the process of converting </w:t>
      </w:r>
      <w:r w:rsidR="00EF2C6D" w:rsidRPr="00EF2C6D">
        <w:rPr>
          <w:rFonts w:ascii="Times New Roman" w:hAnsi="Times New Roman" w:cs="Times New Roman"/>
        </w:rPr>
        <w:t>macro</w:t>
      </w:r>
      <w:r w:rsidRPr="00EF2C6D">
        <w:rPr>
          <w:rFonts w:ascii="Times New Roman" w:hAnsi="Times New Roman" w:cs="Times New Roman"/>
        </w:rPr>
        <w:t>-environmental and cultural understanding into actionable market choices (Kotler et al., 2019). A comparison of Cadbury's STP in the two markets is drawn in Table 2.</w:t>
      </w:r>
    </w:p>
    <w:tbl>
      <w:tblPr>
        <w:tblStyle w:val="GridTable6Colorful"/>
        <w:tblW w:w="8100" w:type="dxa"/>
        <w:jc w:val="center"/>
        <w:tblLook w:val="04A0" w:firstRow="1" w:lastRow="0" w:firstColumn="1" w:lastColumn="0" w:noHBand="0" w:noVBand="1"/>
      </w:tblPr>
      <w:tblGrid>
        <w:gridCol w:w="1616"/>
        <w:gridCol w:w="3240"/>
        <w:gridCol w:w="3244"/>
      </w:tblGrid>
      <w:tr w:rsidR="001D104C" w:rsidRPr="00EF2C6D" w14:paraId="3B93C921" w14:textId="77777777" w:rsidTr="00EF2C6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640E0601"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STP element</w:t>
            </w:r>
          </w:p>
        </w:tc>
        <w:tc>
          <w:tcPr>
            <w:tcW w:w="3300" w:type="dxa"/>
          </w:tcPr>
          <w:p w14:paraId="090936D3" w14:textId="77777777" w:rsidR="001D104C" w:rsidRPr="00EF2C6D" w:rsidRDefault="004A5486" w:rsidP="00EF2C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United Kingdom</w:t>
            </w:r>
          </w:p>
        </w:tc>
        <w:tc>
          <w:tcPr>
            <w:tcW w:w="3300" w:type="dxa"/>
          </w:tcPr>
          <w:p w14:paraId="4188E3B1" w14:textId="77777777" w:rsidR="001D104C" w:rsidRPr="00EF2C6D" w:rsidRDefault="004A5486" w:rsidP="00EF2C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India</w:t>
            </w:r>
          </w:p>
        </w:tc>
      </w:tr>
      <w:tr w:rsidR="001D104C" w:rsidRPr="00EF2C6D" w14:paraId="3E991D29"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2F97C9EF"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Segmentation</w:t>
            </w:r>
          </w:p>
        </w:tc>
        <w:tc>
          <w:tcPr>
            <w:tcW w:w="3300" w:type="dxa"/>
          </w:tcPr>
          <w:p w14:paraId="6D2AB295"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Occasion- and benefit-based: everyday treat, sharing bags, seasonal gifting (Easter, Christmas); premium vs mainstream tiers.</w:t>
            </w:r>
          </w:p>
        </w:tc>
        <w:tc>
          <w:tcPr>
            <w:tcW w:w="3300" w:type="dxa"/>
          </w:tcPr>
          <w:p w14:paraId="1A11F963"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Income-, occasion- and festival-based: mass-market single bars for trial; premium gifting (Silk, Celebrations) for festivals and weddings.</w:t>
            </w:r>
          </w:p>
        </w:tc>
      </w:tr>
      <w:tr w:rsidR="001D104C" w:rsidRPr="00EF2C6D" w14:paraId="05D46D3E"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500" w:type="dxa"/>
          </w:tcPr>
          <w:p w14:paraId="130091B4"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Targeting</w:t>
            </w:r>
          </w:p>
        </w:tc>
        <w:tc>
          <w:tcPr>
            <w:tcW w:w="3300" w:type="dxa"/>
          </w:tcPr>
          <w:p w14:paraId="17E257C5"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Broad mass market with premium sub-targeting; families and adult self-treat consumers.</w:t>
            </w:r>
          </w:p>
        </w:tc>
        <w:tc>
          <w:tcPr>
            <w:tcW w:w="3300" w:type="dxa"/>
          </w:tcPr>
          <w:p w14:paraId="614DEEF1"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Very broad reach across income tiers via pack-price ladders; families, youth and gifting occasions.</w:t>
            </w:r>
          </w:p>
        </w:tc>
      </w:tr>
      <w:tr w:rsidR="001D104C" w:rsidRPr="00EF2C6D" w14:paraId="0C032AC1"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00" w:type="dxa"/>
          </w:tcPr>
          <w:p w14:paraId="416FA742"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Positioning</w:t>
            </w:r>
          </w:p>
        </w:tc>
        <w:tc>
          <w:tcPr>
            <w:tcW w:w="3300" w:type="dxa"/>
          </w:tcPr>
          <w:p w14:paraId="7370709B"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Iconic heritage brand of ‘generosity’ and everyday joy; ‘a glass and a half of milk’ quality cue.</w:t>
            </w:r>
          </w:p>
        </w:tc>
        <w:tc>
          <w:tcPr>
            <w:tcW w:w="3300" w:type="dxa"/>
          </w:tcPr>
          <w:p w14:paraId="3B9CDE26"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‘Kuch Meetha Ho Jaaye’ — sweetness for every celebration; chocolate positioned as a modern, aspirational mithai.</w:t>
            </w:r>
          </w:p>
        </w:tc>
      </w:tr>
    </w:tbl>
    <w:p w14:paraId="708BE482" w14:textId="77777777" w:rsidR="001D104C" w:rsidRPr="00EF2C6D" w:rsidRDefault="004A5486" w:rsidP="00EF2C6D">
      <w:pPr>
        <w:spacing w:line="360" w:lineRule="auto"/>
        <w:jc w:val="center"/>
        <w:rPr>
          <w:rFonts w:ascii="Times New Roman" w:hAnsi="Times New Roman" w:cs="Times New Roman"/>
          <w:b/>
          <w:bCs/>
          <w:sz w:val="20"/>
          <w:szCs w:val="20"/>
        </w:rPr>
      </w:pPr>
      <w:r w:rsidRPr="00EF2C6D">
        <w:rPr>
          <w:rFonts w:ascii="Times New Roman" w:hAnsi="Times New Roman" w:cs="Times New Roman"/>
          <w:b/>
          <w:bCs/>
          <w:i/>
          <w:iCs/>
          <w:sz w:val="20"/>
          <w:szCs w:val="20"/>
        </w:rPr>
        <w:t>Table 2. Comparative STP analysis (Latterly, 2024; Malodia, 2026; Markhub24, 2025).</w:t>
      </w:r>
    </w:p>
    <w:p w14:paraId="6B2EE0A5"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 xml:space="preserve">Figure 2 shows the commercial benefits of the Indian positioning of Mondelez India Foods, which saw a strong growth in its reported revenue to approximately ₹12,747 crore in FY24 with the Indian revenue coming from core Cadbury products like Dairy Milk and 5 Star (Malodia) at around 72%. </w:t>
      </w:r>
    </w:p>
    <w:p w14:paraId="7409B530" w14:textId="77777777" w:rsidR="00EF2C6D" w:rsidRPr="00EF2C6D" w:rsidRDefault="00EF2C6D" w:rsidP="00EF2C6D">
      <w:pPr>
        <w:spacing w:line="360" w:lineRule="auto"/>
        <w:jc w:val="both"/>
        <w:rPr>
          <w:rFonts w:ascii="Times New Roman" w:hAnsi="Times New Roman" w:cs="Times New Roman"/>
        </w:rPr>
      </w:pPr>
    </w:p>
    <w:p w14:paraId="0898493F" w14:textId="006D16A0"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noProof/>
        </w:rPr>
        <w:drawing>
          <wp:inline distT="0" distB="0" distL="0" distR="0" wp14:anchorId="140DD40E" wp14:editId="0B22B653">
            <wp:extent cx="4476750" cy="2202180"/>
            <wp:effectExtent l="0" t="0" r="0" b="7620"/>
            <wp:docPr id="1298025378" name="Picture 1298025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11076"/>
                    <a:stretch>
                      <a:fillRect/>
                    </a:stretch>
                  </pic:blipFill>
                  <pic:spPr bwMode="auto">
                    <a:xfrm>
                      <a:off x="0" y="0"/>
                      <a:ext cx="4476750" cy="2202180"/>
                    </a:xfrm>
                    <a:prstGeom prst="rect">
                      <a:avLst/>
                    </a:prstGeom>
                    <a:ln>
                      <a:noFill/>
                    </a:ln>
                    <a:extLst>
                      <a:ext uri="{53640926-AAD7-44D8-BBD7-CCE9431645EC}">
                        <a14:shadowObscured xmlns:a14="http://schemas.microsoft.com/office/drawing/2010/main"/>
                      </a:ext>
                    </a:extLst>
                  </pic:spPr>
                </pic:pic>
              </a:graphicData>
            </a:graphic>
          </wp:inline>
        </w:drawing>
      </w:r>
    </w:p>
    <w:p w14:paraId="553EB354" w14:textId="77777777" w:rsidR="001D104C" w:rsidRPr="00EF2C6D" w:rsidRDefault="004A5486" w:rsidP="00EF2C6D">
      <w:pPr>
        <w:spacing w:line="360" w:lineRule="auto"/>
        <w:jc w:val="center"/>
        <w:rPr>
          <w:rFonts w:ascii="Times New Roman" w:hAnsi="Times New Roman" w:cs="Times New Roman"/>
          <w:b/>
          <w:bCs/>
          <w:sz w:val="20"/>
          <w:szCs w:val="20"/>
        </w:rPr>
      </w:pPr>
      <w:r w:rsidRPr="00EF2C6D">
        <w:rPr>
          <w:rFonts w:ascii="Times New Roman" w:hAnsi="Times New Roman" w:cs="Times New Roman"/>
          <w:b/>
          <w:bCs/>
          <w:i/>
          <w:iCs/>
          <w:sz w:val="20"/>
          <w:szCs w:val="20"/>
        </w:rPr>
        <w:t>Figure 2. Reported revenue growth of Mondelez India Foods (FY22 and FY24 figures from Malodia, 2026 and buildd, 2023; FY21/FY23 indicative).</w:t>
      </w:r>
    </w:p>
    <w:p w14:paraId="475508DF"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Figure 3 shows Cadbury's positioning in relation to its competitors along two dimensions: perceived premium and emotional connection. The space, high on the right and reaching the centre towards the top (high emotional resonance) is defensible in both markets, with the top-left to centre space extended upwards into premium gifting via Silk and Bournville (Latterly, 2024). This difference in targeting logic also mirrors a long-standing debate in marketing theory between a differentiated and mass market targeting strategy (Kotler et al. 2019). Cadbury adopts a somewhat differentiated strategy in the UK, with top-of-the-range sub-brands placed on the mainstream Dairy Milk product to appeal to different levels of willingness-to-pay in a fairly uniform income distribution. In contrast, the brand's Indian segmentation strategy is described as what is sometimes called a ‘pyramid segmentation strategy’ — where very low unit price single bars generate trial and habituation among the lower income, ‘first time' bar users, and the premium-gifting format can appeal to an expanding urban middle class, extending the relevance of the one brand to a much wider income level than is usual in a more mature western market (Malodia, 2026). The strategy mirrors the accepted segmentation techniques in emerging FMCG markets of entry at an affordability level and then subsequent laddering to the higher margin formats.</w:t>
      </w:r>
    </w:p>
    <w:p w14:paraId="1F03DD63" w14:textId="61CB1798" w:rsidR="001D104C" w:rsidRPr="00EF2C6D" w:rsidRDefault="004A5486" w:rsidP="00EF2C6D">
      <w:pPr>
        <w:spacing w:line="360" w:lineRule="auto"/>
        <w:jc w:val="center"/>
        <w:rPr>
          <w:rFonts w:ascii="Times New Roman" w:hAnsi="Times New Roman" w:cs="Times New Roman"/>
        </w:rPr>
      </w:pPr>
      <w:r w:rsidRPr="00EF2C6D">
        <w:rPr>
          <w:rFonts w:ascii="Times New Roman" w:hAnsi="Times New Roman" w:cs="Times New Roman"/>
          <w:noProof/>
        </w:rPr>
        <w:drawing>
          <wp:inline distT="0" distB="0" distL="0" distR="0" wp14:anchorId="429A10F1" wp14:editId="601D71E8">
            <wp:extent cx="4476750" cy="2889885"/>
            <wp:effectExtent l="0" t="0" r="0" b="5715"/>
            <wp:docPr id="1183650256" name="Picture 1183650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6646"/>
                    <a:stretch>
                      <a:fillRect/>
                    </a:stretch>
                  </pic:blipFill>
                  <pic:spPr bwMode="auto">
                    <a:xfrm>
                      <a:off x="0" y="0"/>
                      <a:ext cx="4476750" cy="2889885"/>
                    </a:xfrm>
                    <a:prstGeom prst="rect">
                      <a:avLst/>
                    </a:prstGeom>
                    <a:ln>
                      <a:noFill/>
                    </a:ln>
                    <a:extLst>
                      <a:ext uri="{53640926-AAD7-44D8-BBD7-CCE9431645EC}">
                        <a14:shadowObscured xmlns:a14="http://schemas.microsoft.com/office/drawing/2010/main"/>
                      </a:ext>
                    </a:extLst>
                  </pic:spPr>
                </pic:pic>
              </a:graphicData>
            </a:graphic>
          </wp:inline>
        </w:drawing>
      </w:r>
    </w:p>
    <w:p w14:paraId="7250E2C6" w14:textId="1F5E6752" w:rsidR="001D104C" w:rsidRPr="00EF2C6D" w:rsidRDefault="004A5486" w:rsidP="00EF2C6D">
      <w:pPr>
        <w:spacing w:line="360" w:lineRule="auto"/>
        <w:jc w:val="center"/>
        <w:rPr>
          <w:rFonts w:ascii="Times New Roman" w:hAnsi="Times New Roman" w:cs="Times New Roman"/>
          <w:b/>
          <w:bCs/>
          <w:sz w:val="20"/>
          <w:szCs w:val="20"/>
        </w:rPr>
      </w:pPr>
      <w:r w:rsidRPr="00EF2C6D">
        <w:rPr>
          <w:rFonts w:ascii="Times New Roman" w:hAnsi="Times New Roman" w:cs="Times New Roman"/>
          <w:b/>
          <w:bCs/>
          <w:i/>
          <w:iCs/>
          <w:sz w:val="20"/>
          <w:szCs w:val="20"/>
        </w:rPr>
        <w:t>Figure 3. Indicative perceptual positioning map</w:t>
      </w:r>
    </w:p>
    <w:p w14:paraId="2418AE88" w14:textId="127A10BB" w:rsidR="001D104C" w:rsidRPr="00EF2C6D" w:rsidRDefault="004A5486" w:rsidP="00EF2C6D">
      <w:pPr>
        <w:pStyle w:val="Heading2"/>
      </w:pPr>
      <w:bookmarkStart w:id="9" w:name="_Toc237141425"/>
      <w:bookmarkStart w:id="10" w:name="_Toc237481005"/>
      <w:r w:rsidRPr="00EF2C6D">
        <w:t>The Extended Marketing Mix (7Ps)</w:t>
      </w:r>
      <w:bookmarkEnd w:id="9"/>
      <w:bookmarkEnd w:id="10"/>
    </w:p>
    <w:p w14:paraId="61EC60C2" w14:textId="7FC4BC84" w:rsidR="001D104C"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The 7Ps framework is appropriate to a brand whose value is co-created via distribution intensity and in-store experience (Booms and Bitner, 1981; Kotler et al., 2019). The mix of Cadbury is compared in the two markets in Table 3.</w:t>
      </w:r>
    </w:p>
    <w:tbl>
      <w:tblPr>
        <w:tblStyle w:val="GridTable6Colorful"/>
        <w:tblW w:w="8100" w:type="dxa"/>
        <w:jc w:val="center"/>
        <w:tblLook w:val="04A0" w:firstRow="1" w:lastRow="0" w:firstColumn="1" w:lastColumn="0" w:noHBand="0" w:noVBand="1"/>
      </w:tblPr>
      <w:tblGrid>
        <w:gridCol w:w="1310"/>
        <w:gridCol w:w="3395"/>
        <w:gridCol w:w="3395"/>
      </w:tblGrid>
      <w:tr w:rsidR="001D104C" w:rsidRPr="00EF2C6D" w14:paraId="311406F4" w14:textId="77777777" w:rsidTr="00EF2C6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00" w:type="dxa"/>
          </w:tcPr>
          <w:p w14:paraId="4448EC03"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7Ps</w:t>
            </w:r>
          </w:p>
        </w:tc>
        <w:tc>
          <w:tcPr>
            <w:tcW w:w="3400" w:type="dxa"/>
          </w:tcPr>
          <w:p w14:paraId="3C92FA65" w14:textId="77777777" w:rsidR="001D104C" w:rsidRPr="00EF2C6D" w:rsidRDefault="004A5486" w:rsidP="00EF2C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United Kingdom</w:t>
            </w:r>
          </w:p>
        </w:tc>
        <w:tc>
          <w:tcPr>
            <w:tcW w:w="3400" w:type="dxa"/>
          </w:tcPr>
          <w:p w14:paraId="6D9CBD38" w14:textId="77777777" w:rsidR="001D104C" w:rsidRPr="00EF2C6D" w:rsidRDefault="004A5486" w:rsidP="00EF2C6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India</w:t>
            </w:r>
          </w:p>
        </w:tc>
      </w:tr>
      <w:tr w:rsidR="001D104C" w:rsidRPr="00EF2C6D" w14:paraId="16A8F9BB"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00" w:type="dxa"/>
          </w:tcPr>
          <w:p w14:paraId="685B90FC"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Product</w:t>
            </w:r>
          </w:p>
        </w:tc>
        <w:tc>
          <w:tcPr>
            <w:tcW w:w="3400" w:type="dxa"/>
          </w:tcPr>
          <w:p w14:paraId="1BD6054A"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Broad portfolio led by Dairy Milk tablets and multipacks; premiumisation via Bournville, seasonal Creme Egg; reformulation and portion control under HFSS pressure.</w:t>
            </w:r>
          </w:p>
        </w:tc>
        <w:tc>
          <w:tcPr>
            <w:tcW w:w="3400" w:type="dxa"/>
          </w:tcPr>
          <w:p w14:paraId="7C95B761"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Core Dairy Milk plus locally salient lines (5 Star, Gems, Bournvita, Silk, Celebrations); heat-tolerant formulations and festival-specific packs.</w:t>
            </w:r>
          </w:p>
        </w:tc>
      </w:tr>
      <w:tr w:rsidR="001D104C" w:rsidRPr="00EF2C6D" w14:paraId="4BE7D7ED"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300" w:type="dxa"/>
          </w:tcPr>
          <w:p w14:paraId="6B812737"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Price</w:t>
            </w:r>
          </w:p>
        </w:tc>
        <w:tc>
          <w:tcPr>
            <w:tcW w:w="3400" w:type="dxa"/>
          </w:tcPr>
          <w:p w14:paraId="54CA503B"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Premium mainstream pricing with value multipacks; pack-price architecture to defend key price points against inflation.</w:t>
            </w:r>
          </w:p>
        </w:tc>
        <w:tc>
          <w:tcPr>
            <w:tcW w:w="3400" w:type="dxa"/>
          </w:tcPr>
          <w:p w14:paraId="7074CCF5"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Aggressive pack-price laddering: low-unit-price single bars for trial and affordability, ascending to premium gifting tiers.</w:t>
            </w:r>
          </w:p>
        </w:tc>
      </w:tr>
      <w:tr w:rsidR="001D104C" w:rsidRPr="00EF2C6D" w14:paraId="7FDFB09E"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00" w:type="dxa"/>
          </w:tcPr>
          <w:p w14:paraId="185381EE"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Place</w:t>
            </w:r>
          </w:p>
        </w:tc>
        <w:tc>
          <w:tcPr>
            <w:tcW w:w="3400" w:type="dxa"/>
          </w:tcPr>
          <w:p w14:paraId="56AC5157"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Modern trade (Tesco, Sainsbury’s), convenience and scaling e-commerce; joint business plans with major grocers.</w:t>
            </w:r>
          </w:p>
        </w:tc>
        <w:tc>
          <w:tcPr>
            <w:tcW w:w="3400" w:type="dxa"/>
          </w:tcPr>
          <w:p w14:paraId="2BB95431"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Vast multi-tier distribution across modern and traditional ‘kirana’ trade, convenience, e-commerce and quick-commerce; deep rural reach.</w:t>
            </w:r>
          </w:p>
        </w:tc>
      </w:tr>
      <w:tr w:rsidR="001D104C" w:rsidRPr="00EF2C6D" w14:paraId="20BAA1C2"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300" w:type="dxa"/>
          </w:tcPr>
          <w:p w14:paraId="43878EEA"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Promotion</w:t>
            </w:r>
          </w:p>
        </w:tc>
        <w:tc>
          <w:tcPr>
            <w:tcW w:w="3400" w:type="dxa"/>
          </w:tcPr>
          <w:p w14:paraId="4282880A"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Emotional brand-building (‘Glass and a Half’, ‘Gorilla’); seasonal campaigns; retail media and sponsorship.</w:t>
            </w:r>
          </w:p>
        </w:tc>
        <w:tc>
          <w:tcPr>
            <w:tcW w:w="3400" w:type="dxa"/>
          </w:tcPr>
          <w:p w14:paraId="24A9CA17"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Culturally embedded campaigns (‘Kuch Meetha Ho Jaaye’); festival advertising; purpose-led work such as ‘Shubh Aarambh’ and ‘Not Just a Cadbury Ad’.</w:t>
            </w:r>
          </w:p>
        </w:tc>
      </w:tr>
      <w:tr w:rsidR="001D104C" w:rsidRPr="00EF2C6D" w14:paraId="37C6FC44"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00" w:type="dxa"/>
          </w:tcPr>
          <w:p w14:paraId="32DC5B4E"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People</w:t>
            </w:r>
          </w:p>
        </w:tc>
        <w:tc>
          <w:tcPr>
            <w:tcW w:w="3400" w:type="dxa"/>
          </w:tcPr>
          <w:p w14:paraId="4AA79248"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Trade and merchandising teams supporting grocery relationships.</w:t>
            </w:r>
          </w:p>
        </w:tc>
        <w:tc>
          <w:tcPr>
            <w:tcW w:w="3400" w:type="dxa"/>
          </w:tcPr>
          <w:p w14:paraId="19A3B0EC"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Extensive distributor and field-sales network servicing millions of outlets; relationship-based traditional trade.</w:t>
            </w:r>
          </w:p>
        </w:tc>
      </w:tr>
      <w:tr w:rsidR="001D104C" w:rsidRPr="00EF2C6D" w14:paraId="57917F6E" w14:textId="77777777" w:rsidTr="00EF2C6D">
        <w:trPr>
          <w:jc w:val="center"/>
        </w:trPr>
        <w:tc>
          <w:tcPr>
            <w:cnfStyle w:val="001000000000" w:firstRow="0" w:lastRow="0" w:firstColumn="1" w:lastColumn="0" w:oddVBand="0" w:evenVBand="0" w:oddHBand="0" w:evenHBand="0" w:firstRowFirstColumn="0" w:firstRowLastColumn="0" w:lastRowFirstColumn="0" w:lastRowLastColumn="0"/>
            <w:tcW w:w="1300" w:type="dxa"/>
          </w:tcPr>
          <w:p w14:paraId="67C88ED3"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Process</w:t>
            </w:r>
          </w:p>
        </w:tc>
        <w:tc>
          <w:tcPr>
            <w:tcW w:w="3400" w:type="dxa"/>
          </w:tcPr>
          <w:p w14:paraId="141C117E"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Mature, HACCP-driven supply chain and quality assurance; e-commerce fulfilment.</w:t>
            </w:r>
          </w:p>
        </w:tc>
        <w:tc>
          <w:tcPr>
            <w:tcW w:w="3400" w:type="dxa"/>
          </w:tcPr>
          <w:p w14:paraId="13D7C446" w14:textId="77777777" w:rsidR="001D104C" w:rsidRPr="00EF2C6D" w:rsidRDefault="004A5486" w:rsidP="00EF2C6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Cold-chain and route-to-market optimisation</w:t>
            </w:r>
            <w:r w:rsidRPr="00EF2C6D">
              <w:rPr>
                <w:rFonts w:ascii="Times New Roman" w:hAnsi="Times New Roman" w:cs="Times New Roman"/>
              </w:rPr>
              <w:t xml:space="preserve"> for a hot climate; distributor-led replenishment across fragmented retail.</w:t>
            </w:r>
          </w:p>
        </w:tc>
      </w:tr>
      <w:tr w:rsidR="001D104C" w:rsidRPr="00EF2C6D" w14:paraId="190AD8BB" w14:textId="77777777" w:rsidTr="00EF2C6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00" w:type="dxa"/>
          </w:tcPr>
          <w:p w14:paraId="03D27C2D" w14:textId="77777777" w:rsidR="001D104C" w:rsidRPr="00EF2C6D" w:rsidRDefault="004A5486" w:rsidP="00EF2C6D">
            <w:pPr>
              <w:spacing w:line="360" w:lineRule="auto"/>
              <w:jc w:val="both"/>
              <w:rPr>
                <w:rFonts w:ascii="Times New Roman" w:hAnsi="Times New Roman" w:cs="Times New Roman"/>
              </w:rPr>
            </w:pPr>
            <w:r w:rsidRPr="00EF2C6D">
              <w:rPr>
                <w:rFonts w:ascii="Times New Roman" w:hAnsi="Times New Roman" w:cs="Times New Roman"/>
              </w:rPr>
              <w:t>Physical evidence</w:t>
            </w:r>
          </w:p>
        </w:tc>
        <w:tc>
          <w:tcPr>
            <w:tcW w:w="3400" w:type="dxa"/>
          </w:tcPr>
          <w:p w14:paraId="3CF27C53"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Distinctive Cadbury purple, ‘glass and a half’ symbol and heritage packaging.</w:t>
            </w:r>
          </w:p>
        </w:tc>
        <w:tc>
          <w:tcPr>
            <w:tcW w:w="3400" w:type="dxa"/>
          </w:tcPr>
          <w:p w14:paraId="3D985BE9" w14:textId="77777777" w:rsidR="001D104C" w:rsidRPr="00EF2C6D" w:rsidRDefault="004A5486" w:rsidP="00EF2C6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2C6D">
              <w:rPr>
                <w:rFonts w:ascii="Times New Roman" w:hAnsi="Times New Roman" w:cs="Times New Roman"/>
              </w:rPr>
              <w:t>Same global brand codes localised with festive, gifting and vernacular packaging cues.</w:t>
            </w:r>
          </w:p>
        </w:tc>
      </w:tr>
    </w:tbl>
    <w:p w14:paraId="212346DE" w14:textId="77777777" w:rsidR="0002122E" w:rsidRDefault="004A5486" w:rsidP="0002122E">
      <w:pPr>
        <w:spacing w:line="360" w:lineRule="auto"/>
        <w:jc w:val="center"/>
        <w:rPr>
          <w:rFonts w:ascii="Times New Roman" w:hAnsi="Times New Roman" w:cs="Times New Roman"/>
          <w:b/>
          <w:bCs/>
          <w:i/>
          <w:iCs/>
          <w:sz w:val="20"/>
          <w:szCs w:val="20"/>
        </w:rPr>
      </w:pPr>
      <w:r w:rsidRPr="0002122E">
        <w:rPr>
          <w:rFonts w:ascii="Times New Roman" w:hAnsi="Times New Roman" w:cs="Times New Roman"/>
          <w:b/>
          <w:bCs/>
          <w:i/>
          <w:iCs/>
          <w:sz w:val="20"/>
          <w:szCs w:val="20"/>
        </w:rPr>
        <w:t>Table 3. Comparative 7Ps marketing mix (Malodia, 2026; buildd, 2023).</w:t>
      </w:r>
    </w:p>
    <w:p w14:paraId="1B475982" w14:textId="77777777" w:rsidR="0002122E" w:rsidRDefault="00EF2C6D" w:rsidP="0002122E">
      <w:pPr>
        <w:spacing w:line="360" w:lineRule="auto"/>
        <w:jc w:val="both"/>
        <w:rPr>
          <w:rFonts w:ascii="Times New Roman" w:hAnsi="Times New Roman" w:cs="Times New Roman"/>
        </w:rPr>
      </w:pPr>
      <w:r w:rsidRPr="00EF2C6D">
        <w:rPr>
          <w:rFonts w:ascii="Times New Roman" w:hAnsi="Times New Roman" w:cs="Times New Roman"/>
        </w:rPr>
        <w:br/>
        <w:t>The two comparisons demonstrate a brand with a consistent global brand code: Cadbury purple, ‘glass and a half' device, Dairy Milk masterbrand, along with a different operational mix based on local economic and cultural conditions. It is an example of a textbook case of a ‘glocal' strategy where the brand identity is standardised, but product, price and promotion are localised (Vrontis</w:t>
      </w:r>
      <w:r w:rsidR="0002122E">
        <w:rPr>
          <w:rFonts w:ascii="Times New Roman" w:hAnsi="Times New Roman" w:cs="Times New Roman"/>
        </w:rPr>
        <w:t xml:space="preserve"> et al.</w:t>
      </w:r>
      <w:r w:rsidRPr="00EF2C6D">
        <w:rPr>
          <w:rFonts w:ascii="Times New Roman" w:hAnsi="Times New Roman" w:cs="Times New Roman"/>
        </w:rPr>
        <w:t xml:space="preserve">, 2009). Lower average income translates into price and place adaptations, as the pack-price laddering and high traditional-trade penetration demonstrate in India, and the UK mix leans towards premiumisation and retail-media in a consolidated grocery channel (Latterly, 2024; Malodia, 2026). This pattern directly addresses the standardisation/architecture question raised in the introduction. In part the Cadbury case supports Levitt's (1983) thesis; the use of standardisation as an economically superior strategy is only partially evidenced in the case of Cadbury due to the elements of the brand identity, such as the purple livery, the ‘glass and a half’ device and the Dairy Milk masterbrand, which are standardised around the world and create the economies of scale and consistent brand meaning that Levitt predicted. But the operational marketing mix of price architecture, distribution channel structure and much of the promotional material is quite adapted, which lends support to Douglas/Craig's (1986) counter-argument that the pure standardisation of a mass-market FMCG brand is not commercially viable because of the ongoing differences in income distribution, retail infrastructure and the cultural meaning of the brand. </w:t>
      </w:r>
    </w:p>
    <w:p w14:paraId="48E775D1" w14:textId="616282F8" w:rsidR="00EF2C6D" w:rsidRPr="0002122E" w:rsidRDefault="00EF2C6D" w:rsidP="0002122E">
      <w:pPr>
        <w:spacing w:line="360" w:lineRule="auto"/>
        <w:jc w:val="both"/>
        <w:rPr>
          <w:rFonts w:ascii="Times New Roman" w:hAnsi="Times New Roman" w:cs="Times New Roman"/>
          <w:b/>
          <w:bCs/>
          <w:i/>
          <w:iCs/>
          <w:sz w:val="20"/>
          <w:szCs w:val="20"/>
        </w:rPr>
      </w:pPr>
      <w:r w:rsidRPr="00EF2C6D">
        <w:rPr>
          <w:rFonts w:ascii="Times New Roman" w:hAnsi="Times New Roman" w:cs="Times New Roman"/>
        </w:rPr>
        <w:t>Cadbury's strategy is thus more accurately characterised, in the terms of Vrontis et al. (2009), as a conscious hybrid ‘glocal’ strategy with the elements that constitute global brand equity being standardised, and the elements that account for local commercial viability and cultural resonance being adapted. The ‘people' and ‘process' elements, both added by Booms and Bitner (1981) to the classical 4Ps to represent how services and service-influenced goods are co-created with customers, are also adapted, not standardised, with the UK having a fairly small trade-marketing team, but India having a very large distributor/field-sales organisation to cover the millions of independently owned outlets. The difference in organisational scale required is a result of the retail-structure contrast identified in the PESTEL analysis, showing how the frameworks in this report are interdependent and not independent of each other.</w:t>
      </w:r>
    </w:p>
    <w:p w14:paraId="4BBB237A" w14:textId="4A3DFCD6" w:rsidR="00EF2C6D" w:rsidRPr="00EF2C6D" w:rsidRDefault="00EF2C6D" w:rsidP="0002122E">
      <w:pPr>
        <w:pStyle w:val="Heading1"/>
      </w:pPr>
      <w:bookmarkStart w:id="11" w:name="_Toc237481006"/>
      <w:r w:rsidRPr="00EF2C6D">
        <w:t>Market Entry Strategy: India</w:t>
      </w:r>
      <w:bookmarkEnd w:id="11"/>
    </w:p>
    <w:p w14:paraId="3E3F23EC" w14:textId="77777777" w:rsidR="0002122E" w:rsidRDefault="00EF2C6D" w:rsidP="00EF2C6D">
      <w:pPr>
        <w:spacing w:line="360" w:lineRule="auto"/>
        <w:jc w:val="both"/>
        <w:rPr>
          <w:rFonts w:ascii="Times New Roman" w:hAnsi="Times New Roman" w:cs="Times New Roman"/>
        </w:rPr>
      </w:pPr>
      <w:r w:rsidRPr="00EF2C6D">
        <w:rPr>
          <w:rFonts w:ascii="Times New Roman" w:hAnsi="Times New Roman" w:cs="Times New Roman"/>
        </w:rPr>
        <w:t xml:space="preserve"> The modes of international market entry are typically structured along a continuum ranging from exporting, to licensing and foreign direct investment (FDI), to joint ventures, and to wholly owned subsidiaries (WOS) (Root, 1994; Hill, 2021). This is a time line of Cadbury's journey in India. The brand first came to India in 1948, when it was imported and distributed in the country and had a corporate presence in Mumbai, and gradually extended its footprint by manufacturing here and establishing a wholly owned subsidiary Cadbury India (now Mondelez India Foods) (buildd, 2023; Marketing360, 2022). This incremental process of commitment is similar to the Uppsala internationalisation model, in which businesses build up their foreign involvement gradually as they acquire knowledge and confidence about the foreign markets (Johanson and Vahlne, 2009). Three significant benefits Cadbury has in India are: (i) control over brand, quality and marketing; (ii) cost and supply chain efficiency – avoiding import duties, Cadbury can develop heat-tolerant formulations, and also manage the cold chain in India, which is necessary for the distribution network that is required for serving millions of 'kirana' outlets (Malodia 2026); and (iii) deep embedding in the market – Cadbury's network of distributors is extensive enough to serve the millions of ‘kirana’ outlets. This investment of ₹4,000 crore for the period of 2026 is a testament to the long-term commitment and confidence of the FDI community in the sustainability of the market (Malodia, 2026). </w:t>
      </w:r>
    </w:p>
    <w:p w14:paraId="4E8D3E94" w14:textId="3D850BB6"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 xml:space="preserve">The primary downside of this high commitment approach is that of local market operational and reputational shocks, which in the UK context is realised; however, Cadbury's Indian success, capturing approximately 49% market share in 2016, and more recently over 60%, shows that the mode has been value-creating. It's important to note what Cadbury didn't do when looking at their pathway to entry. A pure exporting solution would have required a minimum of resource commitment and risk, but would have exposed the brand to import tariff, currency fluctuation and would not have been able to adapt its formulation for India's climate, affecting product quality in a hot climate and humid supply chain (Root, 1994). Licensing or franchising to a local partner would have limited the capital risk but led to loss of control over brand standards, quality assurance and marketing execution, which is a significant risk in a food business, where the reputation of the brand is on the line as shown in the UK salmonella case discussed in Section 5 (Hill, 2021). A joint venture may have been beneficial in gaining local knowledge in the preliminary steps of entering the </w:t>
      </w:r>
      <w:r w:rsidR="0002122E" w:rsidRPr="00EF2C6D">
        <w:rPr>
          <w:rFonts w:ascii="Times New Roman" w:hAnsi="Times New Roman" w:cs="Times New Roman"/>
        </w:rPr>
        <w:t>market but</w:t>
      </w:r>
      <w:r w:rsidRPr="00EF2C6D">
        <w:rPr>
          <w:rFonts w:ascii="Times New Roman" w:hAnsi="Times New Roman" w:cs="Times New Roman"/>
        </w:rPr>
        <w:t xml:space="preserve"> would have involved a balance of control versus joint decision making that would have had to continue throughout the process. Cadbury's move towards becoming a fully-fledged subsidiary with local manufacturing would thus represent the classic risk–control trade-off in international market entry theory – the greater resources committed, the greater exposure, and only worth the risk when the perceived market potential and accumulated market knowledge are high (Johanson and Vahlne, 2009; Hill, 2021). On balance, this assessment has proved to be correct, given Cadbury's subsequent success in India.</w:t>
      </w:r>
    </w:p>
    <w:p w14:paraId="5E4E7398" w14:textId="316B194E" w:rsidR="00EF2C6D" w:rsidRPr="00EF2C6D" w:rsidRDefault="00EF2C6D" w:rsidP="0002122E">
      <w:pPr>
        <w:pStyle w:val="Heading1"/>
      </w:pPr>
      <w:r w:rsidRPr="00EF2C6D">
        <w:t xml:space="preserve"> </w:t>
      </w:r>
      <w:bookmarkStart w:id="12" w:name="_Toc237481007"/>
      <w:r w:rsidRPr="00EF2C6D">
        <w:t>Ethical Evaluation:</w:t>
      </w:r>
      <w:bookmarkEnd w:id="12"/>
      <w:r w:rsidRPr="00EF2C6D">
        <w:t xml:space="preserve"> </w:t>
      </w:r>
    </w:p>
    <w:p w14:paraId="0520B0B8"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The UK Salmonella Recall 2006 The biggest ethical blunder in Cadbury's more recent marketing life is not about its ads but the honesty of its product and its communication with its regulators and consumers. Cadbury found in January 2006 that chocolate crumb produced at its Marlbrook factory in Herefordshire was contaminated with a "particular strain of Salmonella Montevideo", which is not typically found in chocolate (Medium/Prakash, 2020; ConfectioneryNews, 2007). Importantly, the company did not alert health authorities at the time or issue a recall of the product; instead, it revised its previous zero-tolerance policy and believed the amount of contamination was ‘minute' and the risk insignificant enough to not trigger a recall (FoodManufacture, 2008; Rowe, 2009). Only in June 2006, following the establishment of a link by the Food Standards Agency (FSA) to the outbreak, Cadbury was forced to recall 7 product lines of more than one million bars, with more than 37 people having become ill (FSA/CFS, 2006; FoodNavigator, 2006). The Advisory Committee on the Microbiological Safety of Food determined that there should be no salmonella in RTE food and Cadbury was prosecuted and found guilty of hygiene lapses, sentences that resulted in a fine of some £1 million (ConfectioneryNews, 2007; FoodManufacture, 2008). The case is also instructive for the governance of food-safety in general. This Advisory Committee on the Microbiological Safety of Food determination that 'no level of salmonella is acceptable in ready-to-eat products in confectionery' is a zero tolerance approach in UK food law that cannot be replaced by a company's risk tolerance judgement (ConfectioneryNews 2007). Cadbury's internal decision to consider the contamination as below threshold risk did not simply stall a tough commercial decision, but directly challenged the regulatory logic behind the role of the Food Standards Agency, hence the decision to charge, rather than reach a voluntary corrective-action agreement as would have been the case if the risk had been considered above threshold (FoodManufacture, 2008).</w:t>
      </w:r>
    </w:p>
    <w:p w14:paraId="6BC17010" w14:textId="311258EA" w:rsidR="00EF2C6D" w:rsidRPr="00EF2C6D" w:rsidRDefault="00EF2C6D" w:rsidP="0002122E">
      <w:pPr>
        <w:pStyle w:val="Heading2"/>
      </w:pPr>
      <w:r w:rsidRPr="00EF2C6D">
        <w:t xml:space="preserve"> </w:t>
      </w:r>
      <w:bookmarkStart w:id="13" w:name="_Toc237481008"/>
      <w:r w:rsidRPr="00EF2C6D">
        <w:t>Ethical Assessment</w:t>
      </w:r>
      <w:bookmarkEnd w:id="13"/>
      <w:r w:rsidRPr="00EF2C6D">
        <w:t xml:space="preserve"> </w:t>
      </w:r>
    </w:p>
    <w:p w14:paraId="0F983722" w14:textId="77777777" w:rsidR="0002122E" w:rsidRDefault="00EF2C6D" w:rsidP="00EF2C6D">
      <w:pPr>
        <w:spacing w:line="360" w:lineRule="auto"/>
        <w:jc w:val="both"/>
        <w:rPr>
          <w:rFonts w:ascii="Times New Roman" w:hAnsi="Times New Roman" w:cs="Times New Roman"/>
        </w:rPr>
      </w:pPr>
      <w:r w:rsidRPr="00EF2C6D">
        <w:rPr>
          <w:rFonts w:ascii="Times New Roman" w:hAnsi="Times New Roman" w:cs="Times New Roman"/>
        </w:rPr>
        <w:t xml:space="preserve">The biggest fault from a deontological point of view was the lack of transparency, as the brand's brand has been ‘open, honest and responsive' – a mantra that was also applicable to the crisis management that had been carried out – and the lack of transparency as far as the time period between the brand's internal detection of the problem and the moment of its public disclosure was concerned – in fact, a time period that stretched from January to June (Rowe, 2009; Marketing Week, 2006). The withholding of the notification caused a clear consumer injury (illness), regulatory sanction, and a cost of recalls (estimated £20m) and reputation cost (Marketing Week, 2006). The episode also demonstrates a marketing-ethics conflict between protecting the business now versus maintaining customer trust over the long run; the short-term benefit of not making a recall only increased the financial and reputational pain (Carrigan and Attalla, 2001). However, empirical evidence on the event revealed the power of Cadbury's pre-existing brand equity, such that the recovery of consumer trust occurred relatively rapidly, emphasizing that although reputational capital protects ethical misdeeds, it does not excuse them (Rowe, 2009). </w:t>
      </w:r>
    </w:p>
    <w:p w14:paraId="3BD7B7F9" w14:textId="4AD2AF34"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While intuitive ethical judgement is one way to examine Cadbury's response to their crisis, a more systematic approach is provided by Coombs' (2007) Situational Crisis Communication Theory (SCCT). SCCT assigns each crisis into a range of categorisations depending on the degree of organisational responsibility attributed by stakeholders and suggests an appropriate level of response in each situation, from denial to diminishing to complete accommodation and rebuild strategies like apology, compensation and corrective action. The 2006 case falls into SCCT's ‘preventable crisis' typology, as the contamination can be attributed to a failure in the internal infrastructure – a failure known to the company for several months prior to disclosure – which SCCT suggests should be addressed with the most ‘rebuild' approach to shield reputational assets (Coombs, 2007). Cadbury's eventual response, a full product recall, public apology, cooperation with prosecution and a reported £1 million fine, is consistent with the SCCT rebuild category, while the overall empirical conclusion of the theory that rebuild strategies result in the most favourable reputational restoration outcome of preventable crises is also supported by Rowe's (2009) finding that Cadbury's pre-existing brand equity enabled a comparatively swift recovery of consumer trust. The theory also makes a point about the delay between January detection and June disclosure unnecessarily extended the “reputational exposure” based on concealment prior to the accommodative response, a delay that a pre-agreed crisis communication plan should have avoided. A similar failure of food-safety governance in India could also lead to more commercial harm than in the UK in 2006, as the Indian growth strategy relies on consumer confidence in food safety and product authenticity in a hot climate market, where cold chains are sensitive, and where this failure would, in turn, result in an even more damaging outcome (Malodia, 2026).</w:t>
      </w:r>
    </w:p>
    <w:p w14:paraId="01433AA5" w14:textId="286EE8A2" w:rsidR="001D104C" w:rsidRPr="00EF2C6D" w:rsidRDefault="004A5486" w:rsidP="0002122E">
      <w:pPr>
        <w:pStyle w:val="Heading1"/>
      </w:pPr>
      <w:bookmarkStart w:id="14" w:name="_Toc237141429"/>
      <w:bookmarkStart w:id="15" w:name="_Toc237481009"/>
      <w:r w:rsidRPr="00EF2C6D">
        <w:t>Recommendations</w:t>
      </w:r>
      <w:bookmarkEnd w:id="14"/>
      <w:bookmarkEnd w:id="15"/>
    </w:p>
    <w:p w14:paraId="1B5A7A76"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Based on the analysis, the following recommendations are made for Cadbury's international marketing strategy:</w:t>
      </w:r>
    </w:p>
    <w:p w14:paraId="7918D17D" w14:textId="2108C207" w:rsidR="00EF2C6D" w:rsidRPr="0002122E" w:rsidRDefault="0002122E"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T</w:t>
      </w:r>
      <w:r w:rsidR="00EF2C6D" w:rsidRPr="0002122E">
        <w:rPr>
          <w:rFonts w:ascii="Times New Roman" w:hAnsi="Times New Roman" w:cs="Times New Roman"/>
        </w:rPr>
        <w:t>he first two focus on the brand's existing strengths in each market; the third and sixth focus on the main operational risk identified in Section 5, whilst the fourth and fifth place Cadbury to benefit from emerging opportunities for growth and legitimacy identified throughout the PESTEL and STP analyses.</w:t>
      </w:r>
    </w:p>
    <w:p w14:paraId="48299355" w14:textId="77777777"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Continue the ‘glocal’ balance. Continue to keep global codes of Global brand constant and further localise the cultural aspects (continue with the festival-led approach, which has worked well in India, to other emerging markets, where there is a collectivist culture, in South and Southeast Asia and Africa).</w:t>
      </w:r>
    </w:p>
    <w:p w14:paraId="7E060582" w14:textId="1C2A8DBB"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Continue to push for premiumisation in established markets. In the UK, defend value, build premium (Bournville/ Silk-equivalent) and innovate seasonally to compensate for lack of volume growth in the low-value categories.</w:t>
      </w:r>
    </w:p>
    <w:p w14:paraId="480E4011" w14:textId="77777777"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Invest in Food Safety and supply-chain resiliency. Make food safety governance and proactive food recall transparent and zero-tolerance and do not let the 2006 incident happen again; adopt food safety as a brand equity investment, not a compliance cost.</w:t>
      </w:r>
    </w:p>
    <w:p w14:paraId="65BC9F1F" w14:textId="3FB14E60"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Lead on sustainable sourcing. Expand the Cocoa Life (CL) sustainable sourcing programme and present it in a credible way to tackle growing concerns about the environment in the cocoa market and to strengthen the brand's ‘generosity' messaging.</w:t>
      </w:r>
    </w:p>
    <w:p w14:paraId="10314507" w14:textId="1A98DE75"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Increase digital and quick commerce. Continue to grow online revenue share in the low teens, while expanding the retail media, sampling and gifting business, especially on the back of India's rapidly expanding quickly commerce segment.</w:t>
      </w:r>
    </w:p>
    <w:p w14:paraId="4D31CC13" w14:textId="51779062"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Formalise crisis-communication protocols. Include a pre-agreed, SCCT-based escalation and disclosure process for food-safety incidents and ensure that any future contamination event will lead to immediate notification to regulators and an accommodating public response, rather than a risk-tolerance judgement by the regulator.</w:t>
      </w:r>
    </w:p>
    <w:p w14:paraId="0A6EC707" w14:textId="3534A647" w:rsidR="00EF2C6D" w:rsidRPr="0002122E" w:rsidRDefault="00EF2C6D" w:rsidP="0002122E">
      <w:pPr>
        <w:pStyle w:val="ListParagraph"/>
        <w:numPr>
          <w:ilvl w:val="0"/>
          <w:numId w:val="3"/>
        </w:numPr>
        <w:spacing w:line="360" w:lineRule="auto"/>
        <w:jc w:val="both"/>
        <w:rPr>
          <w:rFonts w:ascii="Times New Roman" w:hAnsi="Times New Roman" w:cs="Times New Roman"/>
        </w:rPr>
      </w:pPr>
      <w:r w:rsidRPr="0002122E">
        <w:rPr>
          <w:rFonts w:ascii="Times New Roman" w:hAnsi="Times New Roman" w:cs="Times New Roman"/>
        </w:rPr>
        <w:t>Deepen data-led segmentation. Leverage point-of-sale and quick-commerce data analytics to optimize the India pack-price ladder and UK premium tiering, thereby optimizing and boosting differentiated and pyramid segmentation strategies (Kotler et al., 2019).</w:t>
      </w:r>
    </w:p>
    <w:p w14:paraId="56D60E04" w14:textId="7A4D6F80" w:rsidR="00EF2C6D" w:rsidRPr="00EF2C6D" w:rsidRDefault="00EF2C6D" w:rsidP="0002122E">
      <w:pPr>
        <w:pStyle w:val="Heading1"/>
      </w:pPr>
      <w:bookmarkStart w:id="16" w:name="_Toc237481010"/>
      <w:r w:rsidRPr="00EF2C6D">
        <w:t>Conclusion</w:t>
      </w:r>
      <w:bookmarkEnd w:id="16"/>
    </w:p>
    <w:p w14:paraId="6CE48B50"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Cadbury's international success is premised on a disciplined ‘glocal’ approach, emotionally resonant worldwide brand identity combined with marketing-mix adaptation, grounded in the local economic realty and cultural significance. The UK-India contrast would be a case in point for very divergent masterbrands; premiumisation in a mature and individualist market as opposed to affordability, festival relevance and distribution intensity in a collectivist growth market. Its value-creating, high commitment entry into India has been positive – the 2006 salmonella outbreak in the UK is a cautionary tale about the importance of ethical, value-creating operations for the building of brand trust. The above recommendations allow Cadbury to continue to grow and maintain its reputation – which is the key to its ‘glass and a half of generosity'.</w:t>
      </w:r>
    </w:p>
    <w:p w14:paraId="1602E2E3" w14:textId="1FE4189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Overall, the case illustrates that the dichotomy of standardisation versus adaptation is rarely answered in black and white: Cadbury's sustained commercial success is built around its ability to make key decisions about what parts of its offering to standardise and what parts to adapt – decisions that must be re-made as regulatory, cultural and competitive environments change in both markets.</w:t>
      </w:r>
    </w:p>
    <w:p w14:paraId="07C6D76A" w14:textId="77777777" w:rsidR="00EF2C6D" w:rsidRPr="00EF2C6D" w:rsidRDefault="00EF2C6D" w:rsidP="0002122E">
      <w:pPr>
        <w:pStyle w:val="Heading1"/>
      </w:pPr>
      <w:bookmarkStart w:id="17" w:name="_Toc237481011"/>
      <w:r w:rsidRPr="00EF2C6D">
        <w:t>Section 2: Reflective Account</w:t>
      </w:r>
      <w:bookmarkEnd w:id="17"/>
    </w:p>
    <w:p w14:paraId="7242B2C7"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This reflection is based on Gibbs' (1988) reflective cycle, which encompasses six stages of reflection: description, feelings, evaluation, analysis, conclusion and action plan, and is common for using experience to create professional learning (Gibbs, 1988; Husebø, O'Regan and Nestel, 2015).</w:t>
      </w:r>
    </w:p>
    <w:p w14:paraId="03D1821E" w14:textId="4BB27506" w:rsidR="00EF2C6D" w:rsidRPr="00EF2C6D" w:rsidRDefault="0002122E" w:rsidP="0002122E">
      <w:pPr>
        <w:spacing w:line="360" w:lineRule="auto"/>
        <w:jc w:val="center"/>
        <w:rPr>
          <w:rFonts w:ascii="Times New Roman" w:hAnsi="Times New Roman" w:cs="Times New Roman"/>
        </w:rPr>
      </w:pPr>
      <w:r>
        <w:rPr>
          <w:noProof/>
        </w:rPr>
        <w:drawing>
          <wp:inline distT="0" distB="0" distL="0" distR="0" wp14:anchorId="34D45878" wp14:editId="4DDE0498">
            <wp:extent cx="3528060" cy="3505200"/>
            <wp:effectExtent l="0" t="0" r="0" b="0"/>
            <wp:docPr id="1546110326"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28060" cy="3505200"/>
                    </a:xfrm>
                    <a:prstGeom prst="rect">
                      <a:avLst/>
                    </a:prstGeom>
                    <a:noFill/>
                    <a:ln>
                      <a:noFill/>
                    </a:ln>
                  </pic:spPr>
                </pic:pic>
              </a:graphicData>
            </a:graphic>
          </wp:inline>
        </w:drawing>
      </w:r>
    </w:p>
    <w:p w14:paraId="17797C43" w14:textId="77777777" w:rsidR="00EF2C6D" w:rsidRPr="0002122E" w:rsidRDefault="00EF2C6D" w:rsidP="0002122E">
      <w:pPr>
        <w:spacing w:line="360" w:lineRule="auto"/>
        <w:jc w:val="center"/>
        <w:rPr>
          <w:rFonts w:ascii="Times New Roman" w:hAnsi="Times New Roman" w:cs="Times New Roman"/>
          <w:b/>
          <w:bCs/>
          <w:i/>
          <w:iCs/>
          <w:sz w:val="20"/>
          <w:szCs w:val="20"/>
        </w:rPr>
      </w:pPr>
      <w:r w:rsidRPr="0002122E">
        <w:rPr>
          <w:rFonts w:ascii="Times New Roman" w:hAnsi="Times New Roman" w:cs="Times New Roman"/>
          <w:b/>
          <w:bCs/>
          <w:i/>
          <w:iCs/>
          <w:sz w:val="20"/>
          <w:szCs w:val="20"/>
        </w:rPr>
        <w:t>Figure 4. Gibbs’ (1988) reflective cycle</w:t>
      </w:r>
    </w:p>
    <w:p w14:paraId="2AA0D522" w14:textId="77777777" w:rsidR="00EF2C6D" w:rsidRPr="00EF2C6D" w:rsidRDefault="00EF2C6D" w:rsidP="0002122E">
      <w:pPr>
        <w:pStyle w:val="Heading2"/>
      </w:pPr>
      <w:bookmarkStart w:id="18" w:name="_Toc237481012"/>
      <w:r w:rsidRPr="00EF2C6D">
        <w:t>Description</w:t>
      </w:r>
      <w:bookmarkEnd w:id="18"/>
    </w:p>
    <w:p w14:paraId="771D3511"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The assignment involved research, analysis and preparation of the comparative international-marketing report on Cadbury in UK and India, using PESTEL, Hofstede, STP and 7Ps frameworks, and the evaluation of an ethical problem and the production of recommendations. I collected data from the literature, industry analysis, regulatory agencies, and company reporting and put them together in a coherent manner in a report.</w:t>
      </w:r>
    </w:p>
    <w:p w14:paraId="3689C476"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This involved the need to step beyond the single-market approach and hold two opposing national contexts in mind at the same time, an approach that impacted the way that evidence was organised around each of these frameworks prior to writing.</w:t>
      </w:r>
    </w:p>
    <w:p w14:paraId="5E42C34C" w14:textId="77777777" w:rsidR="00EF2C6D" w:rsidRPr="00EF2C6D" w:rsidRDefault="00EF2C6D" w:rsidP="0002122E">
      <w:pPr>
        <w:pStyle w:val="Heading2"/>
      </w:pPr>
      <w:bookmarkStart w:id="19" w:name="_Toc237481013"/>
      <w:r w:rsidRPr="00EF2C6D">
        <w:t>Feelings</w:t>
      </w:r>
      <w:bookmarkEnd w:id="19"/>
    </w:p>
    <w:p w14:paraId="424B320C"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I was somewhat daunted and motivated by the size of the brief and by the need, not only to make sense of it, but to try to connect a number of frameworks together without treating them as independent ‘box filling’ exercises. I was concerned when I had to check all of the statistics and reference to be sure they were accurate and checking for credible and corroborating sources increased my confidence. The most interesting part was completing the ethical evaluation since it linked theory with a regulatory and moral dilemma.</w:t>
      </w:r>
    </w:p>
    <w:p w14:paraId="59CBBE5D"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However, my anxiety was removed when I started to document the exact source and access date of each statistic as I gathered it, instead of looking back and finding citations, as that would have led to the problem of misattributions.</w:t>
      </w:r>
    </w:p>
    <w:p w14:paraId="7852E4FA" w14:textId="77777777" w:rsidR="00EF2C6D" w:rsidRPr="00EF2C6D" w:rsidRDefault="00EF2C6D" w:rsidP="0002122E">
      <w:pPr>
        <w:pStyle w:val="Heading2"/>
      </w:pPr>
      <w:bookmarkStart w:id="20" w:name="_Toc237481014"/>
      <w:r w:rsidRPr="00EF2C6D">
        <w:t>Evaluation</w:t>
      </w:r>
      <w:bookmarkEnd w:id="20"/>
    </w:p>
    <w:p w14:paraId="1F2739F1" w14:textId="403AB54A" w:rsidR="00EF2C6D" w:rsidRPr="00EF2C6D" w:rsidRDefault="0002122E" w:rsidP="00EF2C6D">
      <w:pPr>
        <w:spacing w:line="360" w:lineRule="auto"/>
        <w:jc w:val="both"/>
        <w:rPr>
          <w:rFonts w:ascii="Times New Roman" w:hAnsi="Times New Roman" w:cs="Times New Roman"/>
        </w:rPr>
      </w:pPr>
      <w:r w:rsidRPr="00EF2C6D">
        <w:rPr>
          <w:rFonts w:ascii="Times New Roman" w:hAnsi="Times New Roman" w:cs="Times New Roman"/>
        </w:rPr>
        <w:t>Overall,</w:t>
      </w:r>
      <w:r w:rsidR="00EF2C6D" w:rsidRPr="00EF2C6D">
        <w:rPr>
          <w:rFonts w:ascii="Times New Roman" w:hAnsi="Times New Roman" w:cs="Times New Roman"/>
        </w:rPr>
        <w:t xml:space="preserve"> it was a good and rewarding experience. The framework-led structure was effective in maintaining comparative and disciplined analysis, while triangulation of sources was effective in enhancing the credibility of the analysis. Things that didn't go so well on the first go-around were that, in my opening first draft, I was describing instead of critically analysing; and that I over-summarised the frameworks in the first draft, but then revised it to bring in comparison and judgement.</w:t>
      </w:r>
    </w:p>
    <w:p w14:paraId="3EE6946A"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The other thing I discovered was that it was easier to establish a shared comparison table for each framework – rather than a UK section and an India section – which meant that from the initial writing stage, the arguments had to be genuinely comparative.</w:t>
      </w:r>
    </w:p>
    <w:p w14:paraId="2ED87363" w14:textId="77777777" w:rsidR="00EF2C6D" w:rsidRPr="00EF2C6D" w:rsidRDefault="00EF2C6D" w:rsidP="0002122E">
      <w:pPr>
        <w:pStyle w:val="Heading2"/>
      </w:pPr>
      <w:bookmarkStart w:id="21" w:name="_Toc237481015"/>
      <w:r w:rsidRPr="00EF2C6D">
        <w:t>Analysis</w:t>
      </w:r>
      <w:bookmarkEnd w:id="21"/>
    </w:p>
    <w:p w14:paraId="40CF5E61"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I think about this, and I see that comparative analysis requires a skill of synthesizing that's more cognitively demanding than it is to describe a case: the ability to simultaneously consider the two markets. I can explain my growth using Kolb's (1984) experiential-learning theory by which I transitioned from a concrete experience of drafting to a reflective observation of my weaknesses to abstract conceptualisation of re-organising around comparison to active experimentation of revising ( Kolb, 1984). It also made me more conscious of the ecological-fallacy critique, which makes it clear that national scores refer to societies rather than individuals, thus enhancing the nuance of my cultural argument (Beugelsdijk and Welzel, 2018).</w:t>
      </w:r>
    </w:p>
    <w:p w14:paraId="6E6478AA"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The same experience also emphasized the importance of using multiple types of sources to support a claim because each type of source has its own strengths and weaknesses in supporting a claim (Kotler et al., 2019).</w:t>
      </w:r>
    </w:p>
    <w:p w14:paraId="1F761243" w14:textId="77777777" w:rsidR="00EF2C6D" w:rsidRPr="00EF2C6D" w:rsidRDefault="00EF2C6D" w:rsidP="0002122E">
      <w:pPr>
        <w:pStyle w:val="Heading2"/>
      </w:pPr>
      <w:bookmarkStart w:id="22" w:name="_Toc237481016"/>
      <w:r w:rsidRPr="00EF2C6D">
        <w:t>Conclusion</w:t>
      </w:r>
      <w:bookmarkEnd w:id="22"/>
    </w:p>
    <w:p w14:paraId="0FA75B9A"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In conclusion, I believe that I have the most potential in the areas of structured research and verification of sources, and my weakest area is critically evaluating from description to more quickly. I also came to know that clearly applying ethical lenses (deontological and consequentialist) and thus giving an explicit ethical analysis of a situation is better than giving an intuitive one.</w:t>
      </w:r>
    </w:p>
    <w:p w14:paraId="2271CC75"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I also acknowledge that it is easier to do a critical evaluation when the framework is made aware of its own limitations and can not be taken for granted, rather than when they are taken for granted, as in the case of Hofstede's model with its criticism.</w:t>
      </w:r>
    </w:p>
    <w:p w14:paraId="02BD701C" w14:textId="77777777" w:rsidR="00EF2C6D" w:rsidRPr="00EF2C6D" w:rsidRDefault="00EF2C6D" w:rsidP="0002122E">
      <w:pPr>
        <w:pStyle w:val="Heading2"/>
      </w:pPr>
      <w:bookmarkStart w:id="23" w:name="_Toc237481017"/>
      <w:r w:rsidRPr="00EF2C6D">
        <w:t>Action Plan</w:t>
      </w:r>
      <w:bookmarkEnd w:id="23"/>
    </w:p>
    <w:p w14:paraId="3882A037" w14:textId="77777777" w:rsidR="00EF2C6D"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For future work I will: (i) create a comparison matrix before I write, which will provide structure and force analytical writing rather than descriptive; (ii) establish a target ratio of critical to descriptive material and check drafts against this ratio; and (iii) continue to check all factual claims against at least two credible source materials. These will help me to continue developing my skills as an evidence-based, critically reflective marketing practitioner.</w:t>
      </w:r>
    </w:p>
    <w:p w14:paraId="075689D4" w14:textId="064920BF" w:rsidR="001D104C" w:rsidRPr="00EF2C6D" w:rsidRDefault="00EF2C6D" w:rsidP="00EF2C6D">
      <w:pPr>
        <w:spacing w:line="360" w:lineRule="auto"/>
        <w:jc w:val="both"/>
        <w:rPr>
          <w:rFonts w:ascii="Times New Roman" w:hAnsi="Times New Roman" w:cs="Times New Roman"/>
        </w:rPr>
      </w:pPr>
      <w:r w:rsidRPr="00EF2C6D">
        <w:rPr>
          <w:rFonts w:ascii="Times New Roman" w:hAnsi="Times New Roman" w:cs="Times New Roman"/>
        </w:rPr>
        <w:t>(iv) create an own list of critique points for the analysis of the framework, based on methodological literature, e.g. McSweeney (2002), and use it proactively for future comparative analyses instead of retroactively during the editing process.</w:t>
      </w:r>
      <w:r w:rsidRPr="00EF2C6D">
        <w:rPr>
          <w:rFonts w:ascii="Times New Roman" w:hAnsi="Times New Roman" w:cs="Times New Roman"/>
        </w:rPr>
        <w:br w:type="page"/>
      </w:r>
    </w:p>
    <w:p w14:paraId="1DF23062" w14:textId="77777777" w:rsidR="001D104C" w:rsidRPr="00EF2C6D" w:rsidRDefault="004A5486" w:rsidP="0002122E">
      <w:pPr>
        <w:pStyle w:val="Heading1"/>
      </w:pPr>
      <w:bookmarkStart w:id="24" w:name="_Toc237141438"/>
      <w:bookmarkStart w:id="25" w:name="_Toc237481018"/>
      <w:r w:rsidRPr="00EF2C6D">
        <w:t>References</w:t>
      </w:r>
      <w:bookmarkEnd w:id="24"/>
      <w:bookmarkEnd w:id="25"/>
    </w:p>
    <w:p w14:paraId="6F36D313"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Beugelsdijk, S. and Welzel, C. (2018) ‘Dimensions and dynamics of national culture: synthesizing Hofstede with Inglehart’, Journal of Cross-Cultural Psychology, 49(10), pp. 1469–1505.</w:t>
      </w:r>
    </w:p>
    <w:p w14:paraId="254C77F0"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Booms, B.H. and Bitner, M.J. (1981) ‘</w:t>
      </w:r>
      <w:r w:rsidRPr="00EF2C6D">
        <w:rPr>
          <w:rFonts w:ascii="Times New Roman" w:hAnsi="Times New Roman" w:cs="Times New Roman"/>
        </w:rPr>
        <w:t>Marketing strategies and organization structures for service firms’, in Donnelly, J.H. and George, W.R. (eds.) Marketing of Services. Chicago: American Marketing Association, pp. 47–51.</w:t>
      </w:r>
    </w:p>
    <w:p w14:paraId="01A20BBB"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buildd (2023) Marketing strategy of Cadbury: how it has mastered the art of spreading sweetness. Available at: https://buildd.co/marketing/cadbury-marketing-strategy (Accessed: 8 August 2026).</w:t>
      </w:r>
    </w:p>
    <w:p w14:paraId="40A8BABB"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Carrigan, M. and Attalla, A. (2001) ‘The myth of the ethical consumer – do ethics matter in purchase behaviour</w:t>
      </w:r>
      <w:r w:rsidRPr="00EF2C6D">
        <w:rPr>
          <w:rFonts w:ascii="Times New Roman" w:hAnsi="Times New Roman" w:cs="Times New Roman"/>
        </w:rPr>
        <w:t>?’, Journal of Consumer Marketing, 18(7), pp. 560–578.</w:t>
      </w:r>
    </w:p>
    <w:p w14:paraId="241081CF"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ConfectioneryNews (2007) Cadbury pleads guilty to salmonella charges. Available at: https://www.confectionerynews.com/Article/2007/06/15/cadbury-pleads-guilty-to-salmonella-charges/ (Accessed: 8 August 2026).</w:t>
      </w:r>
    </w:p>
    <w:p w14:paraId="2850BA64"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Coombs, W.T. (2007) ‘Protecting organization reputations during a crisis: the development and application of situational crisis communication theory’, Corporate Reputation Review, 10(3), pp. 163–176.</w:t>
      </w:r>
    </w:p>
    <w:p w14:paraId="3C0B6026"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Douglas, S.P. and Craig, C.S. (1986) ‘Global marketing myopia’, Journal of Marketing Management, 2(2), pp. 155–169.</w:t>
      </w:r>
    </w:p>
    <w:p w14:paraId="1B747922"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Food Standards Agency / Centre for Food Safety (2006) Recall of salmonella contaminated chocolate products in the United Kingdom. Available at: https://www.cfs.gov.hk/english/multimedia/multimedia_pub/multimedia_pub_fsf_01_01.html (Accessed: 8 August 2026).</w:t>
      </w:r>
    </w:p>
    <w:p w14:paraId="5E57D355"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FoodManufacture</w:t>
      </w:r>
      <w:r w:rsidRPr="00EF2C6D">
        <w:rPr>
          <w:rFonts w:ascii="Times New Roman" w:hAnsi="Times New Roman" w:cs="Times New Roman"/>
        </w:rPr>
        <w:t xml:space="preserve"> (2008) Unanswered questions in Cadbury salmonella case. Available at: https://www.foodmanufacture.co.uk/Article/2008/09/15/Unanswered-questions-in-Cadbury-salmonella-case/ (Accessed: 8 August 2026).</w:t>
      </w:r>
    </w:p>
    <w:p w14:paraId="6A5356BE"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FoodNavigator (2006) Cadbury apologises for salmonella outbreak. Available at: https://www.foodnavigator.com/Article/2006/07/25/Cadbury-apologises-for-Salmonella-outbreak/ (Accessed: 8 August 2026).</w:t>
      </w:r>
    </w:p>
    <w:p w14:paraId="1A33A253"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Gibbs, G. (1988) Learning by doing: a guide to teaching and learning methods. Oxford: Further Education Unit, Oxford Polytechnic.</w:t>
      </w:r>
    </w:p>
    <w:p w14:paraId="49E701D3"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Hill, C.W.L. (2021) International business: competing in the global marketplace. 13th edn. New York: McGraw-Hill.</w:t>
      </w:r>
    </w:p>
    <w:p w14:paraId="3E3DD3EB"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Hofstede, G., Hofstede, G.J. and Minkov, M. (2010) Cultures and organizations: software of the mind. 3rd edn. New York: McGraw-Hill.</w:t>
      </w:r>
    </w:p>
    <w:p w14:paraId="64F7B729"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Hofstede Insights (2021) Country comparison: United Kingdom and India. (Data reported in ResearchGate, 2021). Available at: https://www.researchgate.net/figure/Scores-of-India-and-the-United-Kingdom-Source-Hofstede-Insights-2021_fig3_351263407 (Accessed: 8 August 2026).</w:t>
      </w:r>
    </w:p>
    <w:p w14:paraId="0E3A831A"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Husebø, S.E., O’Regan, S. and Nestel, D. (2015) ‘Reflective practice and its role in simulation’, Clinical Simulation in Nursing, 11(8), pp. 368–375.</w:t>
      </w:r>
    </w:p>
    <w:p w14:paraId="75C442CD"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Johanson, J. and Vahlne, J.-E. (2009) ‘The Uppsala internationalization process model revisited: from liability of foreignness to liability of outsidership’, Journal of International Business Studies, 40(9), pp. 1411–1431.</w:t>
      </w:r>
    </w:p>
    <w:p w14:paraId="0543A1D2"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Kolb, D.A. (1984) Experiential learning: experience as the source of learning and development. Englewood Cliffs, NJ: Prentice Hall.</w:t>
      </w:r>
    </w:p>
    <w:p w14:paraId="0EA3A5C5"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Kotler, P., Armstrong, G., Harris, L.C. and He, H. (2019) Principles of marketing. 8th European edn. Harlow: Pearson.</w:t>
      </w:r>
    </w:p>
    <w:p w14:paraId="371B3E0D"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Latterly (2024) Cadbury marketing strategy: driving joy with Dairy Milk storytelling. Available at: https://www.latterly.org/cadbury-marketing-strategy/ (Accessed: 8 August 2026).</w:t>
      </w:r>
    </w:p>
    <w:p w14:paraId="2B283724"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Levitt, T. (1983) ‘The globalization of markets’, Harvard Business Review, 61(3), pp. 92–102.</w:t>
      </w:r>
    </w:p>
    <w:p w14:paraId="40D81F51"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Malodia, R. (2026) Cadbury marketing strategy in India. Available at: https://rahulmalodia.com/blog/cadbury-marketing-strategy-in-india (Accessed: 8 August 2026).</w:t>
      </w:r>
    </w:p>
    <w:p w14:paraId="3E364BF4"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Marketing360 (2022) Cadbury’s marketing strategy. Available at: https://www.marketing360.in/cadburys-marketing-strategy/ (Accessed: 8 August 2026).</w:t>
      </w:r>
    </w:p>
    <w:p w14:paraId="440CAE33"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Marketing Week (2006) Guilty of sweet nothing. Available at: https://www.marketingweek.com/guilty-of-sweet-nothing/ (Accessed: 8 August 2026).</w:t>
      </w:r>
    </w:p>
    <w:p w14:paraId="3583BD35"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Markhub24 (2025) Cadbury Dairy Milk’s ‘Kuch Meetha Ho Jaaye</w:t>
      </w:r>
      <w:r w:rsidRPr="00EF2C6D">
        <w:rPr>
          <w:rFonts w:ascii="Times New Roman" w:hAnsi="Times New Roman" w:cs="Times New Roman"/>
        </w:rPr>
        <w:t>’ cultural resonance strategy. Available at: https://www.markhub24.com/post/cadbury-dairy-milk-s-kuch-meetha-ho-jaaye-cultural-resonance-strategy (Accessed: 8 August 2026).</w:t>
      </w:r>
    </w:p>
    <w:p w14:paraId="19FE7C90"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McSweeney, B. (2002) ‘Hofstede’s model of national cultural differences and their consequences: a triumph of faith – a failure of analysis’, Human Relations, 55(1), pp. 89–118.</w:t>
      </w:r>
    </w:p>
    <w:p w14:paraId="52FD5FC7"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OpenStax (2019) ‘Hofstede’s cultural framework’, in Principles of management</w:t>
      </w:r>
      <w:r w:rsidRPr="00EF2C6D">
        <w:rPr>
          <w:rFonts w:ascii="Times New Roman" w:hAnsi="Times New Roman" w:cs="Times New Roman"/>
        </w:rPr>
        <w:t>. Houston: OpenStax. Available at: https://openstax.org/books/principles-management/pages/6-2-hofstedes-cultural-framework (Accessed: 8 August 2026).</w:t>
      </w:r>
    </w:p>
    <w:p w14:paraId="5D50295C"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Perera, R. (2017) The PESTLE analysis. Nerdynaut.</w:t>
      </w:r>
    </w:p>
    <w:p w14:paraId="674FA6FB"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Prakash, S. (2020) A case study on Cadbury’s award-winning Gorilla ad campaign. Medium. Available at: https://medium.com/@shubham.prakash81/a-case-study-on-cadburys-award-winning-gorilla-ad-campaign-7d3cf26fae0a (Accessed: 8 August 2026).</w:t>
      </w:r>
    </w:p>
    <w:p w14:paraId="75C5CEFC"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Root, F.R. (1994) Entry strategies for international markets. 2nd edn</w:t>
      </w:r>
      <w:r w:rsidRPr="00EF2C6D">
        <w:rPr>
          <w:rFonts w:ascii="Times New Roman" w:hAnsi="Times New Roman" w:cs="Times New Roman"/>
        </w:rPr>
        <w:t>. New York: Lexington Books.</w:t>
      </w:r>
    </w:p>
    <w:p w14:paraId="40A297A7"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Rowe, W.G. (2009) ‘Defying a reputational crisis – Cadbury’s salmonella scare: why are customers willing to forgive and forget?’, Corporate Reputation Review, 12(1), pp. 73–79.</w:t>
      </w:r>
    </w:p>
    <w:p w14:paraId="38A0B01E"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Vrontis, D., Thrassou, A. and Lamprianou, I. (2009) ‘International marketing adaptation versus standardisation of multinational companies’, International Marketing Review, 26(4/5), pp. 477–500.</w:t>
      </w:r>
    </w:p>
    <w:p w14:paraId="07914F8F" w14:textId="77777777" w:rsidR="001D104C" w:rsidRPr="00EF2C6D" w:rsidRDefault="004A5486" w:rsidP="0002122E">
      <w:pPr>
        <w:spacing w:line="360" w:lineRule="auto"/>
        <w:ind w:left="720" w:hanging="720"/>
        <w:rPr>
          <w:rFonts w:ascii="Times New Roman" w:hAnsi="Times New Roman" w:cs="Times New Roman"/>
        </w:rPr>
      </w:pPr>
      <w:r w:rsidRPr="00EF2C6D">
        <w:rPr>
          <w:rFonts w:ascii="Times New Roman" w:hAnsi="Times New Roman" w:cs="Times New Roman"/>
        </w:rPr>
        <w:t>Yüksel, I. (2012) ‘Developing a multi-criteria decision making</w:t>
      </w:r>
      <w:r w:rsidRPr="00EF2C6D">
        <w:rPr>
          <w:rFonts w:ascii="Times New Roman" w:hAnsi="Times New Roman" w:cs="Times New Roman"/>
        </w:rPr>
        <w:t xml:space="preserve"> model for PESTEL analysis’, International Journal of Business and Management, 7(24), pp. 52–66.</w:t>
      </w:r>
    </w:p>
    <w:sectPr w:rsidR="001D104C" w:rsidRPr="00EF2C6D" w:rsidSect="0002122E">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86EE9" w14:textId="77777777" w:rsidR="004C4541" w:rsidRDefault="004C4541">
      <w:r>
        <w:separator/>
      </w:r>
    </w:p>
  </w:endnote>
  <w:endnote w:type="continuationSeparator" w:id="0">
    <w:p w14:paraId="7EC270F5" w14:textId="77777777" w:rsidR="004C4541" w:rsidRDefault="004C45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F1D5A" w14:textId="77777777" w:rsidR="001D104C" w:rsidRDefault="004A5486">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D05E04">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D05E04">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5AE95" w14:textId="77777777" w:rsidR="004C4541" w:rsidRDefault="004C4541">
      <w:r>
        <w:separator/>
      </w:r>
    </w:p>
  </w:footnote>
  <w:footnote w:type="continuationSeparator" w:id="0">
    <w:p w14:paraId="2054D5A2" w14:textId="77777777" w:rsidR="004C4541" w:rsidRDefault="004C45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AB0BB" w14:textId="77777777" w:rsidR="001D104C" w:rsidRDefault="001D104C">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C7E38"/>
    <w:multiLevelType w:val="hybridMultilevel"/>
    <w:tmpl w:val="F54E6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A1798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C852121"/>
    <w:multiLevelType w:val="hybridMultilevel"/>
    <w:tmpl w:val="058ADC4C"/>
    <w:lvl w:ilvl="0" w:tplc="DB60718E">
      <w:start w:val="1"/>
      <w:numFmt w:val="bullet"/>
      <w:lvlText w:val="●"/>
      <w:lvlJc w:val="left"/>
      <w:pPr>
        <w:ind w:left="720" w:hanging="360"/>
      </w:pPr>
    </w:lvl>
    <w:lvl w:ilvl="1" w:tplc="F4DE8286">
      <w:start w:val="1"/>
      <w:numFmt w:val="bullet"/>
      <w:lvlText w:val="○"/>
      <w:lvlJc w:val="left"/>
      <w:pPr>
        <w:ind w:left="1440" w:hanging="360"/>
      </w:pPr>
    </w:lvl>
    <w:lvl w:ilvl="2" w:tplc="ED928BCE">
      <w:start w:val="1"/>
      <w:numFmt w:val="bullet"/>
      <w:lvlText w:val="■"/>
      <w:lvlJc w:val="left"/>
      <w:pPr>
        <w:ind w:left="2160" w:hanging="360"/>
      </w:pPr>
    </w:lvl>
    <w:lvl w:ilvl="3" w:tplc="F5CAEA80">
      <w:start w:val="1"/>
      <w:numFmt w:val="bullet"/>
      <w:lvlText w:val="●"/>
      <w:lvlJc w:val="left"/>
      <w:pPr>
        <w:ind w:left="2880" w:hanging="360"/>
      </w:pPr>
    </w:lvl>
    <w:lvl w:ilvl="4" w:tplc="B6E4C90C">
      <w:start w:val="1"/>
      <w:numFmt w:val="bullet"/>
      <w:lvlText w:val="○"/>
      <w:lvlJc w:val="left"/>
      <w:pPr>
        <w:ind w:left="3600" w:hanging="360"/>
      </w:pPr>
    </w:lvl>
    <w:lvl w:ilvl="5" w:tplc="723E1FCE">
      <w:start w:val="1"/>
      <w:numFmt w:val="bullet"/>
      <w:lvlText w:val="■"/>
      <w:lvlJc w:val="left"/>
      <w:pPr>
        <w:ind w:left="4320" w:hanging="360"/>
      </w:pPr>
    </w:lvl>
    <w:lvl w:ilvl="6" w:tplc="627CC6FC">
      <w:start w:val="1"/>
      <w:numFmt w:val="bullet"/>
      <w:lvlText w:val="●"/>
      <w:lvlJc w:val="left"/>
      <w:pPr>
        <w:ind w:left="5040" w:hanging="360"/>
      </w:pPr>
    </w:lvl>
    <w:lvl w:ilvl="7" w:tplc="698C8042">
      <w:start w:val="1"/>
      <w:numFmt w:val="bullet"/>
      <w:lvlText w:val="●"/>
      <w:lvlJc w:val="left"/>
      <w:pPr>
        <w:ind w:left="5760" w:hanging="360"/>
      </w:pPr>
    </w:lvl>
    <w:lvl w:ilvl="8" w:tplc="CCE03E1C">
      <w:start w:val="1"/>
      <w:numFmt w:val="bullet"/>
      <w:lvlText w:val="●"/>
      <w:lvlJc w:val="left"/>
      <w:pPr>
        <w:ind w:left="6480" w:hanging="360"/>
      </w:pPr>
    </w:lvl>
  </w:abstractNum>
  <w:abstractNum w:abstractNumId="3" w15:restartNumberingAfterBreak="0">
    <w:nsid w:val="70FC524F"/>
    <w:multiLevelType w:val="hybridMultilevel"/>
    <w:tmpl w:val="A0BCF4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8857285">
    <w:abstractNumId w:val="2"/>
    <w:lvlOverride w:ilvl="0">
      <w:startOverride w:val="1"/>
    </w:lvlOverride>
  </w:num>
  <w:num w:numId="2" w16cid:durableId="1327201353">
    <w:abstractNumId w:val="3"/>
  </w:num>
  <w:num w:numId="3" w16cid:durableId="618217421">
    <w:abstractNumId w:val="0"/>
  </w:num>
  <w:num w:numId="4" w16cid:durableId="1778402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04C"/>
    <w:rsid w:val="0002122E"/>
    <w:rsid w:val="001D104C"/>
    <w:rsid w:val="00234C86"/>
    <w:rsid w:val="003C2197"/>
    <w:rsid w:val="004C4541"/>
    <w:rsid w:val="0051460A"/>
    <w:rsid w:val="00711210"/>
    <w:rsid w:val="007454B0"/>
    <w:rsid w:val="007753B5"/>
    <w:rsid w:val="008A61A7"/>
    <w:rsid w:val="008F0306"/>
    <w:rsid w:val="009A42C4"/>
    <w:rsid w:val="00D05E04"/>
    <w:rsid w:val="00EF2C6D"/>
    <w:rsid w:val="00F86FD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714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EF2C6D"/>
    <w:pPr>
      <w:numPr>
        <w:numId w:val="4"/>
      </w:numPr>
      <w:outlineLvl w:val="0"/>
    </w:pPr>
    <w:rPr>
      <w:rFonts w:ascii="Times New Roman" w:hAnsi="Times New Roman"/>
      <w:b/>
      <w:sz w:val="28"/>
      <w:szCs w:val="32"/>
    </w:rPr>
  </w:style>
  <w:style w:type="paragraph" w:styleId="Heading2">
    <w:name w:val="heading 2"/>
    <w:uiPriority w:val="9"/>
    <w:unhideWhenUsed/>
    <w:qFormat/>
    <w:rsid w:val="00EF2C6D"/>
    <w:pPr>
      <w:numPr>
        <w:ilvl w:val="1"/>
        <w:numId w:val="4"/>
      </w:numPr>
      <w:outlineLvl w:val="1"/>
    </w:pPr>
    <w:rPr>
      <w:rFonts w:ascii="Times New Roman" w:hAnsi="Times New Roman"/>
      <w:b/>
      <w:szCs w:val="26"/>
    </w:rPr>
  </w:style>
  <w:style w:type="paragraph" w:styleId="Heading3">
    <w:name w:val="heading 3"/>
    <w:uiPriority w:val="9"/>
    <w:unhideWhenUsed/>
    <w:qFormat/>
    <w:pPr>
      <w:numPr>
        <w:ilvl w:val="2"/>
        <w:numId w:val="4"/>
      </w:numPr>
      <w:outlineLvl w:val="2"/>
    </w:pPr>
    <w:rPr>
      <w:color w:val="1F4D78"/>
    </w:rPr>
  </w:style>
  <w:style w:type="paragraph" w:styleId="Heading4">
    <w:name w:val="heading 4"/>
    <w:uiPriority w:val="9"/>
    <w:semiHidden/>
    <w:unhideWhenUsed/>
    <w:qFormat/>
    <w:pPr>
      <w:numPr>
        <w:ilvl w:val="3"/>
        <w:numId w:val="4"/>
      </w:numPr>
      <w:outlineLvl w:val="3"/>
    </w:pPr>
    <w:rPr>
      <w:i/>
      <w:iCs/>
      <w:color w:val="2E74B5"/>
    </w:rPr>
  </w:style>
  <w:style w:type="paragraph" w:styleId="Heading5">
    <w:name w:val="heading 5"/>
    <w:uiPriority w:val="9"/>
    <w:semiHidden/>
    <w:unhideWhenUsed/>
    <w:qFormat/>
    <w:pPr>
      <w:numPr>
        <w:ilvl w:val="4"/>
        <w:numId w:val="4"/>
      </w:numPr>
      <w:outlineLvl w:val="4"/>
    </w:pPr>
    <w:rPr>
      <w:color w:val="2E74B5"/>
    </w:rPr>
  </w:style>
  <w:style w:type="paragraph" w:styleId="Heading6">
    <w:name w:val="heading 6"/>
    <w:uiPriority w:val="9"/>
    <w:semiHidden/>
    <w:unhideWhenUsed/>
    <w:qFormat/>
    <w:pPr>
      <w:numPr>
        <w:ilvl w:val="5"/>
        <w:numId w:val="4"/>
      </w:numPr>
      <w:outlineLvl w:val="5"/>
    </w:pPr>
    <w:rPr>
      <w:color w:val="1F4D78"/>
    </w:rPr>
  </w:style>
  <w:style w:type="paragraph" w:styleId="Heading7">
    <w:name w:val="heading 7"/>
    <w:basedOn w:val="Normal"/>
    <w:next w:val="Normal"/>
    <w:link w:val="Heading7Char"/>
    <w:uiPriority w:val="9"/>
    <w:semiHidden/>
    <w:unhideWhenUsed/>
    <w:qFormat/>
    <w:rsid w:val="0002122E"/>
    <w:pPr>
      <w:keepNext/>
      <w:keepLines/>
      <w:numPr>
        <w:ilvl w:val="6"/>
        <w:numId w:val="4"/>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02122E"/>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2122E"/>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05E04"/>
    <w:pPr>
      <w:spacing w:after="100"/>
    </w:pPr>
  </w:style>
  <w:style w:type="paragraph" w:styleId="TOC2">
    <w:name w:val="toc 2"/>
    <w:basedOn w:val="Normal"/>
    <w:next w:val="Normal"/>
    <w:autoRedefine/>
    <w:uiPriority w:val="39"/>
    <w:unhideWhenUsed/>
    <w:rsid w:val="00D05E04"/>
    <w:pPr>
      <w:spacing w:after="100"/>
      <w:ind w:left="240"/>
    </w:pPr>
  </w:style>
  <w:style w:type="paragraph" w:styleId="TOC3">
    <w:name w:val="toc 3"/>
    <w:basedOn w:val="Normal"/>
    <w:next w:val="Normal"/>
    <w:autoRedefine/>
    <w:uiPriority w:val="39"/>
    <w:unhideWhenUsed/>
    <w:rsid w:val="00D05E04"/>
    <w:pPr>
      <w:spacing w:after="100"/>
      <w:ind w:left="480"/>
    </w:pPr>
  </w:style>
  <w:style w:type="paragraph" w:styleId="Header">
    <w:name w:val="header"/>
    <w:basedOn w:val="Normal"/>
    <w:link w:val="HeaderChar"/>
    <w:uiPriority w:val="99"/>
    <w:unhideWhenUsed/>
    <w:rsid w:val="00D05E04"/>
    <w:pPr>
      <w:tabs>
        <w:tab w:val="center" w:pos="4680"/>
        <w:tab w:val="right" w:pos="9360"/>
      </w:tabs>
    </w:pPr>
  </w:style>
  <w:style w:type="character" w:customStyle="1" w:styleId="HeaderChar">
    <w:name w:val="Header Char"/>
    <w:basedOn w:val="DefaultParagraphFont"/>
    <w:link w:val="Header"/>
    <w:uiPriority w:val="99"/>
    <w:rsid w:val="00D05E04"/>
  </w:style>
  <w:style w:type="paragraph" w:styleId="Footer">
    <w:name w:val="footer"/>
    <w:basedOn w:val="Normal"/>
    <w:link w:val="FooterChar"/>
    <w:uiPriority w:val="99"/>
    <w:unhideWhenUsed/>
    <w:rsid w:val="00D05E04"/>
    <w:pPr>
      <w:tabs>
        <w:tab w:val="center" w:pos="4680"/>
        <w:tab w:val="right" w:pos="9360"/>
      </w:tabs>
    </w:pPr>
  </w:style>
  <w:style w:type="character" w:customStyle="1" w:styleId="FooterChar">
    <w:name w:val="Footer Char"/>
    <w:basedOn w:val="DefaultParagraphFont"/>
    <w:link w:val="Footer"/>
    <w:uiPriority w:val="99"/>
    <w:rsid w:val="00D05E04"/>
  </w:style>
  <w:style w:type="table" w:styleId="GridTable6Colorful">
    <w:name w:val="Grid Table 6 Colorful"/>
    <w:basedOn w:val="TableNormal"/>
    <w:uiPriority w:val="51"/>
    <w:rsid w:val="00EF2C6D"/>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7Char">
    <w:name w:val="Heading 7 Char"/>
    <w:basedOn w:val="DefaultParagraphFont"/>
    <w:link w:val="Heading7"/>
    <w:uiPriority w:val="9"/>
    <w:semiHidden/>
    <w:rsid w:val="0002122E"/>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02122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2122E"/>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0212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2122E"/>
    <w:pPr>
      <w:keepNext/>
      <w:keepLines/>
      <w:numPr>
        <w:numId w:val="0"/>
      </w:numPr>
      <w:spacing w:before="240" w:line="259" w:lineRule="auto"/>
      <w:outlineLvl w:val="9"/>
    </w:pPr>
    <w:rPr>
      <w:rFonts w:asciiTheme="majorHAnsi" w:eastAsiaTheme="majorEastAsia" w:hAnsiTheme="majorHAnsi" w:cstheme="majorBidi"/>
      <w:b w:val="0"/>
      <w:color w:val="0F476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F169F-5761-4C21-8783-5429CDCC5E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6660</Words>
  <Characters>37967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2026-08-13T10:13:00Z</dcterms:created>
  <dcterms:modified xsi:type="dcterms:W3CDTF">2026-08-13T10:13:00Z</dcterms:modified>
</cp:coreProperties>
</file>