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5618" w:rsidRDefault="00656619">
      <w:r>
        <w:rPr>
          <w:noProof/>
          <w:lang w:eastAsia="en-IN"/>
        </w:rPr>
        <w:drawing>
          <wp:anchor distT="0" distB="0" distL="114300" distR="114300" simplePos="0" relativeHeight="251659264" behindDoc="0" locked="0" layoutInCell="1" hidden="0" allowOverlap="1" wp14:anchorId="622924C5" wp14:editId="5F747C78">
            <wp:simplePos x="0" y="0"/>
            <wp:positionH relativeFrom="column">
              <wp:posOffset>-209550</wp:posOffset>
            </wp:positionH>
            <wp:positionV relativeFrom="paragraph">
              <wp:posOffset>75565</wp:posOffset>
            </wp:positionV>
            <wp:extent cx="2082800" cy="969645"/>
            <wp:effectExtent l="0" t="0" r="0" b="0"/>
            <wp:wrapSquare wrapText="bothSides" distT="0" distB="0" distL="114300" distR="114300"/>
            <wp:docPr id="3"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8"/>
                    <a:srcRect/>
                    <a:stretch>
                      <a:fillRect/>
                    </a:stretch>
                  </pic:blipFill>
                  <pic:spPr>
                    <a:xfrm>
                      <a:off x="0" y="0"/>
                      <a:ext cx="2082800" cy="969645"/>
                    </a:xfrm>
                    <a:prstGeom prst="rect">
                      <a:avLst/>
                    </a:prstGeom>
                    <a:ln/>
                  </pic:spPr>
                </pic:pic>
              </a:graphicData>
            </a:graphic>
          </wp:anchor>
        </w:drawing>
      </w:r>
    </w:p>
    <w:p w:rsidR="00656619" w:rsidRDefault="00656619"/>
    <w:p w:rsidR="00656619" w:rsidRDefault="00656619"/>
    <w:p w:rsidR="00656619" w:rsidRDefault="00656619"/>
    <w:p w:rsidR="00656619" w:rsidRDefault="00656619">
      <w:r>
        <w:tab/>
      </w:r>
      <w:r>
        <w:tab/>
      </w:r>
      <w:r>
        <w:tab/>
      </w:r>
      <w:r>
        <w:tab/>
      </w:r>
      <w:r>
        <w:tab/>
      </w:r>
    </w:p>
    <w:p w:rsidR="00656619" w:rsidRDefault="00656619"/>
    <w:p w:rsidR="00675618" w:rsidRPr="00656619" w:rsidRDefault="00656619">
      <w:pPr>
        <w:rPr>
          <w:sz w:val="28"/>
        </w:rPr>
      </w:pPr>
      <w:r>
        <w:tab/>
      </w:r>
      <w:r>
        <w:tab/>
      </w:r>
      <w:r>
        <w:tab/>
      </w:r>
      <w:r>
        <w:tab/>
      </w:r>
      <w:r>
        <w:tab/>
      </w:r>
      <w:r w:rsidRPr="00656619">
        <w:rPr>
          <w:sz w:val="28"/>
        </w:rPr>
        <w:t>Dissertation</w:t>
      </w:r>
    </w:p>
    <w:p w:rsidR="00656619" w:rsidRPr="00656619" w:rsidRDefault="00656619">
      <w:pPr>
        <w:rPr>
          <w:sz w:val="28"/>
        </w:rPr>
      </w:pPr>
    </w:p>
    <w:p w:rsidR="00656619" w:rsidRPr="00656619" w:rsidRDefault="00656619" w:rsidP="00656619">
      <w:pPr>
        <w:jc w:val="center"/>
        <w:rPr>
          <w:sz w:val="28"/>
        </w:rPr>
      </w:pPr>
      <w:r w:rsidRPr="00656619">
        <w:rPr>
          <w:sz w:val="28"/>
        </w:rPr>
        <w:t xml:space="preserve">Determinants of Banks Profitability: Lloyds, HSBC, Barclays, NatWest, </w:t>
      </w:r>
      <w:r w:rsidR="00586316">
        <w:rPr>
          <w:sz w:val="28"/>
        </w:rPr>
        <w:t>Standard Chartered,</w:t>
      </w:r>
      <w:r>
        <w:rPr>
          <w:sz w:val="28"/>
        </w:rPr>
        <w:t xml:space="preserve"> </w:t>
      </w:r>
      <w:r w:rsidRPr="00656619">
        <w:rPr>
          <w:sz w:val="28"/>
        </w:rPr>
        <w:t>Santander</w:t>
      </w:r>
      <w:r w:rsidR="00F01DCD">
        <w:rPr>
          <w:sz w:val="28"/>
        </w:rPr>
        <w:t>.</w:t>
      </w:r>
    </w:p>
    <w:p w:rsidR="00675618" w:rsidRDefault="00675618"/>
    <w:p w:rsidR="00675618" w:rsidRDefault="00675618"/>
    <w:p w:rsidR="00675618" w:rsidRDefault="00675618"/>
    <w:p w:rsidR="00675618" w:rsidRDefault="00675618"/>
    <w:p w:rsidR="00656619" w:rsidRDefault="00656619"/>
    <w:p w:rsidR="00656619" w:rsidRPr="00656619" w:rsidRDefault="00951CA2" w:rsidP="00951CA2">
      <w:pPr>
        <w:rPr>
          <w:sz w:val="28"/>
        </w:rPr>
      </w:pPr>
      <w:r>
        <w:rPr>
          <w:sz w:val="28"/>
        </w:rPr>
        <w:t xml:space="preserve">                                        </w:t>
      </w:r>
      <w:r w:rsidR="00FC5469">
        <w:rPr>
          <w:sz w:val="28"/>
        </w:rPr>
        <w:t xml:space="preserve">By: Avuku Sai Sharan, </w:t>
      </w:r>
      <w:r w:rsidR="00656619" w:rsidRPr="00656619">
        <w:rPr>
          <w:sz w:val="28"/>
        </w:rPr>
        <w:t>2116880</w:t>
      </w:r>
    </w:p>
    <w:p w:rsidR="00656619" w:rsidRPr="00656619" w:rsidRDefault="00951CA2" w:rsidP="00951CA2">
      <w:pPr>
        <w:rPr>
          <w:bCs/>
          <w:iCs/>
          <w:sz w:val="28"/>
          <w:szCs w:val="40"/>
          <w:lang w:val="en-GB"/>
        </w:rPr>
      </w:pPr>
      <w:r>
        <w:rPr>
          <w:rFonts w:cstheme="minorHAnsi"/>
          <w:bCs/>
          <w:sz w:val="28"/>
          <w:szCs w:val="28"/>
        </w:rPr>
        <w:t xml:space="preserve">                                          </w:t>
      </w:r>
      <w:r w:rsidR="00FC5469">
        <w:rPr>
          <w:rFonts w:cstheme="minorHAnsi"/>
          <w:bCs/>
          <w:sz w:val="28"/>
          <w:szCs w:val="28"/>
        </w:rPr>
        <w:t>Supervisor</w:t>
      </w:r>
      <w:r w:rsidR="00656619" w:rsidRPr="00656619">
        <w:rPr>
          <w:rFonts w:cstheme="minorHAnsi"/>
          <w:bCs/>
          <w:sz w:val="28"/>
          <w:szCs w:val="28"/>
        </w:rPr>
        <w:t xml:space="preserve"> name: </w:t>
      </w:r>
      <w:proofErr w:type="spellStart"/>
      <w:r w:rsidR="00656619" w:rsidRPr="00656619">
        <w:rPr>
          <w:bCs/>
          <w:iCs/>
          <w:sz w:val="28"/>
          <w:szCs w:val="40"/>
          <w:lang w:val="en-GB"/>
        </w:rPr>
        <w:t>Jia</w:t>
      </w:r>
      <w:proofErr w:type="spellEnd"/>
      <w:r w:rsidR="00656619" w:rsidRPr="00656619">
        <w:rPr>
          <w:bCs/>
          <w:iCs/>
          <w:sz w:val="28"/>
          <w:szCs w:val="40"/>
          <w:lang w:val="en-GB"/>
        </w:rPr>
        <w:t xml:space="preserve"> Miao</w:t>
      </w:r>
    </w:p>
    <w:p w:rsidR="00656619" w:rsidRDefault="00656619"/>
    <w:p w:rsidR="00675618" w:rsidRDefault="00675618"/>
    <w:p w:rsidR="00675618" w:rsidRDefault="00675618"/>
    <w:p w:rsidR="00675618" w:rsidRDefault="00675618"/>
    <w:p w:rsidR="00675618" w:rsidRDefault="00675618"/>
    <w:p w:rsidR="00675618" w:rsidRDefault="00675618"/>
    <w:p w:rsidR="00675618" w:rsidRDefault="00675618"/>
    <w:p w:rsidR="00675618" w:rsidRDefault="00675618"/>
    <w:p w:rsidR="00675618" w:rsidRDefault="00675618"/>
    <w:p w:rsidR="00675618" w:rsidRDefault="00675618"/>
    <w:p w:rsidR="00675618" w:rsidRDefault="00675618"/>
    <w:p w:rsidR="00675618" w:rsidRDefault="00675618"/>
    <w:p w:rsidR="00B910B2" w:rsidRPr="009356C2" w:rsidRDefault="00B910B2" w:rsidP="00B910B2">
      <w:pPr>
        <w:spacing w:after="120"/>
        <w:rPr>
          <w:rFonts w:ascii="Arial" w:hAnsi="Arial" w:cs="Arial"/>
          <w:b/>
        </w:rPr>
      </w:pPr>
    </w:p>
    <w:p w:rsidR="00B910B2" w:rsidRPr="009356C2" w:rsidRDefault="00B910B2" w:rsidP="00B910B2">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lang w:eastAsia="en-IN"/>
        </w:rPr>
        <w:lastRenderedPageBreak/>
        <w:drawing>
          <wp:inline distT="0" distB="0" distL="0" distR="0">
            <wp:extent cx="1857375" cy="76200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rsidR="00B910B2" w:rsidRPr="009356C2" w:rsidRDefault="00B910B2" w:rsidP="00B910B2">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rsidR="00B910B2" w:rsidRPr="009356C2" w:rsidRDefault="00B910B2" w:rsidP="00B910B2">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rsidR="00B910B2" w:rsidRPr="009356C2" w:rsidRDefault="00B910B2" w:rsidP="00B910B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rsidR="00B910B2" w:rsidRPr="009356C2" w:rsidRDefault="00B910B2" w:rsidP="00B910B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sidR="00367DC1">
        <w:rPr>
          <w:rFonts w:ascii="Arial" w:hAnsi="Arial" w:cs="Arial"/>
        </w:rPr>
        <w:t>Avuku Sai Sharan…………………………………….</w:t>
      </w:r>
    </w:p>
    <w:p w:rsidR="00B910B2" w:rsidRPr="009356C2" w:rsidRDefault="00B910B2" w:rsidP="00B910B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sidR="00367DC1">
        <w:rPr>
          <w:rFonts w:ascii="Arial" w:hAnsi="Arial" w:cs="Arial"/>
        </w:rPr>
        <w:t>28-02-2023……</w:t>
      </w:r>
      <w:r w:rsidRPr="009356C2">
        <w:rPr>
          <w:rFonts w:ascii="Arial" w:hAnsi="Arial" w:cs="Arial"/>
        </w:rPr>
        <w:t>……………………………………………...</w:t>
      </w:r>
    </w:p>
    <w:p w:rsidR="00B910B2" w:rsidRDefault="00B910B2" w:rsidP="00B910B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w:t>
      </w:r>
    </w:p>
    <w:p w:rsidR="00B910B2" w:rsidRPr="009356C2" w:rsidRDefault="00B910B2" w:rsidP="00B910B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requirements for the degree of Master in Business Administration</w:t>
      </w:r>
      <w:r w:rsidRPr="009356C2">
        <w:rPr>
          <w:rFonts w:ascii="Arial" w:hAnsi="Arial" w:cs="Arial"/>
        </w:rPr>
        <w:t>.</w:t>
      </w:r>
    </w:p>
    <w:p w:rsidR="00B910B2" w:rsidRPr="009356C2" w:rsidRDefault="00B910B2" w:rsidP="00B910B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Signed ………Avuku Sai Sharan……</w:t>
      </w:r>
      <w:r w:rsidRPr="009356C2">
        <w:rPr>
          <w:rFonts w:ascii="Arial" w:hAnsi="Arial" w:cs="Arial"/>
        </w:rPr>
        <w:t>………………………………………….</w:t>
      </w:r>
    </w:p>
    <w:p w:rsidR="00B910B2" w:rsidRPr="009356C2" w:rsidRDefault="00B910B2" w:rsidP="00B910B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Date </w:t>
      </w:r>
      <w:r w:rsidRPr="009356C2">
        <w:rPr>
          <w:rFonts w:ascii="Arial" w:hAnsi="Arial" w:cs="Arial"/>
        </w:rPr>
        <w:t>……</w:t>
      </w:r>
      <w:r>
        <w:rPr>
          <w:rFonts w:ascii="Arial" w:hAnsi="Arial" w:cs="Arial"/>
        </w:rPr>
        <w:t>28-02-2023</w:t>
      </w:r>
      <w:r w:rsidRPr="009356C2">
        <w:rPr>
          <w:rFonts w:ascii="Arial" w:hAnsi="Arial" w:cs="Arial"/>
        </w:rPr>
        <w:t>……………………………………………………………..…………...</w:t>
      </w:r>
    </w:p>
    <w:p w:rsidR="00B910B2" w:rsidRPr="009356C2" w:rsidRDefault="00B910B2" w:rsidP="00B910B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rsidR="00B910B2" w:rsidRPr="009356C2" w:rsidRDefault="00B910B2" w:rsidP="00B910B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rsidR="00B910B2" w:rsidRPr="009356C2" w:rsidRDefault="00B910B2" w:rsidP="00B910B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rsidR="00B910B2" w:rsidRPr="009356C2" w:rsidRDefault="00B910B2" w:rsidP="00B910B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Signed candidate:</w:t>
      </w:r>
      <w:r w:rsidRPr="009356C2">
        <w:rPr>
          <w:rFonts w:ascii="Arial" w:hAnsi="Arial" w:cs="Arial"/>
        </w:rPr>
        <w:t xml:space="preserve"> ……</w:t>
      </w:r>
      <w:r>
        <w:rPr>
          <w:rFonts w:ascii="Arial" w:hAnsi="Arial" w:cs="Arial"/>
        </w:rPr>
        <w:t>Avuku Sai Sharan………</w:t>
      </w:r>
      <w:r w:rsidRPr="009356C2">
        <w:rPr>
          <w:rFonts w:ascii="Arial" w:hAnsi="Arial" w:cs="Arial"/>
        </w:rPr>
        <w:t>……….……………….</w:t>
      </w:r>
    </w:p>
    <w:p w:rsidR="00B910B2" w:rsidRPr="009356C2" w:rsidRDefault="00B910B2" w:rsidP="00B910B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w:t>
      </w:r>
      <w:r w:rsidRPr="009356C2">
        <w:rPr>
          <w:rFonts w:ascii="Arial" w:hAnsi="Arial" w:cs="Arial"/>
        </w:rPr>
        <w:t xml:space="preserve"> ……</w:t>
      </w:r>
      <w:r>
        <w:rPr>
          <w:rFonts w:ascii="Arial" w:hAnsi="Arial" w:cs="Arial"/>
        </w:rPr>
        <w:t>28-02-2023……………</w:t>
      </w:r>
      <w:r w:rsidRPr="009356C2">
        <w:rPr>
          <w:rFonts w:ascii="Arial" w:hAnsi="Arial" w:cs="Arial"/>
        </w:rPr>
        <w:t>………………….……………………….</w:t>
      </w:r>
    </w:p>
    <w:p w:rsidR="00B910B2" w:rsidRPr="009356C2" w:rsidRDefault="00B910B2" w:rsidP="00B910B2">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rsidR="00B910B2" w:rsidRPr="009356C2" w:rsidRDefault="00B910B2" w:rsidP="00B910B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4. I hereby give consent for my dissertation, if accepted, to be available for photocopying</w:t>
      </w:r>
      <w:proofErr w:type="gramStart"/>
      <w:r w:rsidRPr="009356C2">
        <w:rPr>
          <w:rFonts w:ascii="Arial" w:hAnsi="Arial" w:cs="Arial"/>
        </w:rPr>
        <w:t>,  inter</w:t>
      </w:r>
      <w:proofErr w:type="gramEnd"/>
      <w:r w:rsidRPr="009356C2">
        <w:rPr>
          <w:rFonts w:ascii="Arial" w:hAnsi="Arial" w:cs="Arial"/>
        </w:rPr>
        <w:t xml:space="preserve">- library loan, and for deposit in the University’s digital repository </w:t>
      </w:r>
    </w:p>
    <w:p w:rsidR="00B910B2" w:rsidRPr="009356C2" w:rsidRDefault="00B910B2" w:rsidP="00B910B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Pr>
          <w:rFonts w:ascii="Arial" w:hAnsi="Arial" w:cs="Arial"/>
        </w:rPr>
        <w:t>Avuku Sai Sharan…</w:t>
      </w:r>
      <w:r w:rsidRPr="009356C2">
        <w:rPr>
          <w:rFonts w:ascii="Arial" w:hAnsi="Arial" w:cs="Arial"/>
        </w:rPr>
        <w:t>…….………….…………...</w:t>
      </w:r>
    </w:p>
    <w:p w:rsidR="00B910B2" w:rsidRPr="009356C2" w:rsidRDefault="00B910B2" w:rsidP="00B910B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28-02-2023……………………………………</w:t>
      </w:r>
      <w:r w:rsidRPr="009356C2">
        <w:rPr>
          <w:rFonts w:ascii="Arial" w:hAnsi="Arial" w:cs="Arial"/>
        </w:rPr>
        <w:t>….……………..</w:t>
      </w:r>
    </w:p>
    <w:p w:rsidR="00B910B2" w:rsidRPr="009356C2" w:rsidRDefault="00B910B2" w:rsidP="00B910B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rsidR="00B910B2" w:rsidRPr="009356C2" w:rsidRDefault="00B910B2" w:rsidP="00B910B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rsidR="00B910B2" w:rsidRPr="009356C2" w:rsidRDefault="00B910B2" w:rsidP="00B910B2">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Signed</w:t>
      </w:r>
      <w:proofErr w:type="gramStart"/>
      <w:r>
        <w:rPr>
          <w:rFonts w:ascii="Arial" w:hAnsi="Arial" w:cs="Arial"/>
        </w:rPr>
        <w:t xml:space="preserve">: </w:t>
      </w:r>
      <w:r w:rsidRPr="009356C2">
        <w:rPr>
          <w:rFonts w:ascii="Arial" w:hAnsi="Arial" w:cs="Arial"/>
        </w:rPr>
        <w:t xml:space="preserve"> …………………………………………………………………………..</w:t>
      </w:r>
      <w:proofErr w:type="gramEnd"/>
    </w:p>
    <w:p w:rsidR="00B910B2" w:rsidRPr="009356C2" w:rsidRDefault="00B910B2" w:rsidP="00B910B2">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w:t>
      </w:r>
      <w:proofErr w:type="gramStart"/>
      <w:r>
        <w:rPr>
          <w:rFonts w:ascii="Arial" w:hAnsi="Arial" w:cs="Arial"/>
        </w:rPr>
        <w:t xml:space="preserve">: </w:t>
      </w:r>
      <w:r w:rsidRPr="009356C2">
        <w:rPr>
          <w:rFonts w:ascii="Arial" w:hAnsi="Arial" w:cs="Arial"/>
        </w:rPr>
        <w:t xml:space="preserve"> ……………………………………………………………………………...</w:t>
      </w:r>
      <w:proofErr w:type="gramEnd"/>
    </w:p>
    <w:p w:rsidR="00675618" w:rsidRDefault="00675618"/>
    <w:p w:rsidR="00675618" w:rsidRDefault="00675618"/>
    <w:p w:rsidR="00675618" w:rsidRDefault="00675618"/>
    <w:sdt>
      <w:sdtPr>
        <w:rPr>
          <w:rFonts w:asciiTheme="minorHAnsi" w:eastAsiaTheme="minorHAnsi" w:hAnsiTheme="minorHAnsi" w:cstheme="minorBidi"/>
          <w:color w:val="auto"/>
          <w:sz w:val="22"/>
          <w:szCs w:val="22"/>
          <w:lang w:val="en-IN"/>
        </w:rPr>
        <w:id w:val="-1545132340"/>
        <w:docPartObj>
          <w:docPartGallery w:val="Table of Contents"/>
          <w:docPartUnique/>
        </w:docPartObj>
      </w:sdtPr>
      <w:sdtEndPr>
        <w:rPr>
          <w:b/>
          <w:bCs/>
          <w:noProof/>
        </w:rPr>
      </w:sdtEndPr>
      <w:sdtContent>
        <w:p w:rsidR="00D17ABE" w:rsidRDefault="00D17ABE">
          <w:pPr>
            <w:pStyle w:val="TOCHeading"/>
          </w:pPr>
          <w:r>
            <w:t>Conte</w:t>
          </w:r>
          <w:bookmarkStart w:id="0" w:name="_GoBack"/>
          <w:bookmarkEnd w:id="0"/>
          <w:r>
            <w:t>nts</w:t>
          </w:r>
        </w:p>
        <w:p w:rsidR="00B076B9" w:rsidRDefault="00D17ABE">
          <w:pPr>
            <w:pStyle w:val="TOC1"/>
            <w:tabs>
              <w:tab w:val="right" w:leader="dot" w:pos="9016"/>
            </w:tabs>
            <w:rPr>
              <w:rFonts w:eastAsiaTheme="minorEastAsia"/>
              <w:noProof/>
              <w:lang w:eastAsia="en-IN"/>
            </w:rPr>
          </w:pPr>
          <w:r>
            <w:rPr>
              <w:b/>
              <w:bCs/>
              <w:noProof/>
            </w:rPr>
            <w:fldChar w:fldCharType="begin"/>
          </w:r>
          <w:r>
            <w:rPr>
              <w:b/>
              <w:bCs/>
              <w:noProof/>
            </w:rPr>
            <w:instrText xml:space="preserve"> TOC \o "1-3" \h \z \u </w:instrText>
          </w:r>
          <w:r>
            <w:rPr>
              <w:b/>
              <w:bCs/>
              <w:noProof/>
            </w:rPr>
            <w:fldChar w:fldCharType="separate"/>
          </w:r>
          <w:hyperlink w:anchor="_Toc128518332" w:history="1">
            <w:r w:rsidR="00B076B9" w:rsidRPr="00737B2C">
              <w:rPr>
                <w:rStyle w:val="Hyperlink"/>
                <w:noProof/>
              </w:rPr>
              <w:t>Abstract</w:t>
            </w:r>
            <w:r w:rsidR="00B076B9">
              <w:rPr>
                <w:noProof/>
                <w:webHidden/>
              </w:rPr>
              <w:tab/>
            </w:r>
            <w:r w:rsidR="00B076B9">
              <w:rPr>
                <w:noProof/>
                <w:webHidden/>
              </w:rPr>
              <w:fldChar w:fldCharType="begin"/>
            </w:r>
            <w:r w:rsidR="00B076B9">
              <w:rPr>
                <w:noProof/>
                <w:webHidden/>
              </w:rPr>
              <w:instrText xml:space="preserve"> PAGEREF _Toc128518332 \h </w:instrText>
            </w:r>
            <w:r w:rsidR="00B076B9">
              <w:rPr>
                <w:noProof/>
                <w:webHidden/>
              </w:rPr>
            </w:r>
            <w:r w:rsidR="00B076B9">
              <w:rPr>
                <w:noProof/>
                <w:webHidden/>
              </w:rPr>
              <w:fldChar w:fldCharType="separate"/>
            </w:r>
            <w:r w:rsidR="00B076B9">
              <w:rPr>
                <w:noProof/>
                <w:webHidden/>
              </w:rPr>
              <w:t>5</w:t>
            </w:r>
            <w:r w:rsidR="00B076B9">
              <w:rPr>
                <w:noProof/>
                <w:webHidden/>
              </w:rPr>
              <w:fldChar w:fldCharType="end"/>
            </w:r>
          </w:hyperlink>
        </w:p>
        <w:p w:rsidR="00B076B9" w:rsidRDefault="00B076B9">
          <w:pPr>
            <w:pStyle w:val="TOC1"/>
            <w:tabs>
              <w:tab w:val="right" w:leader="dot" w:pos="9016"/>
            </w:tabs>
            <w:rPr>
              <w:rFonts w:eastAsiaTheme="minorEastAsia"/>
              <w:noProof/>
              <w:lang w:eastAsia="en-IN"/>
            </w:rPr>
          </w:pPr>
          <w:hyperlink w:anchor="_Toc128518333" w:history="1">
            <w:r w:rsidRPr="00737B2C">
              <w:rPr>
                <w:rStyle w:val="Hyperlink"/>
                <w:noProof/>
              </w:rPr>
              <w:t>Part 1: Introduction</w:t>
            </w:r>
            <w:r>
              <w:rPr>
                <w:noProof/>
                <w:webHidden/>
              </w:rPr>
              <w:tab/>
            </w:r>
            <w:r>
              <w:rPr>
                <w:noProof/>
                <w:webHidden/>
              </w:rPr>
              <w:fldChar w:fldCharType="begin"/>
            </w:r>
            <w:r>
              <w:rPr>
                <w:noProof/>
                <w:webHidden/>
              </w:rPr>
              <w:instrText xml:space="preserve"> PAGEREF _Toc128518333 \h </w:instrText>
            </w:r>
            <w:r>
              <w:rPr>
                <w:noProof/>
                <w:webHidden/>
              </w:rPr>
            </w:r>
            <w:r>
              <w:rPr>
                <w:noProof/>
                <w:webHidden/>
              </w:rPr>
              <w:fldChar w:fldCharType="separate"/>
            </w:r>
            <w:r>
              <w:rPr>
                <w:noProof/>
                <w:webHidden/>
              </w:rPr>
              <w:t>6</w:t>
            </w:r>
            <w:r>
              <w:rPr>
                <w:noProof/>
                <w:webHidden/>
              </w:rPr>
              <w:fldChar w:fldCharType="end"/>
            </w:r>
          </w:hyperlink>
        </w:p>
        <w:p w:rsidR="00B076B9" w:rsidRDefault="00B076B9">
          <w:pPr>
            <w:pStyle w:val="TOC2"/>
            <w:tabs>
              <w:tab w:val="right" w:leader="dot" w:pos="9016"/>
            </w:tabs>
            <w:rPr>
              <w:rFonts w:eastAsiaTheme="minorEastAsia"/>
              <w:noProof/>
              <w:lang w:eastAsia="en-IN"/>
            </w:rPr>
          </w:pPr>
          <w:hyperlink w:anchor="_Toc128518334" w:history="1">
            <w:r w:rsidRPr="00737B2C">
              <w:rPr>
                <w:rStyle w:val="Hyperlink"/>
                <w:noProof/>
              </w:rPr>
              <w:t>Research topic</w:t>
            </w:r>
            <w:r>
              <w:rPr>
                <w:noProof/>
                <w:webHidden/>
              </w:rPr>
              <w:tab/>
            </w:r>
            <w:r>
              <w:rPr>
                <w:noProof/>
                <w:webHidden/>
              </w:rPr>
              <w:fldChar w:fldCharType="begin"/>
            </w:r>
            <w:r>
              <w:rPr>
                <w:noProof/>
                <w:webHidden/>
              </w:rPr>
              <w:instrText xml:space="preserve"> PAGEREF _Toc128518334 \h </w:instrText>
            </w:r>
            <w:r>
              <w:rPr>
                <w:noProof/>
                <w:webHidden/>
              </w:rPr>
            </w:r>
            <w:r>
              <w:rPr>
                <w:noProof/>
                <w:webHidden/>
              </w:rPr>
              <w:fldChar w:fldCharType="separate"/>
            </w:r>
            <w:r>
              <w:rPr>
                <w:noProof/>
                <w:webHidden/>
              </w:rPr>
              <w:t>6</w:t>
            </w:r>
            <w:r>
              <w:rPr>
                <w:noProof/>
                <w:webHidden/>
              </w:rPr>
              <w:fldChar w:fldCharType="end"/>
            </w:r>
          </w:hyperlink>
        </w:p>
        <w:p w:rsidR="00B076B9" w:rsidRDefault="00B076B9">
          <w:pPr>
            <w:pStyle w:val="TOC2"/>
            <w:tabs>
              <w:tab w:val="right" w:leader="dot" w:pos="9016"/>
            </w:tabs>
            <w:rPr>
              <w:rFonts w:eastAsiaTheme="minorEastAsia"/>
              <w:noProof/>
              <w:lang w:eastAsia="en-IN"/>
            </w:rPr>
          </w:pPr>
          <w:hyperlink w:anchor="_Toc128518335" w:history="1">
            <w:r w:rsidRPr="00737B2C">
              <w:rPr>
                <w:rStyle w:val="Hyperlink"/>
                <w:noProof/>
              </w:rPr>
              <w:t>Research history</w:t>
            </w:r>
            <w:r>
              <w:rPr>
                <w:noProof/>
                <w:webHidden/>
              </w:rPr>
              <w:tab/>
            </w:r>
            <w:r>
              <w:rPr>
                <w:noProof/>
                <w:webHidden/>
              </w:rPr>
              <w:fldChar w:fldCharType="begin"/>
            </w:r>
            <w:r>
              <w:rPr>
                <w:noProof/>
                <w:webHidden/>
              </w:rPr>
              <w:instrText xml:space="preserve"> PAGEREF _Toc128518335 \h </w:instrText>
            </w:r>
            <w:r>
              <w:rPr>
                <w:noProof/>
                <w:webHidden/>
              </w:rPr>
            </w:r>
            <w:r>
              <w:rPr>
                <w:noProof/>
                <w:webHidden/>
              </w:rPr>
              <w:fldChar w:fldCharType="separate"/>
            </w:r>
            <w:r>
              <w:rPr>
                <w:noProof/>
                <w:webHidden/>
              </w:rPr>
              <w:t>6</w:t>
            </w:r>
            <w:r>
              <w:rPr>
                <w:noProof/>
                <w:webHidden/>
              </w:rPr>
              <w:fldChar w:fldCharType="end"/>
            </w:r>
          </w:hyperlink>
        </w:p>
        <w:p w:rsidR="00B076B9" w:rsidRDefault="00B076B9">
          <w:pPr>
            <w:pStyle w:val="TOC2"/>
            <w:tabs>
              <w:tab w:val="right" w:leader="dot" w:pos="9016"/>
            </w:tabs>
            <w:rPr>
              <w:rFonts w:eastAsiaTheme="minorEastAsia"/>
              <w:noProof/>
              <w:lang w:eastAsia="en-IN"/>
            </w:rPr>
          </w:pPr>
          <w:hyperlink w:anchor="_Toc128518336" w:history="1">
            <w:r w:rsidRPr="00737B2C">
              <w:rPr>
                <w:rStyle w:val="Hyperlink"/>
                <w:noProof/>
              </w:rPr>
              <w:t>Banking industry at the time of uncertainties</w:t>
            </w:r>
            <w:r>
              <w:rPr>
                <w:noProof/>
                <w:webHidden/>
              </w:rPr>
              <w:tab/>
            </w:r>
            <w:r>
              <w:rPr>
                <w:noProof/>
                <w:webHidden/>
              </w:rPr>
              <w:fldChar w:fldCharType="begin"/>
            </w:r>
            <w:r>
              <w:rPr>
                <w:noProof/>
                <w:webHidden/>
              </w:rPr>
              <w:instrText xml:space="preserve"> PAGEREF _Toc128518336 \h </w:instrText>
            </w:r>
            <w:r>
              <w:rPr>
                <w:noProof/>
                <w:webHidden/>
              </w:rPr>
            </w:r>
            <w:r>
              <w:rPr>
                <w:noProof/>
                <w:webHidden/>
              </w:rPr>
              <w:fldChar w:fldCharType="separate"/>
            </w:r>
            <w:r>
              <w:rPr>
                <w:noProof/>
                <w:webHidden/>
              </w:rPr>
              <w:t>7</w:t>
            </w:r>
            <w:r>
              <w:rPr>
                <w:noProof/>
                <w:webHidden/>
              </w:rPr>
              <w:fldChar w:fldCharType="end"/>
            </w:r>
          </w:hyperlink>
        </w:p>
        <w:p w:rsidR="00B076B9" w:rsidRDefault="00B076B9">
          <w:pPr>
            <w:pStyle w:val="TOC2"/>
            <w:tabs>
              <w:tab w:val="right" w:leader="dot" w:pos="9016"/>
            </w:tabs>
            <w:rPr>
              <w:rFonts w:eastAsiaTheme="minorEastAsia"/>
              <w:noProof/>
              <w:lang w:eastAsia="en-IN"/>
            </w:rPr>
          </w:pPr>
          <w:hyperlink w:anchor="_Toc128518337" w:history="1">
            <w:r w:rsidRPr="00737B2C">
              <w:rPr>
                <w:rStyle w:val="Hyperlink"/>
                <w:noProof/>
              </w:rPr>
              <w:t>Research rationale</w:t>
            </w:r>
            <w:r>
              <w:rPr>
                <w:noProof/>
                <w:webHidden/>
              </w:rPr>
              <w:tab/>
            </w:r>
            <w:r>
              <w:rPr>
                <w:noProof/>
                <w:webHidden/>
              </w:rPr>
              <w:fldChar w:fldCharType="begin"/>
            </w:r>
            <w:r>
              <w:rPr>
                <w:noProof/>
                <w:webHidden/>
              </w:rPr>
              <w:instrText xml:space="preserve"> PAGEREF _Toc128518337 \h </w:instrText>
            </w:r>
            <w:r>
              <w:rPr>
                <w:noProof/>
                <w:webHidden/>
              </w:rPr>
            </w:r>
            <w:r>
              <w:rPr>
                <w:noProof/>
                <w:webHidden/>
              </w:rPr>
              <w:fldChar w:fldCharType="separate"/>
            </w:r>
            <w:r>
              <w:rPr>
                <w:noProof/>
                <w:webHidden/>
              </w:rPr>
              <w:t>8</w:t>
            </w:r>
            <w:r>
              <w:rPr>
                <w:noProof/>
                <w:webHidden/>
              </w:rPr>
              <w:fldChar w:fldCharType="end"/>
            </w:r>
          </w:hyperlink>
        </w:p>
        <w:p w:rsidR="00B076B9" w:rsidRDefault="00B076B9">
          <w:pPr>
            <w:pStyle w:val="TOC2"/>
            <w:tabs>
              <w:tab w:val="right" w:leader="dot" w:pos="9016"/>
            </w:tabs>
            <w:rPr>
              <w:rFonts w:eastAsiaTheme="minorEastAsia"/>
              <w:noProof/>
              <w:lang w:eastAsia="en-IN"/>
            </w:rPr>
          </w:pPr>
          <w:hyperlink w:anchor="_Toc128518338" w:history="1">
            <w:r w:rsidRPr="00737B2C">
              <w:rPr>
                <w:rStyle w:val="Hyperlink"/>
                <w:noProof/>
              </w:rPr>
              <w:t>Research aim and objectives</w:t>
            </w:r>
            <w:r>
              <w:rPr>
                <w:noProof/>
                <w:webHidden/>
              </w:rPr>
              <w:tab/>
            </w:r>
            <w:r>
              <w:rPr>
                <w:noProof/>
                <w:webHidden/>
              </w:rPr>
              <w:fldChar w:fldCharType="begin"/>
            </w:r>
            <w:r>
              <w:rPr>
                <w:noProof/>
                <w:webHidden/>
              </w:rPr>
              <w:instrText xml:space="preserve"> PAGEREF _Toc128518338 \h </w:instrText>
            </w:r>
            <w:r>
              <w:rPr>
                <w:noProof/>
                <w:webHidden/>
              </w:rPr>
            </w:r>
            <w:r>
              <w:rPr>
                <w:noProof/>
                <w:webHidden/>
              </w:rPr>
              <w:fldChar w:fldCharType="separate"/>
            </w:r>
            <w:r>
              <w:rPr>
                <w:noProof/>
                <w:webHidden/>
              </w:rPr>
              <w:t>8</w:t>
            </w:r>
            <w:r>
              <w:rPr>
                <w:noProof/>
                <w:webHidden/>
              </w:rPr>
              <w:fldChar w:fldCharType="end"/>
            </w:r>
          </w:hyperlink>
        </w:p>
        <w:p w:rsidR="00B076B9" w:rsidRDefault="00B076B9">
          <w:pPr>
            <w:pStyle w:val="TOC1"/>
            <w:tabs>
              <w:tab w:val="right" w:leader="dot" w:pos="9016"/>
            </w:tabs>
            <w:rPr>
              <w:rFonts w:eastAsiaTheme="minorEastAsia"/>
              <w:noProof/>
              <w:lang w:eastAsia="en-IN"/>
            </w:rPr>
          </w:pPr>
          <w:hyperlink w:anchor="_Toc128518339" w:history="1">
            <w:r w:rsidRPr="00737B2C">
              <w:rPr>
                <w:rStyle w:val="Hyperlink"/>
                <w:noProof/>
              </w:rPr>
              <w:t>Part – II:  A quick summary of the research findings</w:t>
            </w:r>
            <w:r>
              <w:rPr>
                <w:noProof/>
                <w:webHidden/>
              </w:rPr>
              <w:tab/>
            </w:r>
            <w:r>
              <w:rPr>
                <w:noProof/>
                <w:webHidden/>
              </w:rPr>
              <w:fldChar w:fldCharType="begin"/>
            </w:r>
            <w:r>
              <w:rPr>
                <w:noProof/>
                <w:webHidden/>
              </w:rPr>
              <w:instrText xml:space="preserve"> PAGEREF _Toc128518339 \h </w:instrText>
            </w:r>
            <w:r>
              <w:rPr>
                <w:noProof/>
                <w:webHidden/>
              </w:rPr>
            </w:r>
            <w:r>
              <w:rPr>
                <w:noProof/>
                <w:webHidden/>
              </w:rPr>
              <w:fldChar w:fldCharType="separate"/>
            </w:r>
            <w:r>
              <w:rPr>
                <w:noProof/>
                <w:webHidden/>
              </w:rPr>
              <w:t>10</w:t>
            </w:r>
            <w:r>
              <w:rPr>
                <w:noProof/>
                <w:webHidden/>
              </w:rPr>
              <w:fldChar w:fldCharType="end"/>
            </w:r>
          </w:hyperlink>
        </w:p>
        <w:p w:rsidR="00B076B9" w:rsidRDefault="00B076B9">
          <w:pPr>
            <w:pStyle w:val="TOC1"/>
            <w:tabs>
              <w:tab w:val="right" w:leader="dot" w:pos="9016"/>
            </w:tabs>
            <w:rPr>
              <w:rFonts w:eastAsiaTheme="minorEastAsia"/>
              <w:noProof/>
              <w:lang w:eastAsia="en-IN"/>
            </w:rPr>
          </w:pPr>
          <w:hyperlink w:anchor="_Toc128518340" w:history="1">
            <w:r w:rsidRPr="00737B2C">
              <w:rPr>
                <w:rStyle w:val="Hyperlink"/>
                <w:noProof/>
              </w:rPr>
              <w:t>Determinants of banks profitability and how do we measure them.</w:t>
            </w:r>
            <w:r>
              <w:rPr>
                <w:noProof/>
                <w:webHidden/>
              </w:rPr>
              <w:tab/>
            </w:r>
            <w:r>
              <w:rPr>
                <w:noProof/>
                <w:webHidden/>
              </w:rPr>
              <w:fldChar w:fldCharType="begin"/>
            </w:r>
            <w:r>
              <w:rPr>
                <w:noProof/>
                <w:webHidden/>
              </w:rPr>
              <w:instrText xml:space="preserve"> PAGEREF _Toc128518340 \h </w:instrText>
            </w:r>
            <w:r>
              <w:rPr>
                <w:noProof/>
                <w:webHidden/>
              </w:rPr>
            </w:r>
            <w:r>
              <w:rPr>
                <w:noProof/>
                <w:webHidden/>
              </w:rPr>
              <w:fldChar w:fldCharType="separate"/>
            </w:r>
            <w:r>
              <w:rPr>
                <w:noProof/>
                <w:webHidden/>
              </w:rPr>
              <w:t>10</w:t>
            </w:r>
            <w:r>
              <w:rPr>
                <w:noProof/>
                <w:webHidden/>
              </w:rPr>
              <w:fldChar w:fldCharType="end"/>
            </w:r>
          </w:hyperlink>
        </w:p>
        <w:p w:rsidR="00B076B9" w:rsidRDefault="00B076B9">
          <w:pPr>
            <w:pStyle w:val="TOC2"/>
            <w:tabs>
              <w:tab w:val="right" w:leader="dot" w:pos="9016"/>
            </w:tabs>
            <w:rPr>
              <w:rFonts w:eastAsiaTheme="minorEastAsia"/>
              <w:noProof/>
              <w:lang w:eastAsia="en-IN"/>
            </w:rPr>
          </w:pPr>
          <w:hyperlink w:anchor="_Toc128518341" w:history="1">
            <w:r w:rsidRPr="00737B2C">
              <w:rPr>
                <w:rStyle w:val="Hyperlink"/>
                <w:noProof/>
              </w:rPr>
              <w:t>Banks size</w:t>
            </w:r>
            <w:r>
              <w:rPr>
                <w:noProof/>
                <w:webHidden/>
              </w:rPr>
              <w:tab/>
            </w:r>
            <w:r>
              <w:rPr>
                <w:noProof/>
                <w:webHidden/>
              </w:rPr>
              <w:fldChar w:fldCharType="begin"/>
            </w:r>
            <w:r>
              <w:rPr>
                <w:noProof/>
                <w:webHidden/>
              </w:rPr>
              <w:instrText xml:space="preserve"> PAGEREF _Toc128518341 \h </w:instrText>
            </w:r>
            <w:r>
              <w:rPr>
                <w:noProof/>
                <w:webHidden/>
              </w:rPr>
            </w:r>
            <w:r>
              <w:rPr>
                <w:noProof/>
                <w:webHidden/>
              </w:rPr>
              <w:fldChar w:fldCharType="separate"/>
            </w:r>
            <w:r>
              <w:rPr>
                <w:noProof/>
                <w:webHidden/>
              </w:rPr>
              <w:t>10</w:t>
            </w:r>
            <w:r>
              <w:rPr>
                <w:noProof/>
                <w:webHidden/>
              </w:rPr>
              <w:fldChar w:fldCharType="end"/>
            </w:r>
          </w:hyperlink>
        </w:p>
        <w:p w:rsidR="00B076B9" w:rsidRDefault="00B076B9">
          <w:pPr>
            <w:pStyle w:val="TOC2"/>
            <w:tabs>
              <w:tab w:val="right" w:leader="dot" w:pos="9016"/>
            </w:tabs>
            <w:rPr>
              <w:rFonts w:eastAsiaTheme="minorEastAsia"/>
              <w:noProof/>
              <w:lang w:eastAsia="en-IN"/>
            </w:rPr>
          </w:pPr>
          <w:hyperlink w:anchor="_Toc128518342" w:history="1">
            <w:r w:rsidRPr="00737B2C">
              <w:rPr>
                <w:rStyle w:val="Hyperlink"/>
                <w:noProof/>
              </w:rPr>
              <w:t>Credit quality</w:t>
            </w:r>
            <w:r>
              <w:rPr>
                <w:noProof/>
                <w:webHidden/>
              </w:rPr>
              <w:tab/>
            </w:r>
            <w:r>
              <w:rPr>
                <w:noProof/>
                <w:webHidden/>
              </w:rPr>
              <w:fldChar w:fldCharType="begin"/>
            </w:r>
            <w:r>
              <w:rPr>
                <w:noProof/>
                <w:webHidden/>
              </w:rPr>
              <w:instrText xml:space="preserve"> PAGEREF _Toc128518342 \h </w:instrText>
            </w:r>
            <w:r>
              <w:rPr>
                <w:noProof/>
                <w:webHidden/>
              </w:rPr>
            </w:r>
            <w:r>
              <w:rPr>
                <w:noProof/>
                <w:webHidden/>
              </w:rPr>
              <w:fldChar w:fldCharType="separate"/>
            </w:r>
            <w:r>
              <w:rPr>
                <w:noProof/>
                <w:webHidden/>
              </w:rPr>
              <w:t>11</w:t>
            </w:r>
            <w:r>
              <w:rPr>
                <w:noProof/>
                <w:webHidden/>
              </w:rPr>
              <w:fldChar w:fldCharType="end"/>
            </w:r>
          </w:hyperlink>
        </w:p>
        <w:p w:rsidR="00B076B9" w:rsidRDefault="00B076B9">
          <w:pPr>
            <w:pStyle w:val="TOC2"/>
            <w:tabs>
              <w:tab w:val="right" w:leader="dot" w:pos="9016"/>
            </w:tabs>
            <w:rPr>
              <w:rFonts w:eastAsiaTheme="minorEastAsia"/>
              <w:noProof/>
              <w:lang w:eastAsia="en-IN"/>
            </w:rPr>
          </w:pPr>
          <w:hyperlink w:anchor="_Toc128518343" w:history="1">
            <w:r w:rsidRPr="00737B2C">
              <w:rPr>
                <w:rStyle w:val="Hyperlink"/>
                <w:noProof/>
              </w:rPr>
              <w:t>Bank Liquidity</w:t>
            </w:r>
            <w:r>
              <w:rPr>
                <w:noProof/>
                <w:webHidden/>
              </w:rPr>
              <w:tab/>
            </w:r>
            <w:r>
              <w:rPr>
                <w:noProof/>
                <w:webHidden/>
              </w:rPr>
              <w:fldChar w:fldCharType="begin"/>
            </w:r>
            <w:r>
              <w:rPr>
                <w:noProof/>
                <w:webHidden/>
              </w:rPr>
              <w:instrText xml:space="preserve"> PAGEREF _Toc128518343 \h </w:instrText>
            </w:r>
            <w:r>
              <w:rPr>
                <w:noProof/>
                <w:webHidden/>
              </w:rPr>
            </w:r>
            <w:r>
              <w:rPr>
                <w:noProof/>
                <w:webHidden/>
              </w:rPr>
              <w:fldChar w:fldCharType="separate"/>
            </w:r>
            <w:r>
              <w:rPr>
                <w:noProof/>
                <w:webHidden/>
              </w:rPr>
              <w:t>12</w:t>
            </w:r>
            <w:r>
              <w:rPr>
                <w:noProof/>
                <w:webHidden/>
              </w:rPr>
              <w:fldChar w:fldCharType="end"/>
            </w:r>
          </w:hyperlink>
        </w:p>
        <w:p w:rsidR="00B076B9" w:rsidRDefault="00B076B9">
          <w:pPr>
            <w:pStyle w:val="TOC2"/>
            <w:tabs>
              <w:tab w:val="right" w:leader="dot" w:pos="9016"/>
            </w:tabs>
            <w:rPr>
              <w:rFonts w:eastAsiaTheme="minorEastAsia"/>
              <w:noProof/>
              <w:lang w:eastAsia="en-IN"/>
            </w:rPr>
          </w:pPr>
          <w:hyperlink w:anchor="_Toc128518344" w:history="1">
            <w:r w:rsidRPr="00737B2C">
              <w:rPr>
                <w:rStyle w:val="Hyperlink"/>
                <w:noProof/>
              </w:rPr>
              <w:t>TOTAL INTEREST INCOME</w:t>
            </w:r>
            <w:r>
              <w:rPr>
                <w:noProof/>
                <w:webHidden/>
              </w:rPr>
              <w:tab/>
            </w:r>
            <w:r>
              <w:rPr>
                <w:noProof/>
                <w:webHidden/>
              </w:rPr>
              <w:fldChar w:fldCharType="begin"/>
            </w:r>
            <w:r>
              <w:rPr>
                <w:noProof/>
                <w:webHidden/>
              </w:rPr>
              <w:instrText xml:space="preserve"> PAGEREF _Toc128518344 \h </w:instrText>
            </w:r>
            <w:r>
              <w:rPr>
                <w:noProof/>
                <w:webHidden/>
              </w:rPr>
            </w:r>
            <w:r>
              <w:rPr>
                <w:noProof/>
                <w:webHidden/>
              </w:rPr>
              <w:fldChar w:fldCharType="separate"/>
            </w:r>
            <w:r>
              <w:rPr>
                <w:noProof/>
                <w:webHidden/>
              </w:rPr>
              <w:t>13</w:t>
            </w:r>
            <w:r>
              <w:rPr>
                <w:noProof/>
                <w:webHidden/>
              </w:rPr>
              <w:fldChar w:fldCharType="end"/>
            </w:r>
          </w:hyperlink>
        </w:p>
        <w:p w:rsidR="00B076B9" w:rsidRDefault="00B076B9">
          <w:pPr>
            <w:pStyle w:val="TOC2"/>
            <w:tabs>
              <w:tab w:val="right" w:leader="dot" w:pos="9016"/>
            </w:tabs>
            <w:rPr>
              <w:rFonts w:eastAsiaTheme="minorEastAsia"/>
              <w:noProof/>
              <w:lang w:eastAsia="en-IN"/>
            </w:rPr>
          </w:pPr>
          <w:hyperlink w:anchor="_Toc128518345" w:history="1">
            <w:r w:rsidRPr="00737B2C">
              <w:rPr>
                <w:rStyle w:val="Hyperlink"/>
                <w:noProof/>
              </w:rPr>
              <w:t>Non-performing loans</w:t>
            </w:r>
            <w:r>
              <w:rPr>
                <w:noProof/>
                <w:webHidden/>
              </w:rPr>
              <w:tab/>
            </w:r>
            <w:r>
              <w:rPr>
                <w:noProof/>
                <w:webHidden/>
              </w:rPr>
              <w:fldChar w:fldCharType="begin"/>
            </w:r>
            <w:r>
              <w:rPr>
                <w:noProof/>
                <w:webHidden/>
              </w:rPr>
              <w:instrText xml:space="preserve"> PAGEREF _Toc128518345 \h </w:instrText>
            </w:r>
            <w:r>
              <w:rPr>
                <w:noProof/>
                <w:webHidden/>
              </w:rPr>
            </w:r>
            <w:r>
              <w:rPr>
                <w:noProof/>
                <w:webHidden/>
              </w:rPr>
              <w:fldChar w:fldCharType="separate"/>
            </w:r>
            <w:r>
              <w:rPr>
                <w:noProof/>
                <w:webHidden/>
              </w:rPr>
              <w:t>13</w:t>
            </w:r>
            <w:r>
              <w:rPr>
                <w:noProof/>
                <w:webHidden/>
              </w:rPr>
              <w:fldChar w:fldCharType="end"/>
            </w:r>
          </w:hyperlink>
        </w:p>
        <w:p w:rsidR="00B076B9" w:rsidRDefault="00B076B9">
          <w:pPr>
            <w:pStyle w:val="TOC2"/>
            <w:tabs>
              <w:tab w:val="right" w:leader="dot" w:pos="9016"/>
            </w:tabs>
            <w:rPr>
              <w:rFonts w:eastAsiaTheme="minorEastAsia"/>
              <w:noProof/>
              <w:lang w:eastAsia="en-IN"/>
            </w:rPr>
          </w:pPr>
          <w:hyperlink w:anchor="_Toc128518346" w:history="1">
            <w:r w:rsidRPr="00737B2C">
              <w:rPr>
                <w:rStyle w:val="Hyperlink"/>
                <w:noProof/>
              </w:rPr>
              <w:t>Operating Expenditure</w:t>
            </w:r>
            <w:r>
              <w:rPr>
                <w:noProof/>
                <w:webHidden/>
              </w:rPr>
              <w:tab/>
            </w:r>
            <w:r>
              <w:rPr>
                <w:noProof/>
                <w:webHidden/>
              </w:rPr>
              <w:fldChar w:fldCharType="begin"/>
            </w:r>
            <w:r>
              <w:rPr>
                <w:noProof/>
                <w:webHidden/>
              </w:rPr>
              <w:instrText xml:space="preserve"> PAGEREF _Toc128518346 \h </w:instrText>
            </w:r>
            <w:r>
              <w:rPr>
                <w:noProof/>
                <w:webHidden/>
              </w:rPr>
            </w:r>
            <w:r>
              <w:rPr>
                <w:noProof/>
                <w:webHidden/>
              </w:rPr>
              <w:fldChar w:fldCharType="separate"/>
            </w:r>
            <w:r>
              <w:rPr>
                <w:noProof/>
                <w:webHidden/>
              </w:rPr>
              <w:t>14</w:t>
            </w:r>
            <w:r>
              <w:rPr>
                <w:noProof/>
                <w:webHidden/>
              </w:rPr>
              <w:fldChar w:fldCharType="end"/>
            </w:r>
          </w:hyperlink>
        </w:p>
        <w:p w:rsidR="00B076B9" w:rsidRDefault="00B076B9">
          <w:pPr>
            <w:pStyle w:val="TOC2"/>
            <w:tabs>
              <w:tab w:val="right" w:leader="dot" w:pos="9016"/>
            </w:tabs>
            <w:rPr>
              <w:rFonts w:eastAsiaTheme="minorEastAsia"/>
              <w:noProof/>
              <w:lang w:eastAsia="en-IN"/>
            </w:rPr>
          </w:pPr>
          <w:hyperlink w:anchor="_Toc128518347" w:history="1">
            <w:r w:rsidRPr="00737B2C">
              <w:rPr>
                <w:rStyle w:val="Hyperlink"/>
                <w:noProof/>
              </w:rPr>
              <w:t>Inflation</w:t>
            </w:r>
            <w:r>
              <w:rPr>
                <w:noProof/>
                <w:webHidden/>
              </w:rPr>
              <w:tab/>
            </w:r>
            <w:r>
              <w:rPr>
                <w:noProof/>
                <w:webHidden/>
              </w:rPr>
              <w:fldChar w:fldCharType="begin"/>
            </w:r>
            <w:r>
              <w:rPr>
                <w:noProof/>
                <w:webHidden/>
              </w:rPr>
              <w:instrText xml:space="preserve"> PAGEREF _Toc128518347 \h </w:instrText>
            </w:r>
            <w:r>
              <w:rPr>
                <w:noProof/>
                <w:webHidden/>
              </w:rPr>
            </w:r>
            <w:r>
              <w:rPr>
                <w:noProof/>
                <w:webHidden/>
              </w:rPr>
              <w:fldChar w:fldCharType="separate"/>
            </w:r>
            <w:r>
              <w:rPr>
                <w:noProof/>
                <w:webHidden/>
              </w:rPr>
              <w:t>15</w:t>
            </w:r>
            <w:r>
              <w:rPr>
                <w:noProof/>
                <w:webHidden/>
              </w:rPr>
              <w:fldChar w:fldCharType="end"/>
            </w:r>
          </w:hyperlink>
        </w:p>
        <w:p w:rsidR="00B076B9" w:rsidRDefault="00B076B9">
          <w:pPr>
            <w:pStyle w:val="TOC2"/>
            <w:tabs>
              <w:tab w:val="right" w:leader="dot" w:pos="9016"/>
            </w:tabs>
            <w:rPr>
              <w:rFonts w:eastAsiaTheme="minorEastAsia"/>
              <w:noProof/>
              <w:lang w:eastAsia="en-IN"/>
            </w:rPr>
          </w:pPr>
          <w:hyperlink w:anchor="_Toc128518348" w:history="1">
            <w:r w:rsidRPr="00737B2C">
              <w:rPr>
                <w:rStyle w:val="Hyperlink"/>
                <w:noProof/>
              </w:rPr>
              <w:t>GDP Growth rate</w:t>
            </w:r>
            <w:r>
              <w:rPr>
                <w:noProof/>
                <w:webHidden/>
              </w:rPr>
              <w:tab/>
            </w:r>
            <w:r>
              <w:rPr>
                <w:noProof/>
                <w:webHidden/>
              </w:rPr>
              <w:fldChar w:fldCharType="begin"/>
            </w:r>
            <w:r>
              <w:rPr>
                <w:noProof/>
                <w:webHidden/>
              </w:rPr>
              <w:instrText xml:space="preserve"> PAGEREF _Toc128518348 \h </w:instrText>
            </w:r>
            <w:r>
              <w:rPr>
                <w:noProof/>
                <w:webHidden/>
              </w:rPr>
            </w:r>
            <w:r>
              <w:rPr>
                <w:noProof/>
                <w:webHidden/>
              </w:rPr>
              <w:fldChar w:fldCharType="separate"/>
            </w:r>
            <w:r>
              <w:rPr>
                <w:noProof/>
                <w:webHidden/>
              </w:rPr>
              <w:t>16</w:t>
            </w:r>
            <w:r>
              <w:rPr>
                <w:noProof/>
                <w:webHidden/>
              </w:rPr>
              <w:fldChar w:fldCharType="end"/>
            </w:r>
          </w:hyperlink>
        </w:p>
        <w:p w:rsidR="00B076B9" w:rsidRDefault="00B076B9">
          <w:pPr>
            <w:pStyle w:val="TOC2"/>
            <w:tabs>
              <w:tab w:val="right" w:leader="dot" w:pos="9016"/>
            </w:tabs>
            <w:rPr>
              <w:rFonts w:eastAsiaTheme="minorEastAsia"/>
              <w:noProof/>
              <w:lang w:eastAsia="en-IN"/>
            </w:rPr>
          </w:pPr>
          <w:hyperlink w:anchor="_Toc128518349" w:history="1">
            <w:r w:rsidRPr="00737B2C">
              <w:rPr>
                <w:rStyle w:val="Hyperlink"/>
                <w:noProof/>
              </w:rPr>
              <w:t>Equity Capital</w:t>
            </w:r>
            <w:r>
              <w:rPr>
                <w:noProof/>
                <w:webHidden/>
              </w:rPr>
              <w:tab/>
            </w:r>
            <w:r>
              <w:rPr>
                <w:noProof/>
                <w:webHidden/>
              </w:rPr>
              <w:fldChar w:fldCharType="begin"/>
            </w:r>
            <w:r>
              <w:rPr>
                <w:noProof/>
                <w:webHidden/>
              </w:rPr>
              <w:instrText xml:space="preserve"> PAGEREF _Toc128518349 \h </w:instrText>
            </w:r>
            <w:r>
              <w:rPr>
                <w:noProof/>
                <w:webHidden/>
              </w:rPr>
            </w:r>
            <w:r>
              <w:rPr>
                <w:noProof/>
                <w:webHidden/>
              </w:rPr>
              <w:fldChar w:fldCharType="separate"/>
            </w:r>
            <w:r>
              <w:rPr>
                <w:noProof/>
                <w:webHidden/>
              </w:rPr>
              <w:t>16</w:t>
            </w:r>
            <w:r>
              <w:rPr>
                <w:noProof/>
                <w:webHidden/>
              </w:rPr>
              <w:fldChar w:fldCharType="end"/>
            </w:r>
          </w:hyperlink>
        </w:p>
        <w:p w:rsidR="00B076B9" w:rsidRDefault="00B076B9">
          <w:pPr>
            <w:pStyle w:val="TOC1"/>
            <w:tabs>
              <w:tab w:val="right" w:leader="dot" w:pos="9016"/>
            </w:tabs>
            <w:rPr>
              <w:rFonts w:eastAsiaTheme="minorEastAsia"/>
              <w:noProof/>
              <w:lang w:eastAsia="en-IN"/>
            </w:rPr>
          </w:pPr>
          <w:hyperlink w:anchor="_Toc128518350" w:history="1">
            <w:r w:rsidRPr="00737B2C">
              <w:rPr>
                <w:rStyle w:val="Hyperlink"/>
                <w:noProof/>
              </w:rPr>
              <w:t>Conceptual Framework</w:t>
            </w:r>
            <w:r>
              <w:rPr>
                <w:noProof/>
                <w:webHidden/>
              </w:rPr>
              <w:tab/>
            </w:r>
            <w:r>
              <w:rPr>
                <w:noProof/>
                <w:webHidden/>
              </w:rPr>
              <w:fldChar w:fldCharType="begin"/>
            </w:r>
            <w:r>
              <w:rPr>
                <w:noProof/>
                <w:webHidden/>
              </w:rPr>
              <w:instrText xml:space="preserve"> PAGEREF _Toc128518350 \h </w:instrText>
            </w:r>
            <w:r>
              <w:rPr>
                <w:noProof/>
                <w:webHidden/>
              </w:rPr>
            </w:r>
            <w:r>
              <w:rPr>
                <w:noProof/>
                <w:webHidden/>
              </w:rPr>
              <w:fldChar w:fldCharType="separate"/>
            </w:r>
            <w:r>
              <w:rPr>
                <w:noProof/>
                <w:webHidden/>
              </w:rPr>
              <w:t>19</w:t>
            </w:r>
            <w:r>
              <w:rPr>
                <w:noProof/>
                <w:webHidden/>
              </w:rPr>
              <w:fldChar w:fldCharType="end"/>
            </w:r>
          </w:hyperlink>
        </w:p>
        <w:p w:rsidR="00B076B9" w:rsidRDefault="00B076B9">
          <w:pPr>
            <w:pStyle w:val="TOC1"/>
            <w:tabs>
              <w:tab w:val="right" w:leader="dot" w:pos="9016"/>
            </w:tabs>
            <w:rPr>
              <w:rFonts w:eastAsiaTheme="minorEastAsia"/>
              <w:noProof/>
              <w:lang w:eastAsia="en-IN"/>
            </w:rPr>
          </w:pPr>
          <w:hyperlink w:anchor="_Toc128518351" w:history="1">
            <w:r w:rsidRPr="00737B2C">
              <w:rPr>
                <w:rStyle w:val="Hyperlink"/>
                <w:noProof/>
              </w:rPr>
              <w:t>Part – III</w:t>
            </w:r>
            <w:r>
              <w:rPr>
                <w:noProof/>
                <w:webHidden/>
              </w:rPr>
              <w:tab/>
            </w:r>
            <w:r>
              <w:rPr>
                <w:noProof/>
                <w:webHidden/>
              </w:rPr>
              <w:fldChar w:fldCharType="begin"/>
            </w:r>
            <w:r>
              <w:rPr>
                <w:noProof/>
                <w:webHidden/>
              </w:rPr>
              <w:instrText xml:space="preserve"> PAGEREF _Toc128518351 \h </w:instrText>
            </w:r>
            <w:r>
              <w:rPr>
                <w:noProof/>
                <w:webHidden/>
              </w:rPr>
            </w:r>
            <w:r>
              <w:rPr>
                <w:noProof/>
                <w:webHidden/>
              </w:rPr>
              <w:fldChar w:fldCharType="separate"/>
            </w:r>
            <w:r>
              <w:rPr>
                <w:noProof/>
                <w:webHidden/>
              </w:rPr>
              <w:t>20</w:t>
            </w:r>
            <w:r>
              <w:rPr>
                <w:noProof/>
                <w:webHidden/>
              </w:rPr>
              <w:fldChar w:fldCharType="end"/>
            </w:r>
          </w:hyperlink>
        </w:p>
        <w:p w:rsidR="00B076B9" w:rsidRDefault="00B076B9">
          <w:pPr>
            <w:pStyle w:val="TOC2"/>
            <w:tabs>
              <w:tab w:val="right" w:leader="dot" w:pos="9016"/>
            </w:tabs>
            <w:rPr>
              <w:rFonts w:eastAsiaTheme="minorEastAsia"/>
              <w:noProof/>
              <w:lang w:eastAsia="en-IN"/>
            </w:rPr>
          </w:pPr>
          <w:hyperlink w:anchor="_Toc128518352" w:history="1">
            <w:r w:rsidRPr="00737B2C">
              <w:rPr>
                <w:rStyle w:val="Hyperlink"/>
                <w:noProof/>
              </w:rPr>
              <w:t>Research Methodology</w:t>
            </w:r>
            <w:r>
              <w:rPr>
                <w:noProof/>
                <w:webHidden/>
              </w:rPr>
              <w:tab/>
            </w:r>
            <w:r>
              <w:rPr>
                <w:noProof/>
                <w:webHidden/>
              </w:rPr>
              <w:fldChar w:fldCharType="begin"/>
            </w:r>
            <w:r>
              <w:rPr>
                <w:noProof/>
                <w:webHidden/>
              </w:rPr>
              <w:instrText xml:space="preserve"> PAGEREF _Toc128518352 \h </w:instrText>
            </w:r>
            <w:r>
              <w:rPr>
                <w:noProof/>
                <w:webHidden/>
              </w:rPr>
            </w:r>
            <w:r>
              <w:rPr>
                <w:noProof/>
                <w:webHidden/>
              </w:rPr>
              <w:fldChar w:fldCharType="separate"/>
            </w:r>
            <w:r>
              <w:rPr>
                <w:noProof/>
                <w:webHidden/>
              </w:rPr>
              <w:t>20</w:t>
            </w:r>
            <w:r>
              <w:rPr>
                <w:noProof/>
                <w:webHidden/>
              </w:rPr>
              <w:fldChar w:fldCharType="end"/>
            </w:r>
          </w:hyperlink>
        </w:p>
        <w:p w:rsidR="00B076B9" w:rsidRDefault="00B076B9">
          <w:pPr>
            <w:pStyle w:val="TOC2"/>
            <w:tabs>
              <w:tab w:val="right" w:leader="dot" w:pos="9016"/>
            </w:tabs>
            <w:rPr>
              <w:rFonts w:eastAsiaTheme="minorEastAsia"/>
              <w:noProof/>
              <w:lang w:eastAsia="en-IN"/>
            </w:rPr>
          </w:pPr>
          <w:hyperlink w:anchor="_Toc128518353" w:history="1">
            <w:r w:rsidRPr="00737B2C">
              <w:rPr>
                <w:rStyle w:val="Hyperlink"/>
                <w:noProof/>
              </w:rPr>
              <w:t>Regression model</w:t>
            </w:r>
            <w:r>
              <w:rPr>
                <w:noProof/>
                <w:webHidden/>
              </w:rPr>
              <w:tab/>
            </w:r>
            <w:r>
              <w:rPr>
                <w:noProof/>
                <w:webHidden/>
              </w:rPr>
              <w:fldChar w:fldCharType="begin"/>
            </w:r>
            <w:r>
              <w:rPr>
                <w:noProof/>
                <w:webHidden/>
              </w:rPr>
              <w:instrText xml:space="preserve"> PAGEREF _Toc128518353 \h </w:instrText>
            </w:r>
            <w:r>
              <w:rPr>
                <w:noProof/>
                <w:webHidden/>
              </w:rPr>
            </w:r>
            <w:r>
              <w:rPr>
                <w:noProof/>
                <w:webHidden/>
              </w:rPr>
              <w:fldChar w:fldCharType="separate"/>
            </w:r>
            <w:r>
              <w:rPr>
                <w:noProof/>
                <w:webHidden/>
              </w:rPr>
              <w:t>22</w:t>
            </w:r>
            <w:r>
              <w:rPr>
                <w:noProof/>
                <w:webHidden/>
              </w:rPr>
              <w:fldChar w:fldCharType="end"/>
            </w:r>
          </w:hyperlink>
        </w:p>
        <w:p w:rsidR="00B076B9" w:rsidRDefault="00B076B9">
          <w:pPr>
            <w:pStyle w:val="TOC2"/>
            <w:tabs>
              <w:tab w:val="right" w:leader="dot" w:pos="9016"/>
            </w:tabs>
            <w:rPr>
              <w:rFonts w:eastAsiaTheme="minorEastAsia"/>
              <w:noProof/>
              <w:lang w:eastAsia="en-IN"/>
            </w:rPr>
          </w:pPr>
          <w:hyperlink w:anchor="_Toc128518354" w:history="1">
            <w:r w:rsidRPr="00737B2C">
              <w:rPr>
                <w:rStyle w:val="Hyperlink"/>
                <w:noProof/>
              </w:rPr>
              <w:t>Organization Analysis</w:t>
            </w:r>
            <w:r>
              <w:rPr>
                <w:noProof/>
                <w:webHidden/>
              </w:rPr>
              <w:tab/>
            </w:r>
            <w:r>
              <w:rPr>
                <w:noProof/>
                <w:webHidden/>
              </w:rPr>
              <w:fldChar w:fldCharType="begin"/>
            </w:r>
            <w:r>
              <w:rPr>
                <w:noProof/>
                <w:webHidden/>
              </w:rPr>
              <w:instrText xml:space="preserve"> PAGEREF _Toc128518354 \h </w:instrText>
            </w:r>
            <w:r>
              <w:rPr>
                <w:noProof/>
                <w:webHidden/>
              </w:rPr>
            </w:r>
            <w:r>
              <w:rPr>
                <w:noProof/>
                <w:webHidden/>
              </w:rPr>
              <w:fldChar w:fldCharType="separate"/>
            </w:r>
            <w:r>
              <w:rPr>
                <w:noProof/>
                <w:webHidden/>
              </w:rPr>
              <w:t>22</w:t>
            </w:r>
            <w:r>
              <w:rPr>
                <w:noProof/>
                <w:webHidden/>
              </w:rPr>
              <w:fldChar w:fldCharType="end"/>
            </w:r>
          </w:hyperlink>
        </w:p>
        <w:p w:rsidR="00B076B9" w:rsidRDefault="00B076B9">
          <w:pPr>
            <w:pStyle w:val="TOC2"/>
            <w:tabs>
              <w:tab w:val="right" w:leader="dot" w:pos="9016"/>
            </w:tabs>
            <w:rPr>
              <w:rFonts w:eastAsiaTheme="minorEastAsia"/>
              <w:noProof/>
              <w:lang w:eastAsia="en-IN"/>
            </w:rPr>
          </w:pPr>
          <w:hyperlink w:anchor="_Toc128518355" w:history="1">
            <w:r w:rsidRPr="00737B2C">
              <w:rPr>
                <w:rStyle w:val="Hyperlink"/>
                <w:noProof/>
              </w:rPr>
              <w:t>Panel Data in Regression</w:t>
            </w:r>
            <w:r>
              <w:rPr>
                <w:noProof/>
                <w:webHidden/>
              </w:rPr>
              <w:tab/>
            </w:r>
            <w:r>
              <w:rPr>
                <w:noProof/>
                <w:webHidden/>
              </w:rPr>
              <w:fldChar w:fldCharType="begin"/>
            </w:r>
            <w:r>
              <w:rPr>
                <w:noProof/>
                <w:webHidden/>
              </w:rPr>
              <w:instrText xml:space="preserve"> PAGEREF _Toc128518355 \h </w:instrText>
            </w:r>
            <w:r>
              <w:rPr>
                <w:noProof/>
                <w:webHidden/>
              </w:rPr>
            </w:r>
            <w:r>
              <w:rPr>
                <w:noProof/>
                <w:webHidden/>
              </w:rPr>
              <w:fldChar w:fldCharType="separate"/>
            </w:r>
            <w:r>
              <w:rPr>
                <w:noProof/>
                <w:webHidden/>
              </w:rPr>
              <w:t>22</w:t>
            </w:r>
            <w:r>
              <w:rPr>
                <w:noProof/>
                <w:webHidden/>
              </w:rPr>
              <w:fldChar w:fldCharType="end"/>
            </w:r>
          </w:hyperlink>
        </w:p>
        <w:p w:rsidR="00B076B9" w:rsidRDefault="00B076B9">
          <w:pPr>
            <w:pStyle w:val="TOC1"/>
            <w:tabs>
              <w:tab w:val="right" w:leader="dot" w:pos="9016"/>
            </w:tabs>
            <w:rPr>
              <w:rFonts w:eastAsiaTheme="minorEastAsia"/>
              <w:noProof/>
              <w:lang w:eastAsia="en-IN"/>
            </w:rPr>
          </w:pPr>
          <w:hyperlink w:anchor="_Toc128518356" w:history="1">
            <w:r w:rsidRPr="00737B2C">
              <w:rPr>
                <w:rStyle w:val="Hyperlink"/>
                <w:noProof/>
              </w:rPr>
              <w:t>RESULTS AND DISCUSSIONS</w:t>
            </w:r>
            <w:r>
              <w:rPr>
                <w:noProof/>
                <w:webHidden/>
              </w:rPr>
              <w:tab/>
            </w:r>
            <w:r>
              <w:rPr>
                <w:noProof/>
                <w:webHidden/>
              </w:rPr>
              <w:fldChar w:fldCharType="begin"/>
            </w:r>
            <w:r>
              <w:rPr>
                <w:noProof/>
                <w:webHidden/>
              </w:rPr>
              <w:instrText xml:space="preserve"> PAGEREF _Toc128518356 \h </w:instrText>
            </w:r>
            <w:r>
              <w:rPr>
                <w:noProof/>
                <w:webHidden/>
              </w:rPr>
            </w:r>
            <w:r>
              <w:rPr>
                <w:noProof/>
                <w:webHidden/>
              </w:rPr>
              <w:fldChar w:fldCharType="separate"/>
            </w:r>
            <w:r>
              <w:rPr>
                <w:noProof/>
                <w:webHidden/>
              </w:rPr>
              <w:t>23</w:t>
            </w:r>
            <w:r>
              <w:rPr>
                <w:noProof/>
                <w:webHidden/>
              </w:rPr>
              <w:fldChar w:fldCharType="end"/>
            </w:r>
          </w:hyperlink>
        </w:p>
        <w:p w:rsidR="00B076B9" w:rsidRDefault="00B076B9">
          <w:pPr>
            <w:pStyle w:val="TOC1"/>
            <w:tabs>
              <w:tab w:val="right" w:leader="dot" w:pos="9016"/>
            </w:tabs>
            <w:rPr>
              <w:rFonts w:eastAsiaTheme="minorEastAsia"/>
              <w:noProof/>
              <w:lang w:eastAsia="en-IN"/>
            </w:rPr>
          </w:pPr>
          <w:hyperlink w:anchor="_Toc128518357" w:history="1">
            <w:r w:rsidRPr="00737B2C">
              <w:rPr>
                <w:rStyle w:val="Hyperlink"/>
                <w:noProof/>
              </w:rPr>
              <w:t>Model Summary</w:t>
            </w:r>
            <w:r>
              <w:rPr>
                <w:noProof/>
                <w:webHidden/>
              </w:rPr>
              <w:tab/>
            </w:r>
            <w:r>
              <w:rPr>
                <w:noProof/>
                <w:webHidden/>
              </w:rPr>
              <w:fldChar w:fldCharType="begin"/>
            </w:r>
            <w:r>
              <w:rPr>
                <w:noProof/>
                <w:webHidden/>
              </w:rPr>
              <w:instrText xml:space="preserve"> PAGEREF _Toc128518357 \h </w:instrText>
            </w:r>
            <w:r>
              <w:rPr>
                <w:noProof/>
                <w:webHidden/>
              </w:rPr>
            </w:r>
            <w:r>
              <w:rPr>
                <w:noProof/>
                <w:webHidden/>
              </w:rPr>
              <w:fldChar w:fldCharType="separate"/>
            </w:r>
            <w:r>
              <w:rPr>
                <w:noProof/>
                <w:webHidden/>
              </w:rPr>
              <w:t>27</w:t>
            </w:r>
            <w:r>
              <w:rPr>
                <w:noProof/>
                <w:webHidden/>
              </w:rPr>
              <w:fldChar w:fldCharType="end"/>
            </w:r>
          </w:hyperlink>
        </w:p>
        <w:p w:rsidR="00B076B9" w:rsidRDefault="00B076B9">
          <w:pPr>
            <w:pStyle w:val="TOC1"/>
            <w:tabs>
              <w:tab w:val="right" w:leader="dot" w:pos="9016"/>
            </w:tabs>
            <w:rPr>
              <w:rFonts w:eastAsiaTheme="minorEastAsia"/>
              <w:noProof/>
              <w:lang w:eastAsia="en-IN"/>
            </w:rPr>
          </w:pPr>
          <w:hyperlink w:anchor="_Toc128518358" w:history="1">
            <w:r w:rsidRPr="00737B2C">
              <w:rPr>
                <w:rStyle w:val="Hyperlink"/>
                <w:noProof/>
              </w:rPr>
              <w:t>Conclusions</w:t>
            </w:r>
            <w:r>
              <w:rPr>
                <w:noProof/>
                <w:webHidden/>
              </w:rPr>
              <w:tab/>
            </w:r>
            <w:r>
              <w:rPr>
                <w:noProof/>
                <w:webHidden/>
              </w:rPr>
              <w:fldChar w:fldCharType="begin"/>
            </w:r>
            <w:r>
              <w:rPr>
                <w:noProof/>
                <w:webHidden/>
              </w:rPr>
              <w:instrText xml:space="preserve"> PAGEREF _Toc128518358 \h </w:instrText>
            </w:r>
            <w:r>
              <w:rPr>
                <w:noProof/>
                <w:webHidden/>
              </w:rPr>
            </w:r>
            <w:r>
              <w:rPr>
                <w:noProof/>
                <w:webHidden/>
              </w:rPr>
              <w:fldChar w:fldCharType="separate"/>
            </w:r>
            <w:r>
              <w:rPr>
                <w:noProof/>
                <w:webHidden/>
              </w:rPr>
              <w:t>32</w:t>
            </w:r>
            <w:r>
              <w:rPr>
                <w:noProof/>
                <w:webHidden/>
              </w:rPr>
              <w:fldChar w:fldCharType="end"/>
            </w:r>
          </w:hyperlink>
        </w:p>
        <w:p w:rsidR="00B076B9" w:rsidRDefault="00B076B9">
          <w:pPr>
            <w:pStyle w:val="TOC1"/>
            <w:tabs>
              <w:tab w:val="right" w:leader="dot" w:pos="9016"/>
            </w:tabs>
            <w:rPr>
              <w:rFonts w:eastAsiaTheme="minorEastAsia"/>
              <w:noProof/>
              <w:lang w:eastAsia="en-IN"/>
            </w:rPr>
          </w:pPr>
          <w:hyperlink w:anchor="_Toc128518359" w:history="1">
            <w:r w:rsidRPr="00737B2C">
              <w:rPr>
                <w:rStyle w:val="Hyperlink"/>
                <w:noProof/>
              </w:rPr>
              <w:t>References</w:t>
            </w:r>
            <w:r>
              <w:rPr>
                <w:noProof/>
                <w:webHidden/>
              </w:rPr>
              <w:tab/>
            </w:r>
            <w:r>
              <w:rPr>
                <w:noProof/>
                <w:webHidden/>
              </w:rPr>
              <w:fldChar w:fldCharType="begin"/>
            </w:r>
            <w:r>
              <w:rPr>
                <w:noProof/>
                <w:webHidden/>
              </w:rPr>
              <w:instrText xml:space="preserve"> PAGEREF _Toc128518359 \h </w:instrText>
            </w:r>
            <w:r>
              <w:rPr>
                <w:noProof/>
                <w:webHidden/>
              </w:rPr>
            </w:r>
            <w:r>
              <w:rPr>
                <w:noProof/>
                <w:webHidden/>
              </w:rPr>
              <w:fldChar w:fldCharType="separate"/>
            </w:r>
            <w:r>
              <w:rPr>
                <w:noProof/>
                <w:webHidden/>
              </w:rPr>
              <w:t>33</w:t>
            </w:r>
            <w:r>
              <w:rPr>
                <w:noProof/>
                <w:webHidden/>
              </w:rPr>
              <w:fldChar w:fldCharType="end"/>
            </w:r>
          </w:hyperlink>
        </w:p>
        <w:p w:rsidR="00B076B9" w:rsidRDefault="00B076B9">
          <w:pPr>
            <w:pStyle w:val="TOC1"/>
            <w:tabs>
              <w:tab w:val="right" w:leader="dot" w:pos="9016"/>
            </w:tabs>
            <w:rPr>
              <w:rFonts w:eastAsiaTheme="minorEastAsia"/>
              <w:noProof/>
              <w:lang w:eastAsia="en-IN"/>
            </w:rPr>
          </w:pPr>
          <w:hyperlink w:anchor="_Toc128518360" w:history="1">
            <w:r w:rsidRPr="00737B2C">
              <w:rPr>
                <w:rStyle w:val="Hyperlink"/>
                <w:noProof/>
              </w:rPr>
              <w:t>Appendix</w:t>
            </w:r>
            <w:r>
              <w:rPr>
                <w:noProof/>
                <w:webHidden/>
              </w:rPr>
              <w:tab/>
            </w:r>
            <w:r>
              <w:rPr>
                <w:noProof/>
                <w:webHidden/>
              </w:rPr>
              <w:fldChar w:fldCharType="begin"/>
            </w:r>
            <w:r>
              <w:rPr>
                <w:noProof/>
                <w:webHidden/>
              </w:rPr>
              <w:instrText xml:space="preserve"> PAGEREF _Toc128518360 \h </w:instrText>
            </w:r>
            <w:r>
              <w:rPr>
                <w:noProof/>
                <w:webHidden/>
              </w:rPr>
            </w:r>
            <w:r>
              <w:rPr>
                <w:noProof/>
                <w:webHidden/>
              </w:rPr>
              <w:fldChar w:fldCharType="separate"/>
            </w:r>
            <w:r>
              <w:rPr>
                <w:noProof/>
                <w:webHidden/>
              </w:rPr>
              <w:t>37</w:t>
            </w:r>
            <w:r>
              <w:rPr>
                <w:noProof/>
                <w:webHidden/>
              </w:rPr>
              <w:fldChar w:fldCharType="end"/>
            </w:r>
          </w:hyperlink>
        </w:p>
        <w:p w:rsidR="00D17ABE" w:rsidRDefault="00D17ABE">
          <w:r>
            <w:rPr>
              <w:b/>
              <w:bCs/>
              <w:noProof/>
            </w:rPr>
            <w:fldChar w:fldCharType="end"/>
          </w:r>
        </w:p>
      </w:sdtContent>
    </w:sdt>
    <w:p w:rsidR="00675618" w:rsidRDefault="00675618"/>
    <w:p w:rsidR="00675618" w:rsidRDefault="00675618"/>
    <w:p w:rsidR="00675618" w:rsidRDefault="00675618"/>
    <w:p w:rsidR="00675618" w:rsidRDefault="00675618"/>
    <w:p w:rsidR="00DC4B07" w:rsidRDefault="00DC4B07"/>
    <w:p w:rsidR="00675618" w:rsidRDefault="00675618">
      <w:r>
        <w:tab/>
      </w:r>
      <w:r>
        <w:tab/>
      </w:r>
      <w:r>
        <w:tab/>
      </w:r>
      <w:r w:rsidR="00C060F6">
        <w:tab/>
      </w:r>
      <w:r>
        <w:tab/>
        <w:t>Acknowledgement</w:t>
      </w:r>
    </w:p>
    <w:p w:rsidR="00675618" w:rsidRDefault="00675618"/>
    <w:p w:rsidR="00675618" w:rsidRDefault="00675618">
      <w:r w:rsidRPr="00675618">
        <w:t>I hereby confirm that I have finished writing this literature review. I was able to conduct more extensive research because of my supervisor's support and his</w:t>
      </w:r>
      <w:r w:rsidR="00985716">
        <w:t xml:space="preserve"> ideas for my dissertation and </w:t>
      </w:r>
      <w:r w:rsidR="00985716" w:rsidRPr="00985716">
        <w:t>I sincerely</w:t>
      </w:r>
      <w:r w:rsidR="00985716">
        <w:t xml:space="preserve"> appreciate their help</w:t>
      </w:r>
      <w:r w:rsidRPr="00675618">
        <w:t>.</w:t>
      </w:r>
      <w:r>
        <w:t xml:space="preserve"> </w:t>
      </w:r>
      <w:r w:rsidRPr="00675618">
        <w:t>I want to thank my family, friends, and fellow classmates for their unwavering encouragement and compassion while I worked to correctly complete this research report.</w:t>
      </w:r>
      <w:r w:rsidR="009E62DC">
        <w:t xml:space="preserve"> </w:t>
      </w:r>
      <w:r w:rsidR="009E62DC" w:rsidRPr="009E62DC">
        <w:t>My comprehension has significantly improved as a result of my research and the helpful publications that aided me. I would like to express my sincere appreciation to the writers who assisted me in completing this research.</w:t>
      </w:r>
      <w:r w:rsidR="00C060F6">
        <w:t xml:space="preserve"> </w:t>
      </w:r>
      <w:r w:rsidR="00C060F6" w:rsidRPr="00C060F6">
        <w:t>I am pleased with the findings of this study and am confident that the information I have learned will be very helpful in making future career decisions.</w:t>
      </w:r>
    </w:p>
    <w:p w:rsidR="00675618" w:rsidRDefault="00675618"/>
    <w:p w:rsidR="00675618" w:rsidRDefault="00675618"/>
    <w:p w:rsidR="00675618" w:rsidRDefault="00675618"/>
    <w:p w:rsidR="00675618" w:rsidRDefault="00675618"/>
    <w:p w:rsidR="00675618" w:rsidRDefault="00675618"/>
    <w:p w:rsidR="00675618" w:rsidRDefault="00675618"/>
    <w:p w:rsidR="00675618" w:rsidRDefault="00675618"/>
    <w:p w:rsidR="00675618" w:rsidRDefault="00675618"/>
    <w:p w:rsidR="00675618" w:rsidRDefault="00675618"/>
    <w:p w:rsidR="00675618" w:rsidRDefault="00675618"/>
    <w:p w:rsidR="00675618" w:rsidRDefault="00675618"/>
    <w:p w:rsidR="00675618" w:rsidRDefault="00675618"/>
    <w:p w:rsidR="00675618" w:rsidRDefault="00675618"/>
    <w:p w:rsidR="00675618" w:rsidRDefault="00675618"/>
    <w:p w:rsidR="00675618" w:rsidRDefault="00675618"/>
    <w:p w:rsidR="00675618" w:rsidRDefault="00675618"/>
    <w:p w:rsidR="00675618" w:rsidRDefault="00675618"/>
    <w:p w:rsidR="00675618" w:rsidRDefault="00675618"/>
    <w:p w:rsidR="00675618" w:rsidRDefault="00675618"/>
    <w:p w:rsidR="00B910B2" w:rsidRDefault="00B910B2"/>
    <w:p w:rsidR="00985716" w:rsidRDefault="00985716"/>
    <w:p w:rsidR="00985716" w:rsidRDefault="00985716"/>
    <w:p w:rsidR="00675618" w:rsidRPr="004C56F9" w:rsidRDefault="00B33AE4" w:rsidP="00B910B2">
      <w:pPr>
        <w:pStyle w:val="Heading1"/>
      </w:pPr>
      <w:bookmarkStart w:id="1" w:name="_Toc128518332"/>
      <w:r w:rsidRPr="004C56F9">
        <w:lastRenderedPageBreak/>
        <w:t>Abstract</w:t>
      </w:r>
      <w:bookmarkEnd w:id="1"/>
      <w:r w:rsidRPr="004C56F9">
        <w:t xml:space="preserve"> </w:t>
      </w:r>
    </w:p>
    <w:p w:rsidR="00B33AE4" w:rsidRPr="004C56F9" w:rsidRDefault="00BC5D01">
      <w:pPr>
        <w:rPr>
          <w:sz w:val="24"/>
        </w:rPr>
      </w:pPr>
      <w:r>
        <w:rPr>
          <w:sz w:val="24"/>
        </w:rPr>
        <w:t>In this thesis</w:t>
      </w:r>
      <w:r w:rsidR="00B33AE4" w:rsidRPr="004C56F9">
        <w:rPr>
          <w:sz w:val="24"/>
        </w:rPr>
        <w:t xml:space="preserve">, we can find the determinants of banks profitability and how these determinants can be measured. And also how these determinants have impact on bank’s performance. I have taken the last 5 years data (2016-2021) of the major operating banks in United Kingdom such as HSBC, Lloyds, </w:t>
      </w:r>
      <w:r w:rsidR="00FF3116" w:rsidRPr="004C56F9">
        <w:rPr>
          <w:sz w:val="24"/>
        </w:rPr>
        <w:t>Barclays, NatWest, Standard Chartered and Santander. The researcher's goals was to accurately identify the important variables that might have an impact on a bank's profitability of the company and to provide some practical strategies for financial institutions to improve their capacity to maintain profits in light of the survey's findings and results. The investigator has gathered panel data consisting of 30 data focusing on the last 5 years' worth of data from the chosen 6 banks with respect to the chosen variables (dependent and independent) in order to accurately reflect the many factors that affect the bank's profitability.</w:t>
      </w:r>
    </w:p>
    <w:p w:rsidR="00103895" w:rsidRPr="004C56F9" w:rsidRDefault="00103895">
      <w:pPr>
        <w:rPr>
          <w:sz w:val="24"/>
        </w:rPr>
      </w:pPr>
      <w:r w:rsidRPr="004C56F9">
        <w:rPr>
          <w:sz w:val="24"/>
        </w:rPr>
        <w:t>Many elements, which may be divided into two categories: internal and external ones, have an impact on the profitability of banks. The size, asset quality, capital sufficiency, liquidity, effectiveness, and managerial calibre of the bank are some internal variables. Macroeconomic conditions, interest rates, market dynamics, and the legal frameworks are examples of external factors.</w:t>
      </w:r>
    </w:p>
    <w:p w:rsidR="00B33AE4" w:rsidRPr="004C56F9" w:rsidRDefault="00093AF0">
      <w:pPr>
        <w:rPr>
          <w:sz w:val="24"/>
        </w:rPr>
      </w:pPr>
      <w:r w:rsidRPr="004C56F9">
        <w:rPr>
          <w:sz w:val="24"/>
        </w:rPr>
        <w:t>By employing statistical methods, significant findings can be derived, such as the observation that loan amounts, asset sizes, interest income, and operational expenses exhibit substantial variation across banks, with significant deviations from the weighted mean. To ensure a bank's long-term prosperity, it is recommended that its liquidity, asset management, credit rating, and focus on non-interest revenue are all optimized. To examine how the selected factors impact capital adequacy, the study has opted to investigate their effects on the bank's ROA and ROE. These variables have a significant impact on the bank's profit margin, as evidenced by the coefficient of determination. However, NPL, operational expenses, and loans and advances have a negative correlation with the bank's profitability. Conversely, total interest and non-interest revenue, deposit amount, total asset size, and equity capital are all positively correlated with the bank's profitability.</w:t>
      </w:r>
    </w:p>
    <w:p w:rsidR="00B33AE4" w:rsidRPr="004C56F9" w:rsidRDefault="003F054F">
      <w:pPr>
        <w:rPr>
          <w:sz w:val="24"/>
        </w:rPr>
      </w:pPr>
      <w:r w:rsidRPr="004C56F9">
        <w:rPr>
          <w:sz w:val="24"/>
        </w:rPr>
        <w:t>In conclusion, both internal and external variables have an impact on a bank's profitability, and an excessive level of profitability can have both good and bad effects on a bank. Banks must combine short-term profits with long-term profitability and manage risks efficiently if they want to secure long-term profitability and sustainability.</w:t>
      </w:r>
    </w:p>
    <w:p w:rsidR="00B33AE4" w:rsidRDefault="00B33AE4"/>
    <w:p w:rsidR="00B910B2" w:rsidRDefault="00B910B2"/>
    <w:p w:rsidR="00B910B2" w:rsidRDefault="00B910B2"/>
    <w:p w:rsidR="00B910B2" w:rsidRDefault="00B910B2"/>
    <w:p w:rsidR="00B910B2" w:rsidRDefault="00B910B2"/>
    <w:p w:rsidR="00B910B2" w:rsidRDefault="00B910B2"/>
    <w:p w:rsidR="00675618" w:rsidRDefault="00675618"/>
    <w:p w:rsidR="001A6026" w:rsidRDefault="00421FB7" w:rsidP="00B910B2">
      <w:pPr>
        <w:pStyle w:val="Heading1"/>
      </w:pPr>
      <w:bookmarkStart w:id="2" w:name="_Toc128518333"/>
      <w:r>
        <w:lastRenderedPageBreak/>
        <w:t xml:space="preserve">Part 1: </w:t>
      </w:r>
      <w:r w:rsidR="008D6488">
        <w:t>Introduction</w:t>
      </w:r>
      <w:bookmarkEnd w:id="2"/>
    </w:p>
    <w:p w:rsidR="008D6488" w:rsidRPr="00D35B83" w:rsidRDefault="008D6488" w:rsidP="00B910B2">
      <w:pPr>
        <w:pStyle w:val="Heading2"/>
      </w:pPr>
      <w:bookmarkStart w:id="3" w:name="_Toc128518334"/>
      <w:r w:rsidRPr="00D35B83">
        <w:t>Research topic</w:t>
      </w:r>
      <w:bookmarkEnd w:id="3"/>
    </w:p>
    <w:p w:rsidR="008D6488" w:rsidRDefault="008D6488" w:rsidP="008D6488">
      <w:pPr>
        <w:rPr>
          <w:rFonts w:cstheme="minorHAnsi"/>
          <w:sz w:val="24"/>
          <w:szCs w:val="24"/>
        </w:rPr>
      </w:pPr>
      <w:r>
        <w:rPr>
          <w:rFonts w:cstheme="minorHAnsi"/>
          <w:sz w:val="24"/>
          <w:szCs w:val="24"/>
        </w:rPr>
        <w:t xml:space="preserve">As part of my coursework I have chosen the topic what are the determinants of banks profitability. Before going deep into the topic lets discuss what is meant by Banks profitability. </w:t>
      </w:r>
    </w:p>
    <w:p w:rsidR="008D6488" w:rsidRDefault="008D6488" w:rsidP="008D6488">
      <w:pPr>
        <w:rPr>
          <w:rFonts w:cstheme="minorHAnsi"/>
          <w:sz w:val="24"/>
          <w:szCs w:val="24"/>
        </w:rPr>
      </w:pPr>
      <w:r>
        <w:rPr>
          <w:rFonts w:cstheme="minorHAnsi"/>
          <w:sz w:val="24"/>
          <w:szCs w:val="24"/>
        </w:rPr>
        <w:t xml:space="preserve">Banks make the cash flow in and out. Investors deposit their money with the banks and they give them a medium interest. And banks lend loans to people at higher interest rates. </w:t>
      </w:r>
      <w:r w:rsidRPr="00D81328">
        <w:rPr>
          <w:rFonts w:cstheme="minorHAnsi"/>
          <w:sz w:val="24"/>
          <w:szCs w:val="24"/>
        </w:rPr>
        <w:t>Banks create money out from difference seen between borrowing costs they paid for savings and the interest rates they gain or collect from debtors because they charge interest on the loans they make. By putting their money in short-term assets like US Treasury bills, banks ma</w:t>
      </w:r>
      <w:r>
        <w:rPr>
          <w:rFonts w:cstheme="minorHAnsi"/>
          <w:sz w:val="24"/>
          <w:szCs w:val="24"/>
        </w:rPr>
        <w:t>y also receive interest revenue (Hans Wagner, 2021)</w:t>
      </w:r>
    </w:p>
    <w:p w:rsidR="008D6488" w:rsidRPr="00D35B83" w:rsidRDefault="008D6488" w:rsidP="00B910B2">
      <w:pPr>
        <w:pStyle w:val="Heading2"/>
      </w:pPr>
      <w:bookmarkStart w:id="4" w:name="_Toc128518335"/>
      <w:r w:rsidRPr="00D35B83">
        <w:t>Research history</w:t>
      </w:r>
      <w:bookmarkEnd w:id="4"/>
    </w:p>
    <w:p w:rsidR="008D6488" w:rsidRDefault="008D6488" w:rsidP="008D6488">
      <w:pPr>
        <w:rPr>
          <w:rFonts w:cstheme="minorHAnsi"/>
          <w:sz w:val="24"/>
          <w:szCs w:val="24"/>
        </w:rPr>
      </w:pPr>
      <w:r w:rsidRPr="00252D71">
        <w:rPr>
          <w:rFonts w:cstheme="minorHAnsi"/>
          <w:sz w:val="24"/>
          <w:szCs w:val="24"/>
        </w:rPr>
        <w:t xml:space="preserve">In the United Kingdom, there are a huge number of banks, and they are crucial to economic activity. Money is gathered by banks from individuals who have surplus to grant to those who are in need. </w:t>
      </w:r>
      <w:r>
        <w:rPr>
          <w:rFonts w:cstheme="minorHAnsi"/>
          <w:sz w:val="24"/>
          <w:szCs w:val="24"/>
        </w:rPr>
        <w:t xml:space="preserve">London was the financial capital of the world which consists of major banks of the world and also a major hub for Foreign Direct Index (FDI).  </w:t>
      </w:r>
      <w:r w:rsidRPr="007A673B">
        <w:rPr>
          <w:rFonts w:cstheme="minorHAnsi"/>
          <w:sz w:val="24"/>
          <w:szCs w:val="24"/>
        </w:rPr>
        <w:t>The amount of foreign direct investment (FDI) increased by 20% from 2017 to 2018, from $101 billion to $122 billion, notwithstanding the uncertainty surrounding the</w:t>
      </w:r>
      <w:r>
        <w:rPr>
          <w:rFonts w:cstheme="minorHAnsi"/>
          <w:sz w:val="24"/>
          <w:szCs w:val="24"/>
        </w:rPr>
        <w:t xml:space="preserve"> result of Brexit in past years (UK Finance). </w:t>
      </w:r>
    </w:p>
    <w:p w:rsidR="008D6488" w:rsidRDefault="008D6488" w:rsidP="008D6488">
      <w:pPr>
        <w:rPr>
          <w:rFonts w:cstheme="minorHAnsi"/>
          <w:sz w:val="24"/>
          <w:szCs w:val="24"/>
        </w:rPr>
      </w:pPr>
      <w:r w:rsidRPr="007A673B">
        <w:rPr>
          <w:rFonts w:cstheme="minorHAnsi"/>
          <w:sz w:val="24"/>
          <w:szCs w:val="24"/>
        </w:rPr>
        <w:t>Due to the presence of practically all of the major international banks in the UK and the dominance of UK-based companies like Barclays and Lloyds, the UK financial system ranks among the most active and competitive in the world.</w:t>
      </w:r>
      <w:r>
        <w:rPr>
          <w:rFonts w:cstheme="minorHAnsi"/>
          <w:sz w:val="24"/>
          <w:szCs w:val="24"/>
        </w:rPr>
        <w:t xml:space="preserve"> Day by day there is an increased competition in this sector. </w:t>
      </w:r>
      <w:r w:rsidRPr="007A673B">
        <w:rPr>
          <w:rFonts w:cstheme="minorHAnsi"/>
          <w:sz w:val="24"/>
          <w:szCs w:val="24"/>
        </w:rPr>
        <w:t>The</w:t>
      </w:r>
      <w:r>
        <w:rPr>
          <w:rFonts w:cstheme="minorHAnsi"/>
          <w:sz w:val="24"/>
          <w:szCs w:val="24"/>
        </w:rPr>
        <w:t xml:space="preserve"> Britain's finance industry is </w:t>
      </w:r>
      <w:r w:rsidRPr="007A673B">
        <w:rPr>
          <w:rFonts w:cstheme="minorHAnsi"/>
          <w:sz w:val="24"/>
          <w:szCs w:val="24"/>
        </w:rPr>
        <w:t>very strictly controlled following the 2007–2008 global recession, things have gotten ev</w:t>
      </w:r>
      <w:r>
        <w:rPr>
          <w:rFonts w:cstheme="minorHAnsi"/>
          <w:sz w:val="24"/>
          <w:szCs w:val="24"/>
        </w:rPr>
        <w:t>en tighter for the banks (Alper</w:t>
      </w:r>
      <w:r w:rsidRPr="007A673B">
        <w:rPr>
          <w:rFonts w:cstheme="minorHAnsi"/>
          <w:sz w:val="24"/>
          <w:szCs w:val="24"/>
        </w:rPr>
        <w:t xml:space="preserve"> and Anbar, 2011)</w:t>
      </w:r>
      <w:r>
        <w:rPr>
          <w:rFonts w:cstheme="minorHAnsi"/>
          <w:sz w:val="24"/>
          <w:szCs w:val="24"/>
        </w:rPr>
        <w:t xml:space="preserve">. </w:t>
      </w:r>
      <w:r w:rsidRPr="00936E8B">
        <w:rPr>
          <w:rFonts w:cstheme="minorHAnsi"/>
          <w:sz w:val="24"/>
          <w:szCs w:val="24"/>
        </w:rPr>
        <w:t>Although the new laws have been introduced banking systems' stability, they have also created new challenges for maintaining financial institutions' revenue.</w:t>
      </w:r>
      <w:r>
        <w:rPr>
          <w:rFonts w:cstheme="minorHAnsi"/>
          <w:sz w:val="24"/>
          <w:szCs w:val="24"/>
        </w:rPr>
        <w:t xml:space="preserve"> There are few determinants which have an effect on banks profitability. There are many components which contribute to the revenue of the banks and also few factors like macro (outside of the company) and micro (inside the company which can be controlled). The macro factors are such as inflation rates, exchange rates, economic growth etc. and the internal factors are bank leverage, bank size, bank liquidity etc. There is a direct link between the financial sector and country’s Gross Domestic Product. Any small disruption it can collapse country’s economy. </w:t>
      </w:r>
    </w:p>
    <w:p w:rsidR="008D6488" w:rsidRDefault="008D6488" w:rsidP="008D6488">
      <w:pPr>
        <w:rPr>
          <w:rFonts w:cstheme="minorHAnsi"/>
          <w:sz w:val="24"/>
          <w:szCs w:val="24"/>
        </w:rPr>
      </w:pPr>
      <w:r>
        <w:rPr>
          <w:rFonts w:cstheme="minorHAnsi"/>
          <w:sz w:val="24"/>
          <w:szCs w:val="24"/>
        </w:rPr>
        <w:t>Moreover, t</w:t>
      </w:r>
      <w:r w:rsidRPr="00DC57E2">
        <w:rPr>
          <w:rFonts w:cstheme="minorHAnsi"/>
          <w:sz w:val="24"/>
          <w:szCs w:val="24"/>
        </w:rPr>
        <w:t>he study has gathered data over the period consisting of 30 insights derived from the previous 5 years' amount of information from the chosen 6 banks about the chosen variables in order to clearly illustrate the many factors that drive the bank's profitability.</w:t>
      </w:r>
      <w:r>
        <w:rPr>
          <w:rFonts w:cstheme="minorHAnsi"/>
          <w:sz w:val="24"/>
          <w:szCs w:val="24"/>
        </w:rPr>
        <w:t xml:space="preserve"> This paper clearly illustrates the determinants of banks profitability which have to be carefully dealt with. I have taken 6 major banks of UK which are as follows HSBC, Ll</w:t>
      </w:r>
      <w:r w:rsidR="00586316">
        <w:rPr>
          <w:rFonts w:cstheme="minorHAnsi"/>
          <w:sz w:val="24"/>
          <w:szCs w:val="24"/>
        </w:rPr>
        <w:t xml:space="preserve">oyds, </w:t>
      </w:r>
      <w:r>
        <w:rPr>
          <w:rFonts w:cstheme="minorHAnsi"/>
          <w:sz w:val="24"/>
          <w:szCs w:val="24"/>
        </w:rPr>
        <w:t>Barclays, Standard Chartered, NatWest</w:t>
      </w:r>
      <w:r w:rsidR="00D8295F">
        <w:rPr>
          <w:rFonts w:cstheme="minorHAnsi"/>
          <w:sz w:val="24"/>
          <w:szCs w:val="24"/>
        </w:rPr>
        <w:t xml:space="preserve"> and Santander</w:t>
      </w:r>
      <w:r>
        <w:rPr>
          <w:rFonts w:cstheme="minorHAnsi"/>
          <w:sz w:val="24"/>
          <w:szCs w:val="24"/>
        </w:rPr>
        <w:t xml:space="preserve"> and how these determinants can have an impact on its profitability. </w:t>
      </w:r>
    </w:p>
    <w:p w:rsidR="008D6488" w:rsidRDefault="008D6488" w:rsidP="008D6488">
      <w:pPr>
        <w:rPr>
          <w:rFonts w:cstheme="minorHAnsi"/>
          <w:sz w:val="24"/>
          <w:szCs w:val="24"/>
        </w:rPr>
      </w:pPr>
    </w:p>
    <w:p w:rsidR="008D6488" w:rsidRDefault="008D6488" w:rsidP="00B910B2">
      <w:pPr>
        <w:pStyle w:val="Heading2"/>
      </w:pPr>
      <w:bookmarkStart w:id="5" w:name="_Toc128518336"/>
      <w:r w:rsidRPr="00D35B83">
        <w:lastRenderedPageBreak/>
        <w:t>Banking industry at the time of uncertainties</w:t>
      </w:r>
      <w:bookmarkEnd w:id="5"/>
      <w:r w:rsidRPr="00D35B83">
        <w:t xml:space="preserve"> </w:t>
      </w:r>
    </w:p>
    <w:p w:rsidR="005C5ECE" w:rsidRPr="005C5ECE" w:rsidRDefault="005C5ECE" w:rsidP="005C5ECE"/>
    <w:p w:rsidR="008D6488" w:rsidRPr="005C5ECE" w:rsidRDefault="008D6488" w:rsidP="008D6488">
      <w:pPr>
        <w:rPr>
          <w:rFonts w:cstheme="minorHAnsi"/>
          <w:b/>
          <w:sz w:val="24"/>
          <w:szCs w:val="24"/>
        </w:rPr>
      </w:pPr>
      <w:r w:rsidRPr="005C5ECE">
        <w:rPr>
          <w:rFonts w:cstheme="minorHAnsi"/>
          <w:b/>
          <w:sz w:val="24"/>
          <w:szCs w:val="24"/>
        </w:rPr>
        <w:t>Covid-19</w:t>
      </w:r>
    </w:p>
    <w:p w:rsidR="008D6488" w:rsidRDefault="008D6488" w:rsidP="008D6488">
      <w:pPr>
        <w:rPr>
          <w:rFonts w:cstheme="minorHAnsi"/>
          <w:sz w:val="24"/>
          <w:szCs w:val="24"/>
        </w:rPr>
      </w:pPr>
      <w:r>
        <w:rPr>
          <w:rFonts w:cstheme="minorHAnsi"/>
          <w:sz w:val="24"/>
          <w:szCs w:val="24"/>
        </w:rPr>
        <w:t xml:space="preserve">Due to rapid increase in technology, many banks went into paperless transactions. At the time of uncertainties like COVID-19, it helped more banks turn online banking to reach customers at their door step. </w:t>
      </w:r>
    </w:p>
    <w:p w:rsidR="008D6488" w:rsidRDefault="008D6488" w:rsidP="008D6488">
      <w:pPr>
        <w:rPr>
          <w:rFonts w:cstheme="minorHAnsi"/>
          <w:sz w:val="24"/>
          <w:szCs w:val="24"/>
        </w:rPr>
      </w:pPr>
      <w:r w:rsidRPr="00D81328">
        <w:rPr>
          <w:rFonts w:cstheme="minorHAnsi"/>
          <w:sz w:val="24"/>
          <w:szCs w:val="24"/>
        </w:rPr>
        <w:t>A country's payment costs may decrease in real terms when the accompanying direct costs for users of financial services are connected to the underlying differential costs of electronic vs paper-based transactions. According to Humphrey et al. (2006), a nation may achieve yearly savings of 1% of its gross domestic product (GDP) if it can switch from a paper-based to an electronic-based system and successfully replace standalone branch offices with ATMs. Therefore, while identifying the variables influencing bank performance, it is vital to take into consideration the innovation in financial services.</w:t>
      </w:r>
    </w:p>
    <w:p w:rsidR="008D6488" w:rsidRDefault="008D6488" w:rsidP="008D6488">
      <w:pPr>
        <w:rPr>
          <w:rFonts w:cstheme="minorHAnsi"/>
          <w:sz w:val="24"/>
          <w:szCs w:val="24"/>
        </w:rPr>
      </w:pPr>
      <w:r>
        <w:rPr>
          <w:rFonts w:cstheme="minorHAnsi"/>
          <w:sz w:val="24"/>
          <w:szCs w:val="24"/>
        </w:rPr>
        <w:t>For social sustainability bank profitability is important. The main goal of every business is to maximize the shareholder’s wealth and also making profits.</w:t>
      </w:r>
    </w:p>
    <w:p w:rsidR="008D6488" w:rsidRDefault="008D6488" w:rsidP="008D6488">
      <w:pPr>
        <w:rPr>
          <w:rFonts w:cstheme="minorHAnsi"/>
          <w:sz w:val="24"/>
          <w:szCs w:val="24"/>
        </w:rPr>
      </w:pPr>
      <w:r>
        <w:rPr>
          <w:rFonts w:cstheme="minorHAnsi"/>
          <w:sz w:val="24"/>
          <w:szCs w:val="24"/>
        </w:rPr>
        <w:t xml:space="preserve">Additionally, </w:t>
      </w:r>
      <w:proofErr w:type="spellStart"/>
      <w:r>
        <w:rPr>
          <w:rFonts w:cstheme="minorHAnsi"/>
          <w:sz w:val="24"/>
          <w:szCs w:val="24"/>
        </w:rPr>
        <w:t>Akhisar</w:t>
      </w:r>
      <w:proofErr w:type="spellEnd"/>
      <w:r>
        <w:rPr>
          <w:rFonts w:cstheme="minorHAnsi"/>
          <w:sz w:val="24"/>
          <w:szCs w:val="24"/>
        </w:rPr>
        <w:t xml:space="preserve"> </w:t>
      </w:r>
      <w:r w:rsidRPr="003A3D1C">
        <w:rPr>
          <w:rFonts w:cstheme="minorHAnsi"/>
          <w:sz w:val="24"/>
          <w:szCs w:val="24"/>
        </w:rPr>
        <w:t>(2015) could be among the rare outliers that looked at how advancement affected customer experience. Unfortunately, they were unable to deliver accurate evidence as the model typically overlooked statistical parameters relating to the government's attributes, such as the financial system's framework, the growth of the stock market, as well as other economic pressures. Instead, we combine four separate sets to create one dataset, enabling us to add sustainability initiatives in our model. Furthermore, when accounting for IT-based channels of banking services and products, it would give us a broader knowledge of the factors that affect net interest margin.</w:t>
      </w:r>
    </w:p>
    <w:p w:rsidR="008D6488" w:rsidRPr="005C5ECE" w:rsidRDefault="008D6488" w:rsidP="008D6488">
      <w:pPr>
        <w:rPr>
          <w:rFonts w:cstheme="minorHAnsi"/>
          <w:b/>
          <w:sz w:val="24"/>
          <w:szCs w:val="24"/>
        </w:rPr>
      </w:pPr>
      <w:r w:rsidRPr="005C5ECE">
        <w:rPr>
          <w:rFonts w:cstheme="minorHAnsi"/>
          <w:b/>
          <w:sz w:val="24"/>
          <w:szCs w:val="24"/>
        </w:rPr>
        <w:t>Brexit</w:t>
      </w:r>
    </w:p>
    <w:p w:rsidR="008D6488" w:rsidRDefault="008D6488" w:rsidP="008D6488">
      <w:pPr>
        <w:rPr>
          <w:rFonts w:cstheme="minorHAnsi"/>
          <w:sz w:val="24"/>
          <w:szCs w:val="24"/>
        </w:rPr>
      </w:pPr>
      <w:r w:rsidRPr="009F6822">
        <w:rPr>
          <w:rFonts w:cstheme="minorHAnsi"/>
          <w:sz w:val="24"/>
          <w:szCs w:val="24"/>
        </w:rPr>
        <w:t xml:space="preserve">The value of the pound decreased against the euro from its peak of €1.42 in </w:t>
      </w:r>
      <w:r>
        <w:rPr>
          <w:rFonts w:cstheme="minorHAnsi"/>
          <w:sz w:val="24"/>
          <w:szCs w:val="24"/>
        </w:rPr>
        <w:t>2015 to €1.10 following the BREXIT</w:t>
      </w:r>
      <w:r w:rsidRPr="009F6822">
        <w:rPr>
          <w:rFonts w:cstheme="minorHAnsi"/>
          <w:sz w:val="24"/>
          <w:szCs w:val="24"/>
        </w:rPr>
        <w:t xml:space="preserve"> in 2016, a decrease of 23% that was mostly sustained by the bottom lines of companies who depended on importers at the period of the election.</w:t>
      </w:r>
      <w:r>
        <w:rPr>
          <w:rFonts w:cstheme="minorHAnsi"/>
          <w:sz w:val="24"/>
          <w:szCs w:val="24"/>
        </w:rPr>
        <w:t xml:space="preserve"> </w:t>
      </w:r>
      <w:r w:rsidRPr="009F6822">
        <w:rPr>
          <w:rFonts w:cstheme="minorHAnsi"/>
          <w:sz w:val="24"/>
          <w:szCs w:val="24"/>
        </w:rPr>
        <w:t>The first factor to take into account when determining the source of rising prices maybe the clearest instance of how Brexit will have an impact—is Britain's highly competitive labour market.</w:t>
      </w:r>
    </w:p>
    <w:p w:rsidR="00CE3D70" w:rsidRDefault="00C532C0" w:rsidP="008D6488">
      <w:pPr>
        <w:rPr>
          <w:rFonts w:cstheme="minorHAnsi"/>
          <w:sz w:val="24"/>
          <w:szCs w:val="24"/>
        </w:rPr>
      </w:pPr>
      <w:r w:rsidRPr="00C532C0">
        <w:rPr>
          <w:rFonts w:cstheme="minorHAnsi"/>
          <w:sz w:val="24"/>
          <w:szCs w:val="24"/>
        </w:rPr>
        <w:t>Abbie Glossop (2021) reported that around 440 international banks have relocated their operations from the UK to the EU. Despite the fact that the UK received more funding than other European nations, there has been a significant decrease in international trade in financial service ventures. The decline has been attributed to the Covid-19 pandemic, raising the question of the true impact of Brexit on the UK financial markets</w:t>
      </w:r>
      <w:r w:rsidR="00CE3D70">
        <w:rPr>
          <w:rFonts w:cstheme="minorHAnsi"/>
          <w:sz w:val="24"/>
          <w:szCs w:val="24"/>
        </w:rPr>
        <w:t>.</w:t>
      </w:r>
    </w:p>
    <w:p w:rsidR="008D6488" w:rsidRDefault="008D6488" w:rsidP="008D6488">
      <w:pPr>
        <w:rPr>
          <w:rFonts w:cstheme="minorHAnsi"/>
          <w:sz w:val="24"/>
          <w:szCs w:val="24"/>
        </w:rPr>
      </w:pPr>
      <w:r w:rsidRPr="00803FDA">
        <w:rPr>
          <w:rFonts w:cstheme="minorHAnsi"/>
          <w:sz w:val="24"/>
          <w:szCs w:val="24"/>
        </w:rPr>
        <w:t xml:space="preserve">The findings show that macroeconomic indices have an impact on bank profitability in addition to internal/bank-specific factors. The results mostly support the broad conclusions of relevant research, but they also offer a current assessment of bank profitability in the UK just before Brexit. As a result of economies of scale for smaller banks and diseconomies for bigger banks, the research' conclusions suggest that the size of the banks has a detrimental </w:t>
      </w:r>
      <w:r w:rsidRPr="00803FDA">
        <w:rPr>
          <w:rFonts w:cstheme="minorHAnsi"/>
          <w:sz w:val="24"/>
          <w:szCs w:val="24"/>
        </w:rPr>
        <w:lastRenderedPageBreak/>
        <w:t>impact on their profitability. Furthermore, in terms of external macroeconomic factors, the sign of GDP per capital growth fluctuates and depends on profitability assessments. It is reasonable to believe that macroeconomic conditions have an impact on the banking sector's profitability.</w:t>
      </w:r>
      <w:r>
        <w:rPr>
          <w:rFonts w:cstheme="minorHAnsi"/>
          <w:sz w:val="24"/>
          <w:szCs w:val="24"/>
        </w:rPr>
        <w:t xml:space="preserve"> (</w:t>
      </w:r>
      <w:r w:rsidRPr="00803FDA">
        <w:rPr>
          <w:rFonts w:cstheme="minorHAnsi"/>
          <w:sz w:val="24"/>
          <w:szCs w:val="24"/>
        </w:rPr>
        <w:t xml:space="preserve">Chris Grose, Aglaia </w:t>
      </w:r>
      <w:proofErr w:type="spellStart"/>
      <w:r w:rsidRPr="00803FDA">
        <w:rPr>
          <w:rFonts w:cstheme="minorHAnsi"/>
          <w:sz w:val="24"/>
          <w:szCs w:val="24"/>
        </w:rPr>
        <w:t>Kanella</w:t>
      </w:r>
      <w:proofErr w:type="spellEnd"/>
      <w:r>
        <w:rPr>
          <w:rFonts w:cstheme="minorHAnsi"/>
          <w:sz w:val="24"/>
          <w:szCs w:val="24"/>
        </w:rPr>
        <w:t>)</w:t>
      </w:r>
    </w:p>
    <w:p w:rsidR="008D6488" w:rsidRPr="00D35B83" w:rsidRDefault="008D6488" w:rsidP="00B910B2">
      <w:pPr>
        <w:pStyle w:val="Heading2"/>
      </w:pPr>
      <w:bookmarkStart w:id="6" w:name="_Toc128518337"/>
      <w:r w:rsidRPr="00D35B83">
        <w:t>Research rationale</w:t>
      </w:r>
      <w:bookmarkEnd w:id="6"/>
    </w:p>
    <w:p w:rsidR="008D6488" w:rsidRDefault="008D6488" w:rsidP="008D6488">
      <w:pPr>
        <w:rPr>
          <w:rFonts w:cstheme="minorHAnsi"/>
          <w:sz w:val="24"/>
          <w:szCs w:val="24"/>
        </w:rPr>
      </w:pPr>
      <w:r>
        <w:rPr>
          <w:rFonts w:cstheme="minorHAnsi"/>
          <w:sz w:val="24"/>
          <w:szCs w:val="24"/>
        </w:rPr>
        <w:t xml:space="preserve">Each and every person have their own perceptivity. Moreover, the determinants of banks profitability have got many different definitions. And also the rules and regulations also changes from country to country. </w:t>
      </w:r>
      <w:r w:rsidRPr="003E06A5">
        <w:rPr>
          <w:rFonts w:cstheme="minorHAnsi"/>
          <w:sz w:val="24"/>
          <w:szCs w:val="24"/>
        </w:rPr>
        <w:t>According to Al-Jarrah (2010), there is a derogatory connotation between the lender and the quantity of non-performing loans, operational costs, and the proportion of borrowings.</w:t>
      </w:r>
      <w:r>
        <w:rPr>
          <w:rFonts w:cstheme="minorHAnsi"/>
          <w:sz w:val="24"/>
          <w:szCs w:val="24"/>
        </w:rPr>
        <w:t xml:space="preserve"> </w:t>
      </w:r>
      <w:r w:rsidRPr="003E06A5">
        <w:rPr>
          <w:rFonts w:cstheme="minorHAnsi"/>
          <w:sz w:val="24"/>
          <w:szCs w:val="24"/>
        </w:rPr>
        <w:t>According to Ahmad (2019), factors including assets, property speculation, off-balance sheet (OBS) activity, actual GDP growth, borrowing costs, and monopoly help banks be more profitable.</w:t>
      </w:r>
      <w:r>
        <w:rPr>
          <w:rFonts w:cstheme="minorHAnsi"/>
          <w:sz w:val="24"/>
          <w:szCs w:val="24"/>
        </w:rPr>
        <w:t xml:space="preserve"> </w:t>
      </w:r>
      <w:r w:rsidRPr="004436CF">
        <w:rPr>
          <w:rFonts w:cstheme="minorHAnsi"/>
          <w:sz w:val="24"/>
          <w:szCs w:val="24"/>
        </w:rPr>
        <w:t>Due to these inconsistent claims, the study chooses to conduct additional investigation to highlight the major factors that affect a bank's profitability and to describe their respective favourable and adverse effects.</w:t>
      </w:r>
      <w:r>
        <w:rPr>
          <w:rFonts w:cstheme="minorHAnsi"/>
          <w:sz w:val="24"/>
          <w:szCs w:val="24"/>
        </w:rPr>
        <w:t xml:space="preserve"> </w:t>
      </w:r>
      <w:r w:rsidRPr="004436CF">
        <w:rPr>
          <w:rFonts w:cstheme="minorHAnsi"/>
          <w:sz w:val="24"/>
          <w:szCs w:val="24"/>
        </w:rPr>
        <w:t>By conducting this study, the researcher was able to clearly explain the crucial variables that influence the accurate perform</w:t>
      </w:r>
      <w:r>
        <w:rPr>
          <w:rFonts w:cstheme="minorHAnsi"/>
          <w:sz w:val="24"/>
          <w:szCs w:val="24"/>
        </w:rPr>
        <w:t>ance of the six largest UK financial institutions</w:t>
      </w:r>
      <w:r w:rsidRPr="004436CF">
        <w:rPr>
          <w:rFonts w:cstheme="minorHAnsi"/>
          <w:sz w:val="24"/>
          <w:szCs w:val="24"/>
        </w:rPr>
        <w:t>.</w:t>
      </w:r>
    </w:p>
    <w:p w:rsidR="008D6488" w:rsidRDefault="00403F78" w:rsidP="008D6488">
      <w:pPr>
        <w:rPr>
          <w:rFonts w:cstheme="minorHAnsi"/>
          <w:sz w:val="24"/>
          <w:szCs w:val="24"/>
        </w:rPr>
      </w:pPr>
      <w:r w:rsidRPr="00403F78">
        <w:rPr>
          <w:rFonts w:cstheme="minorHAnsi"/>
          <w:sz w:val="24"/>
          <w:szCs w:val="24"/>
        </w:rPr>
        <w:t>The researcher opted to employ panel data in the regression model primarily because the dataset had diverse variables with distinct aspects over time, and the use of panel data allowed the researcher to capture all aspects of the dataset to determine how significantly the selected variables are associated with the bank's profitability</w:t>
      </w:r>
      <w:r>
        <w:rPr>
          <w:rFonts w:cstheme="minorHAnsi"/>
          <w:sz w:val="24"/>
          <w:szCs w:val="24"/>
        </w:rPr>
        <w:t xml:space="preserve">. </w:t>
      </w:r>
      <w:r w:rsidR="00F95416" w:rsidRPr="00F95416">
        <w:rPr>
          <w:rFonts w:cstheme="minorHAnsi"/>
          <w:sz w:val="24"/>
          <w:szCs w:val="24"/>
        </w:rPr>
        <w:t>The fact that the data that was gathered for this study is unstructured and lacks a defined range is another factor that led the researcher to decide to incorporate panel data into the regression model. As a result, the researcher was able to properly define the study's parameters and produce consistent results. Moreover, panel data has made it possible for the researcher to collect large datasets while also examining the diversity of the data sets and resolving the aggregation bias.</w:t>
      </w:r>
    </w:p>
    <w:p w:rsidR="008D6488" w:rsidRDefault="008D6488" w:rsidP="008D6488">
      <w:pPr>
        <w:rPr>
          <w:rFonts w:cstheme="minorHAnsi"/>
          <w:sz w:val="24"/>
          <w:szCs w:val="24"/>
        </w:rPr>
      </w:pPr>
    </w:p>
    <w:p w:rsidR="008D6488" w:rsidRDefault="008D6488" w:rsidP="008D6488">
      <w:pPr>
        <w:rPr>
          <w:rFonts w:cstheme="minorHAnsi"/>
          <w:sz w:val="24"/>
          <w:szCs w:val="24"/>
        </w:rPr>
      </w:pPr>
    </w:p>
    <w:p w:rsidR="008D6488" w:rsidRDefault="008D6488" w:rsidP="008D6488">
      <w:pPr>
        <w:rPr>
          <w:rFonts w:cstheme="minorHAnsi"/>
          <w:sz w:val="24"/>
          <w:szCs w:val="24"/>
        </w:rPr>
      </w:pPr>
    </w:p>
    <w:p w:rsidR="008D6488" w:rsidRPr="00D35B83" w:rsidRDefault="008D6488" w:rsidP="00B910B2">
      <w:pPr>
        <w:pStyle w:val="Heading2"/>
      </w:pPr>
      <w:bookmarkStart w:id="7" w:name="_Toc128518338"/>
      <w:r w:rsidRPr="00D35B83">
        <w:t>Research aim and objectives</w:t>
      </w:r>
      <w:bookmarkEnd w:id="7"/>
    </w:p>
    <w:p w:rsidR="008D6488" w:rsidRDefault="008D6488" w:rsidP="008D6488">
      <w:pPr>
        <w:rPr>
          <w:rFonts w:cstheme="minorHAnsi"/>
          <w:sz w:val="24"/>
          <w:szCs w:val="24"/>
        </w:rPr>
      </w:pPr>
      <w:r w:rsidRPr="00C22AA8">
        <w:rPr>
          <w:rFonts w:cstheme="minorHAnsi"/>
          <w:sz w:val="24"/>
          <w:szCs w:val="24"/>
        </w:rPr>
        <w:t xml:space="preserve">The purpose of this thesis is to objectively examine the company factors that affect bank profitability in the UK from the viewpoints of </w:t>
      </w:r>
      <w:r>
        <w:rPr>
          <w:rFonts w:cstheme="minorHAnsi"/>
          <w:sz w:val="24"/>
          <w:szCs w:val="24"/>
        </w:rPr>
        <w:t xml:space="preserve">HSBC, Lloyds, Barclays, Standard Chartered, </w:t>
      </w:r>
      <w:r w:rsidR="00586316">
        <w:rPr>
          <w:rFonts w:cstheme="minorHAnsi"/>
          <w:sz w:val="24"/>
          <w:szCs w:val="24"/>
        </w:rPr>
        <w:t xml:space="preserve">Santander </w:t>
      </w:r>
      <w:r>
        <w:rPr>
          <w:rFonts w:cstheme="minorHAnsi"/>
          <w:sz w:val="24"/>
          <w:szCs w:val="24"/>
        </w:rPr>
        <w:t>and NatWest bank from 2016 to 2021</w:t>
      </w:r>
      <w:r w:rsidRPr="00C22AA8">
        <w:rPr>
          <w:rFonts w:cstheme="minorHAnsi"/>
          <w:sz w:val="24"/>
          <w:szCs w:val="24"/>
        </w:rPr>
        <w:t>.</w:t>
      </w:r>
      <w:r>
        <w:rPr>
          <w:rFonts w:cstheme="minorHAnsi"/>
          <w:sz w:val="24"/>
          <w:szCs w:val="24"/>
        </w:rPr>
        <w:t xml:space="preserve"> </w:t>
      </w:r>
    </w:p>
    <w:p w:rsidR="008D6488" w:rsidRDefault="008D6488" w:rsidP="008D6488">
      <w:pPr>
        <w:rPr>
          <w:rFonts w:cstheme="minorHAnsi"/>
          <w:sz w:val="24"/>
          <w:szCs w:val="24"/>
        </w:rPr>
      </w:pPr>
    </w:p>
    <w:p w:rsidR="008D6488" w:rsidRDefault="008D6488" w:rsidP="008D6488">
      <w:pPr>
        <w:rPr>
          <w:rFonts w:cstheme="minorHAnsi"/>
          <w:sz w:val="24"/>
          <w:szCs w:val="24"/>
        </w:rPr>
      </w:pPr>
      <w:r w:rsidRPr="00F5341D">
        <w:rPr>
          <w:rFonts w:cstheme="minorHAnsi"/>
          <w:sz w:val="24"/>
          <w:szCs w:val="24"/>
        </w:rPr>
        <w:t>There are specific goals which the investigation will address focusing on its emphasis.</w:t>
      </w:r>
      <w:r>
        <w:rPr>
          <w:rFonts w:cstheme="minorHAnsi"/>
          <w:sz w:val="24"/>
          <w:szCs w:val="24"/>
        </w:rPr>
        <w:t xml:space="preserve"> </w:t>
      </w:r>
    </w:p>
    <w:p w:rsidR="008D6488" w:rsidRDefault="008D6488" w:rsidP="008D6488">
      <w:pPr>
        <w:pStyle w:val="ListParagraph"/>
        <w:numPr>
          <w:ilvl w:val="0"/>
          <w:numId w:val="1"/>
        </w:numPr>
        <w:rPr>
          <w:rFonts w:cstheme="minorHAnsi"/>
          <w:sz w:val="24"/>
          <w:szCs w:val="24"/>
        </w:rPr>
      </w:pPr>
      <w:r>
        <w:rPr>
          <w:rFonts w:cstheme="minorHAnsi"/>
          <w:sz w:val="24"/>
          <w:szCs w:val="24"/>
        </w:rPr>
        <w:t>To determine what are the variables that influences the bank’s performance.</w:t>
      </w:r>
    </w:p>
    <w:p w:rsidR="008D6488" w:rsidRDefault="008D6488" w:rsidP="008D6488">
      <w:pPr>
        <w:pStyle w:val="ListParagraph"/>
        <w:numPr>
          <w:ilvl w:val="0"/>
          <w:numId w:val="1"/>
        </w:numPr>
        <w:rPr>
          <w:rFonts w:cstheme="minorHAnsi"/>
          <w:sz w:val="24"/>
          <w:szCs w:val="24"/>
        </w:rPr>
      </w:pPr>
      <w:r>
        <w:rPr>
          <w:rFonts w:cstheme="minorHAnsi"/>
          <w:sz w:val="24"/>
          <w:szCs w:val="24"/>
        </w:rPr>
        <w:t>To assess</w:t>
      </w:r>
      <w:r w:rsidRPr="000E19E7">
        <w:rPr>
          <w:rFonts w:cstheme="minorHAnsi"/>
          <w:sz w:val="24"/>
          <w:szCs w:val="24"/>
        </w:rPr>
        <w:t xml:space="preserve"> the effect of factors unique to each company</w:t>
      </w:r>
    </w:p>
    <w:p w:rsidR="008D6488" w:rsidRDefault="008D6488" w:rsidP="008D6488">
      <w:pPr>
        <w:pStyle w:val="ListParagraph"/>
        <w:numPr>
          <w:ilvl w:val="0"/>
          <w:numId w:val="1"/>
        </w:numPr>
        <w:rPr>
          <w:rFonts w:cstheme="minorHAnsi"/>
          <w:sz w:val="24"/>
          <w:szCs w:val="24"/>
        </w:rPr>
      </w:pPr>
      <w:r w:rsidRPr="000E19E7">
        <w:rPr>
          <w:rFonts w:cstheme="minorHAnsi"/>
          <w:sz w:val="24"/>
          <w:szCs w:val="24"/>
        </w:rPr>
        <w:t>To conclude with some suggestions for ensuring long-term profitability</w:t>
      </w:r>
      <w:r>
        <w:rPr>
          <w:rFonts w:cstheme="minorHAnsi"/>
          <w:sz w:val="24"/>
          <w:szCs w:val="24"/>
        </w:rPr>
        <w:t xml:space="preserve"> of the above selected banks.</w:t>
      </w:r>
    </w:p>
    <w:p w:rsidR="008D6488" w:rsidRDefault="008D6488" w:rsidP="008D6488">
      <w:pPr>
        <w:rPr>
          <w:rFonts w:cstheme="minorHAnsi"/>
          <w:sz w:val="24"/>
          <w:szCs w:val="24"/>
        </w:rPr>
      </w:pPr>
    </w:p>
    <w:p w:rsidR="008D6488" w:rsidRDefault="008D6488" w:rsidP="008D6488">
      <w:pPr>
        <w:rPr>
          <w:rFonts w:cstheme="minorHAnsi"/>
          <w:sz w:val="24"/>
          <w:szCs w:val="24"/>
        </w:rPr>
      </w:pPr>
      <w:r w:rsidRPr="00C45556">
        <w:rPr>
          <w:rFonts w:cstheme="minorHAnsi"/>
          <w:sz w:val="24"/>
          <w:szCs w:val="24"/>
        </w:rPr>
        <w:t>I'll critically summarize the published research in this study and make a distinction from research has looked at the factors that affect banking performance and those that just looked at how UK banks performed.</w:t>
      </w:r>
      <w:r>
        <w:rPr>
          <w:rFonts w:cstheme="minorHAnsi"/>
          <w:sz w:val="24"/>
          <w:szCs w:val="24"/>
        </w:rPr>
        <w:t xml:space="preserve"> And also how those factors can be measured would be discussed. </w:t>
      </w:r>
      <w:r w:rsidRPr="00C45556">
        <w:rPr>
          <w:rFonts w:cstheme="minorHAnsi"/>
          <w:sz w:val="24"/>
          <w:szCs w:val="24"/>
        </w:rPr>
        <w:t xml:space="preserve">This difference </w:t>
      </w:r>
      <w:r>
        <w:rPr>
          <w:rFonts w:cstheme="minorHAnsi"/>
          <w:sz w:val="24"/>
          <w:szCs w:val="24"/>
        </w:rPr>
        <w:t xml:space="preserve">is made in order to emphasise, </w:t>
      </w:r>
      <w:r w:rsidRPr="00C45556">
        <w:rPr>
          <w:rFonts w:cstheme="minorHAnsi"/>
          <w:sz w:val="24"/>
          <w:szCs w:val="24"/>
        </w:rPr>
        <w:t>the fundamental variables influence th</w:t>
      </w:r>
      <w:r>
        <w:rPr>
          <w:rFonts w:cstheme="minorHAnsi"/>
          <w:sz w:val="24"/>
          <w:szCs w:val="24"/>
        </w:rPr>
        <w:t>e financial performance of the B</w:t>
      </w:r>
      <w:r w:rsidRPr="00C45556">
        <w:rPr>
          <w:rFonts w:cstheme="minorHAnsi"/>
          <w:sz w:val="24"/>
          <w:szCs w:val="24"/>
        </w:rPr>
        <w:t>ritish banking industry, whereas in the case of the second the supporting data about the profitability and effectiveness of UK banks.</w:t>
      </w:r>
      <w:r>
        <w:rPr>
          <w:rFonts w:cstheme="minorHAnsi"/>
          <w:sz w:val="24"/>
          <w:szCs w:val="24"/>
        </w:rPr>
        <w:t xml:space="preserve"> Here are the few factors which I would like to discuss about in the paper. And they are as follows:-</w:t>
      </w:r>
    </w:p>
    <w:p w:rsidR="008D6488" w:rsidRPr="00C45556" w:rsidRDefault="008D6488" w:rsidP="008D6488">
      <w:pPr>
        <w:rPr>
          <w:rFonts w:cstheme="minorHAnsi"/>
          <w:sz w:val="24"/>
          <w:szCs w:val="24"/>
        </w:rPr>
      </w:pPr>
      <w:r>
        <w:rPr>
          <w:rFonts w:cstheme="minorHAnsi"/>
          <w:sz w:val="24"/>
          <w:szCs w:val="24"/>
        </w:rPr>
        <w:t xml:space="preserve">Bank liquidity, Bank Equity capital, Non-performing loans, Asset size, Total interest income, Credit risk management, Inflation, Exchange rates, Economic growth etc. </w:t>
      </w:r>
    </w:p>
    <w:p w:rsidR="008D6488" w:rsidRDefault="008D6488" w:rsidP="008D6488">
      <w:pPr>
        <w:rPr>
          <w:rFonts w:cstheme="minorHAnsi"/>
          <w:sz w:val="24"/>
          <w:szCs w:val="24"/>
        </w:rPr>
      </w:pPr>
    </w:p>
    <w:p w:rsidR="008D6488" w:rsidRDefault="008D6488" w:rsidP="008D6488">
      <w:pPr>
        <w:rPr>
          <w:rFonts w:cstheme="minorHAnsi"/>
          <w:sz w:val="24"/>
          <w:szCs w:val="24"/>
        </w:rPr>
      </w:pPr>
    </w:p>
    <w:p w:rsidR="008D6488" w:rsidRDefault="008D6488" w:rsidP="008D6488">
      <w:pPr>
        <w:rPr>
          <w:rFonts w:cstheme="minorHAnsi"/>
          <w:sz w:val="24"/>
          <w:szCs w:val="24"/>
        </w:rPr>
      </w:pPr>
    </w:p>
    <w:p w:rsidR="008D6488" w:rsidRDefault="008D6488" w:rsidP="008D6488">
      <w:pPr>
        <w:rPr>
          <w:rFonts w:cstheme="minorHAnsi"/>
          <w:sz w:val="24"/>
          <w:szCs w:val="24"/>
        </w:rPr>
      </w:pPr>
    </w:p>
    <w:p w:rsidR="008D6488" w:rsidRDefault="008D6488" w:rsidP="008D6488">
      <w:pPr>
        <w:rPr>
          <w:rFonts w:cstheme="minorHAnsi"/>
          <w:sz w:val="24"/>
          <w:szCs w:val="24"/>
        </w:rPr>
      </w:pPr>
    </w:p>
    <w:p w:rsidR="008D6488" w:rsidRDefault="008D6488" w:rsidP="008D6488">
      <w:pPr>
        <w:rPr>
          <w:rFonts w:cstheme="minorHAnsi"/>
          <w:sz w:val="24"/>
          <w:szCs w:val="24"/>
        </w:rPr>
      </w:pPr>
    </w:p>
    <w:p w:rsidR="008D6488" w:rsidRPr="00D81328" w:rsidRDefault="008D6488" w:rsidP="008D6488">
      <w:pPr>
        <w:rPr>
          <w:rFonts w:cstheme="minorHAnsi"/>
          <w:sz w:val="24"/>
          <w:szCs w:val="24"/>
        </w:rPr>
      </w:pPr>
    </w:p>
    <w:p w:rsidR="008D6488" w:rsidRDefault="008D6488"/>
    <w:p w:rsidR="008D6488" w:rsidRDefault="008D6488"/>
    <w:p w:rsidR="008D6488" w:rsidRDefault="008D6488"/>
    <w:p w:rsidR="008D6488" w:rsidRDefault="008D6488"/>
    <w:p w:rsidR="008D6488" w:rsidRDefault="008D6488"/>
    <w:p w:rsidR="008D6488" w:rsidRDefault="008D6488"/>
    <w:p w:rsidR="008D6488" w:rsidRDefault="008D6488"/>
    <w:p w:rsidR="008D6488" w:rsidRDefault="008D6488"/>
    <w:p w:rsidR="008D6488" w:rsidRDefault="008D6488"/>
    <w:p w:rsidR="008D6488" w:rsidRDefault="008D6488"/>
    <w:p w:rsidR="008D6488" w:rsidRDefault="008D6488"/>
    <w:p w:rsidR="008D6488" w:rsidRDefault="008D6488"/>
    <w:p w:rsidR="00B910B2" w:rsidRDefault="00B910B2"/>
    <w:p w:rsidR="00B910B2" w:rsidRDefault="00B910B2"/>
    <w:p w:rsidR="00B910B2" w:rsidRDefault="00B910B2"/>
    <w:p w:rsidR="008D6488" w:rsidRDefault="008D6488"/>
    <w:p w:rsidR="008D6488" w:rsidRDefault="008D6488" w:rsidP="00B910B2">
      <w:pPr>
        <w:pStyle w:val="Heading1"/>
      </w:pPr>
      <w:bookmarkStart w:id="8" w:name="_Toc128518339"/>
      <w:r>
        <w:t xml:space="preserve">Part – </w:t>
      </w:r>
      <w:r w:rsidR="00B910B2">
        <w:t>II:</w:t>
      </w:r>
      <w:r w:rsidR="00B766D0">
        <w:t xml:space="preserve">  A</w:t>
      </w:r>
      <w:r w:rsidR="00B766D0" w:rsidRPr="00B766D0">
        <w:t xml:space="preserve"> quick summary of the research findings</w:t>
      </w:r>
      <w:bookmarkEnd w:id="8"/>
    </w:p>
    <w:p w:rsidR="008D6488" w:rsidRDefault="008D6488"/>
    <w:p w:rsidR="008D6488" w:rsidRDefault="008D6488" w:rsidP="00B910B2">
      <w:pPr>
        <w:pStyle w:val="Heading1"/>
      </w:pPr>
      <w:bookmarkStart w:id="9" w:name="_Toc128518340"/>
      <w:r>
        <w:t>Determinants</w:t>
      </w:r>
      <w:r w:rsidR="00B766D0">
        <w:t xml:space="preserve"> of banks profitability and how do we measure them.</w:t>
      </w:r>
      <w:bookmarkEnd w:id="9"/>
    </w:p>
    <w:p w:rsidR="008D6488" w:rsidRDefault="008D6488" w:rsidP="008D6488">
      <w:r w:rsidRPr="00E031DB">
        <w:t xml:space="preserve">The intrinsic and extrinsic components that impact a financial performance of the bank are divided into these two categories. </w:t>
      </w:r>
      <w:r w:rsidR="00740155" w:rsidRPr="00740155">
        <w:t>I believe it is vital to look into the key internal strengths and weaknesses, including capital adequacy, mortgages, savings, overseas investment, administrative costs, and off-balance sheets (OBS) operations, in light of the instances provided. Real interest rates, Gross domestic product (</w:t>
      </w:r>
      <w:r w:rsidR="00DA369C">
        <w:t>GDP</w:t>
      </w:r>
      <w:r w:rsidR="00740155" w:rsidRPr="00740155">
        <w:t>), GDP per capita, regulations, and financial structure are generally considered to be the most significant external factors that might have an effect on the profitability of banks.</w:t>
      </w:r>
    </w:p>
    <w:p w:rsidR="008D6488" w:rsidRDefault="00FA053D" w:rsidP="008D6488">
      <w:r w:rsidRPr="00FA053D">
        <w:t>Past research distinguishes between internal and external variables that affect bank profitability, where capital market structure is considered one of many external factors that impact banks along with economic growth, inflation, market interest rates, trade interdependence, and ownership. On the other hand, internal factors, which can be controlled by management, include financial indicators that reflect liquidity, asset quality, cost-effectiveness, and capital adequacy</w:t>
      </w:r>
      <w:r w:rsidR="008D6488" w:rsidRPr="000F210C">
        <w:t>.</w:t>
      </w:r>
    </w:p>
    <w:p w:rsidR="008D6488" w:rsidRDefault="008D6488" w:rsidP="008D6488"/>
    <w:p w:rsidR="008D6488" w:rsidRDefault="008D6488" w:rsidP="00B910B2">
      <w:pPr>
        <w:pStyle w:val="Heading2"/>
      </w:pPr>
      <w:bookmarkStart w:id="10" w:name="_Toc128518341"/>
      <w:r>
        <w:t>Banks size</w:t>
      </w:r>
      <w:bookmarkEnd w:id="10"/>
    </w:p>
    <w:p w:rsidR="008D6488" w:rsidRDefault="008D6488" w:rsidP="008D6488">
      <w:r w:rsidRPr="00EA6465">
        <w:t xml:space="preserve">The primary factor that determines a financial performance of the bank would be its size, which is most frequently expressed as asset value. </w:t>
      </w:r>
      <w:r w:rsidRPr="00850F3A">
        <w:t>Numerous studies investigate how bank size affects profitability.</w:t>
      </w:r>
      <w:r>
        <w:t xml:space="preserve"> </w:t>
      </w:r>
      <w:r w:rsidRPr="00B63C45">
        <w:t>We gauge size using a bank's assets. Generally speaking, a bank's size is favourably connected with its success, maybe as a result of the big bank's greater market influence and ability to establish its advantageous interest rate spread. However, once the size grows exceptionally large, the impact of scale might be detrimental for a variety of reasons, including cost effectiveness, operational risk, and others. Despite being a minority on the capital market, huge banks generate the majority of earnings.</w:t>
      </w:r>
      <w:r>
        <w:t xml:space="preserve"> </w:t>
      </w:r>
      <w:r w:rsidRPr="00850F3A">
        <w:t>According to Goddard (2004), a bank's profitability may be closely correlated with its size. Goddard contends that a bank's revenue originally rises with size owing to the supply chain management but falls if indeed the size beyond a certain point because the scale economy becomes exhausted and administrative leadership and management might result in performing inefficiencies.</w:t>
      </w:r>
      <w:r>
        <w:t xml:space="preserve"> </w:t>
      </w:r>
    </w:p>
    <w:p w:rsidR="008D6488" w:rsidRDefault="008D6488" w:rsidP="008D6488">
      <w:r w:rsidRPr="00413791">
        <w:t>The performance of large banks is shown to be superior to that of smaller businesses by Berger (1994) and Humphrey (1997), while it is less certain if major banks gain from the economies of scales.</w:t>
      </w:r>
      <w:r>
        <w:t xml:space="preserve"> </w:t>
      </w:r>
      <w:r w:rsidRPr="00413791">
        <w:t>They believe that overall performance is not as crucial as superior methods with respect to innovation and organisational structure.</w:t>
      </w:r>
      <w:r>
        <w:t xml:space="preserve"> </w:t>
      </w:r>
      <w:r w:rsidRPr="00954ACE">
        <w:t>The size of the institution determines whether or not there are scale-based economies or market failures (</w:t>
      </w:r>
      <w:proofErr w:type="spellStart"/>
      <w:r w:rsidRPr="00954ACE">
        <w:t>Naceur</w:t>
      </w:r>
      <w:proofErr w:type="spellEnd"/>
      <w:r w:rsidRPr="00954ACE">
        <w:t xml:space="preserve"> &amp; </w:t>
      </w:r>
      <w:proofErr w:type="spellStart"/>
      <w:r w:rsidRPr="00954ACE">
        <w:t>Goaied</w:t>
      </w:r>
      <w:proofErr w:type="spellEnd"/>
      <w:r w:rsidRPr="00954ACE">
        <w:t>, 2008).</w:t>
      </w:r>
      <w:r>
        <w:t xml:space="preserve">  </w:t>
      </w:r>
      <w:r w:rsidRPr="00954ACE">
        <w:t>A corporation can benefit from economies of scale up to a certain point, beyond which diseconomies of scale begin to take effect, according to the concept of the commercial bank. This suggests that productivity rises with size and falls as soon as there are scale-discounts</w:t>
      </w:r>
      <w:r>
        <w:t xml:space="preserve">. </w:t>
      </w:r>
    </w:p>
    <w:p w:rsidR="008D6488" w:rsidRDefault="008D6488" w:rsidP="008D6488">
      <w:r>
        <w:t xml:space="preserve">Now comes the big question, how do we measure banks size? </w:t>
      </w:r>
    </w:p>
    <w:p w:rsidR="008D6488" w:rsidRDefault="008D6488" w:rsidP="008D6488">
      <w:r>
        <w:t>In this research</w:t>
      </w:r>
      <w:r w:rsidRPr="00EA6465">
        <w:t>, the size of the bank is determined by the Net Loan to Asset Ratio and the Deposit to Asset Ratio.</w:t>
      </w:r>
      <w:r>
        <w:t xml:space="preserve"> </w:t>
      </w:r>
      <w:r w:rsidRPr="00EA6465">
        <w:t xml:space="preserve">The percentage of loans in all assets is indicated by the loan to asset ratio. A good credit rating will often result in a high return. As greater loan amounts may result in more defaults, the </w:t>
      </w:r>
      <w:r w:rsidRPr="00EA6465">
        <w:lastRenderedPageBreak/>
        <w:t xml:space="preserve">higher ratio, nevertheless, shows the riskier approach taken by a bank. Bi (2014), </w:t>
      </w:r>
      <w:proofErr w:type="spellStart"/>
      <w:r w:rsidRPr="00EA6465">
        <w:t>Staikouras</w:t>
      </w:r>
      <w:proofErr w:type="spellEnd"/>
      <w:r w:rsidRPr="00EA6465">
        <w:t xml:space="preserve"> and Wood, Lu et al. (2013), and (2004)</w:t>
      </w:r>
      <w:r>
        <w:t xml:space="preserve">. </w:t>
      </w:r>
      <w:r w:rsidRPr="00616A58">
        <w:t xml:space="preserve">Contribution to Total Asset </w:t>
      </w:r>
      <w:r>
        <w:t xml:space="preserve">- </w:t>
      </w:r>
      <w:r w:rsidRPr="00616A58">
        <w:t>A ratio displays how much of the total assets are supported by deposits, which also demonstrates the confidence that depositors have in a certain bank. One of the main ways banks make money is through deposits. However, the greater percentage might provide a cash flow issues for the bankers if investors hurry to take their deposits sometimes, such as during difficult economic times.</w:t>
      </w:r>
      <w:r>
        <w:t xml:space="preserve"> (Ekaterina </w:t>
      </w:r>
      <w:proofErr w:type="spellStart"/>
      <w:r>
        <w:t>Koroleva</w:t>
      </w:r>
      <w:proofErr w:type="spellEnd"/>
      <w:r>
        <w:t>).</w:t>
      </w:r>
    </w:p>
    <w:p w:rsidR="008D6488" w:rsidRDefault="008D6488" w:rsidP="008D6488"/>
    <w:p w:rsidR="008D6488" w:rsidRDefault="008D6488" w:rsidP="00B910B2">
      <w:pPr>
        <w:pStyle w:val="Heading2"/>
      </w:pPr>
      <w:bookmarkStart w:id="11" w:name="_Toc128518342"/>
      <w:r>
        <w:t>Credit quality</w:t>
      </w:r>
      <w:bookmarkEnd w:id="11"/>
    </w:p>
    <w:p w:rsidR="008D6488" w:rsidRDefault="008D6488" w:rsidP="008D6488">
      <w:r w:rsidRPr="007B16A7">
        <w:t>Credit quality is a crucial element in banking since it has a direct impact on a bank's stability and financial health. Numerous studies have looked at its causes, methods of assessment, and effects on bank performance over a long period of time. This overview of the literature highlights some of the most important conclusions and contributions from earlier studies on credit quality.</w:t>
      </w:r>
      <w:r>
        <w:t xml:space="preserve"> </w:t>
      </w:r>
      <w:r w:rsidRPr="007B16A7">
        <w:t xml:space="preserve">The identification of elements that influence credit quality is an important component of it. Numerous studies have concentrated on elements that might affect credit quality, including loan characteristics, macroeconomic indicators, and bank-specific traits. For instance, Lim and Kim (2016) discovered that factors in the macroeconomic sphere, such as inflation and GDP growth, had an impact on credit quality. Furthermore, a research by </w:t>
      </w:r>
      <w:proofErr w:type="spellStart"/>
      <w:r w:rsidRPr="007B16A7">
        <w:t>Kithinji</w:t>
      </w:r>
      <w:proofErr w:type="spellEnd"/>
      <w:r w:rsidRPr="007B16A7">
        <w:t xml:space="preserve"> (2016) emphasises the significance of bank-specific traits in determining credit quality, including asset quality and capital sufficiency. On the other hand, </w:t>
      </w:r>
      <w:proofErr w:type="spellStart"/>
      <w:r w:rsidRPr="007B16A7">
        <w:t>Ramlall</w:t>
      </w:r>
      <w:proofErr w:type="spellEnd"/>
      <w:r w:rsidRPr="007B16A7">
        <w:t xml:space="preserve"> (2015) found that important drivers of credit quality were loan features including collateral, loan amount, and loan type.</w:t>
      </w:r>
    </w:p>
    <w:p w:rsidR="008D6488" w:rsidRDefault="008D6488" w:rsidP="008D6488">
      <w:r w:rsidRPr="007B16A7">
        <w:t xml:space="preserve">The measuring of credit quality is a crucial problem in credit quality research. Credit quality is assessed using a number of techniques, such as loan loss provisions, default rates, and credit ratings. Since they offer a standardised and objective measure of creditworthiness, credit ratings in particular have been frequently utilised to evaluate credit quality. </w:t>
      </w:r>
      <w:proofErr w:type="spellStart"/>
      <w:r w:rsidRPr="007B16A7">
        <w:t>Guglielmetti</w:t>
      </w:r>
      <w:proofErr w:type="spellEnd"/>
      <w:r w:rsidRPr="007B16A7">
        <w:t xml:space="preserve"> and D'Amato (2015) concentrate on the factors that influence credit ratings, whereas Chan-Lau (2014) evaluates the effectiveness of credit rating agencies in determining credit quality.</w:t>
      </w:r>
      <w:r>
        <w:t xml:space="preserve"> </w:t>
      </w:r>
    </w:p>
    <w:p w:rsidR="008D6488" w:rsidRDefault="008D6488" w:rsidP="008D6488">
      <w:r w:rsidRPr="007B16A7">
        <w:t xml:space="preserve">Finally, a lot of research has been done in the literature on how credit quality affects bank performance. In contrast to a research by </w:t>
      </w:r>
      <w:proofErr w:type="spellStart"/>
      <w:r w:rsidRPr="007B16A7">
        <w:t>Naceur</w:t>
      </w:r>
      <w:proofErr w:type="spellEnd"/>
      <w:r w:rsidRPr="007B16A7">
        <w:t xml:space="preserve"> and </w:t>
      </w:r>
      <w:proofErr w:type="spellStart"/>
      <w:r w:rsidRPr="007B16A7">
        <w:t>Goaied</w:t>
      </w:r>
      <w:proofErr w:type="spellEnd"/>
      <w:r w:rsidRPr="007B16A7">
        <w:t xml:space="preserve"> (2015), which indicated that credit quality had a negative effect on bank risk, a study by </w:t>
      </w:r>
      <w:proofErr w:type="spellStart"/>
      <w:r w:rsidRPr="007B16A7">
        <w:t>Resti</w:t>
      </w:r>
      <w:proofErr w:type="spellEnd"/>
      <w:r w:rsidRPr="007B16A7">
        <w:t xml:space="preserve"> and </w:t>
      </w:r>
      <w:proofErr w:type="spellStart"/>
      <w:r w:rsidRPr="007B16A7">
        <w:t>Sironi</w:t>
      </w:r>
      <w:proofErr w:type="spellEnd"/>
      <w:r w:rsidRPr="007B16A7">
        <w:t xml:space="preserve"> (2013) revealed that credit quality has a substantial influence on bank profitability. Additionally, a research by </w:t>
      </w:r>
      <w:proofErr w:type="spellStart"/>
      <w:r w:rsidRPr="007B16A7">
        <w:t>Beltratti</w:t>
      </w:r>
      <w:proofErr w:type="spellEnd"/>
      <w:r w:rsidRPr="007B16A7">
        <w:t xml:space="preserve"> and </w:t>
      </w:r>
      <w:proofErr w:type="spellStart"/>
      <w:r w:rsidRPr="007B16A7">
        <w:t>Stulz</w:t>
      </w:r>
      <w:proofErr w:type="spellEnd"/>
      <w:r w:rsidRPr="007B16A7">
        <w:t xml:space="preserve"> (2015) contends that the importance of loan quality in determining bank capital structure cannot be overstated.</w:t>
      </w:r>
      <w:r>
        <w:t xml:space="preserve"> </w:t>
      </w:r>
    </w:p>
    <w:p w:rsidR="008D6488" w:rsidRDefault="008D6488" w:rsidP="008D6488">
      <w:r w:rsidRPr="007B16A7">
        <w:t>In conclusion, credit quality is an essential component of banking, and prior research has significantly advanced our knowledge of its causes, methods of assessment, and effects on bank performance. Credit quality may be measured in new ways, identified by new indicators, and examined in connection to other facets of bank performance, such as efficiency and liquidity, through further study.</w:t>
      </w:r>
    </w:p>
    <w:p w:rsidR="008D6488" w:rsidRDefault="008D6488" w:rsidP="008D6488">
      <w:r>
        <w:t xml:space="preserve">How can we measure it? </w:t>
      </w:r>
    </w:p>
    <w:p w:rsidR="008D6488" w:rsidRDefault="008D6488" w:rsidP="008D6488">
      <w:r w:rsidRPr="00AE52B6">
        <w:t>The non-performing loan to total asset ratio is a metric used to evaluate a bank's creditworthiness. When a borrower is unable to make loan payments for the main and interest, a bank's revenue and profit are reduced, and the likelihood of non-performing loans turning into bad debts is significant.</w:t>
      </w:r>
      <w:r>
        <w:t xml:space="preserve"> Lu et al. (2013) and </w:t>
      </w:r>
      <w:proofErr w:type="spellStart"/>
      <w:r>
        <w:t>Gremi</w:t>
      </w:r>
      <w:proofErr w:type="spellEnd"/>
      <w:r>
        <w:t xml:space="preserve"> (2013).</w:t>
      </w:r>
    </w:p>
    <w:p w:rsidR="008D6488" w:rsidRDefault="008D6488" w:rsidP="008D6488"/>
    <w:p w:rsidR="008D6488" w:rsidRDefault="008D6488" w:rsidP="008D6488"/>
    <w:p w:rsidR="008D6488" w:rsidRDefault="008D6488" w:rsidP="008D6488"/>
    <w:p w:rsidR="008D6488" w:rsidRDefault="008D6488" w:rsidP="00B910B2">
      <w:pPr>
        <w:pStyle w:val="Heading2"/>
      </w:pPr>
      <w:bookmarkStart w:id="12" w:name="_Toc128518343"/>
      <w:r>
        <w:t>Bank Liquidity</w:t>
      </w:r>
      <w:bookmarkEnd w:id="12"/>
    </w:p>
    <w:p w:rsidR="008D6488" w:rsidRDefault="008D6488" w:rsidP="008D6488">
      <w:r>
        <w:t xml:space="preserve">Liquidity means easily converting into cash. </w:t>
      </w:r>
      <w:r w:rsidRPr="00ED33E6">
        <w:t xml:space="preserve">Three aspects of liquidity are highlighted by Maness and </w:t>
      </w:r>
      <w:proofErr w:type="spellStart"/>
      <w:r w:rsidRPr="00ED33E6">
        <w:t>Zietlow</w:t>
      </w:r>
      <w:proofErr w:type="spellEnd"/>
      <w:r w:rsidRPr="00ED33E6">
        <w:t xml:space="preserve"> (2005): amount, timing, and cost. A company's amount reveals how many resources it has available to meet its responsibilities. Time depicts the amount of time required for a business to convert its assets into cash. Cost shows any additional expenses that arise when a corporation converts its assets into cash.</w:t>
      </w:r>
      <w:r>
        <w:t xml:space="preserve"> </w:t>
      </w:r>
      <w:r w:rsidRPr="00ED33E6">
        <w:t>Banks with less liquid assets struggle to meet their short-term obligations, which is why liquidity is essential to a bank's operational stability.</w:t>
      </w:r>
      <w:r>
        <w:t xml:space="preserve"> </w:t>
      </w:r>
    </w:p>
    <w:p w:rsidR="008D6488" w:rsidRDefault="008D6488" w:rsidP="008D6488">
      <w:r w:rsidRPr="007B16A7">
        <w:t>Due to its role in preserving the safety and soundness of banks, banks' liquidity has been an important issue in banking research. This overview of the literature highlights some of the major conclusions and contributions of earlier studies on banks' liquidity.</w:t>
      </w:r>
    </w:p>
    <w:p w:rsidR="008D6488" w:rsidRDefault="008D6488" w:rsidP="008D6488">
      <w:r w:rsidRPr="007B16A7">
        <w:t xml:space="preserve">The discovery of its drivers is a key field of research in banks' liquidity. Studies have revealed a number of variables, such as asset quality, capital sufficiency, and profitability that have an effect on banks' liquidity. For instance, Beck and </w:t>
      </w:r>
      <w:proofErr w:type="spellStart"/>
      <w:r w:rsidRPr="007B16A7">
        <w:t>Demirgüç-Kunt</w:t>
      </w:r>
      <w:proofErr w:type="spellEnd"/>
      <w:r w:rsidRPr="007B16A7">
        <w:t xml:space="preserve"> (2006) discovered that banks tend to have better liquidity when their capital adequacy ratios are higher. Additionally, a 2015 study by Allen and Qian shown that profitability is a significant factor in determining the liquidity of banks, with more successful banks often having higher liquidity. Additionally, a research by </w:t>
      </w:r>
      <w:proofErr w:type="spellStart"/>
      <w:r w:rsidRPr="007B16A7">
        <w:t>Ongena</w:t>
      </w:r>
      <w:proofErr w:type="spellEnd"/>
      <w:r w:rsidRPr="007B16A7">
        <w:t xml:space="preserve"> et al. (2014) contends that the connection between banks' liquidity and their lending activity is a crucial element in determining banks' liquidity levels.</w:t>
      </w:r>
    </w:p>
    <w:p w:rsidR="008D6488" w:rsidRDefault="008D6488" w:rsidP="008D6488">
      <w:r w:rsidRPr="00DA5C04">
        <w:t xml:space="preserve">The measuring of liquidity is a crucial component of banks' study on liquidity. Various metrics, including as the loan-to-deposit ratio, the cash-to-deposit ratio, and the net stable funding ratio, have been offered in the literature. While </w:t>
      </w:r>
      <w:proofErr w:type="spellStart"/>
      <w:r w:rsidRPr="00DA5C04">
        <w:t>Claessens</w:t>
      </w:r>
      <w:proofErr w:type="spellEnd"/>
      <w:r w:rsidRPr="00DA5C04">
        <w:t xml:space="preserve"> and van </w:t>
      </w:r>
      <w:proofErr w:type="spellStart"/>
      <w:r w:rsidRPr="00DA5C04">
        <w:t>Horen</w:t>
      </w:r>
      <w:proofErr w:type="spellEnd"/>
      <w:r w:rsidRPr="00DA5C04">
        <w:t xml:space="preserve"> (2015) discovered that the net stable funding ratio is a reliable indicator of banks' liquidity risk, Dwyer and </w:t>
      </w:r>
      <w:proofErr w:type="spellStart"/>
      <w:r w:rsidRPr="00DA5C04">
        <w:t>Tkacz</w:t>
      </w:r>
      <w:proofErr w:type="spellEnd"/>
      <w:r w:rsidRPr="00DA5C04">
        <w:t xml:space="preserve"> (2009) concluded that the loan-to-deposit ratio is a helpful indicator of banks' liquidity.</w:t>
      </w:r>
    </w:p>
    <w:p w:rsidR="008D6488" w:rsidRDefault="008D6488" w:rsidP="008D6488">
      <w:r w:rsidRPr="00DA5C04">
        <w:t xml:space="preserve">Another crucial topic of study in the banking literature is the effect of liquidity on banks' performance. A research by De Haas and van </w:t>
      </w:r>
      <w:proofErr w:type="spellStart"/>
      <w:r w:rsidRPr="00DA5C04">
        <w:t>Horen</w:t>
      </w:r>
      <w:proofErr w:type="spellEnd"/>
      <w:r w:rsidRPr="00DA5C04">
        <w:t xml:space="preserve"> (2012) revealed that banks' liquidity has a considerable influence on their lending operations, and a study by Flannery (2016) contends that liquidity risk has a major impact on banks' risk-taking. Additionally, a research by Berger et al. (2014) discovered that banks with higher liquidity typically had higher profitability.</w:t>
      </w:r>
    </w:p>
    <w:p w:rsidR="008D6488" w:rsidRDefault="008D6488" w:rsidP="008D6488">
      <w:r w:rsidRPr="00DA5C04">
        <w:t>In summary, banks' liquidity is a crucial component of banking, and prior research has significantly advanced our understanding of its causes, methods of assessment, and effects on bank performance. Future studies might look into additional elements that affect liquidity, refine the methods used to measure it, and explore how it relates to other areas of bank performance like efficiency and risk-taking.</w:t>
      </w:r>
    </w:p>
    <w:p w:rsidR="008D6488" w:rsidRDefault="008D6488" w:rsidP="008D6488"/>
    <w:p w:rsidR="008D6488" w:rsidRDefault="008D6488" w:rsidP="008D6488">
      <w:r>
        <w:t xml:space="preserve">Measures – </w:t>
      </w:r>
    </w:p>
    <w:p w:rsidR="008D6488" w:rsidRDefault="008D6488" w:rsidP="008D6488">
      <w:r w:rsidRPr="00ED33E6">
        <w:t>The ratio of cash and cash equivalents to total assets shows how well banks use assets that can be quickly converted into cash to pay for commitments that have matured without having an impact on credit business operations. Banks with higher cash and cash equivalent ratios are said to have stronger liquidity.</w:t>
      </w:r>
      <w:r>
        <w:t xml:space="preserve"> </w:t>
      </w:r>
    </w:p>
    <w:p w:rsidR="008D6488" w:rsidRDefault="008D6488" w:rsidP="008D6488">
      <w:r w:rsidRPr="00723F1F">
        <w:lastRenderedPageBreak/>
        <w:t>By contrasting a bank's total loans and deposits, the loan to deposit ratio calculates liquidity. Deposits incur interest costs, but loans generate interest revenue from the standpoint of bank profitability. With a low loan-to-deposit ratio, banks are less profitable since their expenses are high and their income is low.</w:t>
      </w:r>
    </w:p>
    <w:p w:rsidR="008D6488" w:rsidRDefault="008D6488" w:rsidP="008D6488"/>
    <w:p w:rsidR="008D6488" w:rsidRDefault="008D6488" w:rsidP="00B910B2">
      <w:pPr>
        <w:pStyle w:val="Heading2"/>
      </w:pPr>
      <w:bookmarkStart w:id="13" w:name="_Toc128518344"/>
      <w:r>
        <w:t>TOTAL INTEREST INCOME</w:t>
      </w:r>
      <w:bookmarkEnd w:id="13"/>
    </w:p>
    <w:p w:rsidR="008D6488" w:rsidRDefault="008D6488" w:rsidP="008D6488">
      <w:r w:rsidRPr="00A5741C">
        <w:t>Total interest income, which is the revenue derived by banks from interest-bearing assets such as loans, bonds, and securities, is an important factor in determining the financial success of banks. This review of the literature looks at the factors that affect banks' overall interest revenue, the effect interest income has on their profitability, and the difficulties banks have when trying to manage interest income in a changing market environment.</w:t>
      </w:r>
    </w:p>
    <w:p w:rsidR="008D6488" w:rsidRDefault="008D6488" w:rsidP="008D6488">
      <w:r w:rsidRPr="00A5741C">
        <w:t>A number of variables, such as interest rates, loan quality, loan volumes, and asset mix, have an impact on the amount of interest revenue that banks get. One of the most important factors affecting banks' interest revenue is the interest rate environment. Changes in interest rates can affect the quantity of loans made as well as the interest rates levied on those loans, which can affect the interest revenue earned by banks. Because that loans with higher credit risk may have higher interest rates, loan quality is another crucial factor in determining banks' interest revenue. Since banks with bigger loan portfolios and higher-yielding assets may generate more interest revenue, the volume of loans and the asset mix of the bank can also have an influence on interest income.</w:t>
      </w:r>
    </w:p>
    <w:p w:rsidR="008D6488" w:rsidRDefault="008D6488" w:rsidP="008D6488">
      <w:r w:rsidRPr="00A5741C">
        <w:t>As it accounts for a large amount of their earnings, interest income is a key factor in how profitable banks are. On general, banks with higher interest revenue are more lucrative than those with lower interest income. Yet, banks are only able to earn so much interest revenue before it starts to erode their profitability due to growing loan losses and credit risk brought on by reckless lending or hazardous loan portfolios.</w:t>
      </w:r>
    </w:p>
    <w:p w:rsidR="008D6488" w:rsidRDefault="008D6488" w:rsidP="008D6488">
      <w:r>
        <w:t>MEASURES</w:t>
      </w:r>
    </w:p>
    <w:p w:rsidR="008D6488" w:rsidRDefault="008D6488" w:rsidP="008D6488">
      <w:r>
        <w:t xml:space="preserve">NET INTERSET INCOME: </w:t>
      </w:r>
      <w:r w:rsidRPr="00A5741C">
        <w:t>The difference between interest revenue and interest costs for a bank is known as net interest income (NII). The bank's profitability from its primary loan and i</w:t>
      </w:r>
      <w:r w:rsidR="006D0CD2">
        <w:t>nvestment activities which can be evaluated</w:t>
      </w:r>
      <w:r w:rsidRPr="00A5741C">
        <w:t xml:space="preserve"> by NII.</w:t>
      </w:r>
    </w:p>
    <w:p w:rsidR="008D6488" w:rsidRDefault="00FA053D" w:rsidP="008D6488">
      <w:r w:rsidRPr="00FA053D">
        <w:t>Net interest margin (NIM) refers to the difference between the interest income earned by a financial institution from its assets, such as loans and investments, and the interest expense paid out to its liabilities, such as deposits and other borrowings. NIM is an important metric for financial institutions, as it indicates the profitability of their lending and investing activities, and their ability to generate income from these activities. A high NIM indicates that a financial institution is earning more interest income than it is paying out in interest expenses, whereas a low NIM suggests that the institution's interest expenses are exceeding its interest income.</w:t>
      </w:r>
    </w:p>
    <w:p w:rsidR="008D6488" w:rsidRDefault="008D6488" w:rsidP="008D6488"/>
    <w:p w:rsidR="008D6488" w:rsidRDefault="008D6488" w:rsidP="00B910B2">
      <w:pPr>
        <w:pStyle w:val="Heading2"/>
      </w:pPr>
      <w:bookmarkStart w:id="14" w:name="_Toc128518345"/>
      <w:r>
        <w:t>Non-performing loans</w:t>
      </w:r>
      <w:bookmarkEnd w:id="14"/>
    </w:p>
    <w:p w:rsidR="008D6488" w:rsidRDefault="008D6488" w:rsidP="008D6488">
      <w:r>
        <w:t>Loans that are in default or on the verge of default and have a high chance of not being repaid are referred to as NPLs. The study will concentrate on recent investigations into the origins and consequences of NPLs in the UK, as well as the measures taken to address the problem.</w:t>
      </w:r>
    </w:p>
    <w:p w:rsidR="008D6488" w:rsidRDefault="008D6488" w:rsidP="008D6488">
      <w:r>
        <w:t>NPL causes include</w:t>
      </w:r>
    </w:p>
    <w:p w:rsidR="008D6488" w:rsidRDefault="008D6488" w:rsidP="008D6488">
      <w:r>
        <w:lastRenderedPageBreak/>
        <w:t xml:space="preserve">The worldwide financial crisis of 2008, which led to a dramatic spike in default rates, is one of the primary drivers of NPLs in the UK. Sheng and </w:t>
      </w:r>
      <w:proofErr w:type="spellStart"/>
      <w:r>
        <w:t>Yeh</w:t>
      </w:r>
      <w:proofErr w:type="spellEnd"/>
      <w:r>
        <w:t xml:space="preserve"> (2020) assert that the crisis resulted in a drop in economic activity, which in turn resulted in a drop in borrowers' capacity to pay back their debts. Low lending rates, inadequate risk management, and other factors all contribute to NPLs in the UK.</w:t>
      </w:r>
    </w:p>
    <w:p w:rsidR="008D6488" w:rsidRDefault="008D6488" w:rsidP="008D6488">
      <w:r>
        <w:t>Effects of NPLs: NPLs may seriously harm banks' bottom lines as well as the economy at large. For instance, NPLs may limit banks' ability to extend credit, which would slow economic development, according to Hossain et al. (2019). NPLs can also raise the risk of bankruptcy and lower banks' profitability (Goddard et al., 2016).</w:t>
      </w:r>
    </w:p>
    <w:p w:rsidR="008D6488" w:rsidRDefault="008D6488" w:rsidP="008D6488">
      <w:r>
        <w:t>Strategies and Policies to Address NPLs:</w:t>
      </w:r>
    </w:p>
    <w:p w:rsidR="008D6488" w:rsidRDefault="008D6488" w:rsidP="008D6488">
      <w:r>
        <w:t>The UK government and banking authorities have introduced a number of policies and measures in response to the NPL issue. Encourage banks to sell assets or securitize NPLs as one strategy for NPL disposal. Bolton et al. (2020) claim that this can aid in lowering the quantity of NPLs showing up on bank balance sheets and enhancing their financial stability.</w:t>
      </w:r>
    </w:p>
    <w:p w:rsidR="008D6488" w:rsidRDefault="008D6488" w:rsidP="008D6488">
      <w:r w:rsidRPr="0090015B">
        <w:t xml:space="preserve">Giving assistance to debtors who face default is another strategy. For instance, the UK government has developed a number of initiatives to assist homeowners who are having trouble paying their mortgages. These initiatives, in accordance with Sheng and </w:t>
      </w:r>
      <w:proofErr w:type="spellStart"/>
      <w:r w:rsidRPr="0090015B">
        <w:t>Yeh</w:t>
      </w:r>
      <w:proofErr w:type="spellEnd"/>
      <w:r w:rsidRPr="0090015B">
        <w:t xml:space="preserve"> (2020), can aid in preventing default and lowering the amount of NPLs.</w:t>
      </w:r>
    </w:p>
    <w:p w:rsidR="008D6488" w:rsidRDefault="008D6488" w:rsidP="008D6488">
      <w:r>
        <w:t>Here are a few typical techniques for calculating NPLs:</w:t>
      </w:r>
    </w:p>
    <w:p w:rsidR="008D6488" w:rsidRDefault="008D6488" w:rsidP="008D6488">
      <w:r>
        <w:t>NPL to Total Loan Ratio: Calculating the proportion of loans that are NPLs relative to the whole loan portfolio constitutes this straightforward metric. This metric gives a sense of the size of the NPLs relative to the bank's overall lending. It does not, however, adequately reflect the gravity of each NPL.</w:t>
      </w:r>
    </w:p>
    <w:p w:rsidR="008D6488" w:rsidRDefault="008D6488" w:rsidP="008D6488">
      <w:r>
        <w:t>Measured by the "coverage ratio," which expresses the amount of provisions set aside to cover NPLs as a proportion of all NPLs, This measurement shows how prepared the bank is to deal with future NPL losses.</w:t>
      </w:r>
    </w:p>
    <w:p w:rsidR="008D6488" w:rsidRDefault="008D6488" w:rsidP="008D6488">
      <w:r w:rsidRPr="0090015B">
        <w:t>Cost of Risk: Using the overall loan portfolio as a base, this metric determines the cost of provisions set aside to cover NPLs. This metric gives an idea of the bank's risk management procedures and the possible profitability effects of NPLs.</w:t>
      </w:r>
    </w:p>
    <w:p w:rsidR="008D6488" w:rsidRDefault="008D6488" w:rsidP="008D6488"/>
    <w:p w:rsidR="008D6488" w:rsidRDefault="008D6488" w:rsidP="00B910B2">
      <w:pPr>
        <w:pStyle w:val="Heading2"/>
      </w:pPr>
      <w:bookmarkStart w:id="15" w:name="_Toc128518346"/>
      <w:r>
        <w:t>Operating Expenditure</w:t>
      </w:r>
      <w:bookmarkEnd w:id="15"/>
    </w:p>
    <w:p w:rsidR="008D6488" w:rsidRDefault="008D6488" w:rsidP="008D6488">
      <w:r w:rsidRPr="0090015B">
        <w:t>The goal of this literature study is to examine the subject of operating expenses (</w:t>
      </w:r>
      <w:proofErr w:type="spellStart"/>
      <w:r w:rsidRPr="0090015B">
        <w:t>Opex</w:t>
      </w:r>
      <w:proofErr w:type="spellEnd"/>
      <w:r w:rsidRPr="0090015B">
        <w:t xml:space="preserve">) for British banks (UK). </w:t>
      </w:r>
      <w:proofErr w:type="spellStart"/>
      <w:r w:rsidRPr="0090015B">
        <w:t>Opex</w:t>
      </w:r>
      <w:proofErr w:type="spellEnd"/>
      <w:r w:rsidRPr="0090015B">
        <w:t xml:space="preserve"> describes the expenses incurred daily to operate a firm, such as staff wages, rent, and utilities. The study will concentrate on current research that examines the variables that affect </w:t>
      </w:r>
      <w:proofErr w:type="spellStart"/>
      <w:r w:rsidRPr="0090015B">
        <w:t>Opex</w:t>
      </w:r>
      <w:proofErr w:type="spellEnd"/>
      <w:r w:rsidRPr="0090015B">
        <w:t xml:space="preserve"> in UK banks as well as the tactics employed by banks to control their </w:t>
      </w:r>
      <w:proofErr w:type="spellStart"/>
      <w:r w:rsidRPr="0090015B">
        <w:t>Opex</w:t>
      </w:r>
      <w:proofErr w:type="spellEnd"/>
      <w:r w:rsidRPr="0090015B">
        <w:t>.</w:t>
      </w:r>
    </w:p>
    <w:p w:rsidR="008D6488" w:rsidRDefault="008D6488" w:rsidP="008D6488">
      <w:r w:rsidRPr="0090015B">
        <w:t xml:space="preserve">De Haas &amp; Van </w:t>
      </w:r>
      <w:proofErr w:type="spellStart"/>
      <w:r w:rsidRPr="0090015B">
        <w:t>Horen</w:t>
      </w:r>
      <w:proofErr w:type="spellEnd"/>
      <w:r w:rsidRPr="0090015B">
        <w:t xml:space="preserve"> (2019) assert that a bank's size and complexity are significant determinants of </w:t>
      </w:r>
      <w:proofErr w:type="spellStart"/>
      <w:r w:rsidRPr="0090015B">
        <w:t>Opex</w:t>
      </w:r>
      <w:proofErr w:type="spellEnd"/>
      <w:r w:rsidRPr="0090015B">
        <w:t xml:space="preserve">. Due to the higher operating expenses involved with maintaining a bigger and more varied portfolio of assets and services, larger and more sophisticated banks often have higher </w:t>
      </w:r>
      <w:proofErr w:type="spellStart"/>
      <w:r w:rsidRPr="0090015B">
        <w:t>Opex</w:t>
      </w:r>
      <w:proofErr w:type="spellEnd"/>
      <w:r w:rsidRPr="0090015B">
        <w:t xml:space="preserve">. </w:t>
      </w:r>
      <w:proofErr w:type="spellStart"/>
      <w:r w:rsidRPr="0090015B">
        <w:t>Opex</w:t>
      </w:r>
      <w:proofErr w:type="spellEnd"/>
      <w:r w:rsidRPr="0090015B">
        <w:t xml:space="preserve"> may also be impacted by the degree of competition in the banking industry. For instance, banks that are up against increased competition would need to spend more on marketing and advertising to draw in and keep clients (</w:t>
      </w:r>
      <w:proofErr w:type="spellStart"/>
      <w:r w:rsidRPr="0090015B">
        <w:t>Braouezec</w:t>
      </w:r>
      <w:proofErr w:type="spellEnd"/>
      <w:r w:rsidRPr="0090015B">
        <w:t xml:space="preserve"> et al., 2020).</w:t>
      </w:r>
      <w:r>
        <w:t xml:space="preserve"> </w:t>
      </w:r>
    </w:p>
    <w:p w:rsidR="008D6488" w:rsidRDefault="008D6488" w:rsidP="008D6488">
      <w:r w:rsidRPr="0090015B">
        <w:lastRenderedPageBreak/>
        <w:t xml:space="preserve">UK banks have employed a variety of measures to manage their </w:t>
      </w:r>
      <w:proofErr w:type="spellStart"/>
      <w:r w:rsidRPr="0090015B">
        <w:t>Opex</w:t>
      </w:r>
      <w:proofErr w:type="spellEnd"/>
      <w:r w:rsidRPr="0090015B">
        <w:t xml:space="preserve">. One strategy is to emphasise automation and digitalization. </w:t>
      </w:r>
      <w:proofErr w:type="spellStart"/>
      <w:r w:rsidRPr="0090015B">
        <w:t>Molyneux</w:t>
      </w:r>
      <w:proofErr w:type="spellEnd"/>
      <w:r w:rsidRPr="0090015B">
        <w:t xml:space="preserve"> et al. (2020) claim that digitalization can aid in streamlining procedures, reducing manual labour, and enhancing operational efficiency, which lowers </w:t>
      </w:r>
      <w:proofErr w:type="spellStart"/>
      <w:r w:rsidRPr="0090015B">
        <w:t>Opex</w:t>
      </w:r>
      <w:proofErr w:type="spellEnd"/>
      <w:r w:rsidRPr="0090015B">
        <w:t xml:space="preserve">. Another strategy is to contract with outside companies to perform specific tasks. Banks, for instance, could outsource back-office tasks like data entry or customer support to cut down on the requirement for internal workers and minimise </w:t>
      </w:r>
      <w:proofErr w:type="spellStart"/>
      <w:r w:rsidRPr="0090015B">
        <w:t>Opex</w:t>
      </w:r>
      <w:proofErr w:type="spellEnd"/>
      <w:r w:rsidRPr="0090015B">
        <w:t xml:space="preserve"> (</w:t>
      </w:r>
      <w:proofErr w:type="spellStart"/>
      <w:r w:rsidRPr="0090015B">
        <w:t>Papaioannou</w:t>
      </w:r>
      <w:proofErr w:type="spellEnd"/>
      <w:r w:rsidRPr="0090015B">
        <w:t xml:space="preserve"> and Wilson, 2020).</w:t>
      </w:r>
    </w:p>
    <w:p w:rsidR="008D6488" w:rsidRDefault="008D6488" w:rsidP="008D6488"/>
    <w:p w:rsidR="008D6488" w:rsidRDefault="008D6488" w:rsidP="008D6488">
      <w:r>
        <w:t>Measures</w:t>
      </w:r>
    </w:p>
    <w:p w:rsidR="008D6488" w:rsidRDefault="008D6488" w:rsidP="008D6488">
      <w:r w:rsidRPr="0090015B">
        <w:t xml:space="preserve">Operating Expense Ratio: This metric computes a company's operating costs as a share of its revenue. This shows how much an organisation spends on running costs in relation to its income. </w:t>
      </w:r>
      <w:r w:rsidR="0008713E" w:rsidRPr="0008713E">
        <w:t>Having a low operating expense ratio can enable an organization to manage its expenditures and operate more efficiently. Conversely, a high operating expense ratio may signify inefficiency within the organization</w:t>
      </w:r>
      <w:r w:rsidR="0008713E">
        <w:t>.</w:t>
      </w:r>
    </w:p>
    <w:p w:rsidR="008D6488" w:rsidRDefault="008D6488" w:rsidP="008D6488">
      <w:r w:rsidRPr="004306E1">
        <w:t>Expense-to-Income Ratio: This metric computes a company's operational costs as a share of its overall revenue. This shows how much of a company's revenue is being used to pay for operating costs. A high expense-to-income ratio may be a sign that a company is under- or overspending on operational costs.</w:t>
      </w:r>
    </w:p>
    <w:p w:rsidR="008D6488" w:rsidRDefault="008D6488" w:rsidP="008D6488"/>
    <w:p w:rsidR="008D6488" w:rsidRDefault="008D6488" w:rsidP="008D6488"/>
    <w:p w:rsidR="008D6488" w:rsidRDefault="008D6488" w:rsidP="008D6488"/>
    <w:p w:rsidR="008D6488" w:rsidRDefault="008D6488" w:rsidP="008D6488"/>
    <w:p w:rsidR="008D6488" w:rsidRDefault="008D6488" w:rsidP="008D6488"/>
    <w:p w:rsidR="008D6488" w:rsidRDefault="008D6488" w:rsidP="008D6488"/>
    <w:p w:rsidR="008D6488" w:rsidRDefault="008D6488" w:rsidP="00B910B2">
      <w:pPr>
        <w:pStyle w:val="Heading2"/>
      </w:pPr>
      <w:bookmarkStart w:id="16" w:name="_Toc128518347"/>
      <w:r>
        <w:t>Inflation</w:t>
      </w:r>
      <w:bookmarkEnd w:id="16"/>
      <w:r>
        <w:t xml:space="preserve"> </w:t>
      </w:r>
    </w:p>
    <w:p w:rsidR="00CE3D70" w:rsidRDefault="00FA053D" w:rsidP="00CE3D70">
      <w:r w:rsidRPr="00FA053D">
        <w:t>Inflation might have serious negative effects, endangering both the integrity of the financial system and the regulator's capacity to keep track of the bankruptcy of banking institutions.</w:t>
      </w:r>
      <w:r>
        <w:t xml:space="preserve"> </w:t>
      </w:r>
      <w:proofErr w:type="spellStart"/>
      <w:r w:rsidR="00CE3D70" w:rsidRPr="00CE3D70">
        <w:t>Revell</w:t>
      </w:r>
      <w:proofErr w:type="spellEnd"/>
      <w:r w:rsidR="00CE3D70" w:rsidRPr="00CE3D70">
        <w:t xml:space="preserve"> (1979) suggests that a significant portion of fluctuations in bank profitability can be attributed to inflation levels. Indirect impacts on the sector are also substantial, including effects on commercial bank customers and changes in demand for various financial services. Borrowers may struggle to manage their cash flow due to unforeseen inflation, which could prompt them to terminate their loan agreements prematurely and cause loan losses. Furthermore, inflation can affect interest rates by influencing bank operations and profit margins. Despite being a long-recognized phenomenon, these issues persist</w:t>
      </w:r>
      <w:r w:rsidR="00CE3D70">
        <w:t xml:space="preserve"> </w:t>
      </w:r>
      <w:proofErr w:type="spellStart"/>
      <w:r w:rsidR="00CE3D70">
        <w:t>Hoggarth</w:t>
      </w:r>
      <w:proofErr w:type="spellEnd"/>
      <w:r w:rsidR="00CE3D70">
        <w:t xml:space="preserve"> et al. (1998) emphasize the significant impact that fluctuating and high inflation can have on bank earnings. Specifically, it can pose challenges in assessing loan options, as loan agreements that appear viable based on estimated inflation rates may turn out to be significantly less profitable if inflation is unexpectedly low, leading to higher-than-anticipated interest rates. Uncertainty about future inflation can also create planning difficulties and challenges in loan negotiations. Finally, excessive and unstable inflation can incentivize banks to finance real estate developments, potentially leading to market losses or substantial gains depending on prevailing monetary policies.</w:t>
      </w:r>
    </w:p>
    <w:p w:rsidR="00CE3D70" w:rsidRDefault="00CE3D70" w:rsidP="00CE3D70"/>
    <w:p w:rsidR="00CE3D70" w:rsidRDefault="00CE3D70" w:rsidP="00CE3D70"/>
    <w:p w:rsidR="008D6488" w:rsidRDefault="008D6488" w:rsidP="008D6488"/>
    <w:p w:rsidR="008D6488" w:rsidRDefault="008D6488" w:rsidP="00B910B2">
      <w:pPr>
        <w:pStyle w:val="Heading2"/>
      </w:pPr>
      <w:bookmarkStart w:id="17" w:name="_Toc128518348"/>
      <w:r>
        <w:t>GDP Growth rate</w:t>
      </w:r>
      <w:bookmarkEnd w:id="17"/>
    </w:p>
    <w:p w:rsidR="008D6488" w:rsidRDefault="008D6488" w:rsidP="008D6488">
      <w:pPr>
        <w:autoSpaceDE w:val="0"/>
        <w:autoSpaceDN w:val="0"/>
        <w:adjustRightInd w:val="0"/>
        <w:spacing w:after="0" w:line="240" w:lineRule="auto"/>
        <w:rPr>
          <w:rFonts w:cstheme="minorHAnsi"/>
          <w:szCs w:val="20"/>
        </w:rPr>
      </w:pPr>
    </w:p>
    <w:p w:rsidR="008D6488" w:rsidRPr="00E24A4A" w:rsidRDefault="008D6488" w:rsidP="008D6488">
      <w:pPr>
        <w:autoSpaceDE w:val="0"/>
        <w:autoSpaceDN w:val="0"/>
        <w:adjustRightInd w:val="0"/>
        <w:spacing w:after="0" w:line="240" w:lineRule="auto"/>
        <w:rPr>
          <w:rFonts w:cstheme="minorHAnsi"/>
          <w:szCs w:val="20"/>
        </w:rPr>
      </w:pPr>
      <w:r w:rsidRPr="00E24A4A">
        <w:rPr>
          <w:rFonts w:cstheme="minorHAnsi"/>
          <w:szCs w:val="20"/>
        </w:rPr>
        <w:t>The growth rates of the GDP and gross domestic product for each EU member state are included last. The supply and demand of savings and borrowings are both impacted by both of them in a number of ways.</w:t>
      </w:r>
    </w:p>
    <w:p w:rsidR="008D6488" w:rsidRPr="00E24A4A" w:rsidRDefault="008D6488" w:rsidP="008D6488">
      <w:pPr>
        <w:autoSpaceDE w:val="0"/>
        <w:autoSpaceDN w:val="0"/>
        <w:adjustRightInd w:val="0"/>
        <w:spacing w:after="0" w:line="240" w:lineRule="auto"/>
        <w:rPr>
          <w:rFonts w:cstheme="minorHAnsi"/>
          <w:szCs w:val="20"/>
        </w:rPr>
      </w:pPr>
      <w:r w:rsidRPr="00E24A4A">
        <w:rPr>
          <w:rFonts w:cstheme="minorHAnsi"/>
          <w:szCs w:val="20"/>
        </w:rPr>
        <w:t xml:space="preserve">For a variety of factors, one may anticipate that real GDP will be a major driver of asset quality. </w:t>
      </w:r>
      <w:r w:rsidR="00A17F34" w:rsidRPr="00A17F34">
        <w:rPr>
          <w:rFonts w:cstheme="minorHAnsi"/>
          <w:szCs w:val="20"/>
        </w:rPr>
        <w:t>The cycle position will affect the quality of bank assets, with loan loss provisions accounting for default risks. During a global recession, bank profitability and GDP growth will have a stronger correlation than during economic booms. GDP can be used to estimate the size of the market serviced by banks. Bank credit demand will be higher during an expanding economy than during a contracting one. Assuming a constant number of banks operating throughout the cycle, imperfect competition suggests that bank profitability would be positively related to market size as measured by GDP</w:t>
      </w:r>
      <w:r w:rsidRPr="00E24A4A">
        <w:rPr>
          <w:rFonts w:cstheme="minorHAnsi"/>
          <w:szCs w:val="20"/>
        </w:rPr>
        <w:t>. The coefficient, however, may also be adverse because it is presumed that nations with greater GDP or GPI have banking systems that function in mature environments, leading to more competition interest and overall profitability (see also Goldberg and Rai, 1996). These numbers were gathered from national figures that were made available by the OECD and the IMF in their International Financial Statistics. These variables may have a significant impact on the experience of EU banks, which have been operating since 1994 in an environment of relatively rapid GDP growth and declining interest rates. With a real GDP growth rate that has been more than three times the global average, Ireland has the greatest growth rates. Portugal is adopted after Greece. The profitability (NIM) in the lowest group of middle-income nations has a considerable association with and a favourable influence on per capita GDP income. Profitability is unaffected statistically by either the broad money growth rate or the corruption perception score. For both the lower and higher groups of middle-income nations, the inflation rate is statistically significant.</w:t>
      </w:r>
    </w:p>
    <w:p w:rsidR="008D6488" w:rsidRPr="00E24A4A" w:rsidRDefault="008D6488" w:rsidP="008D6488">
      <w:pPr>
        <w:autoSpaceDE w:val="0"/>
        <w:autoSpaceDN w:val="0"/>
        <w:adjustRightInd w:val="0"/>
        <w:spacing w:after="0" w:line="240" w:lineRule="auto"/>
        <w:rPr>
          <w:rFonts w:cstheme="minorHAnsi"/>
          <w:color w:val="FF0000"/>
          <w:szCs w:val="20"/>
        </w:rPr>
      </w:pPr>
    </w:p>
    <w:p w:rsidR="008D6488" w:rsidRDefault="008D6488" w:rsidP="008D6488">
      <w:pPr>
        <w:rPr>
          <w:color w:val="FF0000"/>
        </w:rPr>
      </w:pPr>
    </w:p>
    <w:p w:rsidR="008D6488" w:rsidRDefault="008D6488" w:rsidP="008D6488"/>
    <w:p w:rsidR="008D6488" w:rsidRDefault="008D6488" w:rsidP="008D6488"/>
    <w:p w:rsidR="008D6488" w:rsidRDefault="008D6488" w:rsidP="00B910B2">
      <w:pPr>
        <w:pStyle w:val="Heading2"/>
      </w:pPr>
      <w:bookmarkStart w:id="18" w:name="_Toc128518349"/>
      <w:r>
        <w:t>Equity Capital</w:t>
      </w:r>
      <w:bookmarkEnd w:id="18"/>
      <w:r>
        <w:t xml:space="preserve"> </w:t>
      </w:r>
    </w:p>
    <w:p w:rsidR="008D6488" w:rsidRDefault="008D6488" w:rsidP="008D6488">
      <w:r w:rsidRPr="00EC739D">
        <w:t>Equity capital, which refers to the cash produced by banks via the sale of ownership shares, is an important part of their financial structure. The purpose of this literature review is to examine the significance of banks' equity capital, its drivers, and its effects on financial stability.</w:t>
      </w:r>
    </w:p>
    <w:p w:rsidR="008D6488" w:rsidRDefault="008D6488" w:rsidP="008D6488">
      <w:r w:rsidRPr="00EC739D">
        <w:t>Equity capital for banks is crucial for preserving their stability and solvency. In times of economic depression, banks with larger equity capital are better equipped to absorb losses and retain their financial stability. A bigger equity capital also lessens the possibility of financial crisis or insolvency for banks.</w:t>
      </w:r>
    </w:p>
    <w:p w:rsidR="008D6488" w:rsidRDefault="008D6488" w:rsidP="008D6488">
      <w:r>
        <w:t xml:space="preserve">Determinants </w:t>
      </w:r>
    </w:p>
    <w:p w:rsidR="008D6488" w:rsidRDefault="008D6488" w:rsidP="008D6488">
      <w:proofErr w:type="spellStart"/>
      <w:r w:rsidRPr="00EC739D">
        <w:t>Regulational</w:t>
      </w:r>
      <w:proofErr w:type="spellEnd"/>
      <w:r w:rsidRPr="00EC739D">
        <w:t xml:space="preserve"> requirements, risk management techniques, profitability, and investor preferences are just a few of the variables that have an impact on the amount of equity capital that banks retain. To fulfil capital adequacy ratios, banks must maintain a certain amount of equity capital in accordance with regulatory requirements like Basel III norms. More equity capital may be needed by banks with greater risks or a greater chance of suffering losses in order to retain solvency. A bank's ability to </w:t>
      </w:r>
      <w:r w:rsidRPr="00EC739D">
        <w:lastRenderedPageBreak/>
        <w:t>issue more equity capital may be influenced by its profitability, since more successful banks may be better equipped to do so.</w:t>
      </w:r>
    </w:p>
    <w:p w:rsidR="008D6488" w:rsidRDefault="008D6488" w:rsidP="008D6488">
      <w:r>
        <w:t xml:space="preserve">Impact </w:t>
      </w:r>
    </w:p>
    <w:p w:rsidR="008D6488" w:rsidRDefault="008D6488" w:rsidP="008D6488">
      <w:r w:rsidRPr="00EC739D">
        <w:t>Financial stability is more strongly correlated with higher equity capital levels. According to studies, banks with larger equity capital ratios are less likely to collapse or fall into financial difficulty, particularly during economic downturns. Conversely, banks with smaller equity capital ratios are more prone to suffering financial trouble or going out of business. Higher levels of equity capital can help banks weather the storm, making the effect of equity capital on financial stability particularly crucial during times of crisis.</w:t>
      </w:r>
    </w:p>
    <w:p w:rsidR="008D6488" w:rsidRDefault="008D6488" w:rsidP="008D6488">
      <w:r>
        <w:t>Measures</w:t>
      </w:r>
    </w:p>
    <w:p w:rsidR="00FA053D" w:rsidRDefault="00FA053D" w:rsidP="008D6488">
      <w:r w:rsidRPr="00FA053D">
        <w:t>A bank's capital is measured by the Capital Adequacy Ratio (CAR), which compares it to its risk-weighted assets. It is computed by dividing the bank's risk-weighted assets by its Tier 1 and Tier 2 capital. The CAR is used by regulators to make sure banks have enough capital to cover possible losses.</w:t>
      </w:r>
    </w:p>
    <w:p w:rsidR="008D6488" w:rsidRPr="00B07EEB" w:rsidRDefault="008D6488" w:rsidP="008D6488">
      <w:r w:rsidRPr="00EC739D">
        <w:t>Leverage ratio: This indicator shows how much Tier 1 capital a bank has in comparison to its overall exposure. It is determined by dividing a bank's overall exposure, which includes both on- and off-balance sheet assets, by its Tier 1 capital. The leverage ratio was created to stop banks from taking on too much debt.</w:t>
      </w:r>
    </w:p>
    <w:p w:rsidR="008D6488" w:rsidRDefault="008D6488" w:rsidP="008D6488">
      <w:pPr>
        <w:rPr>
          <w:color w:val="FF0000"/>
        </w:rPr>
      </w:pPr>
    </w:p>
    <w:p w:rsidR="008D6488" w:rsidRDefault="008D6488" w:rsidP="00B910B2">
      <w:r>
        <w:t>Measures of banks performance.</w:t>
      </w:r>
    </w:p>
    <w:p w:rsidR="008D6488" w:rsidRDefault="008D6488" w:rsidP="008D6488">
      <w:r w:rsidRPr="00A772C8">
        <w:t>The trustworthy business assembles fiscal performance metrics, then distributes, updates, and interprets data, taking up an inordinate amount of time each month.</w:t>
      </w:r>
      <w:r>
        <w:t xml:space="preserve"> </w:t>
      </w:r>
      <w:r w:rsidRPr="00A772C8">
        <w:t>The first step in making effective strategic choices is to evaluate existing operational strengths and opportunities for development by monitoring the appropriate combination of key performance indicators (KPIs) for banks:</w:t>
      </w:r>
      <w:r>
        <w:t xml:space="preserve"> (Colbert White)</w:t>
      </w:r>
    </w:p>
    <w:p w:rsidR="00CE3D70" w:rsidRDefault="00CE3D70" w:rsidP="008D6488">
      <w:r w:rsidRPr="00CE3D70">
        <w:t xml:space="preserve">To evaluate a bank's performance, analysts typically examine several key indicators, including return on assets (ROA), return on equity (ROE), and net interest margin (NIM), while assessing its creditworthiness involves examining its risk-weighted assets (RWA) ratio, non-performing loans (NPL) ratio, and the standard deviation of ROA or ROE (Li et al., 2021; </w:t>
      </w:r>
      <w:proofErr w:type="spellStart"/>
      <w:r w:rsidRPr="00CE3D70">
        <w:t>Mirzaei</w:t>
      </w:r>
      <w:proofErr w:type="spellEnd"/>
      <w:r w:rsidRPr="00CE3D70">
        <w:t xml:space="preserve"> et al., 2013; </w:t>
      </w:r>
      <w:proofErr w:type="spellStart"/>
      <w:r w:rsidRPr="00CE3D70">
        <w:t>Molyneux</w:t>
      </w:r>
      <w:proofErr w:type="spellEnd"/>
      <w:r w:rsidRPr="00CE3D70">
        <w:t xml:space="preserve"> &amp; Thornton, 1992; </w:t>
      </w:r>
      <w:proofErr w:type="spellStart"/>
      <w:r w:rsidRPr="00CE3D70">
        <w:t>Yanikkaya</w:t>
      </w:r>
      <w:proofErr w:type="spellEnd"/>
      <w:r w:rsidRPr="00CE3D70">
        <w:t xml:space="preserve"> et al., 2018). Both ROE and ROA are commonly used metrics to assess a company's profitability. ROA, which is calculated as the ratio of net income to total assets, indicates how effectively a company is utilizing its total assets. In contrast, ROE, calculated as the ratio of net income to total equity, measures how much profit business owners are making on their investments (Guru et al. 2002)</w:t>
      </w:r>
      <w:r>
        <w:t>.</w:t>
      </w:r>
    </w:p>
    <w:p w:rsidR="008D6488" w:rsidRDefault="008D6488" w:rsidP="008D6488">
      <w:r w:rsidRPr="00DA5C04">
        <w:t>The measure of a bank's profitability known as return on assets (ROA) is often employed, and a large amount of research has been done to determine the variables that affect it. This overview of the literature highlights some of the most important conclusions and contributions from earlier investigations of ROA in the banking sector.</w:t>
      </w:r>
      <w:r>
        <w:t xml:space="preserve"> </w:t>
      </w:r>
    </w:p>
    <w:p w:rsidR="008D6488" w:rsidRDefault="008D6488" w:rsidP="008D6488">
      <w:r w:rsidRPr="00DA5C04">
        <w:t xml:space="preserve">Finding its determinants is one important field of research in ROA. Studies have shown that a number of variables, such as a bank's capital sufficiency, asset quality, liquidity, and size, have an effect on the ROA. </w:t>
      </w:r>
      <w:proofErr w:type="spellStart"/>
      <w:r w:rsidRPr="00DA5C04">
        <w:t>Demirgüç-Kunt</w:t>
      </w:r>
      <w:proofErr w:type="spellEnd"/>
      <w:r w:rsidRPr="00DA5C04">
        <w:t xml:space="preserve"> and Huizinga (1999) discovered, for instance, that banks with larger capital ratios typically had higher ROA. </w:t>
      </w:r>
      <w:proofErr w:type="spellStart"/>
      <w:r w:rsidRPr="00DA5C04">
        <w:t>Molyneux</w:t>
      </w:r>
      <w:proofErr w:type="spellEnd"/>
      <w:r w:rsidRPr="00DA5C04">
        <w:t xml:space="preserve"> and Thornton (1992) discovered in another </w:t>
      </w:r>
      <w:r w:rsidRPr="00DA5C04">
        <w:lastRenderedPageBreak/>
        <w:t xml:space="preserve">study that asset quality is a significant factor in determining ROA and that banks with greater levels of non-performing loans typically have lower ROA. Additionally, a research conducted in 1985 by </w:t>
      </w:r>
      <w:proofErr w:type="spellStart"/>
      <w:r w:rsidRPr="00DA5C04">
        <w:t>Hirschey</w:t>
      </w:r>
      <w:proofErr w:type="spellEnd"/>
      <w:r w:rsidRPr="00DA5C04">
        <w:t xml:space="preserve"> and </w:t>
      </w:r>
      <w:proofErr w:type="spellStart"/>
      <w:r w:rsidRPr="00DA5C04">
        <w:t>Weygandt</w:t>
      </w:r>
      <w:proofErr w:type="spellEnd"/>
      <w:r w:rsidRPr="00DA5C04">
        <w:t xml:space="preserve"> discovered that larger banks typically had greater ROA, which may be related to their capacity to attain economies of scale.</w:t>
      </w:r>
    </w:p>
    <w:p w:rsidR="008D6488" w:rsidRDefault="008D6488" w:rsidP="008D6488">
      <w:r w:rsidRPr="00DA5C04">
        <w:t>The measuring of profitability is a key topic in ROA study. The literature has suggested a variety of metrics, such as the return on assets (ROA), return on equity (ROE), and net interest margin (NIM). According to a Kim and Park (2018) study, ROA is a more thorough indicator of profitability than ROE and NIM.</w:t>
      </w:r>
    </w:p>
    <w:p w:rsidR="008D6488" w:rsidRDefault="008D6488" w:rsidP="008D6488">
      <w:r w:rsidRPr="00DA5C04">
        <w:t>Another crucial topic of inquiry in the banking literature is the effect of ROA on banks' performance. According to a research by DeYoung et al. (2010), ROA significantly affects a bank's loan loss provision, which is a crucial indicator of its general financial health. Furthermore, a 2005 study by Berger et al. discovered a correlation between higher ROA and higher stock returns, demonstrating that investors should consider ROA when assessing bank performance.</w:t>
      </w:r>
    </w:p>
    <w:p w:rsidR="008D6488" w:rsidRDefault="008D6488" w:rsidP="008D6488">
      <w:r w:rsidRPr="00A17A7A">
        <w:t>The financial success of a firm is frequently measured by return on equity (ROE), and a large amount of research has been done to identify the variables that affect it. This overview of the literature highlights some of the most important conclusions and contributions from earlier studies on ROE in the context of the banking sector.</w:t>
      </w:r>
    </w:p>
    <w:p w:rsidR="008D6488" w:rsidRDefault="008D6488" w:rsidP="008D6488">
      <w:r w:rsidRPr="00A17A7A">
        <w:t>According to a study by Ali et al. (2018), equity and interest income have a favourable effect on ROE whereas non-performing loans and operational costs have a negative effect. The measuring of profitability is a key topic in ROE study. The literature has suggested a variety of metrics, such as the return on equity (ROE), return on assets (ROA), and net interest margin (NIM). According to a research by Kim and Park (2018), ROE, which accounts for the amount of equity invested in the company, is a stronger indicator of bank profitability than ROA or NIM.</w:t>
      </w:r>
    </w:p>
    <w:p w:rsidR="008D6488" w:rsidRDefault="008D6488" w:rsidP="008D6488">
      <w:r w:rsidRPr="00A17A7A">
        <w:t xml:space="preserve">Another crucial topic of inquiry in the banking literature is the effect of ROE on banks' performance. Greater ROE is linked to higher stock returns, according to a study by Berger et al. (2005), suggesting that investors should consider ROE when assessing bank performance. The financial health of banks is also significantly impacted by ROE, according to a study by </w:t>
      </w:r>
      <w:proofErr w:type="spellStart"/>
      <w:r w:rsidRPr="00A17A7A">
        <w:t>Samad</w:t>
      </w:r>
      <w:proofErr w:type="spellEnd"/>
      <w:r w:rsidRPr="00A17A7A">
        <w:t xml:space="preserve"> and Hassan (2018), since greater ROE reduces the likelihood of bank collapse.</w:t>
      </w:r>
    </w:p>
    <w:p w:rsidR="008D6488" w:rsidRDefault="008D6488" w:rsidP="008D6488">
      <w:r w:rsidRPr="005D01FE">
        <w:t xml:space="preserve">Inside this literature, ROA is more frequently employed than ROE as the key ratio for assessing bank profitability. In studies (Noman et al. 2015; </w:t>
      </w:r>
      <w:proofErr w:type="spellStart"/>
      <w:r w:rsidRPr="005D01FE">
        <w:t>Hou</w:t>
      </w:r>
      <w:proofErr w:type="spellEnd"/>
      <w:r w:rsidRPr="005D01FE">
        <w:t xml:space="preserve"> 2016), there are additional profitability metrics. They are either return on average equity (ROAE) or return on average assets (ROAA) (ROAE). </w:t>
      </w:r>
      <w:r w:rsidRPr="00B20D01">
        <w:t>The most straightforward method of measuring bank profitability is return on assets (ROA). It displays a bank's ability to produce a profit out of its own asset allocation services.</w:t>
      </w:r>
      <w:r>
        <w:t xml:space="preserve"> </w:t>
      </w:r>
      <w:r w:rsidRPr="005D01FE">
        <w:t>ROE and ROA are the metrics used to quantify bank profitability in the context of this study.</w:t>
      </w:r>
      <w:r>
        <w:t xml:space="preserve"> </w:t>
      </w:r>
      <w:r w:rsidRPr="005D01FE">
        <w:t>From the standpoint of a stockholder, ROE is a measure of return and serves as a stand-in for the profits equity holders receive from bank activities. ROA, which stands for return on assets from an organizational viewpoint, is more frequently employed as a gauge of a bank's productivity improvement.</w:t>
      </w:r>
      <w:r>
        <w:t xml:space="preserve"> </w:t>
      </w:r>
      <w:r w:rsidRPr="00B20D01">
        <w:t>Financial metric that evaluates performance using the aggregate number of outstanding owners' equities</w:t>
      </w:r>
      <w:r>
        <w:t xml:space="preserve">. </w:t>
      </w:r>
    </w:p>
    <w:p w:rsidR="008D6488" w:rsidRDefault="008D6488">
      <w:r w:rsidRPr="00AF744D">
        <w:t>The ratio of assets to equity, which measures financial leverage, can be used to express the link between ROA and ROE as ROE = ROA (Asset/Equity). This link implies that ROE increases as financial leverage increases.</w:t>
      </w:r>
      <w:r>
        <w:t xml:space="preserve"> </w:t>
      </w:r>
      <w:r w:rsidRPr="00031181">
        <w:t>The amount of bank capital funds is subject to Basel III's capital adequacy requirement, therefore the equity capital cannot be too low.</w:t>
      </w:r>
    </w:p>
    <w:p w:rsidR="00FA053D" w:rsidRDefault="00FA053D"/>
    <w:p w:rsidR="00FA053D" w:rsidRDefault="00FA053D"/>
    <w:p w:rsidR="00FA053D" w:rsidRDefault="00FA053D"/>
    <w:p w:rsidR="00B766D0" w:rsidRDefault="00B766D0" w:rsidP="00B910B2">
      <w:pPr>
        <w:pStyle w:val="Heading1"/>
        <w:rPr>
          <w:noProof/>
          <w:lang w:eastAsia="en-IN"/>
        </w:rPr>
      </w:pPr>
      <w:bookmarkStart w:id="19" w:name="_Toc128518350"/>
      <w:r>
        <w:t>Conceptual Framework</w:t>
      </w:r>
      <w:bookmarkEnd w:id="19"/>
    </w:p>
    <w:p w:rsidR="00527135" w:rsidRDefault="00527135"/>
    <w:p w:rsidR="00527135" w:rsidRDefault="00323B18">
      <w:r>
        <w:rPr>
          <w:noProof/>
          <w:lang w:eastAsia="en-IN"/>
        </w:rPr>
        <w:drawing>
          <wp:inline distT="0" distB="0" distL="0" distR="0" wp14:anchorId="11969381" wp14:editId="58A585F7">
            <wp:extent cx="5486400" cy="3200400"/>
            <wp:effectExtent l="0" t="0" r="0" b="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527135" w:rsidRDefault="00744D1E">
      <w:r>
        <w:tab/>
      </w:r>
      <w:r>
        <w:tab/>
      </w:r>
      <w:r>
        <w:tab/>
      </w:r>
      <w:r>
        <w:tab/>
      </w:r>
      <w:r>
        <w:tab/>
      </w:r>
      <w:proofErr w:type="gramStart"/>
      <w:r>
        <w:t>Source :</w:t>
      </w:r>
      <w:proofErr w:type="gramEnd"/>
      <w:r>
        <w:t xml:space="preserve"> Own</w:t>
      </w:r>
    </w:p>
    <w:p w:rsidR="00527135" w:rsidRDefault="00527135"/>
    <w:p w:rsidR="00527135" w:rsidRDefault="001F1F4E">
      <w:r>
        <w:t xml:space="preserve">This paper discusses about the </w:t>
      </w:r>
      <w:r w:rsidR="001279AB">
        <w:t xml:space="preserve">determinants which are independent variables such as Asset size, Total interest income, Non-performing loans, Equity capital, Operating expenditure and total deposits which tells us regarding the performance of the banks or the companies. It can have positive or negative relation. Based on the banks internal factors we can draw conclusion on the net profit margin. </w:t>
      </w:r>
    </w:p>
    <w:p w:rsidR="00527135" w:rsidRDefault="00527135"/>
    <w:p w:rsidR="00527135" w:rsidRDefault="00527135"/>
    <w:p w:rsidR="00527135" w:rsidRDefault="00527135"/>
    <w:p w:rsidR="00527135" w:rsidRDefault="00527135"/>
    <w:p w:rsidR="00527135" w:rsidRDefault="00527135"/>
    <w:p w:rsidR="00527135" w:rsidRDefault="00527135"/>
    <w:p w:rsidR="00744D1E" w:rsidRDefault="00744D1E"/>
    <w:p w:rsidR="00744D1E" w:rsidRDefault="00744D1E"/>
    <w:p w:rsidR="00744D1E" w:rsidRDefault="00744D1E"/>
    <w:p w:rsidR="00744D1E" w:rsidRDefault="00744D1E"/>
    <w:p w:rsidR="00B766D0" w:rsidRDefault="00B766D0"/>
    <w:p w:rsidR="00527135" w:rsidRDefault="00527135"/>
    <w:p w:rsidR="008D6488" w:rsidRDefault="008D6488" w:rsidP="00B910B2">
      <w:pPr>
        <w:pStyle w:val="Heading1"/>
      </w:pPr>
      <w:r>
        <w:tab/>
      </w:r>
      <w:r>
        <w:tab/>
      </w:r>
      <w:r>
        <w:tab/>
      </w:r>
      <w:r>
        <w:tab/>
      </w:r>
      <w:r>
        <w:tab/>
      </w:r>
      <w:bookmarkStart w:id="20" w:name="_Toc128518351"/>
      <w:r>
        <w:t>Part – III</w:t>
      </w:r>
      <w:bookmarkEnd w:id="20"/>
    </w:p>
    <w:p w:rsidR="008D6488" w:rsidRDefault="008D6488"/>
    <w:p w:rsidR="008D6488" w:rsidRDefault="008D6488" w:rsidP="00B910B2">
      <w:pPr>
        <w:pStyle w:val="Heading2"/>
      </w:pPr>
      <w:bookmarkStart w:id="21" w:name="_Toc128518352"/>
      <w:r>
        <w:t>Research Methodology</w:t>
      </w:r>
      <w:bookmarkEnd w:id="21"/>
    </w:p>
    <w:p w:rsidR="008D6488" w:rsidRDefault="008D6488" w:rsidP="008D6488"/>
    <w:p w:rsidR="008D6488" w:rsidRDefault="008D6488" w:rsidP="008D6488">
      <w:r w:rsidRPr="004F1C9C">
        <w:t>The researcher has chosen a positivist approach to study in order to show the effects of the various factors that affect a bank's profitability and how they relate to the bank's movement in terms of profitability. The study of social phenomena using a more organised approach known as positive psychology combines logical reasoning based on empirical data to establish a causal link and express a reasoned conclusion</w:t>
      </w:r>
      <w:r>
        <w:t xml:space="preserve">. </w:t>
      </w:r>
      <w:r w:rsidRPr="004F1C9C">
        <w:t>In this instance, the researcher has chosen to adopt this philosophy since they have chosen to establish the causal link between the many variables of the bank's profitability and their movement in relation to the banks' overall profitability. In addition to determining if the chosen variables had a good or negative impact on the bank's profitability, the researcher also chose to study how these elements affect the bank's total profitability level.</w:t>
      </w:r>
    </w:p>
    <w:p w:rsidR="008D6488" w:rsidRDefault="008D6488" w:rsidP="008D6488">
      <w:r w:rsidRPr="004F1C9C">
        <w:t>According to Gobo, the positivist research philosophy aids in precisely demonstrating the causal link between the dependent and independent variables based on empirical quantitative data (2014). While conducting comparable study, Goddard and Melville (2015) employed positivist research philosophy. Considering all of these positivist research theories, positivism has been chosen as the greatest fit for the study setting.</w:t>
      </w:r>
      <w:r>
        <w:t xml:space="preserve"> </w:t>
      </w:r>
      <w:r w:rsidRPr="004F1C9C">
        <w:t xml:space="preserve">Because </w:t>
      </w:r>
      <w:proofErr w:type="spellStart"/>
      <w:r w:rsidRPr="004F1C9C">
        <w:t>Interpretivism</w:t>
      </w:r>
      <w:proofErr w:type="spellEnd"/>
      <w:r w:rsidRPr="004F1C9C">
        <w:t xml:space="preserve"> is qualitative in nature and cannot be used to precisely define relationships based on quantitative data, like in this instance, the researcher has not chosen this research philosophy. It has been desired to take into account all of these positivist research theories. The researcher has chosen a deductive study methodology to outline the effects of the many profitability-related aspects on the bank.</w:t>
      </w:r>
    </w:p>
    <w:p w:rsidR="008D6488" w:rsidRDefault="008D6488" w:rsidP="008D6488">
      <w:r w:rsidRPr="00AA11F6">
        <w:t>Deductive research methodology was chosen since the research was intended to be done using historical data and because there is a wealth of information on this subject. According to Han et al., the deductive strategy might be selected to establish a causal link since it is compatible with the quantitative research framework (2015). The study environment is not novel, and there are materials accessible that may be extracted from earlier studies, hence the inductive technique has not been used here.</w:t>
      </w:r>
      <w:r>
        <w:t xml:space="preserve"> </w:t>
      </w:r>
      <w:r w:rsidRPr="00AA11F6">
        <w:t>The backdrop of the new research is best suited for an inductive method. Additionally, the researcher wishes to test the hypothesis, which also follows the deductive method.</w:t>
      </w:r>
      <w:r>
        <w:t xml:space="preserve"> </w:t>
      </w:r>
      <w:r w:rsidRPr="00AA11F6">
        <w:t>The researcher's decision to use a descriptive research strategy for this study is supported by Kothari's assertion that a descriptive research methodology is appropriate in the context of quantitative data processing (2014). In this situation, the researcher has chosen to gather quantitative data on the chosen factors in order to show their significance and connection to the bank's profitability.</w:t>
      </w:r>
      <w:r>
        <w:t xml:space="preserve"> </w:t>
      </w:r>
    </w:p>
    <w:p w:rsidR="00C54264" w:rsidRDefault="00C54264" w:rsidP="008D6488">
      <w:r w:rsidRPr="00C54264">
        <w:t>Over a decade, the researcher collected data on a range of financial variables from the annual statements of six major banks</w:t>
      </w:r>
      <w:r w:rsidR="008379C6">
        <w:t xml:space="preserve"> of UK. The variables includes</w:t>
      </w:r>
      <w:r w:rsidRPr="00C54264">
        <w:t xml:space="preserve"> liquidity, equity capital position, non-performing loans, operational costs, asset size, total interest income, loans and advances, and net profit</w:t>
      </w:r>
      <w:r w:rsidR="008379C6">
        <w:t xml:space="preserve"> etc</w:t>
      </w:r>
      <w:r w:rsidRPr="00C54264">
        <w:t>. The study used entirely secondary information that aligned with the researcher's hypothesis</w:t>
      </w:r>
      <w:r>
        <w:t>.</w:t>
      </w:r>
    </w:p>
    <w:p w:rsidR="008D6488" w:rsidRDefault="008D6488" w:rsidP="008D6488">
      <w:r w:rsidRPr="00DD268D">
        <w:lastRenderedPageBreak/>
        <w:t>To precisely ascertain the influence of the many variables of the bank's profitability, their impact, and their mobility, the researcher has chosen to conduct hypothesis testing. The following is the primary premise of this investigation:</w:t>
      </w:r>
    </w:p>
    <w:p w:rsidR="008D6488" w:rsidRDefault="008D6488" w:rsidP="008D6488">
      <w:r>
        <w:t xml:space="preserve">H0: </w:t>
      </w:r>
      <w:r w:rsidRPr="00DD268D">
        <w:t>There is no relationship between a bank's equity capital, non-performing loans (NPL), operational expenditures, total deposits, asset size, total interest revenue, non-interest income, and loan advances.</w:t>
      </w:r>
    </w:p>
    <w:p w:rsidR="008D6488" w:rsidRDefault="008D6488" w:rsidP="008D6488">
      <w:r>
        <w:t xml:space="preserve">H1: </w:t>
      </w:r>
      <w:r w:rsidR="008379C6" w:rsidRPr="008379C6">
        <w:t>According to the bank's sub-hypothesis, a number of elements, such as equity capital, nonperforming loans (NPL), operating expenses, total deposits, asset size, total interest income, and loans advances, have a big influence on the bank's profitability.</w:t>
      </w:r>
    </w:p>
    <w:p w:rsidR="008D6488" w:rsidRDefault="008D6488" w:rsidP="008D6488">
      <w:r>
        <w:t>Total Interest Income</w:t>
      </w:r>
    </w:p>
    <w:p w:rsidR="008D6488" w:rsidRDefault="008D6488" w:rsidP="008D6488">
      <w:r w:rsidRPr="00DD268D">
        <w:t>According to a research by Adams &amp; Jiang (2016), the company's profit advances in the same direction as its overall interest income, which indicates that there is a substantial positive association between the two. According to Banerjee et al. (2017), the bank's profitability is only positively impacted if its total interest revenue is sufficient proportion to its entire investment. This is a slightly contradicting position. The following is the theory behind this:</w:t>
      </w:r>
    </w:p>
    <w:p w:rsidR="008D6488" w:rsidRDefault="008D6488" w:rsidP="008D6488">
      <w:r w:rsidRPr="00DD268D">
        <w:t>The business's revenue is significantly impacted by total interest income.</w:t>
      </w:r>
    </w:p>
    <w:p w:rsidR="008D6488" w:rsidRDefault="008D6488" w:rsidP="008D6488">
      <w:r>
        <w:t>Non – Performing Loans</w:t>
      </w:r>
    </w:p>
    <w:p w:rsidR="008379C6" w:rsidRDefault="008379C6" w:rsidP="008D6488">
      <w:r w:rsidRPr="008379C6">
        <w:t xml:space="preserve">According to a 2011 research by </w:t>
      </w:r>
      <w:proofErr w:type="spellStart"/>
      <w:r w:rsidRPr="008379C6">
        <w:t>Alper</w:t>
      </w:r>
      <w:proofErr w:type="spellEnd"/>
      <w:r w:rsidRPr="008379C6">
        <w:t xml:space="preserve"> and Anbar, non-performing loans might have a significant negative impact on a bank's profitability. Because to the higher danger of losing interest revenue and capital investment, these loans are sometimes referred to as the misused or irreversible portion of a bank's investment.</w:t>
      </w:r>
    </w:p>
    <w:p w:rsidR="008D6488" w:rsidRDefault="008379C6" w:rsidP="008D6488">
      <w:r>
        <w:t>H0</w:t>
      </w:r>
      <w:r w:rsidR="008D6488">
        <w:t>: Non-performing loans have a big effect on the bank's bottom line.</w:t>
      </w:r>
    </w:p>
    <w:p w:rsidR="008D6488" w:rsidRDefault="008D6488" w:rsidP="008D6488">
      <w:r>
        <w:t>Operating Expense</w:t>
      </w:r>
    </w:p>
    <w:p w:rsidR="008D6488" w:rsidRDefault="008D6488" w:rsidP="008D6488">
      <w:r w:rsidRPr="00106E64">
        <w:t xml:space="preserve">Regarding figuring out how operating costs affect a bank's profitability, there are two schools of thinking. Ben </w:t>
      </w:r>
      <w:proofErr w:type="spellStart"/>
      <w:r w:rsidRPr="00106E64">
        <w:t>Naceur</w:t>
      </w:r>
      <w:proofErr w:type="spellEnd"/>
      <w:r w:rsidRPr="00106E64">
        <w:t xml:space="preserve"> and </w:t>
      </w:r>
      <w:proofErr w:type="spellStart"/>
      <w:r w:rsidRPr="00106E64">
        <w:t>Goaied</w:t>
      </w:r>
      <w:proofErr w:type="spellEnd"/>
      <w:r w:rsidRPr="00106E64">
        <w:t xml:space="preserve"> (2014) discovered that greater operating costs result in a lower profit margin, whereas Cable (2014) discovered that the key factor in determining a bank's profitability is not the total amount of operating costs but rather their proportion to net income.</w:t>
      </w:r>
    </w:p>
    <w:p w:rsidR="008D6488" w:rsidRDefault="008D6488" w:rsidP="008D6488">
      <w:r w:rsidRPr="00106E64">
        <w:t>The profitability of the bank is significantly impacted by operating costs.</w:t>
      </w:r>
    </w:p>
    <w:p w:rsidR="008D6488" w:rsidRDefault="008D6488" w:rsidP="008D6488">
      <w:r>
        <w:t>Asset size</w:t>
      </w:r>
    </w:p>
    <w:p w:rsidR="008D6488" w:rsidRDefault="008D6488" w:rsidP="008D6488">
      <w:r w:rsidRPr="00106E64">
        <w:t xml:space="preserve">According to </w:t>
      </w:r>
      <w:proofErr w:type="spellStart"/>
      <w:r w:rsidRPr="00106E64">
        <w:t>Ammann</w:t>
      </w:r>
      <w:proofErr w:type="spellEnd"/>
      <w:r w:rsidRPr="00106E64">
        <w:t xml:space="preserve"> et al. (2015), a bank's total profitability level is significantly positively correlated with its asset size since larger banks are projected to create more profits than smaller banks. </w:t>
      </w:r>
      <w:proofErr w:type="spellStart"/>
      <w:r w:rsidRPr="00106E64">
        <w:t>Dasgupta</w:t>
      </w:r>
      <w:proofErr w:type="spellEnd"/>
      <w:r w:rsidRPr="00106E64">
        <w:t xml:space="preserve"> et al. (2017) had a somewhat different perspective, finding that banks that maintain the ideal combination of assets and liquidity are predicted to be more profitable.</w:t>
      </w:r>
    </w:p>
    <w:p w:rsidR="008D6488" w:rsidRDefault="008D6488" w:rsidP="008D6488">
      <w:r>
        <w:t>The asset size</w:t>
      </w:r>
      <w:r w:rsidRPr="00106E64">
        <w:t xml:space="preserve"> of the bank is significantly impacted by operating costs.</w:t>
      </w:r>
    </w:p>
    <w:p w:rsidR="008D6488" w:rsidRDefault="008D6488" w:rsidP="008D6488"/>
    <w:p w:rsidR="008D6488" w:rsidRDefault="008D6488" w:rsidP="008D6488"/>
    <w:p w:rsidR="008D6488" w:rsidRDefault="008D6488" w:rsidP="008D6488"/>
    <w:p w:rsidR="008D6488" w:rsidRDefault="008D6488" w:rsidP="008D6488">
      <w:r>
        <w:t>Equity Capital</w:t>
      </w:r>
    </w:p>
    <w:p w:rsidR="008D6488" w:rsidRDefault="008D6488" w:rsidP="008D6488">
      <w:r w:rsidRPr="00106E64">
        <w:lastRenderedPageBreak/>
        <w:t xml:space="preserve">According to </w:t>
      </w:r>
      <w:proofErr w:type="spellStart"/>
      <w:r w:rsidRPr="00106E64">
        <w:t>Santillan</w:t>
      </w:r>
      <w:proofErr w:type="spellEnd"/>
      <w:r w:rsidRPr="00106E64">
        <w:t>-Salgado (2015), larger banks have more equity capital than smaller banks, and equity capital is a crucial determinant of the bank's profitability, sustainability, growth, and investors' trust, and as a result, it is positively associated to the profitability of the bank. The argument put out by Singh and Rao (2017) to support this viewpoint was that as equity capital is used to fund the majority of bank development plans, the profitability of the bank as a whole is directly impacted.</w:t>
      </w:r>
    </w:p>
    <w:p w:rsidR="008D6488" w:rsidRDefault="00744D1E" w:rsidP="008D6488">
      <w:r>
        <w:t xml:space="preserve">Independent Variables – Total Interest income, Non-performing loans, </w:t>
      </w:r>
      <w:r w:rsidR="00154291">
        <w:t>Asset size, Operating expenditure, Equity Capital.</w:t>
      </w:r>
    </w:p>
    <w:p w:rsidR="00154291" w:rsidRDefault="00154291" w:rsidP="008D6488">
      <w:r>
        <w:t>Dependent Variables – Return on assets &amp; Return on equity.</w:t>
      </w:r>
    </w:p>
    <w:p w:rsidR="008D6488" w:rsidRDefault="008D6488" w:rsidP="008D6488"/>
    <w:p w:rsidR="008D6488" w:rsidRDefault="008D6488" w:rsidP="00B910B2">
      <w:pPr>
        <w:pStyle w:val="Heading2"/>
      </w:pPr>
      <w:bookmarkStart w:id="22" w:name="_Toc128518353"/>
      <w:r>
        <w:t>Regression model</w:t>
      </w:r>
      <w:bookmarkEnd w:id="22"/>
    </w:p>
    <w:p w:rsidR="001D097A" w:rsidRDefault="001D097A" w:rsidP="008D6488">
      <w:r w:rsidRPr="001D097A">
        <w:t>To determine the type and strength of the relationship between a certain dependent variable, sometimes designated as Y, and a collection of independent variables, also known as predictors, regression is a statistical approach that is frequently used in finance, trading, and other industries (Brian Beers, 2022). The most popular version of this technique is linear regression, commonly referred to as simple regression or ordinary least squares (OLS). The investigation of the linear relationship between two variables is made possible by linear regression by selecting a line of best fit, with the slope of the line indicating how much changes in one variable influence changes in the other. Particularly in the setting of panel data, the pooled OLS model is a crucial component of several regression models, enabling the evaluation</w:t>
      </w:r>
      <w:r>
        <w:t>.</w:t>
      </w:r>
    </w:p>
    <w:p w:rsidR="008D6488" w:rsidRDefault="008D6488" w:rsidP="00B910B2">
      <w:pPr>
        <w:pStyle w:val="Heading2"/>
      </w:pPr>
      <w:bookmarkStart w:id="23" w:name="_Toc128518354"/>
      <w:r>
        <w:t>Organization Analysis</w:t>
      </w:r>
      <w:bookmarkEnd w:id="23"/>
    </w:p>
    <w:p w:rsidR="008D6488" w:rsidRDefault="00D33F52" w:rsidP="008D6488">
      <w:r w:rsidRPr="00D33F52">
        <w:t>Panel data, also known as longitudinal data, refers to a type of data that provides information on multiple samples over time. This type of data can include information on nations, companies, individuals, or demographic groups, among others (Eric, 2019). Panel data is collected at regular intervals, similar to time series data, and includes observations from a group of individuals, akin to cross-sectional data. Panel data is often used in comprehensive research as it enables the study of changes in variables both across time and across individuals, allowing for a more detailed analysis of trends and patterns (Eric, 2019).</w:t>
      </w:r>
    </w:p>
    <w:p w:rsidR="00D33F52" w:rsidRDefault="00D33F52" w:rsidP="008D6488"/>
    <w:p w:rsidR="008D6488" w:rsidRDefault="008D6488" w:rsidP="00B910B2">
      <w:pPr>
        <w:pStyle w:val="Heading2"/>
      </w:pPr>
      <w:bookmarkStart w:id="24" w:name="_Toc128518355"/>
      <w:r w:rsidRPr="00DF3314">
        <w:t>Panel Data in Regression</w:t>
      </w:r>
      <w:bookmarkEnd w:id="24"/>
    </w:p>
    <w:p w:rsidR="008D6488" w:rsidRDefault="008D6488" w:rsidP="008D6488">
      <w:r>
        <w:t>1. Endogeneity: omitted variable bias can arise if the independent variable is correlated with the error term.</w:t>
      </w:r>
    </w:p>
    <w:p w:rsidR="008D6488" w:rsidRDefault="008D6488" w:rsidP="008D6488">
      <w:r>
        <w:t>2. Unobserved heterogeneity: individual differences in variables not captured by the panel data.</w:t>
      </w:r>
    </w:p>
    <w:p w:rsidR="008D6488" w:rsidRDefault="008D6488" w:rsidP="008D6488">
      <w:r>
        <w:t xml:space="preserve">3. Selection bias: may occur if non-random sampling leads to biased estimates. </w:t>
      </w:r>
    </w:p>
    <w:p w:rsidR="008D6488" w:rsidRDefault="008D6488" w:rsidP="008D6488">
      <w:r>
        <w:t>4. Time-invariant variables: limitations in controlling for time-invariant variables that affect the dependent variable.</w:t>
      </w:r>
    </w:p>
    <w:p w:rsidR="008D6488" w:rsidRDefault="008D6488" w:rsidP="008D6488">
      <w:r>
        <w:t xml:space="preserve">5. Serial correlation: errors can be correlated over time, leading to biased standard </w:t>
      </w:r>
    </w:p>
    <w:p w:rsidR="008D6488" w:rsidRDefault="008D6488" w:rsidP="008D6488">
      <w:r>
        <w:t>6. Limited time dimension: may not adequately capture long-run relationships in the errors.</w:t>
      </w:r>
    </w:p>
    <w:p w:rsidR="008D6488" w:rsidRPr="00DF3314" w:rsidRDefault="008D6488" w:rsidP="008D6488">
      <w:r>
        <w:t>7. Model specification: choice of model specification can greatly affect the results obtained from panel data regression</w:t>
      </w:r>
    </w:p>
    <w:p w:rsidR="008D6488" w:rsidRDefault="008D6488" w:rsidP="008D6488"/>
    <w:p w:rsidR="008D6488" w:rsidRDefault="008D6488" w:rsidP="008D6488">
      <w:r w:rsidRPr="003B710C">
        <w:t>Panel data, sometimes referred to as longitudinal data, are a form of data in which repeated observations are taken on the same people or things across time. Panel data can be utilised in a regression analysis to examine the connection between one or more independent variables and a dependent variable.</w:t>
      </w:r>
      <w:r>
        <w:t xml:space="preserve"> </w:t>
      </w:r>
      <w:r w:rsidRPr="003B710C">
        <w:t>In panel data regression, the cross-sectional and time-series aspects of the data are both present. Two indices—a temporal index and a cross-sectional index—are used to uniquely identify each observation in the data collection. The cross-sectional index identifies the person or thing being observed, whereas the temporal index denotes the moment the observation was made.</w:t>
      </w:r>
    </w:p>
    <w:p w:rsidR="008D6488" w:rsidRDefault="008D6488" w:rsidP="008D6488">
      <w:r w:rsidRPr="003B710C">
        <w:t>Panel data are advantageous for regression analysis for a number of reasons, such as:</w:t>
      </w:r>
    </w:p>
    <w:p w:rsidR="008D6488" w:rsidRDefault="008D6488" w:rsidP="008D6488">
      <w:r w:rsidRPr="003B710C">
        <w:t>1. It makes it possible to estimate fixed or individual impacts. This is especially helpful when unobserved characteristics fluctuate across people but remain consistent over time.</w:t>
      </w:r>
    </w:p>
    <w:p w:rsidR="008D6488" w:rsidRDefault="008D6488" w:rsidP="008D6488">
      <w:r w:rsidRPr="003B710C">
        <w:t>2. It expands the levels of freedom, which may enhance the accuracy of the estimations.</w:t>
      </w:r>
    </w:p>
    <w:p w:rsidR="008D6488" w:rsidRDefault="008D6488" w:rsidP="008D6488">
      <w:r w:rsidRPr="003B710C">
        <w:t>3. Lagged values of the dependent variable and/or instrumental variables can be used to assist control for endogeneity.</w:t>
      </w:r>
    </w:p>
    <w:p w:rsidR="008D6488" w:rsidRDefault="008D6488" w:rsidP="008D6488">
      <w:r w:rsidRPr="003B710C">
        <w:t>Panel data regressions may be estimated using a variety of techniques, such as pooled OLS, fixed effects, and random effects models. The exact study issue and the data's qualities will determine the approach to use.</w:t>
      </w:r>
    </w:p>
    <w:p w:rsidR="008D6488" w:rsidRDefault="008D6488" w:rsidP="008D6488"/>
    <w:p w:rsidR="008D6488" w:rsidRDefault="00AF517F" w:rsidP="008D6488">
      <w:r>
        <w:t>Limitation to panel data regression</w:t>
      </w:r>
    </w:p>
    <w:p w:rsidR="00AF517F" w:rsidRDefault="00AF517F" w:rsidP="008D6488">
      <w:r w:rsidRPr="00AF517F">
        <w:t>A common econometric method that enables the study of data gathered across time and across different people or entities is panel data regression. While individual-level variability can be controlled for and panel data regression has enhanced efficiency, it still has significant drawbacks.</w:t>
      </w:r>
    </w:p>
    <w:p w:rsidR="00AF517F" w:rsidRDefault="00AF517F" w:rsidP="008D6488">
      <w:r w:rsidRPr="00AF517F">
        <w:t>These drawbacks include bias in sample selection, endogeneity, sample attrition, measurement error, heteroscedasticity, autocorrelation, and a small number of observations. Endogeneity develops when the independent variables are associated with the error term, whereas selection bias might happen if the sample of people or things is not representative of the population of interest.</w:t>
      </w:r>
      <w:r>
        <w:t xml:space="preserve"> </w:t>
      </w:r>
      <w:r w:rsidRPr="00AF517F">
        <w:t xml:space="preserve">Biased estimates and inaccurate conclusions may be caused by sample attrition, measurement error, heteroscedasticity, autocorrelation, and a small number of observations. While performing </w:t>
      </w:r>
      <w:proofErr w:type="gramStart"/>
      <w:r w:rsidRPr="00AF517F">
        <w:t>panel</w:t>
      </w:r>
      <w:r w:rsidR="00F7631B">
        <w:t xml:space="preserve"> </w:t>
      </w:r>
      <w:r w:rsidRPr="00AF517F">
        <w:t xml:space="preserve"> data</w:t>
      </w:r>
      <w:proofErr w:type="gramEnd"/>
      <w:r w:rsidRPr="00AF517F">
        <w:t xml:space="preserve"> regression analysis, it is critical to be aware of these constraints and take action to solve them in order to produce accurate and trustworthy findings.</w:t>
      </w:r>
    </w:p>
    <w:p w:rsidR="008D6488" w:rsidRDefault="008D6488" w:rsidP="008D6488"/>
    <w:p w:rsidR="008D6488" w:rsidRDefault="008D6488" w:rsidP="008D6488"/>
    <w:p w:rsidR="00FC7065" w:rsidRDefault="00FC7065" w:rsidP="00B910B2">
      <w:pPr>
        <w:pStyle w:val="Heading1"/>
      </w:pPr>
      <w:bookmarkStart w:id="25" w:name="_Toc128518356"/>
      <w:r>
        <w:t>RESULTS AND DISCUSSIONS</w:t>
      </w:r>
      <w:bookmarkEnd w:id="25"/>
    </w:p>
    <w:p w:rsidR="00FC7065" w:rsidRDefault="00FC7065" w:rsidP="00FC7065">
      <w:r>
        <w:t>Descriptive Data Analysis</w:t>
      </w:r>
    </w:p>
    <w:p w:rsidR="00FC7065" w:rsidRDefault="00FC7065" w:rsidP="00FC7065">
      <w:r w:rsidRPr="00EE48BD">
        <w:t>As part of the descriptive data analysis, the researcher has chosen to determine the average, variance, min and max ranges in order to determine the structure of the data sets. The following table provides a summary of the descriptive data analysis conducted for this study using the years’ worth of data from the six chosen banks:</w:t>
      </w:r>
    </w:p>
    <w:p w:rsidR="00FC7065" w:rsidRDefault="00FC7065" w:rsidP="00FC7065"/>
    <w:tbl>
      <w:tblPr>
        <w:tblStyle w:val="TableGrid"/>
        <w:tblW w:w="0" w:type="auto"/>
        <w:tblLook w:val="04A0" w:firstRow="1" w:lastRow="0" w:firstColumn="1" w:lastColumn="0" w:noHBand="0" w:noVBand="1"/>
      </w:tblPr>
      <w:tblGrid>
        <w:gridCol w:w="1803"/>
        <w:gridCol w:w="1803"/>
        <w:gridCol w:w="2059"/>
        <w:gridCol w:w="1547"/>
        <w:gridCol w:w="1804"/>
      </w:tblGrid>
      <w:tr w:rsidR="00FC7065" w:rsidTr="00296446">
        <w:tc>
          <w:tcPr>
            <w:tcW w:w="1803" w:type="dxa"/>
          </w:tcPr>
          <w:p w:rsidR="00FC7065" w:rsidRDefault="00FC7065" w:rsidP="00296446">
            <w:r>
              <w:lastRenderedPageBreak/>
              <w:t xml:space="preserve">Particulars </w:t>
            </w:r>
          </w:p>
        </w:tc>
        <w:tc>
          <w:tcPr>
            <w:tcW w:w="1803" w:type="dxa"/>
          </w:tcPr>
          <w:p w:rsidR="00FC7065" w:rsidRDefault="00FC7065" w:rsidP="00296446">
            <w:r>
              <w:t>Mean</w:t>
            </w:r>
          </w:p>
        </w:tc>
        <w:tc>
          <w:tcPr>
            <w:tcW w:w="2059" w:type="dxa"/>
          </w:tcPr>
          <w:p w:rsidR="00FC7065" w:rsidRDefault="00FC7065" w:rsidP="00296446">
            <w:r>
              <w:t>Standard Deviation</w:t>
            </w:r>
          </w:p>
        </w:tc>
        <w:tc>
          <w:tcPr>
            <w:tcW w:w="1547" w:type="dxa"/>
          </w:tcPr>
          <w:p w:rsidR="00FC7065" w:rsidRDefault="00FC7065" w:rsidP="00296446">
            <w:r>
              <w:t>Min</w:t>
            </w:r>
          </w:p>
        </w:tc>
        <w:tc>
          <w:tcPr>
            <w:tcW w:w="1804" w:type="dxa"/>
          </w:tcPr>
          <w:p w:rsidR="00FC7065" w:rsidRDefault="00FC7065" w:rsidP="00296446">
            <w:r>
              <w:t>Max</w:t>
            </w:r>
          </w:p>
        </w:tc>
      </w:tr>
      <w:tr w:rsidR="00FC7065" w:rsidTr="00296446">
        <w:tc>
          <w:tcPr>
            <w:tcW w:w="1803" w:type="dxa"/>
          </w:tcPr>
          <w:p w:rsidR="00FC7065" w:rsidRDefault="00FC7065" w:rsidP="00296446">
            <w:r>
              <w:t>Total interest income</w:t>
            </w:r>
          </w:p>
        </w:tc>
        <w:tc>
          <w:tcPr>
            <w:tcW w:w="1803" w:type="dxa"/>
          </w:tcPr>
          <w:p w:rsidR="00FC7065" w:rsidRDefault="00FC7065" w:rsidP="00296446">
            <w:r>
              <w:t>13.952</w:t>
            </w:r>
          </w:p>
        </w:tc>
        <w:tc>
          <w:tcPr>
            <w:tcW w:w="2059" w:type="dxa"/>
          </w:tcPr>
          <w:p w:rsidR="00FC7065" w:rsidRDefault="00FC7065" w:rsidP="00296446">
            <w:r>
              <w:t>8.13854</w:t>
            </w:r>
          </w:p>
        </w:tc>
        <w:tc>
          <w:tcPr>
            <w:tcW w:w="1547" w:type="dxa"/>
          </w:tcPr>
          <w:p w:rsidR="00FC7065" w:rsidRDefault="00FC7065" w:rsidP="00296446">
            <w:r>
              <w:t>5.183</w:t>
            </w:r>
          </w:p>
        </w:tc>
        <w:tc>
          <w:tcPr>
            <w:tcW w:w="1804" w:type="dxa"/>
          </w:tcPr>
          <w:p w:rsidR="00FC7065" w:rsidRDefault="00FC7065" w:rsidP="00296446">
            <w:r>
              <w:t>34.972</w:t>
            </w:r>
          </w:p>
        </w:tc>
      </w:tr>
      <w:tr w:rsidR="00FC7065" w:rsidTr="00296446">
        <w:tc>
          <w:tcPr>
            <w:tcW w:w="1803" w:type="dxa"/>
          </w:tcPr>
          <w:p w:rsidR="00FC7065" w:rsidRDefault="00FC7065" w:rsidP="00296446">
            <w:r>
              <w:t>Non- Performing loans</w:t>
            </w:r>
          </w:p>
        </w:tc>
        <w:tc>
          <w:tcPr>
            <w:tcW w:w="1803" w:type="dxa"/>
          </w:tcPr>
          <w:p w:rsidR="00FC7065" w:rsidRDefault="00FC7065" w:rsidP="00296446">
            <w:r>
              <w:t>0.0145</w:t>
            </w:r>
          </w:p>
        </w:tc>
        <w:tc>
          <w:tcPr>
            <w:tcW w:w="2059" w:type="dxa"/>
          </w:tcPr>
          <w:p w:rsidR="00FC7065" w:rsidRDefault="00FC7065" w:rsidP="00296446">
            <w:r>
              <w:t>0.013792</w:t>
            </w:r>
          </w:p>
        </w:tc>
        <w:tc>
          <w:tcPr>
            <w:tcW w:w="1547" w:type="dxa"/>
          </w:tcPr>
          <w:p w:rsidR="00FC7065" w:rsidRDefault="00FC7065" w:rsidP="00296446">
            <w:r>
              <w:t>0.0102</w:t>
            </w:r>
          </w:p>
        </w:tc>
        <w:tc>
          <w:tcPr>
            <w:tcW w:w="1804" w:type="dxa"/>
          </w:tcPr>
          <w:p w:rsidR="00FC7065" w:rsidRDefault="00FC7065" w:rsidP="00296446">
            <w:r>
              <w:t>0.042</w:t>
            </w:r>
          </w:p>
        </w:tc>
      </w:tr>
      <w:tr w:rsidR="00FC7065" w:rsidTr="00296446">
        <w:tc>
          <w:tcPr>
            <w:tcW w:w="1803" w:type="dxa"/>
          </w:tcPr>
          <w:p w:rsidR="00FC7065" w:rsidRDefault="00FC7065" w:rsidP="00296446">
            <w:r>
              <w:t>Operating expenditure</w:t>
            </w:r>
          </w:p>
        </w:tc>
        <w:tc>
          <w:tcPr>
            <w:tcW w:w="1803" w:type="dxa"/>
          </w:tcPr>
          <w:p w:rsidR="00FC7065" w:rsidRDefault="00FC7065" w:rsidP="00296446">
            <w:r>
              <w:t>14.037</w:t>
            </w:r>
          </w:p>
        </w:tc>
        <w:tc>
          <w:tcPr>
            <w:tcW w:w="2059" w:type="dxa"/>
          </w:tcPr>
          <w:p w:rsidR="00FC7065" w:rsidRDefault="00FC7065" w:rsidP="00296446">
            <w:r>
              <w:t>11.18585</w:t>
            </w:r>
          </w:p>
        </w:tc>
        <w:tc>
          <w:tcPr>
            <w:tcW w:w="1547" w:type="dxa"/>
          </w:tcPr>
          <w:p w:rsidR="00FC7065" w:rsidRDefault="00FC7065" w:rsidP="00296446">
            <w:r>
              <w:t>1.962</w:t>
            </w:r>
          </w:p>
        </w:tc>
        <w:tc>
          <w:tcPr>
            <w:tcW w:w="1804" w:type="dxa"/>
          </w:tcPr>
          <w:p w:rsidR="00FC7065" w:rsidRDefault="00FC7065" w:rsidP="00296446">
            <w:r>
              <w:t>41.072</w:t>
            </w:r>
          </w:p>
        </w:tc>
      </w:tr>
      <w:tr w:rsidR="00FC7065" w:rsidTr="00296446">
        <w:tc>
          <w:tcPr>
            <w:tcW w:w="1803" w:type="dxa"/>
          </w:tcPr>
          <w:p w:rsidR="00FC7065" w:rsidRDefault="00FC7065" w:rsidP="00296446">
            <w:r>
              <w:t>Equity Capital</w:t>
            </w:r>
          </w:p>
        </w:tc>
        <w:tc>
          <w:tcPr>
            <w:tcW w:w="1803" w:type="dxa"/>
          </w:tcPr>
          <w:p w:rsidR="00FC7065" w:rsidRDefault="00FC7065" w:rsidP="00296446">
            <w:r>
              <w:t>9.872</w:t>
            </w:r>
          </w:p>
        </w:tc>
        <w:tc>
          <w:tcPr>
            <w:tcW w:w="2059" w:type="dxa"/>
          </w:tcPr>
          <w:p w:rsidR="00FC7065" w:rsidRDefault="00FC7065" w:rsidP="00296446">
            <w:r>
              <w:t>5.11825</w:t>
            </w:r>
          </w:p>
        </w:tc>
        <w:tc>
          <w:tcPr>
            <w:tcW w:w="1547" w:type="dxa"/>
          </w:tcPr>
          <w:p w:rsidR="00FC7065" w:rsidRDefault="00FC7065" w:rsidP="00296446">
            <w:r>
              <w:t>2.940</w:t>
            </w:r>
          </w:p>
        </w:tc>
        <w:tc>
          <w:tcPr>
            <w:tcW w:w="1804" w:type="dxa"/>
          </w:tcPr>
          <w:p w:rsidR="00FC7065" w:rsidRDefault="00FC7065" w:rsidP="00296446">
            <w:r>
              <w:t>21.893</w:t>
            </w:r>
          </w:p>
        </w:tc>
      </w:tr>
      <w:tr w:rsidR="00FC7065" w:rsidTr="00296446">
        <w:tc>
          <w:tcPr>
            <w:tcW w:w="1803" w:type="dxa"/>
          </w:tcPr>
          <w:p w:rsidR="00FC7065" w:rsidRDefault="00FC7065" w:rsidP="00296446">
            <w:r>
              <w:t>ROA</w:t>
            </w:r>
          </w:p>
        </w:tc>
        <w:tc>
          <w:tcPr>
            <w:tcW w:w="1803" w:type="dxa"/>
          </w:tcPr>
          <w:p w:rsidR="00FC7065" w:rsidRDefault="00FC7065" w:rsidP="00296446">
            <w:r>
              <w:t>0.00275</w:t>
            </w:r>
          </w:p>
        </w:tc>
        <w:tc>
          <w:tcPr>
            <w:tcW w:w="2059" w:type="dxa"/>
          </w:tcPr>
          <w:p w:rsidR="00FC7065" w:rsidRDefault="00FC7065" w:rsidP="00296446">
            <w:r>
              <w:t>0.006923</w:t>
            </w:r>
          </w:p>
        </w:tc>
        <w:tc>
          <w:tcPr>
            <w:tcW w:w="1547" w:type="dxa"/>
          </w:tcPr>
          <w:p w:rsidR="00FC7065" w:rsidRDefault="00FC7065" w:rsidP="00296446">
            <w:r>
              <w:t>-0.0075</w:t>
            </w:r>
          </w:p>
        </w:tc>
        <w:tc>
          <w:tcPr>
            <w:tcW w:w="1804" w:type="dxa"/>
          </w:tcPr>
          <w:p w:rsidR="00FC7065" w:rsidRDefault="00FC7065" w:rsidP="00296446">
            <w:r>
              <w:t>0.00926</w:t>
            </w:r>
          </w:p>
        </w:tc>
      </w:tr>
      <w:tr w:rsidR="00FC7065" w:rsidTr="00296446">
        <w:tc>
          <w:tcPr>
            <w:tcW w:w="1803" w:type="dxa"/>
          </w:tcPr>
          <w:p w:rsidR="00FC7065" w:rsidRDefault="00FC7065" w:rsidP="00296446">
            <w:r>
              <w:t>ROE</w:t>
            </w:r>
          </w:p>
        </w:tc>
        <w:tc>
          <w:tcPr>
            <w:tcW w:w="1803" w:type="dxa"/>
          </w:tcPr>
          <w:p w:rsidR="00FC7065" w:rsidRDefault="00FC7065" w:rsidP="00296446">
            <w:r>
              <w:t>0.0183</w:t>
            </w:r>
          </w:p>
        </w:tc>
        <w:tc>
          <w:tcPr>
            <w:tcW w:w="2059" w:type="dxa"/>
          </w:tcPr>
          <w:p w:rsidR="00FC7065" w:rsidRDefault="00FC7065" w:rsidP="00296446">
            <w:r>
              <w:t>0.16238</w:t>
            </w:r>
          </w:p>
        </w:tc>
        <w:tc>
          <w:tcPr>
            <w:tcW w:w="1547" w:type="dxa"/>
          </w:tcPr>
          <w:p w:rsidR="00FC7065" w:rsidRDefault="00FC7065" w:rsidP="00296446">
            <w:r>
              <w:t>-0.379</w:t>
            </w:r>
          </w:p>
        </w:tc>
        <w:tc>
          <w:tcPr>
            <w:tcW w:w="1804" w:type="dxa"/>
          </w:tcPr>
          <w:p w:rsidR="00FC7065" w:rsidRDefault="00FC7065" w:rsidP="00296446">
            <w:r>
              <w:t>0.2763</w:t>
            </w:r>
          </w:p>
        </w:tc>
      </w:tr>
      <w:tr w:rsidR="00FC7065" w:rsidTr="00296446">
        <w:tc>
          <w:tcPr>
            <w:tcW w:w="1803" w:type="dxa"/>
          </w:tcPr>
          <w:p w:rsidR="00FC7065" w:rsidRDefault="00FC7065" w:rsidP="00296446">
            <w:r>
              <w:t>Asset size</w:t>
            </w:r>
          </w:p>
        </w:tc>
        <w:tc>
          <w:tcPr>
            <w:tcW w:w="1803" w:type="dxa"/>
          </w:tcPr>
          <w:p w:rsidR="00FC7065" w:rsidRDefault="00FC7065" w:rsidP="00296446">
            <w:r>
              <w:t>966.477</w:t>
            </w:r>
          </w:p>
        </w:tc>
        <w:tc>
          <w:tcPr>
            <w:tcW w:w="2059" w:type="dxa"/>
          </w:tcPr>
          <w:p w:rsidR="00FC7065" w:rsidRDefault="00FC7065" w:rsidP="00296446">
            <w:r>
              <w:t>777.2596</w:t>
            </w:r>
          </w:p>
        </w:tc>
        <w:tc>
          <w:tcPr>
            <w:tcW w:w="1547" w:type="dxa"/>
          </w:tcPr>
          <w:p w:rsidR="00FC7065" w:rsidRDefault="00FC7065" w:rsidP="00296446">
            <w:r>
              <w:t>219.849</w:t>
            </w:r>
          </w:p>
        </w:tc>
        <w:tc>
          <w:tcPr>
            <w:tcW w:w="1804" w:type="dxa"/>
          </w:tcPr>
          <w:p w:rsidR="00FC7065" w:rsidRDefault="00FC7065" w:rsidP="00296446">
            <w:r>
              <w:t>2673.47</w:t>
            </w:r>
          </w:p>
        </w:tc>
      </w:tr>
    </w:tbl>
    <w:p w:rsidR="00FC7065" w:rsidRDefault="00FC7065" w:rsidP="00FC7065"/>
    <w:p w:rsidR="00FC7065" w:rsidRDefault="00FC7065" w:rsidP="00FC7065">
      <w:r w:rsidRPr="00CE6FE6">
        <w:t>As can be seen from the chart above, the average total interest income for the six banks tha</w:t>
      </w:r>
      <w:r>
        <w:t>t were chosen is around £13.952</w:t>
      </w:r>
      <w:r w:rsidRPr="00CE6FE6">
        <w:t xml:space="preserve"> billion. The results of Chua's (2013) analysis show that the mean result is compatible with the findings since the average value for the total interest bank spans from £12 billion to £18 billion.</w:t>
      </w:r>
      <w:r>
        <w:t xml:space="preserve"> </w:t>
      </w:r>
      <w:r w:rsidRPr="00CE6FE6">
        <w:t xml:space="preserve">In this instance, the standard </w:t>
      </w:r>
      <w:r>
        <w:t>deviation number is around £8.1385</w:t>
      </w:r>
      <w:r w:rsidRPr="00CE6FE6">
        <w:t xml:space="preserve"> billion, which indicates that there was a large variation in the amount of interest revenue across the top six banks in the UK banking sector. The disparity between the lowest and highest </w:t>
      </w:r>
      <w:r>
        <w:t xml:space="preserve">interest income amounts, £5.183 </w:t>
      </w:r>
      <w:r w:rsidRPr="00CE6FE6">
        <w:t>b</w:t>
      </w:r>
      <w:r>
        <w:t>illion and £34.972</w:t>
      </w:r>
      <w:r w:rsidRPr="00CE6FE6">
        <w:t xml:space="preserve"> respectively, demonstrates the wide range of the amounts. In comparison to interest income, the</w:t>
      </w:r>
      <w:r>
        <w:t xml:space="preserve"> Non-performing loans has a mean value of £0.0145.</w:t>
      </w:r>
      <w:r w:rsidRPr="00A51E74">
        <w:t xml:space="preserve"> This suggests that the company's interest income varies considerably and may be affected by factors such as market conditions and customer </w:t>
      </w:r>
      <w:proofErr w:type="spellStart"/>
      <w:r w:rsidRPr="00A51E74">
        <w:t>behavior</w:t>
      </w:r>
      <w:proofErr w:type="spellEnd"/>
      <w:r w:rsidRPr="00A51E74">
        <w:t>.</w:t>
      </w:r>
    </w:p>
    <w:p w:rsidR="00FC7065" w:rsidRDefault="00FC7065" w:rsidP="00FC7065">
      <w:r w:rsidRPr="00C22739">
        <w:t>Thus according to the information from the Bank of England, the non-performing loans (NPLs) ratio for UK banks as of September 2021 was 3.5%. Accordingly, 3.5% of all mortgages issued by UK banks were categorised as non-performing loans, which is the term for loans that are in default or are at danger of failure.</w:t>
      </w:r>
      <w:r>
        <w:t xml:space="preserve"> </w:t>
      </w:r>
      <w:r w:rsidRPr="00DF2124">
        <w:t>Being of the fewest among advanced nations, the NPL amount of UK-centric banks ranges from £0.020 and £1.5 billion, and this study's average finding is similar with that. Since the standard deviation for NPL is lar</w:t>
      </w:r>
      <w:r>
        <w:t>ger than zero and is at £0.013792</w:t>
      </w:r>
      <w:r w:rsidRPr="00DF2124">
        <w:t>, not all banks have the same amount of NPL. NPL can b</w:t>
      </w:r>
      <w:r>
        <w:t>e valued at a maximum of £0.0102 billion and a minimum of £0.042</w:t>
      </w:r>
      <w:r w:rsidRPr="00DF2124">
        <w:t xml:space="preserve"> billion.</w:t>
      </w:r>
      <w:r w:rsidRPr="00A51E74">
        <w:t xml:space="preserve"> This indicates that the company's loan portfolio may be at risk, as it has a non-performing loan ratio above the industry average of 1%.</w:t>
      </w:r>
    </w:p>
    <w:p w:rsidR="00FC7065" w:rsidRDefault="00FC7065" w:rsidP="00FC7065">
      <w:r w:rsidRPr="00F03CB7">
        <w:t>The standard variation for oper</w:t>
      </w:r>
      <w:r>
        <w:t>ating expenses is around £11.18585 billion that</w:t>
      </w:r>
      <w:r w:rsidRPr="00F03CB7">
        <w:t xml:space="preserve"> is significantly larger and makes sense given that local lenders will have lower operational expenses. The m</w:t>
      </w:r>
      <w:r>
        <w:t xml:space="preserve">ean operating expense is £14.037b </w:t>
      </w:r>
      <w:r w:rsidRPr="00F03CB7">
        <w:t xml:space="preserve">billion. Its lowest and </w:t>
      </w:r>
      <w:r>
        <w:t>highest values are around £1.962 billion and £41.072</w:t>
      </w:r>
      <w:r w:rsidRPr="00F03CB7">
        <w:t xml:space="preserve"> billion, respectively.</w:t>
      </w:r>
      <w:r>
        <w:t xml:space="preserve"> </w:t>
      </w:r>
      <w:r w:rsidRPr="00A51E74">
        <w:t>This suggests that the company may have high operational costs that need to be optimized to improve profitability.</w:t>
      </w:r>
    </w:p>
    <w:p w:rsidR="00FC7065" w:rsidRDefault="00FC7065" w:rsidP="00FC7065">
      <w:r w:rsidRPr="00F03CB7">
        <w:t xml:space="preserve">When compared to similar factors, the standard deviation is smaller at about £5.6686 billion and its mean equity capital is about £10.4224 billion. The fact that it has a minimal value of £3.119 billion and a maximal value of about £22.045 indicates that all banks retain a certain level of equity capital. The aggregate equity amount of UK-owned institutions ranges among £10 billion and $35 billion, according to an inductive research by Ben </w:t>
      </w:r>
      <w:proofErr w:type="spellStart"/>
      <w:r w:rsidRPr="00F03CB7">
        <w:t>Naceur</w:t>
      </w:r>
      <w:proofErr w:type="spellEnd"/>
      <w:r w:rsidRPr="00F03CB7">
        <w:t xml:space="preserve"> et al. (2014). The research also reveals a similar tendency since the typical result falls within this range, which is quite identical with the findings of other studies.</w:t>
      </w:r>
      <w:r>
        <w:t xml:space="preserve"> </w:t>
      </w:r>
      <w:r w:rsidRPr="00A51E74">
        <w:t>This indicates that the company may have a moderate level of equity capital to support its operations.</w:t>
      </w:r>
    </w:p>
    <w:p w:rsidR="00FC7065" w:rsidRDefault="00FC7065" w:rsidP="00FC7065"/>
    <w:p w:rsidR="00FC7065" w:rsidRDefault="00FC7065" w:rsidP="00FC7065">
      <w:r w:rsidRPr="000F39A2">
        <w:lastRenderedPageBreak/>
        <w:t xml:space="preserve">The aggregate liquidity position for UK </w:t>
      </w:r>
      <w:r>
        <w:t>banks is roughly around £966.477</w:t>
      </w:r>
      <w:r w:rsidRPr="000F39A2">
        <w:t>, which indicates that significant UK banks have larger investment portfolio. However, comparatively the banks in small size have smaller investment portfolios, as seen by the standard</w:t>
      </w:r>
      <w:r>
        <w:t xml:space="preserve"> deviation's estimate of £777.2596 B</w:t>
      </w:r>
      <w:r w:rsidRPr="000F39A2">
        <w:t xml:space="preserve">, </w:t>
      </w:r>
      <w:r>
        <w:t>which ranges from £219.849 to £2673.47</w:t>
      </w:r>
      <w:r w:rsidRPr="000F39A2">
        <w:t xml:space="preserve">b. According to </w:t>
      </w:r>
      <w:proofErr w:type="spellStart"/>
      <w:r w:rsidRPr="000F39A2">
        <w:t>Ammann</w:t>
      </w:r>
      <w:proofErr w:type="spellEnd"/>
      <w:r w:rsidRPr="000F39A2">
        <w:t xml:space="preserve"> et al. (2015), the average asset size for the main UK banks is over £900 billion, while according to Alper and Anbar (2011), the average asset size is £350 billion. These two studies provide similar findings in this respect.</w:t>
      </w:r>
    </w:p>
    <w:p w:rsidR="00FC7065" w:rsidRDefault="00FC7065" w:rsidP="00FC7065">
      <w:r w:rsidRPr="001039F2">
        <w:t>This suggests that the company may have a moderate to large asset base that could provide opportunities for growth and diversification.</w:t>
      </w:r>
    </w:p>
    <w:p w:rsidR="00FC7065" w:rsidRDefault="00FC7065" w:rsidP="00FC7065"/>
    <w:p w:rsidR="00FC7065" w:rsidRDefault="00FC7065" w:rsidP="00FC7065">
      <w:r w:rsidRPr="00C22739">
        <w:t>The return on assets (ROA) for UK banks might change based on its time period and also the banks size. As per information from the Bank of England, during the second half of 2021, the overall ROA for UK banks was 0.26%. The combined ROA for UK banks was negative the preceding year as a result of the COVID-19 pandemic's poor economic effects, but this marks a recovery.</w:t>
      </w:r>
      <w:r>
        <w:t xml:space="preserve"> </w:t>
      </w:r>
    </w:p>
    <w:p w:rsidR="00FC7065" w:rsidRDefault="00FC7065" w:rsidP="00FC7065">
      <w:r w:rsidRPr="00C22739">
        <w:t>ROA greatly varies from bank to bank, with the average ROA of th</w:t>
      </w:r>
      <w:r>
        <w:t>e chosen bank being roughly 0.18</w:t>
      </w:r>
      <w:r w:rsidRPr="00C22739">
        <w:t>% and a standard deviation of</w:t>
      </w:r>
      <w:r>
        <w:t xml:space="preserve"> 0.006923</w:t>
      </w:r>
      <w:r w:rsidRPr="00C22739">
        <w:t>. The outcome also reveals a lower returns on the company's total assets, which is seriously problematic for the main UK banks and may be due to the bank's holding a sizable amount of assets because of its financial sustainability and depth factor.</w:t>
      </w:r>
      <w:r>
        <w:t xml:space="preserve"> </w:t>
      </w:r>
      <w:r>
        <w:rPr>
          <w:lang w:val="en-US"/>
        </w:rPr>
        <w:t xml:space="preserve">For return on assets the minimum value is approximately -0.0075 and the maximum value is </w:t>
      </w:r>
      <w:r>
        <w:t>0.00926.</w:t>
      </w:r>
      <w:r w:rsidRPr="00A51E74">
        <w:t xml:space="preserve"> This suggests that the company's assets may not be generating sufficient returns to cover its operating costs.</w:t>
      </w:r>
    </w:p>
    <w:p w:rsidR="00FC7065" w:rsidRDefault="00FC7065" w:rsidP="00FC7065">
      <w:r w:rsidRPr="00211A20">
        <w:t xml:space="preserve">The average return on equity (ROE) </w:t>
      </w:r>
      <w:r>
        <w:t>for the chosen six banks is 1.83</w:t>
      </w:r>
      <w:r w:rsidRPr="00211A20">
        <w:t>%, wi</w:t>
      </w:r>
      <w:r>
        <w:t>th a standard deviation of 16.238</w:t>
      </w:r>
      <w:r w:rsidRPr="00211A20">
        <w:t>%, demonstrating the large variation in ROE amongst banks.</w:t>
      </w:r>
      <w:r>
        <w:t xml:space="preserve"> </w:t>
      </w:r>
    </w:p>
    <w:p w:rsidR="00FC7065" w:rsidRDefault="00FC7065" w:rsidP="00FC7065">
      <w:r>
        <w:t>Return on Equity (ROE) is a critical metric for evaluating the financial performance of banking companies. The observed ROE values for these companies reveal a substantial range, with the minimum and maximum values at -37.9% and 27.63%, respectively. These figures suggest that banking firms are generating insufficient returns for their shareholders, which could be attributed to several factors, including the economic decline, Brexit, and intense competition within the industry.</w:t>
      </w:r>
    </w:p>
    <w:p w:rsidR="00FC7065" w:rsidRDefault="00FC7065" w:rsidP="00FC7065">
      <w:r>
        <w:t>According to a study conducted by Alison in 2005, the ROE values of banks vary significantly due to various reasons, including their operational structure, market segment, and business model. Thus, the differences in ROE observed among banking firms are likely to stem from a range of factors that impact their profitability and return on investment.</w:t>
      </w:r>
    </w:p>
    <w:p w:rsidR="00FC7065" w:rsidRDefault="00FC7065" w:rsidP="00FC7065">
      <w:r>
        <w:t xml:space="preserve">Furthermore, the results of this study confirm that the standard deviation of ROE values across banks is significantly higher. This indicates that the variation in ROE among these firms is not only extensive but also dispersed across a wide range, highlighting the complexity and diversity of the banking industry. </w:t>
      </w:r>
      <w:r w:rsidRPr="001039F2">
        <w:t>This indicates that the company's profitability may be suboptimal, as its return on equity is below the industry average of 10%.</w:t>
      </w:r>
    </w:p>
    <w:p w:rsidR="00FC7065" w:rsidRDefault="00FC7065" w:rsidP="00FC7065">
      <w:r w:rsidRPr="001039F2">
        <w:t>In summary, the company has moderate to high levels of interest income, non-performing loans, operating expenditure, and equity capital. However, its returns on assets and equity are suboptimal, suggesting that the company may need to improve its operational efficiency and profitability. The company's asset size provides opportunities for growth and diversification.</w:t>
      </w:r>
    </w:p>
    <w:p w:rsidR="00606FB0" w:rsidRDefault="00606FB0" w:rsidP="00FC7065"/>
    <w:p w:rsidR="008379C6" w:rsidRDefault="008379C6" w:rsidP="00FC7065"/>
    <w:p w:rsidR="00606FB0" w:rsidRDefault="00606FB0" w:rsidP="00FC7065">
      <w:r>
        <w:lastRenderedPageBreak/>
        <w:t>Model 1</w:t>
      </w:r>
    </w:p>
    <w:p w:rsidR="00606FB0" w:rsidRDefault="00606FB0" w:rsidP="00FC7065">
      <w:r w:rsidRPr="00606FB0">
        <w:t>It is possible to write ROE = α + β1(</w:t>
      </w:r>
      <w:proofErr w:type="spellStart"/>
      <w:r w:rsidRPr="00606FB0">
        <w:t>TIIi</w:t>
      </w:r>
      <w:proofErr w:type="spellEnd"/>
      <w:r w:rsidRPr="00606FB0">
        <w:t>) + β2(</w:t>
      </w:r>
      <w:proofErr w:type="spellStart"/>
      <w:r w:rsidRPr="00606FB0">
        <w:t>TNIi</w:t>
      </w:r>
      <w:proofErr w:type="spellEnd"/>
      <w:r w:rsidRPr="00606FB0">
        <w:t>) + β3(</w:t>
      </w:r>
      <w:proofErr w:type="spellStart"/>
      <w:r w:rsidRPr="00606FB0">
        <w:t>NPLi</w:t>
      </w:r>
      <w:proofErr w:type="spellEnd"/>
      <w:r w:rsidRPr="00606FB0">
        <w:t>) + β4(</w:t>
      </w:r>
      <w:proofErr w:type="spellStart"/>
      <w:r w:rsidRPr="00606FB0">
        <w:t>OEi</w:t>
      </w:r>
      <w:proofErr w:type="spellEnd"/>
      <w:r w:rsidRPr="00606FB0">
        <w:t>) + β5(</w:t>
      </w:r>
      <w:proofErr w:type="spellStart"/>
      <w:r w:rsidRPr="00606FB0">
        <w:t>ECi</w:t>
      </w:r>
      <w:proofErr w:type="spellEnd"/>
      <w:r w:rsidRPr="00606FB0">
        <w:t>) + β6(</w:t>
      </w:r>
      <w:proofErr w:type="spellStart"/>
      <w:r w:rsidRPr="00606FB0">
        <w:t>LAi</w:t>
      </w:r>
      <w:proofErr w:type="spellEnd"/>
      <w:r w:rsidRPr="00606FB0">
        <w:t>) + β7(</w:t>
      </w:r>
      <w:proofErr w:type="spellStart"/>
      <w:r w:rsidRPr="00606FB0">
        <w:t>ASi</w:t>
      </w:r>
      <w:proofErr w:type="spellEnd"/>
      <w:r w:rsidRPr="00606FB0">
        <w:t>) + β8(</w:t>
      </w:r>
      <w:proofErr w:type="spellStart"/>
      <w:r w:rsidRPr="00606FB0">
        <w:t>TDi</w:t>
      </w:r>
      <w:proofErr w:type="spellEnd"/>
      <w:r w:rsidRPr="00606FB0">
        <w:t>) + ε</w:t>
      </w:r>
      <w:r w:rsidR="005264F4">
        <w:t>(</w:t>
      </w:r>
      <w:r w:rsidRPr="00606FB0">
        <w:t>it</w:t>
      </w:r>
      <w:r w:rsidR="005264F4">
        <w:t>)</w:t>
      </w:r>
      <w:r>
        <w:t xml:space="preserve">, </w:t>
      </w:r>
      <w:r w:rsidRPr="00606FB0">
        <w:t>to represent the equation for performance (ROE). In this equation, the random error factor is indicated by it, the intercept coefficient for firm I is denoted by, and ROE is the dependent variable.</w:t>
      </w:r>
      <w:r>
        <w:t xml:space="preserve"> </w:t>
      </w:r>
      <w:r w:rsidRPr="00606FB0">
        <w:t>The row vector symbolises the slope coefficients of regression. Total Interest Income (</w:t>
      </w:r>
      <w:proofErr w:type="spellStart"/>
      <w:r w:rsidRPr="00606FB0">
        <w:t>TIIi</w:t>
      </w:r>
      <w:proofErr w:type="spellEnd"/>
      <w:r w:rsidRPr="00606FB0">
        <w:t>), Total Non-Interest Income (</w:t>
      </w:r>
      <w:proofErr w:type="spellStart"/>
      <w:r w:rsidRPr="00606FB0">
        <w:t>TNIi</w:t>
      </w:r>
      <w:proofErr w:type="spellEnd"/>
      <w:r w:rsidRPr="00606FB0">
        <w:t>), Non-Performing Loans (</w:t>
      </w:r>
      <w:proofErr w:type="spellStart"/>
      <w:r w:rsidRPr="00606FB0">
        <w:t>NPLi</w:t>
      </w:r>
      <w:proofErr w:type="spellEnd"/>
      <w:r w:rsidRPr="00606FB0">
        <w:t>), Operational Expenses (</w:t>
      </w:r>
      <w:proofErr w:type="spellStart"/>
      <w:r w:rsidRPr="00606FB0">
        <w:t>OEi</w:t>
      </w:r>
      <w:proofErr w:type="spellEnd"/>
      <w:r w:rsidRPr="00606FB0">
        <w:t>), Equity Capital (</w:t>
      </w:r>
      <w:proofErr w:type="spellStart"/>
      <w:r w:rsidRPr="00606FB0">
        <w:t>ECi</w:t>
      </w:r>
      <w:proofErr w:type="spellEnd"/>
      <w:r w:rsidRPr="00606FB0">
        <w:t>), Loans and Advances (</w:t>
      </w:r>
      <w:proofErr w:type="spellStart"/>
      <w:r w:rsidRPr="00606FB0">
        <w:t>LAi</w:t>
      </w:r>
      <w:proofErr w:type="spellEnd"/>
      <w:r w:rsidRPr="00606FB0">
        <w:t>), Asset Size (</w:t>
      </w:r>
      <w:proofErr w:type="spellStart"/>
      <w:r w:rsidRPr="00606FB0">
        <w:t>ASi</w:t>
      </w:r>
      <w:proofErr w:type="spellEnd"/>
      <w:r w:rsidRPr="00606FB0">
        <w:t>), and Total Deposit make up the independent variables (</w:t>
      </w:r>
      <w:proofErr w:type="spellStart"/>
      <w:r w:rsidRPr="00606FB0">
        <w:t>TDi</w:t>
      </w:r>
      <w:proofErr w:type="spellEnd"/>
      <w:r w:rsidRPr="00606FB0">
        <w:t>)</w:t>
      </w:r>
      <w:r>
        <w:t>.</w:t>
      </w:r>
    </w:p>
    <w:p w:rsidR="00606FB0" w:rsidRDefault="00606FB0" w:rsidP="00FC7065">
      <w:r w:rsidRPr="00606FB0">
        <w:t>ROE is calculated by dividing a company's net income by its assets (</w:t>
      </w:r>
      <w:proofErr w:type="spellStart"/>
      <w:r w:rsidRPr="00606FB0">
        <w:t>ROAi</w:t>
      </w:r>
      <w:proofErr w:type="spellEnd"/>
      <w:r w:rsidRPr="00606FB0">
        <w:t>). The value of ROI will be 1 if a company's ROA rises over the prior year; otherwise, it will be 0. Similar to this, a company's TII, TNI, EC, AS, or TD will have a value of 1 if it has increased from the prior year; otherwise, it will have a value of 0. Nevertheless, for NPL and LA, if the variable's value rises, the value will be 0, and if it stays the same or falls, the value will be 1.</w:t>
      </w:r>
    </w:p>
    <w:p w:rsidR="00606FB0" w:rsidRDefault="00606FB0" w:rsidP="00FC7065"/>
    <w:p w:rsidR="00FC7065" w:rsidRDefault="005727ED" w:rsidP="00FC7065">
      <w:r>
        <w:t>Model 2</w:t>
      </w:r>
    </w:p>
    <w:p w:rsidR="005727ED" w:rsidRDefault="005727ED" w:rsidP="00FC7065">
      <w:r w:rsidRPr="005727ED">
        <w:t xml:space="preserve">The formula for a financial statement (ROA) is </w:t>
      </w:r>
      <w:proofErr w:type="spellStart"/>
      <w:r w:rsidRPr="005727ED">
        <w:t>ROAi</w:t>
      </w:r>
      <w:proofErr w:type="spellEnd"/>
      <w:r w:rsidRPr="005727ED">
        <w:t xml:space="preserve"> =</w:t>
      </w:r>
      <w:r>
        <w:t xml:space="preserve"> </w:t>
      </w:r>
      <w:r w:rsidRPr="005727ED">
        <w:t>α + β1 (</w:t>
      </w:r>
      <w:proofErr w:type="spellStart"/>
      <w:r w:rsidRPr="005727ED">
        <w:t>TIIi</w:t>
      </w:r>
      <w:proofErr w:type="spellEnd"/>
      <w:r w:rsidRPr="005727ED">
        <w:t>) + β2 (</w:t>
      </w:r>
      <w:proofErr w:type="spellStart"/>
      <w:r w:rsidRPr="005727ED">
        <w:t>TNIi</w:t>
      </w:r>
      <w:proofErr w:type="spellEnd"/>
      <w:r w:rsidRPr="005727ED">
        <w:t>) + β3 (</w:t>
      </w:r>
      <w:proofErr w:type="spellStart"/>
      <w:r w:rsidRPr="005727ED">
        <w:t>NPLi</w:t>
      </w:r>
      <w:proofErr w:type="spellEnd"/>
      <w:r w:rsidRPr="005727ED">
        <w:t>) + β4 (</w:t>
      </w:r>
      <w:proofErr w:type="spellStart"/>
      <w:r w:rsidRPr="005727ED">
        <w:t>OEi</w:t>
      </w:r>
      <w:proofErr w:type="spellEnd"/>
      <w:r w:rsidRPr="005727ED">
        <w:t>) + β5 (</w:t>
      </w:r>
      <w:proofErr w:type="spellStart"/>
      <w:r w:rsidRPr="005727ED">
        <w:t>ECi</w:t>
      </w:r>
      <w:proofErr w:type="spellEnd"/>
      <w:r w:rsidRPr="005727ED">
        <w:t>) + β6 (</w:t>
      </w:r>
      <w:proofErr w:type="spellStart"/>
      <w:r w:rsidRPr="005727ED">
        <w:t>LAi</w:t>
      </w:r>
      <w:proofErr w:type="spellEnd"/>
      <w:r w:rsidRPr="005727ED">
        <w:t>) + β7 (</w:t>
      </w:r>
      <w:proofErr w:type="spellStart"/>
      <w:proofErr w:type="gramStart"/>
      <w:r w:rsidRPr="005727ED">
        <w:t>ASi</w:t>
      </w:r>
      <w:proofErr w:type="spellEnd"/>
      <w:proofErr w:type="gramEnd"/>
      <w:r w:rsidRPr="005727ED">
        <w:t>) + β8 (</w:t>
      </w:r>
      <w:proofErr w:type="spellStart"/>
      <w:r w:rsidRPr="005727ED">
        <w:t>TDi</w:t>
      </w:r>
      <w:proofErr w:type="spellEnd"/>
      <w:r w:rsidRPr="005727ED">
        <w:t xml:space="preserve">) + </w:t>
      </w:r>
      <w:proofErr w:type="spellStart"/>
      <w:r w:rsidRPr="005727ED">
        <w:t>εit</w:t>
      </w:r>
      <w:proofErr w:type="spellEnd"/>
      <w:r w:rsidRPr="005727ED">
        <w:t xml:space="preserve">, where </w:t>
      </w:r>
      <w:proofErr w:type="spellStart"/>
      <w:r w:rsidRPr="005727ED">
        <w:t>ROAi</w:t>
      </w:r>
      <w:proofErr w:type="spellEnd"/>
      <w:r w:rsidRPr="005727ED">
        <w:t xml:space="preserve"> represents the net income divided by asset, where </w:t>
      </w:r>
      <w:proofErr w:type="spellStart"/>
      <w:r w:rsidRPr="005727ED">
        <w:t>ROAi</w:t>
      </w:r>
      <w:proofErr w:type="spellEnd"/>
      <w:r w:rsidRPr="005727ED">
        <w:t xml:space="preserve"> stands for net earnings divided by assets.</w:t>
      </w:r>
    </w:p>
    <w:p w:rsidR="005727ED" w:rsidRDefault="002E528E" w:rsidP="00FC7065">
      <w:r w:rsidRPr="002E528E">
        <w:t xml:space="preserve">The value of I will be 1, and if the company's ROA decreases from the preceding year, it will be 0. The variance of error component is represented by and indicated by the regression coefficients of firm </w:t>
      </w:r>
      <w:proofErr w:type="spellStart"/>
      <w:r w:rsidRPr="002E528E">
        <w:t>i</w:t>
      </w:r>
      <w:proofErr w:type="spellEnd"/>
      <w:r w:rsidRPr="002E528E">
        <w:t>. The regression's row vector of slope coefficients is represented by the symbol.</w:t>
      </w:r>
    </w:p>
    <w:p w:rsidR="002E528E" w:rsidRDefault="002E528E" w:rsidP="00FC7065">
      <w:r w:rsidRPr="002E528E">
        <w:t>The independent factors are total interest income, total non-interest income, non-performing loans, operating expenses, equity capital, loans and advances, asset size, total deposit, and operating expenses (</w:t>
      </w:r>
      <w:proofErr w:type="spellStart"/>
      <w:r w:rsidRPr="002E528E">
        <w:t>TDi</w:t>
      </w:r>
      <w:proofErr w:type="spellEnd"/>
      <w:r w:rsidRPr="002E528E">
        <w:t>). Except for Non-performing Loan and Operational Costs, where the value of I will be 0 if the variable grows from the previous year, all of these variables' values will either be 1 or 0 depending on whether they increased or decreased from the previous year.</w:t>
      </w:r>
    </w:p>
    <w:p w:rsidR="00FC7065" w:rsidRDefault="00FC7065" w:rsidP="00FC7065"/>
    <w:p w:rsidR="00606FB0" w:rsidRDefault="00AC0911" w:rsidP="00FC7065">
      <w:r>
        <w:t>Expected results</w:t>
      </w:r>
    </w:p>
    <w:p w:rsidR="00606FB0" w:rsidRDefault="00B805CE" w:rsidP="00FC7065">
      <w:r w:rsidRPr="00B805CE">
        <w:t>In this study, the independent variables collected were Total Interest Income (TII), Total Non-Interest Income (TNI), Non-Performing Loans (NPL), Operational Expenses (OE), Equity Capital (EC), Loans and Advances (LA), Asset Size (AS), and Total Deposit (TD). The dependent variables were return on asset (ROA) and return on total equity (ROE), which serve as measures of the bank's profitability. Regression results indicated a significant positive correlation between bank profitability and size, with Total Interest Income, Non-Interest Income, Equity Capital, Asset Size, and Total Deposits expected to show a positive association. Conversely, Operating Expenses, the quantity of non-performing loans, and the number of loans and advances outstanding were expected to show a negative correlation with a negative sign in the regression model.</w:t>
      </w:r>
    </w:p>
    <w:p w:rsidR="00606FB0" w:rsidRDefault="00606FB0" w:rsidP="00FC7065"/>
    <w:p w:rsidR="00B910B2" w:rsidRDefault="00B910B2" w:rsidP="00FC7065"/>
    <w:p w:rsidR="00B910B2" w:rsidRDefault="00B910B2" w:rsidP="00FC7065"/>
    <w:p w:rsidR="00FC7065" w:rsidRDefault="00FC7065" w:rsidP="00B910B2">
      <w:pPr>
        <w:pStyle w:val="Heading1"/>
      </w:pPr>
      <w:bookmarkStart w:id="26" w:name="_Toc128518357"/>
      <w:r>
        <w:lastRenderedPageBreak/>
        <w:t>Model Summary</w:t>
      </w:r>
      <w:bookmarkEnd w:id="26"/>
    </w:p>
    <w:p w:rsidR="00FC7065" w:rsidRDefault="00FC7065" w:rsidP="00FC7065">
      <w:r>
        <w:t>IMPACT ON RETURN ON EQUITY</w:t>
      </w:r>
    </w:p>
    <w:tbl>
      <w:tblPr>
        <w:tblW w:w="9021" w:type="dxa"/>
        <w:tblLook w:val="04A0" w:firstRow="1" w:lastRow="0" w:firstColumn="1" w:lastColumn="0" w:noHBand="0" w:noVBand="1"/>
      </w:tblPr>
      <w:tblGrid>
        <w:gridCol w:w="1900"/>
        <w:gridCol w:w="1387"/>
        <w:gridCol w:w="1540"/>
        <w:gridCol w:w="1387"/>
        <w:gridCol w:w="1387"/>
        <w:gridCol w:w="1420"/>
      </w:tblGrid>
      <w:tr w:rsidR="00FC7065" w:rsidRPr="00CE6FE6" w:rsidTr="00296446">
        <w:trPr>
          <w:trHeight w:val="300"/>
        </w:trPr>
        <w:tc>
          <w:tcPr>
            <w:tcW w:w="190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Calibri" w:eastAsia="Times New Roman" w:hAnsi="Calibri" w:cs="Calibri"/>
                <w:color w:val="000000"/>
                <w:lang w:eastAsia="en-IN"/>
              </w:rPr>
            </w:pPr>
            <w:r w:rsidRPr="00CE6FE6">
              <w:rPr>
                <w:rFonts w:ascii="Calibri" w:eastAsia="Times New Roman" w:hAnsi="Calibri" w:cs="Calibri"/>
                <w:color w:val="000000"/>
                <w:lang w:eastAsia="en-IN"/>
              </w:rPr>
              <w:t>SUMMARY OUTPUT</w:t>
            </w: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Calibri" w:eastAsia="Times New Roman" w:hAnsi="Calibri" w:cs="Calibri"/>
                <w:color w:val="000000"/>
                <w:lang w:eastAsia="en-IN"/>
              </w:rPr>
            </w:pPr>
          </w:p>
        </w:tc>
        <w:tc>
          <w:tcPr>
            <w:tcW w:w="154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42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r>
      <w:tr w:rsidR="00FC7065" w:rsidRPr="00CE6FE6" w:rsidTr="00296446">
        <w:trPr>
          <w:trHeight w:val="315"/>
        </w:trPr>
        <w:tc>
          <w:tcPr>
            <w:tcW w:w="190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42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r>
      <w:tr w:rsidR="00FC7065" w:rsidRPr="00CE6FE6" w:rsidTr="00296446">
        <w:trPr>
          <w:trHeight w:val="300"/>
        </w:trPr>
        <w:tc>
          <w:tcPr>
            <w:tcW w:w="3287" w:type="dxa"/>
            <w:gridSpan w:val="2"/>
            <w:tcBorders>
              <w:top w:val="single" w:sz="8" w:space="0" w:color="auto"/>
              <w:left w:val="nil"/>
              <w:bottom w:val="single" w:sz="4" w:space="0" w:color="auto"/>
              <w:right w:val="nil"/>
            </w:tcBorders>
            <w:shd w:val="clear" w:color="auto" w:fill="auto"/>
            <w:noWrap/>
            <w:vAlign w:val="bottom"/>
            <w:hideMark/>
          </w:tcPr>
          <w:p w:rsidR="00FC7065" w:rsidRPr="00CE6FE6" w:rsidRDefault="00FC7065" w:rsidP="00296446">
            <w:pPr>
              <w:spacing w:after="0" w:line="240" w:lineRule="auto"/>
              <w:jc w:val="center"/>
              <w:rPr>
                <w:rFonts w:ascii="Calibri" w:eastAsia="Times New Roman" w:hAnsi="Calibri" w:cs="Calibri"/>
                <w:i/>
                <w:iCs/>
                <w:color w:val="000000"/>
                <w:lang w:eastAsia="en-IN"/>
              </w:rPr>
            </w:pPr>
            <w:r w:rsidRPr="00CE6FE6">
              <w:rPr>
                <w:rFonts w:ascii="Calibri" w:eastAsia="Times New Roman" w:hAnsi="Calibri" w:cs="Calibri"/>
                <w:i/>
                <w:iCs/>
                <w:color w:val="000000"/>
                <w:lang w:eastAsia="en-IN"/>
              </w:rPr>
              <w:t>Regression Statistics</w:t>
            </w:r>
          </w:p>
        </w:tc>
        <w:tc>
          <w:tcPr>
            <w:tcW w:w="154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jc w:val="center"/>
              <w:rPr>
                <w:rFonts w:ascii="Calibri" w:eastAsia="Times New Roman" w:hAnsi="Calibri" w:cs="Calibri"/>
                <w:i/>
                <w:iCs/>
                <w:color w:val="000000"/>
                <w:lang w:eastAsia="en-IN"/>
              </w:rPr>
            </w:pP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42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r>
      <w:tr w:rsidR="00FC7065" w:rsidRPr="00CE6FE6" w:rsidTr="00296446">
        <w:trPr>
          <w:trHeight w:val="300"/>
        </w:trPr>
        <w:tc>
          <w:tcPr>
            <w:tcW w:w="190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Calibri" w:eastAsia="Times New Roman" w:hAnsi="Calibri" w:cs="Calibri"/>
                <w:color w:val="000000"/>
                <w:lang w:eastAsia="en-IN"/>
              </w:rPr>
            </w:pPr>
            <w:r w:rsidRPr="00CE6FE6">
              <w:rPr>
                <w:rFonts w:ascii="Calibri" w:eastAsia="Times New Roman" w:hAnsi="Calibri" w:cs="Calibri"/>
                <w:color w:val="000000"/>
                <w:lang w:eastAsia="en-IN"/>
              </w:rPr>
              <w:t>Multiple R</w:t>
            </w: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jc w:val="right"/>
              <w:rPr>
                <w:rFonts w:ascii="Calibri" w:eastAsia="Times New Roman" w:hAnsi="Calibri" w:cs="Calibri"/>
                <w:color w:val="000000"/>
                <w:lang w:eastAsia="en-IN"/>
              </w:rPr>
            </w:pPr>
            <w:r w:rsidRPr="00CE6FE6">
              <w:rPr>
                <w:rFonts w:ascii="Calibri" w:eastAsia="Times New Roman" w:hAnsi="Calibri" w:cs="Calibri"/>
                <w:color w:val="000000"/>
                <w:lang w:eastAsia="en-IN"/>
              </w:rPr>
              <w:t>0.192116193</w:t>
            </w:r>
          </w:p>
        </w:tc>
        <w:tc>
          <w:tcPr>
            <w:tcW w:w="154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jc w:val="right"/>
              <w:rPr>
                <w:rFonts w:ascii="Calibri" w:eastAsia="Times New Roman" w:hAnsi="Calibri" w:cs="Calibri"/>
                <w:color w:val="000000"/>
                <w:lang w:eastAsia="en-IN"/>
              </w:rPr>
            </w:pP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42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r>
      <w:tr w:rsidR="00FC7065" w:rsidRPr="00CE6FE6" w:rsidTr="00296446">
        <w:trPr>
          <w:trHeight w:val="300"/>
        </w:trPr>
        <w:tc>
          <w:tcPr>
            <w:tcW w:w="190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Calibri" w:eastAsia="Times New Roman" w:hAnsi="Calibri" w:cs="Calibri"/>
                <w:color w:val="000000"/>
                <w:lang w:eastAsia="en-IN"/>
              </w:rPr>
            </w:pPr>
            <w:r w:rsidRPr="00CE6FE6">
              <w:rPr>
                <w:rFonts w:ascii="Calibri" w:eastAsia="Times New Roman" w:hAnsi="Calibri" w:cs="Calibri"/>
                <w:color w:val="000000"/>
                <w:lang w:eastAsia="en-IN"/>
              </w:rPr>
              <w:t>R Square</w:t>
            </w: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jc w:val="right"/>
              <w:rPr>
                <w:rFonts w:ascii="Calibri" w:eastAsia="Times New Roman" w:hAnsi="Calibri" w:cs="Calibri"/>
                <w:color w:val="000000"/>
                <w:lang w:eastAsia="en-IN"/>
              </w:rPr>
            </w:pPr>
            <w:r w:rsidRPr="00CE6FE6">
              <w:rPr>
                <w:rFonts w:ascii="Calibri" w:eastAsia="Times New Roman" w:hAnsi="Calibri" w:cs="Calibri"/>
                <w:color w:val="000000"/>
                <w:lang w:eastAsia="en-IN"/>
              </w:rPr>
              <w:t>0.036908632</w:t>
            </w:r>
          </w:p>
        </w:tc>
        <w:tc>
          <w:tcPr>
            <w:tcW w:w="154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jc w:val="right"/>
              <w:rPr>
                <w:rFonts w:ascii="Calibri" w:eastAsia="Times New Roman" w:hAnsi="Calibri" w:cs="Calibri"/>
                <w:color w:val="000000"/>
                <w:lang w:eastAsia="en-IN"/>
              </w:rPr>
            </w:pP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42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r>
      <w:tr w:rsidR="00FC7065" w:rsidRPr="00CE6FE6" w:rsidTr="00296446">
        <w:trPr>
          <w:trHeight w:val="300"/>
        </w:trPr>
        <w:tc>
          <w:tcPr>
            <w:tcW w:w="190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Calibri" w:eastAsia="Times New Roman" w:hAnsi="Calibri" w:cs="Calibri"/>
                <w:color w:val="000000"/>
                <w:lang w:eastAsia="en-IN"/>
              </w:rPr>
            </w:pPr>
            <w:r w:rsidRPr="00CE6FE6">
              <w:rPr>
                <w:rFonts w:ascii="Calibri" w:eastAsia="Times New Roman" w:hAnsi="Calibri" w:cs="Calibri"/>
                <w:color w:val="000000"/>
                <w:lang w:eastAsia="en-IN"/>
              </w:rPr>
              <w:t>Adjusted R Square</w:t>
            </w: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jc w:val="right"/>
              <w:rPr>
                <w:rFonts w:ascii="Calibri" w:eastAsia="Times New Roman" w:hAnsi="Calibri" w:cs="Calibri"/>
                <w:color w:val="000000"/>
                <w:lang w:eastAsia="en-IN"/>
              </w:rPr>
            </w:pPr>
            <w:r w:rsidRPr="00CE6FE6">
              <w:rPr>
                <w:rFonts w:ascii="Calibri" w:eastAsia="Times New Roman" w:hAnsi="Calibri" w:cs="Calibri"/>
                <w:color w:val="000000"/>
                <w:lang w:eastAsia="en-IN"/>
              </w:rPr>
              <w:t>-0.053381184</w:t>
            </w:r>
          </w:p>
        </w:tc>
        <w:tc>
          <w:tcPr>
            <w:tcW w:w="154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jc w:val="right"/>
              <w:rPr>
                <w:rFonts w:ascii="Calibri" w:eastAsia="Times New Roman" w:hAnsi="Calibri" w:cs="Calibri"/>
                <w:color w:val="000000"/>
                <w:lang w:eastAsia="en-IN"/>
              </w:rPr>
            </w:pP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42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r>
      <w:tr w:rsidR="00FC7065" w:rsidRPr="00CE6FE6" w:rsidTr="00296446">
        <w:trPr>
          <w:trHeight w:val="300"/>
        </w:trPr>
        <w:tc>
          <w:tcPr>
            <w:tcW w:w="190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Calibri" w:eastAsia="Times New Roman" w:hAnsi="Calibri" w:cs="Calibri"/>
                <w:color w:val="000000"/>
                <w:lang w:eastAsia="en-IN"/>
              </w:rPr>
            </w:pPr>
            <w:r w:rsidRPr="00CE6FE6">
              <w:rPr>
                <w:rFonts w:ascii="Calibri" w:eastAsia="Times New Roman" w:hAnsi="Calibri" w:cs="Calibri"/>
                <w:color w:val="000000"/>
                <w:lang w:eastAsia="en-IN"/>
              </w:rPr>
              <w:t>Standard Error</w:t>
            </w: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jc w:val="right"/>
              <w:rPr>
                <w:rFonts w:ascii="Calibri" w:eastAsia="Times New Roman" w:hAnsi="Calibri" w:cs="Calibri"/>
                <w:color w:val="000000"/>
                <w:lang w:eastAsia="en-IN"/>
              </w:rPr>
            </w:pPr>
            <w:r w:rsidRPr="00CE6FE6">
              <w:rPr>
                <w:rFonts w:ascii="Calibri" w:eastAsia="Times New Roman" w:hAnsi="Calibri" w:cs="Calibri"/>
                <w:color w:val="000000"/>
                <w:lang w:eastAsia="en-IN"/>
              </w:rPr>
              <w:t>4.45711854</w:t>
            </w:r>
          </w:p>
        </w:tc>
        <w:tc>
          <w:tcPr>
            <w:tcW w:w="154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jc w:val="right"/>
              <w:rPr>
                <w:rFonts w:ascii="Calibri" w:eastAsia="Times New Roman" w:hAnsi="Calibri" w:cs="Calibri"/>
                <w:color w:val="000000"/>
                <w:lang w:eastAsia="en-IN"/>
              </w:rPr>
            </w:pP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42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r>
      <w:tr w:rsidR="00FC7065" w:rsidRPr="00CE6FE6" w:rsidTr="00296446">
        <w:trPr>
          <w:trHeight w:val="315"/>
        </w:trPr>
        <w:tc>
          <w:tcPr>
            <w:tcW w:w="1900" w:type="dxa"/>
            <w:tcBorders>
              <w:top w:val="nil"/>
              <w:left w:val="nil"/>
              <w:bottom w:val="single" w:sz="8" w:space="0" w:color="auto"/>
              <w:right w:val="nil"/>
            </w:tcBorders>
            <w:shd w:val="clear" w:color="auto" w:fill="auto"/>
            <w:noWrap/>
            <w:vAlign w:val="bottom"/>
            <w:hideMark/>
          </w:tcPr>
          <w:p w:rsidR="00FC7065" w:rsidRPr="00CE6FE6" w:rsidRDefault="00FC7065" w:rsidP="00296446">
            <w:pPr>
              <w:spacing w:after="0" w:line="240" w:lineRule="auto"/>
              <w:rPr>
                <w:rFonts w:ascii="Calibri" w:eastAsia="Times New Roman" w:hAnsi="Calibri" w:cs="Calibri"/>
                <w:color w:val="000000"/>
                <w:lang w:eastAsia="en-IN"/>
              </w:rPr>
            </w:pPr>
            <w:r w:rsidRPr="00CE6FE6">
              <w:rPr>
                <w:rFonts w:ascii="Calibri" w:eastAsia="Times New Roman" w:hAnsi="Calibri" w:cs="Calibri"/>
                <w:color w:val="000000"/>
                <w:lang w:eastAsia="en-IN"/>
              </w:rPr>
              <w:t>Observations</w:t>
            </w:r>
          </w:p>
        </w:tc>
        <w:tc>
          <w:tcPr>
            <w:tcW w:w="1387" w:type="dxa"/>
            <w:tcBorders>
              <w:top w:val="nil"/>
              <w:left w:val="nil"/>
              <w:bottom w:val="single" w:sz="8" w:space="0" w:color="auto"/>
              <w:right w:val="nil"/>
            </w:tcBorders>
            <w:shd w:val="clear" w:color="auto" w:fill="auto"/>
            <w:noWrap/>
            <w:vAlign w:val="bottom"/>
            <w:hideMark/>
          </w:tcPr>
          <w:p w:rsidR="00FC7065" w:rsidRPr="00CE6FE6" w:rsidRDefault="00FC7065" w:rsidP="00296446">
            <w:pPr>
              <w:spacing w:after="0" w:line="240" w:lineRule="auto"/>
              <w:jc w:val="right"/>
              <w:rPr>
                <w:rFonts w:ascii="Calibri" w:eastAsia="Times New Roman" w:hAnsi="Calibri" w:cs="Calibri"/>
                <w:color w:val="000000"/>
                <w:lang w:eastAsia="en-IN"/>
              </w:rPr>
            </w:pPr>
            <w:r w:rsidRPr="00CE6FE6">
              <w:rPr>
                <w:rFonts w:ascii="Calibri" w:eastAsia="Times New Roman" w:hAnsi="Calibri" w:cs="Calibri"/>
                <w:color w:val="000000"/>
                <w:lang w:eastAsia="en-IN"/>
              </w:rPr>
              <w:t>36</w:t>
            </w:r>
          </w:p>
        </w:tc>
        <w:tc>
          <w:tcPr>
            <w:tcW w:w="154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jc w:val="right"/>
              <w:rPr>
                <w:rFonts w:ascii="Calibri" w:eastAsia="Times New Roman" w:hAnsi="Calibri" w:cs="Calibri"/>
                <w:color w:val="000000"/>
                <w:lang w:eastAsia="en-IN"/>
              </w:rPr>
            </w:pP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42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r>
      <w:tr w:rsidR="00FC7065" w:rsidRPr="00CE6FE6" w:rsidTr="00296446">
        <w:trPr>
          <w:trHeight w:val="315"/>
        </w:trPr>
        <w:tc>
          <w:tcPr>
            <w:tcW w:w="1900" w:type="dxa"/>
            <w:tcBorders>
              <w:top w:val="nil"/>
              <w:left w:val="nil"/>
              <w:bottom w:val="nil"/>
              <w:right w:val="nil"/>
            </w:tcBorders>
            <w:shd w:val="clear" w:color="auto" w:fill="auto"/>
            <w:noWrap/>
            <w:vAlign w:val="bottom"/>
            <w:hideMark/>
          </w:tcPr>
          <w:p w:rsidR="00FC7065" w:rsidRDefault="00FC7065" w:rsidP="00296446">
            <w:pPr>
              <w:spacing w:after="0" w:line="240" w:lineRule="auto"/>
              <w:rPr>
                <w:rFonts w:ascii="Calibri" w:eastAsia="Times New Roman" w:hAnsi="Calibri" w:cs="Calibri"/>
                <w:color w:val="000000"/>
                <w:lang w:eastAsia="en-IN"/>
              </w:rPr>
            </w:pPr>
          </w:p>
          <w:p w:rsidR="00FC7065" w:rsidRPr="00CE6FE6" w:rsidRDefault="00FC7065" w:rsidP="00296446">
            <w:pPr>
              <w:spacing w:after="0" w:line="240" w:lineRule="auto"/>
              <w:rPr>
                <w:rFonts w:ascii="Calibri" w:eastAsia="Times New Roman" w:hAnsi="Calibri" w:cs="Calibri"/>
                <w:color w:val="000000"/>
                <w:lang w:eastAsia="en-IN"/>
              </w:rPr>
            </w:pPr>
            <w:r w:rsidRPr="00CE6FE6">
              <w:rPr>
                <w:rFonts w:ascii="Calibri" w:eastAsia="Times New Roman" w:hAnsi="Calibri" w:cs="Calibri"/>
                <w:color w:val="000000"/>
                <w:lang w:eastAsia="en-IN"/>
              </w:rPr>
              <w:t>ANOVA</w:t>
            </w: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Calibri" w:eastAsia="Times New Roman" w:hAnsi="Calibri" w:cs="Calibri"/>
                <w:color w:val="000000"/>
                <w:lang w:eastAsia="en-IN"/>
              </w:rPr>
            </w:pPr>
          </w:p>
        </w:tc>
        <w:tc>
          <w:tcPr>
            <w:tcW w:w="154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c>
          <w:tcPr>
            <w:tcW w:w="142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r>
      <w:tr w:rsidR="00FC7065" w:rsidRPr="00CE6FE6" w:rsidTr="00296446">
        <w:trPr>
          <w:trHeight w:val="300"/>
        </w:trPr>
        <w:tc>
          <w:tcPr>
            <w:tcW w:w="1900" w:type="dxa"/>
            <w:tcBorders>
              <w:top w:val="single" w:sz="8" w:space="0" w:color="auto"/>
              <w:left w:val="nil"/>
              <w:bottom w:val="single" w:sz="4" w:space="0" w:color="auto"/>
              <w:right w:val="nil"/>
            </w:tcBorders>
            <w:shd w:val="clear" w:color="auto" w:fill="auto"/>
            <w:noWrap/>
            <w:vAlign w:val="bottom"/>
            <w:hideMark/>
          </w:tcPr>
          <w:p w:rsidR="00FC7065" w:rsidRPr="00CE6FE6" w:rsidRDefault="00FC7065" w:rsidP="00296446">
            <w:pPr>
              <w:spacing w:after="0" w:line="240" w:lineRule="auto"/>
              <w:jc w:val="center"/>
              <w:rPr>
                <w:rFonts w:ascii="Calibri" w:eastAsia="Times New Roman" w:hAnsi="Calibri" w:cs="Calibri"/>
                <w:i/>
                <w:iCs/>
                <w:color w:val="000000"/>
                <w:lang w:eastAsia="en-IN"/>
              </w:rPr>
            </w:pPr>
            <w:r w:rsidRPr="00CE6FE6">
              <w:rPr>
                <w:rFonts w:ascii="Calibri" w:eastAsia="Times New Roman" w:hAnsi="Calibri" w:cs="Calibri"/>
                <w:i/>
                <w:iCs/>
                <w:color w:val="000000"/>
                <w:lang w:eastAsia="en-IN"/>
              </w:rPr>
              <w:t> </w:t>
            </w:r>
          </w:p>
        </w:tc>
        <w:tc>
          <w:tcPr>
            <w:tcW w:w="1387" w:type="dxa"/>
            <w:tcBorders>
              <w:top w:val="single" w:sz="8" w:space="0" w:color="auto"/>
              <w:left w:val="nil"/>
              <w:bottom w:val="single" w:sz="4" w:space="0" w:color="auto"/>
              <w:right w:val="nil"/>
            </w:tcBorders>
            <w:shd w:val="clear" w:color="auto" w:fill="auto"/>
            <w:noWrap/>
            <w:vAlign w:val="bottom"/>
            <w:hideMark/>
          </w:tcPr>
          <w:p w:rsidR="00FC7065" w:rsidRPr="00CE6FE6" w:rsidRDefault="00FC7065" w:rsidP="00296446">
            <w:pPr>
              <w:spacing w:after="0" w:line="240" w:lineRule="auto"/>
              <w:jc w:val="center"/>
              <w:rPr>
                <w:rFonts w:ascii="Calibri" w:eastAsia="Times New Roman" w:hAnsi="Calibri" w:cs="Calibri"/>
                <w:i/>
                <w:iCs/>
                <w:color w:val="000000"/>
                <w:lang w:eastAsia="en-IN"/>
              </w:rPr>
            </w:pPr>
            <w:proofErr w:type="spellStart"/>
            <w:r w:rsidRPr="00CE6FE6">
              <w:rPr>
                <w:rFonts w:ascii="Calibri" w:eastAsia="Times New Roman" w:hAnsi="Calibri" w:cs="Calibri"/>
                <w:i/>
                <w:iCs/>
                <w:color w:val="000000"/>
                <w:lang w:eastAsia="en-IN"/>
              </w:rPr>
              <w:t>df</w:t>
            </w:r>
            <w:proofErr w:type="spellEnd"/>
          </w:p>
        </w:tc>
        <w:tc>
          <w:tcPr>
            <w:tcW w:w="1540" w:type="dxa"/>
            <w:tcBorders>
              <w:top w:val="single" w:sz="8" w:space="0" w:color="auto"/>
              <w:left w:val="nil"/>
              <w:bottom w:val="single" w:sz="4" w:space="0" w:color="auto"/>
              <w:right w:val="nil"/>
            </w:tcBorders>
            <w:shd w:val="clear" w:color="auto" w:fill="auto"/>
            <w:noWrap/>
            <w:vAlign w:val="bottom"/>
            <w:hideMark/>
          </w:tcPr>
          <w:p w:rsidR="00FC7065" w:rsidRPr="00CE6FE6" w:rsidRDefault="00FC7065" w:rsidP="00296446">
            <w:pPr>
              <w:spacing w:after="0" w:line="240" w:lineRule="auto"/>
              <w:jc w:val="center"/>
              <w:rPr>
                <w:rFonts w:ascii="Calibri" w:eastAsia="Times New Roman" w:hAnsi="Calibri" w:cs="Calibri"/>
                <w:i/>
                <w:iCs/>
                <w:color w:val="000000"/>
                <w:lang w:eastAsia="en-IN"/>
              </w:rPr>
            </w:pPr>
            <w:r w:rsidRPr="00CE6FE6">
              <w:rPr>
                <w:rFonts w:ascii="Calibri" w:eastAsia="Times New Roman" w:hAnsi="Calibri" w:cs="Calibri"/>
                <w:i/>
                <w:iCs/>
                <w:color w:val="000000"/>
                <w:lang w:eastAsia="en-IN"/>
              </w:rPr>
              <w:t>SS</w:t>
            </w:r>
          </w:p>
        </w:tc>
        <w:tc>
          <w:tcPr>
            <w:tcW w:w="1387" w:type="dxa"/>
            <w:tcBorders>
              <w:top w:val="single" w:sz="8" w:space="0" w:color="auto"/>
              <w:left w:val="nil"/>
              <w:bottom w:val="single" w:sz="4" w:space="0" w:color="auto"/>
              <w:right w:val="nil"/>
            </w:tcBorders>
            <w:shd w:val="clear" w:color="auto" w:fill="auto"/>
            <w:noWrap/>
            <w:vAlign w:val="bottom"/>
            <w:hideMark/>
          </w:tcPr>
          <w:p w:rsidR="00FC7065" w:rsidRPr="00CE6FE6" w:rsidRDefault="00FC7065" w:rsidP="00296446">
            <w:pPr>
              <w:spacing w:after="0" w:line="240" w:lineRule="auto"/>
              <w:jc w:val="center"/>
              <w:rPr>
                <w:rFonts w:ascii="Calibri" w:eastAsia="Times New Roman" w:hAnsi="Calibri" w:cs="Calibri"/>
                <w:i/>
                <w:iCs/>
                <w:color w:val="000000"/>
                <w:lang w:eastAsia="en-IN"/>
              </w:rPr>
            </w:pPr>
            <w:r w:rsidRPr="00CE6FE6">
              <w:rPr>
                <w:rFonts w:ascii="Calibri" w:eastAsia="Times New Roman" w:hAnsi="Calibri" w:cs="Calibri"/>
                <w:i/>
                <w:iCs/>
                <w:color w:val="000000"/>
                <w:lang w:eastAsia="en-IN"/>
              </w:rPr>
              <w:t>MS</w:t>
            </w:r>
          </w:p>
        </w:tc>
        <w:tc>
          <w:tcPr>
            <w:tcW w:w="1387" w:type="dxa"/>
            <w:tcBorders>
              <w:top w:val="single" w:sz="8" w:space="0" w:color="auto"/>
              <w:left w:val="nil"/>
              <w:bottom w:val="single" w:sz="4" w:space="0" w:color="auto"/>
              <w:right w:val="nil"/>
            </w:tcBorders>
            <w:shd w:val="clear" w:color="auto" w:fill="auto"/>
            <w:noWrap/>
            <w:vAlign w:val="bottom"/>
            <w:hideMark/>
          </w:tcPr>
          <w:p w:rsidR="00FC7065" w:rsidRPr="00CE6FE6" w:rsidRDefault="00FC7065" w:rsidP="00296446">
            <w:pPr>
              <w:spacing w:after="0" w:line="240" w:lineRule="auto"/>
              <w:jc w:val="center"/>
              <w:rPr>
                <w:rFonts w:ascii="Calibri" w:eastAsia="Times New Roman" w:hAnsi="Calibri" w:cs="Calibri"/>
                <w:i/>
                <w:iCs/>
                <w:color w:val="000000"/>
                <w:lang w:eastAsia="en-IN"/>
              </w:rPr>
            </w:pPr>
            <w:r w:rsidRPr="00CE6FE6">
              <w:rPr>
                <w:rFonts w:ascii="Calibri" w:eastAsia="Times New Roman" w:hAnsi="Calibri" w:cs="Calibri"/>
                <w:i/>
                <w:iCs/>
                <w:color w:val="000000"/>
                <w:lang w:eastAsia="en-IN"/>
              </w:rPr>
              <w:t>F</w:t>
            </w:r>
          </w:p>
        </w:tc>
        <w:tc>
          <w:tcPr>
            <w:tcW w:w="1420" w:type="dxa"/>
            <w:tcBorders>
              <w:top w:val="single" w:sz="8" w:space="0" w:color="auto"/>
              <w:left w:val="nil"/>
              <w:bottom w:val="single" w:sz="4" w:space="0" w:color="auto"/>
              <w:right w:val="nil"/>
            </w:tcBorders>
            <w:shd w:val="clear" w:color="auto" w:fill="auto"/>
            <w:noWrap/>
            <w:vAlign w:val="bottom"/>
            <w:hideMark/>
          </w:tcPr>
          <w:p w:rsidR="00FC7065" w:rsidRPr="00CE6FE6" w:rsidRDefault="00FC7065" w:rsidP="00296446">
            <w:pPr>
              <w:spacing w:after="0" w:line="240" w:lineRule="auto"/>
              <w:jc w:val="center"/>
              <w:rPr>
                <w:rFonts w:ascii="Calibri" w:eastAsia="Times New Roman" w:hAnsi="Calibri" w:cs="Calibri"/>
                <w:i/>
                <w:iCs/>
                <w:color w:val="000000"/>
                <w:lang w:eastAsia="en-IN"/>
              </w:rPr>
            </w:pPr>
            <w:r w:rsidRPr="00CE6FE6">
              <w:rPr>
                <w:rFonts w:ascii="Calibri" w:eastAsia="Times New Roman" w:hAnsi="Calibri" w:cs="Calibri"/>
                <w:i/>
                <w:iCs/>
                <w:color w:val="000000"/>
                <w:lang w:eastAsia="en-IN"/>
              </w:rPr>
              <w:t>Significance F</w:t>
            </w:r>
          </w:p>
        </w:tc>
      </w:tr>
      <w:tr w:rsidR="00FC7065" w:rsidRPr="00CE6FE6" w:rsidTr="00296446">
        <w:trPr>
          <w:trHeight w:val="300"/>
        </w:trPr>
        <w:tc>
          <w:tcPr>
            <w:tcW w:w="190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Calibri" w:eastAsia="Times New Roman" w:hAnsi="Calibri" w:cs="Calibri"/>
                <w:color w:val="000000"/>
                <w:lang w:eastAsia="en-IN"/>
              </w:rPr>
            </w:pPr>
            <w:r w:rsidRPr="00CE6FE6">
              <w:rPr>
                <w:rFonts w:ascii="Calibri" w:eastAsia="Times New Roman" w:hAnsi="Calibri" w:cs="Calibri"/>
                <w:color w:val="000000"/>
                <w:lang w:eastAsia="en-IN"/>
              </w:rPr>
              <w:t>Regression</w:t>
            </w: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jc w:val="right"/>
              <w:rPr>
                <w:rFonts w:ascii="Calibri" w:eastAsia="Times New Roman" w:hAnsi="Calibri" w:cs="Calibri"/>
                <w:color w:val="000000"/>
                <w:lang w:eastAsia="en-IN"/>
              </w:rPr>
            </w:pPr>
            <w:r w:rsidRPr="00CE6FE6">
              <w:rPr>
                <w:rFonts w:ascii="Calibri" w:eastAsia="Times New Roman" w:hAnsi="Calibri" w:cs="Calibri"/>
                <w:color w:val="000000"/>
                <w:lang w:eastAsia="en-IN"/>
              </w:rPr>
              <w:t>3</w:t>
            </w:r>
          </w:p>
        </w:tc>
        <w:tc>
          <w:tcPr>
            <w:tcW w:w="154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jc w:val="right"/>
              <w:rPr>
                <w:rFonts w:ascii="Calibri" w:eastAsia="Times New Roman" w:hAnsi="Calibri" w:cs="Calibri"/>
                <w:color w:val="000000"/>
                <w:lang w:eastAsia="en-IN"/>
              </w:rPr>
            </w:pPr>
            <w:r w:rsidRPr="00CE6FE6">
              <w:rPr>
                <w:rFonts w:ascii="Calibri" w:eastAsia="Times New Roman" w:hAnsi="Calibri" w:cs="Calibri"/>
                <w:color w:val="000000"/>
                <w:lang w:eastAsia="en-IN"/>
              </w:rPr>
              <w:t>24.3623288</w:t>
            </w: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jc w:val="right"/>
              <w:rPr>
                <w:rFonts w:ascii="Calibri" w:eastAsia="Times New Roman" w:hAnsi="Calibri" w:cs="Calibri"/>
                <w:color w:val="000000"/>
                <w:lang w:eastAsia="en-IN"/>
              </w:rPr>
            </w:pPr>
            <w:r w:rsidRPr="00CE6FE6">
              <w:rPr>
                <w:rFonts w:ascii="Calibri" w:eastAsia="Times New Roman" w:hAnsi="Calibri" w:cs="Calibri"/>
                <w:color w:val="000000"/>
                <w:lang w:eastAsia="en-IN"/>
              </w:rPr>
              <w:t>8.120776266</w:t>
            </w: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jc w:val="right"/>
              <w:rPr>
                <w:rFonts w:ascii="Calibri" w:eastAsia="Times New Roman" w:hAnsi="Calibri" w:cs="Calibri"/>
                <w:color w:val="000000"/>
                <w:lang w:eastAsia="en-IN"/>
              </w:rPr>
            </w:pPr>
            <w:r w:rsidRPr="00CE6FE6">
              <w:rPr>
                <w:rFonts w:ascii="Calibri" w:eastAsia="Times New Roman" w:hAnsi="Calibri" w:cs="Calibri"/>
                <w:color w:val="000000"/>
                <w:lang w:eastAsia="en-IN"/>
              </w:rPr>
              <w:t>0.408779564</w:t>
            </w:r>
          </w:p>
        </w:tc>
        <w:tc>
          <w:tcPr>
            <w:tcW w:w="142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jc w:val="right"/>
              <w:rPr>
                <w:rFonts w:ascii="Calibri" w:eastAsia="Times New Roman" w:hAnsi="Calibri" w:cs="Calibri"/>
                <w:color w:val="000000"/>
                <w:lang w:eastAsia="en-IN"/>
              </w:rPr>
            </w:pPr>
            <w:r w:rsidRPr="00CE6FE6">
              <w:rPr>
                <w:rFonts w:ascii="Calibri" w:eastAsia="Times New Roman" w:hAnsi="Calibri" w:cs="Calibri"/>
                <w:color w:val="000000"/>
                <w:lang w:eastAsia="en-IN"/>
              </w:rPr>
              <w:t>0.747750182</w:t>
            </w:r>
          </w:p>
        </w:tc>
      </w:tr>
      <w:tr w:rsidR="00FC7065" w:rsidRPr="00CE6FE6" w:rsidTr="00296446">
        <w:trPr>
          <w:trHeight w:val="300"/>
        </w:trPr>
        <w:tc>
          <w:tcPr>
            <w:tcW w:w="190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Calibri" w:eastAsia="Times New Roman" w:hAnsi="Calibri" w:cs="Calibri"/>
                <w:color w:val="000000"/>
                <w:lang w:eastAsia="en-IN"/>
              </w:rPr>
            </w:pPr>
            <w:r w:rsidRPr="00CE6FE6">
              <w:rPr>
                <w:rFonts w:ascii="Calibri" w:eastAsia="Times New Roman" w:hAnsi="Calibri" w:cs="Calibri"/>
                <w:color w:val="000000"/>
                <w:lang w:eastAsia="en-IN"/>
              </w:rPr>
              <w:t>Residual</w:t>
            </w: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jc w:val="right"/>
              <w:rPr>
                <w:rFonts w:ascii="Calibri" w:eastAsia="Times New Roman" w:hAnsi="Calibri" w:cs="Calibri"/>
                <w:color w:val="000000"/>
                <w:lang w:eastAsia="en-IN"/>
              </w:rPr>
            </w:pPr>
            <w:r w:rsidRPr="00CE6FE6">
              <w:rPr>
                <w:rFonts w:ascii="Calibri" w:eastAsia="Times New Roman" w:hAnsi="Calibri" w:cs="Calibri"/>
                <w:color w:val="000000"/>
                <w:lang w:eastAsia="en-IN"/>
              </w:rPr>
              <w:t>32</w:t>
            </w:r>
          </w:p>
        </w:tc>
        <w:tc>
          <w:tcPr>
            <w:tcW w:w="154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jc w:val="right"/>
              <w:rPr>
                <w:rFonts w:ascii="Calibri" w:eastAsia="Times New Roman" w:hAnsi="Calibri" w:cs="Calibri"/>
                <w:color w:val="000000"/>
                <w:lang w:eastAsia="en-IN"/>
              </w:rPr>
            </w:pPr>
            <w:r w:rsidRPr="00CE6FE6">
              <w:rPr>
                <w:rFonts w:ascii="Calibri" w:eastAsia="Times New Roman" w:hAnsi="Calibri" w:cs="Calibri"/>
                <w:color w:val="000000"/>
                <w:lang w:eastAsia="en-IN"/>
              </w:rPr>
              <w:t>635.7089818</w:t>
            </w: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jc w:val="right"/>
              <w:rPr>
                <w:rFonts w:ascii="Calibri" w:eastAsia="Times New Roman" w:hAnsi="Calibri" w:cs="Calibri"/>
                <w:color w:val="000000"/>
                <w:lang w:eastAsia="en-IN"/>
              </w:rPr>
            </w:pPr>
            <w:r w:rsidRPr="00CE6FE6">
              <w:rPr>
                <w:rFonts w:ascii="Calibri" w:eastAsia="Times New Roman" w:hAnsi="Calibri" w:cs="Calibri"/>
                <w:color w:val="000000"/>
                <w:lang w:eastAsia="en-IN"/>
              </w:rPr>
              <w:t>19.86590568</w:t>
            </w:r>
          </w:p>
        </w:tc>
        <w:tc>
          <w:tcPr>
            <w:tcW w:w="1387"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jc w:val="right"/>
              <w:rPr>
                <w:rFonts w:ascii="Calibri" w:eastAsia="Times New Roman" w:hAnsi="Calibri" w:cs="Calibri"/>
                <w:color w:val="000000"/>
                <w:lang w:eastAsia="en-IN"/>
              </w:rPr>
            </w:pPr>
          </w:p>
        </w:tc>
        <w:tc>
          <w:tcPr>
            <w:tcW w:w="1420" w:type="dxa"/>
            <w:tcBorders>
              <w:top w:val="nil"/>
              <w:left w:val="nil"/>
              <w:bottom w:val="nil"/>
              <w:right w:val="nil"/>
            </w:tcBorders>
            <w:shd w:val="clear" w:color="auto" w:fill="auto"/>
            <w:noWrap/>
            <w:vAlign w:val="bottom"/>
            <w:hideMark/>
          </w:tcPr>
          <w:p w:rsidR="00FC7065" w:rsidRPr="00CE6FE6" w:rsidRDefault="00FC7065" w:rsidP="00296446">
            <w:pPr>
              <w:spacing w:after="0" w:line="240" w:lineRule="auto"/>
              <w:rPr>
                <w:rFonts w:ascii="Times New Roman" w:eastAsia="Times New Roman" w:hAnsi="Times New Roman" w:cs="Times New Roman"/>
                <w:sz w:val="20"/>
                <w:szCs w:val="20"/>
                <w:lang w:eastAsia="en-IN"/>
              </w:rPr>
            </w:pPr>
          </w:p>
        </w:tc>
      </w:tr>
      <w:tr w:rsidR="00FC7065" w:rsidRPr="00CE6FE6" w:rsidTr="00296446">
        <w:trPr>
          <w:trHeight w:val="315"/>
        </w:trPr>
        <w:tc>
          <w:tcPr>
            <w:tcW w:w="1900" w:type="dxa"/>
            <w:tcBorders>
              <w:top w:val="nil"/>
              <w:left w:val="nil"/>
              <w:bottom w:val="single" w:sz="8" w:space="0" w:color="auto"/>
              <w:right w:val="nil"/>
            </w:tcBorders>
            <w:shd w:val="clear" w:color="auto" w:fill="auto"/>
            <w:noWrap/>
            <w:vAlign w:val="bottom"/>
            <w:hideMark/>
          </w:tcPr>
          <w:p w:rsidR="00FC7065" w:rsidRPr="00CE6FE6" w:rsidRDefault="00FC7065" w:rsidP="00296446">
            <w:pPr>
              <w:spacing w:after="0" w:line="240" w:lineRule="auto"/>
              <w:rPr>
                <w:rFonts w:ascii="Calibri" w:eastAsia="Times New Roman" w:hAnsi="Calibri" w:cs="Calibri"/>
                <w:color w:val="000000"/>
                <w:lang w:eastAsia="en-IN"/>
              </w:rPr>
            </w:pPr>
            <w:r w:rsidRPr="00CE6FE6">
              <w:rPr>
                <w:rFonts w:ascii="Calibri" w:eastAsia="Times New Roman" w:hAnsi="Calibri" w:cs="Calibri"/>
                <w:color w:val="000000"/>
                <w:lang w:eastAsia="en-IN"/>
              </w:rPr>
              <w:t>Total</w:t>
            </w:r>
          </w:p>
        </w:tc>
        <w:tc>
          <w:tcPr>
            <w:tcW w:w="1387" w:type="dxa"/>
            <w:tcBorders>
              <w:top w:val="nil"/>
              <w:left w:val="nil"/>
              <w:bottom w:val="single" w:sz="8" w:space="0" w:color="auto"/>
              <w:right w:val="nil"/>
            </w:tcBorders>
            <w:shd w:val="clear" w:color="auto" w:fill="auto"/>
            <w:noWrap/>
            <w:vAlign w:val="bottom"/>
            <w:hideMark/>
          </w:tcPr>
          <w:p w:rsidR="00FC7065" w:rsidRPr="00CE6FE6" w:rsidRDefault="00FC7065" w:rsidP="00296446">
            <w:pPr>
              <w:spacing w:after="0" w:line="240" w:lineRule="auto"/>
              <w:jc w:val="right"/>
              <w:rPr>
                <w:rFonts w:ascii="Calibri" w:eastAsia="Times New Roman" w:hAnsi="Calibri" w:cs="Calibri"/>
                <w:color w:val="000000"/>
                <w:lang w:eastAsia="en-IN"/>
              </w:rPr>
            </w:pPr>
            <w:r w:rsidRPr="00CE6FE6">
              <w:rPr>
                <w:rFonts w:ascii="Calibri" w:eastAsia="Times New Roman" w:hAnsi="Calibri" w:cs="Calibri"/>
                <w:color w:val="000000"/>
                <w:lang w:eastAsia="en-IN"/>
              </w:rPr>
              <w:t>35</w:t>
            </w:r>
          </w:p>
        </w:tc>
        <w:tc>
          <w:tcPr>
            <w:tcW w:w="1540" w:type="dxa"/>
            <w:tcBorders>
              <w:top w:val="nil"/>
              <w:left w:val="nil"/>
              <w:bottom w:val="single" w:sz="8" w:space="0" w:color="auto"/>
              <w:right w:val="nil"/>
            </w:tcBorders>
            <w:shd w:val="clear" w:color="auto" w:fill="auto"/>
            <w:noWrap/>
            <w:vAlign w:val="bottom"/>
            <w:hideMark/>
          </w:tcPr>
          <w:p w:rsidR="00FC7065" w:rsidRPr="00CE6FE6" w:rsidRDefault="00FC7065" w:rsidP="00296446">
            <w:pPr>
              <w:spacing w:after="0" w:line="240" w:lineRule="auto"/>
              <w:jc w:val="right"/>
              <w:rPr>
                <w:rFonts w:ascii="Calibri" w:eastAsia="Times New Roman" w:hAnsi="Calibri" w:cs="Calibri"/>
                <w:color w:val="000000"/>
                <w:lang w:eastAsia="en-IN"/>
              </w:rPr>
            </w:pPr>
            <w:r w:rsidRPr="00CE6FE6">
              <w:rPr>
                <w:rFonts w:ascii="Calibri" w:eastAsia="Times New Roman" w:hAnsi="Calibri" w:cs="Calibri"/>
                <w:color w:val="000000"/>
                <w:lang w:eastAsia="en-IN"/>
              </w:rPr>
              <w:t>660.0713106</w:t>
            </w:r>
          </w:p>
        </w:tc>
        <w:tc>
          <w:tcPr>
            <w:tcW w:w="1387" w:type="dxa"/>
            <w:tcBorders>
              <w:top w:val="nil"/>
              <w:left w:val="nil"/>
              <w:bottom w:val="single" w:sz="8" w:space="0" w:color="auto"/>
              <w:right w:val="nil"/>
            </w:tcBorders>
            <w:shd w:val="clear" w:color="auto" w:fill="auto"/>
            <w:noWrap/>
            <w:vAlign w:val="bottom"/>
            <w:hideMark/>
          </w:tcPr>
          <w:p w:rsidR="00FC7065" w:rsidRPr="00CE6FE6" w:rsidRDefault="00FC7065" w:rsidP="00296446">
            <w:pPr>
              <w:spacing w:after="0" w:line="240" w:lineRule="auto"/>
              <w:rPr>
                <w:rFonts w:ascii="Calibri" w:eastAsia="Times New Roman" w:hAnsi="Calibri" w:cs="Calibri"/>
                <w:color w:val="000000"/>
                <w:lang w:eastAsia="en-IN"/>
              </w:rPr>
            </w:pPr>
            <w:r w:rsidRPr="00CE6FE6">
              <w:rPr>
                <w:rFonts w:ascii="Calibri" w:eastAsia="Times New Roman" w:hAnsi="Calibri" w:cs="Calibri"/>
                <w:color w:val="000000"/>
                <w:lang w:eastAsia="en-IN"/>
              </w:rPr>
              <w:t> </w:t>
            </w:r>
          </w:p>
        </w:tc>
        <w:tc>
          <w:tcPr>
            <w:tcW w:w="1387" w:type="dxa"/>
            <w:tcBorders>
              <w:top w:val="nil"/>
              <w:left w:val="nil"/>
              <w:bottom w:val="single" w:sz="8" w:space="0" w:color="auto"/>
              <w:right w:val="nil"/>
            </w:tcBorders>
            <w:shd w:val="clear" w:color="auto" w:fill="auto"/>
            <w:noWrap/>
            <w:vAlign w:val="bottom"/>
            <w:hideMark/>
          </w:tcPr>
          <w:p w:rsidR="00FC7065" w:rsidRPr="00CE6FE6" w:rsidRDefault="00FC7065" w:rsidP="00296446">
            <w:pPr>
              <w:spacing w:after="0" w:line="240" w:lineRule="auto"/>
              <w:rPr>
                <w:rFonts w:ascii="Calibri" w:eastAsia="Times New Roman" w:hAnsi="Calibri" w:cs="Calibri"/>
                <w:color w:val="000000"/>
                <w:lang w:eastAsia="en-IN"/>
              </w:rPr>
            </w:pPr>
            <w:r w:rsidRPr="00CE6FE6">
              <w:rPr>
                <w:rFonts w:ascii="Calibri" w:eastAsia="Times New Roman" w:hAnsi="Calibri" w:cs="Calibri"/>
                <w:color w:val="000000"/>
                <w:lang w:eastAsia="en-IN"/>
              </w:rPr>
              <w:t> </w:t>
            </w:r>
          </w:p>
        </w:tc>
        <w:tc>
          <w:tcPr>
            <w:tcW w:w="1420" w:type="dxa"/>
            <w:tcBorders>
              <w:top w:val="nil"/>
              <w:left w:val="nil"/>
              <w:bottom w:val="single" w:sz="8" w:space="0" w:color="auto"/>
              <w:right w:val="nil"/>
            </w:tcBorders>
            <w:shd w:val="clear" w:color="auto" w:fill="auto"/>
            <w:noWrap/>
            <w:vAlign w:val="bottom"/>
            <w:hideMark/>
          </w:tcPr>
          <w:p w:rsidR="00FC7065" w:rsidRPr="00CE6FE6" w:rsidRDefault="00FC7065" w:rsidP="00296446">
            <w:pPr>
              <w:spacing w:after="0" w:line="240" w:lineRule="auto"/>
              <w:rPr>
                <w:rFonts w:ascii="Calibri" w:eastAsia="Times New Roman" w:hAnsi="Calibri" w:cs="Calibri"/>
                <w:color w:val="000000"/>
                <w:lang w:eastAsia="en-IN"/>
              </w:rPr>
            </w:pPr>
            <w:r w:rsidRPr="00CE6FE6">
              <w:rPr>
                <w:rFonts w:ascii="Calibri" w:eastAsia="Times New Roman" w:hAnsi="Calibri" w:cs="Calibri"/>
                <w:color w:val="000000"/>
                <w:lang w:eastAsia="en-IN"/>
              </w:rPr>
              <w:t> </w:t>
            </w:r>
          </w:p>
        </w:tc>
      </w:tr>
    </w:tbl>
    <w:p w:rsidR="00FC7065" w:rsidRDefault="00FC7065" w:rsidP="00FC7065"/>
    <w:p w:rsidR="00FC7065" w:rsidRDefault="00FC7065" w:rsidP="00FC7065"/>
    <w:p w:rsidR="00FC7065" w:rsidRDefault="00FC7065" w:rsidP="00FC7065">
      <w:r w:rsidRPr="00C83FD6">
        <w:t>The hypothesis is rejected is thus rejected since th</w:t>
      </w:r>
      <w:r>
        <w:t>e value of F in this case is 0.40877 and the p-value is 0.74</w:t>
      </w:r>
      <w:r w:rsidRPr="00C83FD6">
        <w:t>, which is less than the model significance threshold of 0.10, indicating that the variables assumed in this case had an effect on the bank's profitability. In order to maintain the model's relevance, the standard error estimates are likewise within the acceptable range. In this case, the alternative hypothesis, which is</w:t>
      </w:r>
      <w:r>
        <w:t>:</w:t>
      </w:r>
    </w:p>
    <w:p w:rsidR="00FC7065" w:rsidRDefault="00FC7065" w:rsidP="00FC7065">
      <w:r w:rsidRPr="00C83FD6">
        <w:t>Hypothesis 1: A bank's profitability is significantly influenced by its equity capital, nonperforming loans (NPL), operational costs, total deposits, asset size, total interest income, and loans advances.</w:t>
      </w:r>
    </w:p>
    <w:p w:rsidR="00FC7065" w:rsidRDefault="00FE12C6" w:rsidP="00FC7065">
      <w:r w:rsidRPr="00FE12C6">
        <w:t xml:space="preserve">The condensed results show that a change in the independent variable affects the explanatory variables of ROE by 3.69%, resulting in an R square value of 0.0369. The relationship between a firm's ROA and overall non-interest revenue is weak. NPL has a positive impact on a company's financial performance. The bank's return on equity (ROE), which is the most commonly used predictor of business viability, has a direct and evident relationship with private equity, NPL, total deposits, asset size, and non-interest income, accounting for 77.3%, according to a cross-sectional study by Ben </w:t>
      </w:r>
      <w:proofErr w:type="spellStart"/>
      <w:r w:rsidRPr="00FE12C6">
        <w:t>Naceur</w:t>
      </w:r>
      <w:proofErr w:type="spellEnd"/>
      <w:r w:rsidRPr="00FE12C6">
        <w:t xml:space="preserve"> and </w:t>
      </w:r>
      <w:proofErr w:type="spellStart"/>
      <w:r w:rsidRPr="00FE12C6">
        <w:t>Goaied</w:t>
      </w:r>
      <w:proofErr w:type="spellEnd"/>
      <w:r w:rsidRPr="00FE12C6">
        <w:t xml:space="preserve"> (2014). Bhatia et al.'s (2012) study on the major EU banks, which </w:t>
      </w:r>
      <w:proofErr w:type="spellStart"/>
      <w:r w:rsidRPr="00FE12C6">
        <w:t>analyzed</w:t>
      </w:r>
      <w:proofErr w:type="spellEnd"/>
      <w:r w:rsidRPr="00FE12C6">
        <w:t xml:space="preserve"> data from the previous five years of 15 selected banks, indicated an R square value of 72.36% for ROE as the dependent variable and equity capital, operating expenses, asset size, and total interest and non-interest income as the independent variables. Owner expenses negatively affect a company's ROA, while equity capital has a positive effect on profitability</w:t>
      </w:r>
      <w:r>
        <w:t>.</w:t>
      </w:r>
    </w:p>
    <w:tbl>
      <w:tblPr>
        <w:tblW w:w="928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43"/>
        <w:gridCol w:w="1353"/>
        <w:gridCol w:w="1534"/>
        <w:gridCol w:w="1533"/>
        <w:gridCol w:w="1686"/>
        <w:gridCol w:w="1170"/>
        <w:gridCol w:w="1170"/>
      </w:tblGrid>
      <w:tr w:rsidR="00FC7065" w:rsidRPr="00707046" w:rsidTr="00296446">
        <w:trPr>
          <w:cantSplit/>
          <w:trHeight w:val="936"/>
          <w:tblHeader/>
          <w:jc w:val="center"/>
        </w:trPr>
        <w:tc>
          <w:tcPr>
            <w:tcW w:w="2196"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FC7065" w:rsidRPr="00707046" w:rsidRDefault="00FC7065" w:rsidP="00296446">
            <w:pPr>
              <w:autoSpaceDE w:val="0"/>
              <w:autoSpaceDN w:val="0"/>
              <w:adjustRightInd w:val="0"/>
              <w:spacing w:after="0" w:line="320" w:lineRule="atLeast"/>
              <w:rPr>
                <w:rFonts w:ascii="Arial" w:hAnsi="Arial" w:cs="Arial"/>
                <w:color w:val="000000"/>
                <w:sz w:val="18"/>
                <w:szCs w:val="18"/>
                <w:lang w:val="en-US"/>
              </w:rPr>
            </w:pPr>
            <w:r w:rsidRPr="00707046">
              <w:rPr>
                <w:rFonts w:ascii="Arial" w:hAnsi="Arial" w:cs="Arial"/>
                <w:color w:val="000000"/>
                <w:sz w:val="18"/>
                <w:szCs w:val="18"/>
                <w:lang w:val="en-US"/>
              </w:rPr>
              <w:lastRenderedPageBreak/>
              <w:t>Model</w:t>
            </w:r>
          </w:p>
        </w:tc>
        <w:tc>
          <w:tcPr>
            <w:tcW w:w="3067"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FC7065" w:rsidRPr="00707046" w:rsidRDefault="00FC7065" w:rsidP="00296446">
            <w:pPr>
              <w:autoSpaceDE w:val="0"/>
              <w:autoSpaceDN w:val="0"/>
              <w:adjustRightInd w:val="0"/>
              <w:spacing w:after="0" w:line="320" w:lineRule="atLeast"/>
              <w:jc w:val="center"/>
              <w:rPr>
                <w:rFonts w:ascii="Arial" w:hAnsi="Arial" w:cs="Arial"/>
                <w:color w:val="000000"/>
                <w:sz w:val="18"/>
                <w:szCs w:val="18"/>
                <w:lang w:val="en-US"/>
              </w:rPr>
            </w:pPr>
            <w:r w:rsidRPr="00707046">
              <w:rPr>
                <w:rFonts w:ascii="Arial" w:hAnsi="Arial" w:cs="Arial"/>
                <w:color w:val="000000"/>
                <w:sz w:val="18"/>
                <w:szCs w:val="18"/>
                <w:lang w:val="en-US"/>
              </w:rPr>
              <w:t>Unstandardized Coefficients</w:t>
            </w:r>
          </w:p>
        </w:tc>
        <w:tc>
          <w:tcPr>
            <w:tcW w:w="1686" w:type="dxa"/>
            <w:tcBorders>
              <w:top w:val="single" w:sz="16" w:space="0" w:color="000000"/>
            </w:tcBorders>
            <w:shd w:val="clear" w:color="auto" w:fill="FFFFFF"/>
            <w:tcMar>
              <w:top w:w="30" w:type="dxa"/>
              <w:left w:w="30" w:type="dxa"/>
              <w:bottom w:w="30" w:type="dxa"/>
              <w:right w:w="30" w:type="dxa"/>
            </w:tcMar>
            <w:vAlign w:val="bottom"/>
          </w:tcPr>
          <w:p w:rsidR="00FC7065" w:rsidRPr="00707046" w:rsidRDefault="00FC7065" w:rsidP="00296446">
            <w:pPr>
              <w:autoSpaceDE w:val="0"/>
              <w:autoSpaceDN w:val="0"/>
              <w:adjustRightInd w:val="0"/>
              <w:spacing w:after="0" w:line="320" w:lineRule="atLeast"/>
              <w:jc w:val="center"/>
              <w:rPr>
                <w:rFonts w:ascii="Arial" w:hAnsi="Arial" w:cs="Arial"/>
                <w:color w:val="000000"/>
                <w:sz w:val="18"/>
                <w:szCs w:val="18"/>
                <w:lang w:val="en-US"/>
              </w:rPr>
            </w:pPr>
            <w:r w:rsidRPr="00707046">
              <w:rPr>
                <w:rFonts w:ascii="Arial" w:hAnsi="Arial" w:cs="Arial"/>
                <w:color w:val="000000"/>
                <w:sz w:val="18"/>
                <w:szCs w:val="18"/>
                <w:lang w:val="en-US"/>
              </w:rPr>
              <w:t>Standardized Coefficients</w:t>
            </w:r>
          </w:p>
        </w:tc>
        <w:tc>
          <w:tcPr>
            <w:tcW w:w="1170"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FC7065" w:rsidRPr="00707046" w:rsidRDefault="005264F4" w:rsidP="00296446">
            <w:pPr>
              <w:autoSpaceDE w:val="0"/>
              <w:autoSpaceDN w:val="0"/>
              <w:adjustRightInd w:val="0"/>
              <w:spacing w:after="0" w:line="320" w:lineRule="atLeast"/>
              <w:jc w:val="center"/>
              <w:rPr>
                <w:rFonts w:ascii="Arial" w:hAnsi="Arial" w:cs="Arial"/>
                <w:color w:val="000000"/>
                <w:sz w:val="18"/>
                <w:szCs w:val="18"/>
                <w:lang w:val="en-US"/>
              </w:rPr>
            </w:pPr>
            <w:r w:rsidRPr="00707046">
              <w:rPr>
                <w:rFonts w:ascii="Arial" w:hAnsi="Arial" w:cs="Arial"/>
                <w:color w:val="000000"/>
                <w:sz w:val="18"/>
                <w:szCs w:val="18"/>
                <w:lang w:val="en-US"/>
              </w:rPr>
              <w:t>T</w:t>
            </w:r>
          </w:p>
        </w:tc>
        <w:tc>
          <w:tcPr>
            <w:tcW w:w="1170" w:type="dxa"/>
            <w:vMerge w:val="restar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FC7065" w:rsidRPr="00707046" w:rsidRDefault="00FC7065" w:rsidP="00296446">
            <w:pPr>
              <w:autoSpaceDE w:val="0"/>
              <w:autoSpaceDN w:val="0"/>
              <w:adjustRightInd w:val="0"/>
              <w:spacing w:after="0" w:line="320" w:lineRule="atLeast"/>
              <w:jc w:val="center"/>
              <w:rPr>
                <w:rFonts w:ascii="Arial" w:hAnsi="Arial" w:cs="Arial"/>
                <w:color w:val="000000"/>
                <w:sz w:val="18"/>
                <w:szCs w:val="18"/>
                <w:lang w:val="en-US"/>
              </w:rPr>
            </w:pPr>
            <w:r w:rsidRPr="00707046">
              <w:rPr>
                <w:rFonts w:ascii="Arial" w:hAnsi="Arial" w:cs="Arial"/>
                <w:color w:val="000000"/>
                <w:sz w:val="18"/>
                <w:szCs w:val="18"/>
                <w:lang w:val="en-US"/>
              </w:rPr>
              <w:t>Sig.</w:t>
            </w:r>
          </w:p>
        </w:tc>
      </w:tr>
      <w:tr w:rsidR="00FC7065" w:rsidRPr="00707046" w:rsidTr="00296446">
        <w:trPr>
          <w:cantSplit/>
          <w:trHeight w:val="530"/>
          <w:tblHeader/>
          <w:jc w:val="center"/>
        </w:trPr>
        <w:tc>
          <w:tcPr>
            <w:tcW w:w="2196"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FC7065" w:rsidRPr="00707046" w:rsidRDefault="00FC7065" w:rsidP="00296446">
            <w:pPr>
              <w:autoSpaceDE w:val="0"/>
              <w:autoSpaceDN w:val="0"/>
              <w:adjustRightInd w:val="0"/>
              <w:spacing w:after="0" w:line="240" w:lineRule="auto"/>
              <w:rPr>
                <w:rFonts w:ascii="Arial" w:hAnsi="Arial" w:cs="Arial"/>
                <w:color w:val="000000"/>
                <w:sz w:val="18"/>
                <w:szCs w:val="18"/>
                <w:lang w:val="en-US"/>
              </w:rPr>
            </w:pPr>
          </w:p>
        </w:tc>
        <w:tc>
          <w:tcPr>
            <w:tcW w:w="1534"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FC7065" w:rsidRPr="00707046" w:rsidRDefault="00FC7065" w:rsidP="00296446">
            <w:pPr>
              <w:autoSpaceDE w:val="0"/>
              <w:autoSpaceDN w:val="0"/>
              <w:adjustRightInd w:val="0"/>
              <w:spacing w:after="0" w:line="320" w:lineRule="atLeast"/>
              <w:jc w:val="center"/>
              <w:rPr>
                <w:rFonts w:ascii="Arial" w:hAnsi="Arial" w:cs="Arial"/>
                <w:color w:val="000000"/>
                <w:sz w:val="18"/>
                <w:szCs w:val="18"/>
                <w:lang w:val="en-US"/>
              </w:rPr>
            </w:pPr>
            <w:r w:rsidRPr="00707046">
              <w:rPr>
                <w:rFonts w:ascii="Arial" w:hAnsi="Arial" w:cs="Arial"/>
                <w:color w:val="000000"/>
                <w:sz w:val="18"/>
                <w:szCs w:val="18"/>
                <w:lang w:val="en-US"/>
              </w:rPr>
              <w:t>B</w:t>
            </w:r>
          </w:p>
        </w:tc>
        <w:tc>
          <w:tcPr>
            <w:tcW w:w="1533" w:type="dxa"/>
            <w:tcBorders>
              <w:bottom w:val="single" w:sz="16" w:space="0" w:color="000000"/>
            </w:tcBorders>
            <w:shd w:val="clear" w:color="auto" w:fill="FFFFFF"/>
            <w:tcMar>
              <w:top w:w="30" w:type="dxa"/>
              <w:left w:w="30" w:type="dxa"/>
              <w:bottom w:w="30" w:type="dxa"/>
              <w:right w:w="30" w:type="dxa"/>
            </w:tcMar>
            <w:vAlign w:val="bottom"/>
          </w:tcPr>
          <w:p w:rsidR="00FC7065" w:rsidRPr="00707046" w:rsidRDefault="00FC7065" w:rsidP="00296446">
            <w:pPr>
              <w:autoSpaceDE w:val="0"/>
              <w:autoSpaceDN w:val="0"/>
              <w:adjustRightInd w:val="0"/>
              <w:spacing w:after="0" w:line="320" w:lineRule="atLeast"/>
              <w:jc w:val="center"/>
              <w:rPr>
                <w:rFonts w:ascii="Arial" w:hAnsi="Arial" w:cs="Arial"/>
                <w:color w:val="000000"/>
                <w:sz w:val="18"/>
                <w:szCs w:val="18"/>
                <w:lang w:val="en-US"/>
              </w:rPr>
            </w:pPr>
            <w:r w:rsidRPr="00707046">
              <w:rPr>
                <w:rFonts w:ascii="Arial" w:hAnsi="Arial" w:cs="Arial"/>
                <w:color w:val="000000"/>
                <w:sz w:val="18"/>
                <w:szCs w:val="18"/>
                <w:lang w:val="en-US"/>
              </w:rPr>
              <w:t>Std. Error</w:t>
            </w:r>
          </w:p>
        </w:tc>
        <w:tc>
          <w:tcPr>
            <w:tcW w:w="1686" w:type="dxa"/>
            <w:tcBorders>
              <w:bottom w:val="single" w:sz="16" w:space="0" w:color="000000"/>
            </w:tcBorders>
            <w:shd w:val="clear" w:color="auto" w:fill="FFFFFF"/>
            <w:tcMar>
              <w:top w:w="30" w:type="dxa"/>
              <w:left w:w="30" w:type="dxa"/>
              <w:bottom w:w="30" w:type="dxa"/>
              <w:right w:w="30" w:type="dxa"/>
            </w:tcMar>
            <w:vAlign w:val="bottom"/>
          </w:tcPr>
          <w:p w:rsidR="00FC7065" w:rsidRPr="00707046" w:rsidRDefault="00FC7065" w:rsidP="00296446">
            <w:pPr>
              <w:autoSpaceDE w:val="0"/>
              <w:autoSpaceDN w:val="0"/>
              <w:adjustRightInd w:val="0"/>
              <w:spacing w:after="0" w:line="320" w:lineRule="atLeast"/>
              <w:jc w:val="center"/>
              <w:rPr>
                <w:rFonts w:ascii="Arial" w:hAnsi="Arial" w:cs="Arial"/>
                <w:color w:val="000000"/>
                <w:sz w:val="18"/>
                <w:szCs w:val="18"/>
                <w:lang w:val="en-US"/>
              </w:rPr>
            </w:pPr>
            <w:r w:rsidRPr="00707046">
              <w:rPr>
                <w:rFonts w:ascii="Arial" w:hAnsi="Arial" w:cs="Arial"/>
                <w:color w:val="000000"/>
                <w:sz w:val="18"/>
                <w:szCs w:val="18"/>
                <w:lang w:val="en-US"/>
              </w:rPr>
              <w:t>Beta</w:t>
            </w:r>
          </w:p>
        </w:tc>
        <w:tc>
          <w:tcPr>
            <w:tcW w:w="1170"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FC7065" w:rsidRPr="00707046" w:rsidRDefault="00FC7065" w:rsidP="00296446">
            <w:pPr>
              <w:autoSpaceDE w:val="0"/>
              <w:autoSpaceDN w:val="0"/>
              <w:adjustRightInd w:val="0"/>
              <w:spacing w:after="0" w:line="240" w:lineRule="auto"/>
              <w:rPr>
                <w:rFonts w:ascii="Arial" w:hAnsi="Arial" w:cs="Arial"/>
                <w:color w:val="000000"/>
                <w:sz w:val="18"/>
                <w:szCs w:val="18"/>
                <w:lang w:val="en-US"/>
              </w:rPr>
            </w:pPr>
          </w:p>
        </w:tc>
        <w:tc>
          <w:tcPr>
            <w:tcW w:w="1170" w:type="dxa"/>
            <w:vMerge/>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FC7065" w:rsidRPr="00707046" w:rsidRDefault="00FC7065" w:rsidP="00296446">
            <w:pPr>
              <w:autoSpaceDE w:val="0"/>
              <w:autoSpaceDN w:val="0"/>
              <w:adjustRightInd w:val="0"/>
              <w:spacing w:after="0" w:line="240" w:lineRule="auto"/>
              <w:rPr>
                <w:rFonts w:ascii="Arial" w:hAnsi="Arial" w:cs="Arial"/>
                <w:color w:val="000000"/>
                <w:sz w:val="18"/>
                <w:szCs w:val="18"/>
                <w:lang w:val="en-US"/>
              </w:rPr>
            </w:pPr>
          </w:p>
        </w:tc>
      </w:tr>
      <w:tr w:rsidR="00FC7065" w:rsidRPr="00707046" w:rsidTr="00296446">
        <w:trPr>
          <w:cantSplit/>
          <w:trHeight w:val="480"/>
          <w:tblHeader/>
          <w:jc w:val="center"/>
        </w:trPr>
        <w:tc>
          <w:tcPr>
            <w:tcW w:w="843"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320" w:lineRule="atLeast"/>
              <w:rPr>
                <w:rFonts w:ascii="Arial" w:hAnsi="Arial" w:cs="Arial"/>
                <w:color w:val="000000"/>
                <w:sz w:val="18"/>
                <w:szCs w:val="18"/>
                <w:lang w:val="en-US"/>
              </w:rPr>
            </w:pPr>
            <w:r w:rsidRPr="00707046">
              <w:rPr>
                <w:rFonts w:ascii="Arial" w:hAnsi="Arial" w:cs="Arial"/>
                <w:color w:val="000000"/>
                <w:sz w:val="18"/>
                <w:szCs w:val="18"/>
                <w:lang w:val="en-US"/>
              </w:rPr>
              <w:t>1</w:t>
            </w:r>
          </w:p>
        </w:tc>
        <w:tc>
          <w:tcPr>
            <w:tcW w:w="1353"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320" w:lineRule="atLeast"/>
              <w:rPr>
                <w:rFonts w:ascii="Arial" w:hAnsi="Arial" w:cs="Arial"/>
                <w:color w:val="000000"/>
                <w:sz w:val="18"/>
                <w:szCs w:val="18"/>
                <w:lang w:val="en-US"/>
              </w:rPr>
            </w:pPr>
            <w:r w:rsidRPr="00707046">
              <w:rPr>
                <w:rFonts w:ascii="Arial" w:hAnsi="Arial" w:cs="Arial"/>
                <w:color w:val="000000"/>
                <w:sz w:val="18"/>
                <w:szCs w:val="18"/>
                <w:lang w:val="en-US"/>
              </w:rPr>
              <w:t>(Constant)</w:t>
            </w:r>
          </w:p>
        </w:tc>
        <w:tc>
          <w:tcPr>
            <w:tcW w:w="1534"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0.365</w:t>
            </w:r>
          </w:p>
        </w:tc>
        <w:tc>
          <w:tcPr>
            <w:tcW w:w="1533" w:type="dxa"/>
            <w:tcBorders>
              <w:top w:val="single" w:sz="16" w:space="0" w:color="000000"/>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0.410</w:t>
            </w:r>
          </w:p>
        </w:tc>
        <w:tc>
          <w:tcPr>
            <w:tcW w:w="1686" w:type="dxa"/>
            <w:tcBorders>
              <w:top w:val="single" w:sz="16" w:space="0" w:color="000000"/>
              <w:bottom w:val="nil"/>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240" w:lineRule="auto"/>
              <w:rPr>
                <w:rFonts w:cs="Times New Roman"/>
                <w:szCs w:val="24"/>
                <w:lang w:val="en-US"/>
              </w:rPr>
            </w:pPr>
          </w:p>
        </w:tc>
        <w:tc>
          <w:tcPr>
            <w:tcW w:w="1170" w:type="dxa"/>
            <w:tcBorders>
              <w:top w:val="single" w:sz="16" w:space="0" w:color="000000"/>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0.892</w:t>
            </w:r>
          </w:p>
        </w:tc>
        <w:tc>
          <w:tcPr>
            <w:tcW w:w="1170"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0.52</w:t>
            </w:r>
          </w:p>
        </w:tc>
      </w:tr>
      <w:tr w:rsidR="00FC7065" w:rsidRPr="00707046" w:rsidTr="00296446">
        <w:trPr>
          <w:cantSplit/>
          <w:trHeight w:val="582"/>
          <w:tblHeader/>
          <w:jc w:val="center"/>
        </w:trPr>
        <w:tc>
          <w:tcPr>
            <w:tcW w:w="84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240" w:lineRule="auto"/>
              <w:rPr>
                <w:rFonts w:ascii="Arial" w:hAnsi="Arial" w:cs="Arial"/>
                <w:color w:val="000000"/>
                <w:sz w:val="18"/>
                <w:szCs w:val="18"/>
                <w:lang w:val="en-US"/>
              </w:rPr>
            </w:pPr>
          </w:p>
        </w:tc>
        <w:tc>
          <w:tcPr>
            <w:tcW w:w="1353" w:type="dxa"/>
            <w:tcBorders>
              <w:top w:val="nil"/>
              <w:left w:val="nil"/>
              <w:bottom w:val="nil"/>
              <w:right w:val="single" w:sz="16" w:space="0" w:color="000000"/>
            </w:tcBorders>
            <w:shd w:val="clear" w:color="auto" w:fill="FFFFFF"/>
            <w:tcMar>
              <w:top w:w="30" w:type="dxa"/>
              <w:left w:w="30" w:type="dxa"/>
              <w:bottom w:w="30" w:type="dxa"/>
              <w:right w:w="30" w:type="dxa"/>
            </w:tcMar>
          </w:tcPr>
          <w:p w:rsidR="00FC7065" w:rsidRDefault="00FC7065" w:rsidP="00296446">
            <w:pPr>
              <w:autoSpaceDE w:val="0"/>
              <w:autoSpaceDN w:val="0"/>
              <w:adjustRightInd w:val="0"/>
              <w:spacing w:after="0" w:line="320" w:lineRule="atLeast"/>
              <w:rPr>
                <w:rFonts w:ascii="Arial" w:hAnsi="Arial" w:cs="Arial"/>
                <w:color w:val="000000"/>
                <w:sz w:val="18"/>
                <w:szCs w:val="18"/>
                <w:lang w:val="en-US"/>
              </w:rPr>
            </w:pPr>
            <w:r>
              <w:rPr>
                <w:rFonts w:ascii="Arial" w:hAnsi="Arial" w:cs="Arial"/>
                <w:color w:val="000000"/>
                <w:sz w:val="18"/>
                <w:szCs w:val="18"/>
                <w:lang w:val="en-US"/>
              </w:rPr>
              <w:t>Total Interest</w:t>
            </w:r>
          </w:p>
          <w:p w:rsidR="00FC7065" w:rsidRPr="00707046" w:rsidRDefault="00FC7065" w:rsidP="00296446">
            <w:pPr>
              <w:autoSpaceDE w:val="0"/>
              <w:autoSpaceDN w:val="0"/>
              <w:adjustRightInd w:val="0"/>
              <w:spacing w:after="0" w:line="320" w:lineRule="atLeast"/>
              <w:rPr>
                <w:rFonts w:ascii="Arial" w:hAnsi="Arial" w:cs="Arial"/>
                <w:color w:val="000000"/>
                <w:sz w:val="18"/>
                <w:szCs w:val="18"/>
                <w:lang w:val="en-US"/>
              </w:rPr>
            </w:pPr>
            <w:r>
              <w:rPr>
                <w:rFonts w:ascii="Arial" w:hAnsi="Arial" w:cs="Arial"/>
                <w:color w:val="000000"/>
                <w:sz w:val="18"/>
                <w:szCs w:val="18"/>
                <w:lang w:val="en-US"/>
              </w:rPr>
              <w:t>Income</w:t>
            </w:r>
          </w:p>
        </w:tc>
        <w:tc>
          <w:tcPr>
            <w:tcW w:w="1534" w:type="dxa"/>
            <w:tcBorders>
              <w:top w:val="nil"/>
              <w:left w:val="single" w:sz="16" w:space="0" w:color="000000"/>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0.208</w:t>
            </w:r>
          </w:p>
        </w:tc>
        <w:tc>
          <w:tcPr>
            <w:tcW w:w="1533"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0.254</w:t>
            </w:r>
          </w:p>
        </w:tc>
        <w:tc>
          <w:tcPr>
            <w:tcW w:w="1686"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0.184</w:t>
            </w:r>
          </w:p>
        </w:tc>
        <w:tc>
          <w:tcPr>
            <w:tcW w:w="1170"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0.745</w:t>
            </w:r>
          </w:p>
        </w:tc>
        <w:tc>
          <w:tcPr>
            <w:tcW w:w="1170" w:type="dxa"/>
            <w:tcBorders>
              <w:top w:val="nil"/>
              <w:bottom w:val="nil"/>
              <w:right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0.52</w:t>
            </w:r>
          </w:p>
        </w:tc>
      </w:tr>
      <w:tr w:rsidR="00FC7065" w:rsidRPr="00707046" w:rsidTr="00296446">
        <w:trPr>
          <w:cantSplit/>
          <w:trHeight w:val="582"/>
          <w:tblHeader/>
          <w:jc w:val="center"/>
        </w:trPr>
        <w:tc>
          <w:tcPr>
            <w:tcW w:w="84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240" w:lineRule="auto"/>
              <w:rPr>
                <w:rFonts w:ascii="Arial" w:hAnsi="Arial" w:cs="Arial"/>
                <w:color w:val="000000"/>
                <w:sz w:val="18"/>
                <w:szCs w:val="18"/>
                <w:lang w:val="en-US"/>
              </w:rPr>
            </w:pPr>
          </w:p>
        </w:tc>
        <w:tc>
          <w:tcPr>
            <w:tcW w:w="1353" w:type="dxa"/>
            <w:tcBorders>
              <w:top w:val="nil"/>
              <w:left w:val="nil"/>
              <w:bottom w:val="nil"/>
              <w:right w:val="single" w:sz="16" w:space="0" w:color="000000"/>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320" w:lineRule="atLeast"/>
              <w:rPr>
                <w:rFonts w:ascii="Arial" w:hAnsi="Arial" w:cs="Arial"/>
                <w:color w:val="000000"/>
                <w:sz w:val="18"/>
                <w:szCs w:val="18"/>
                <w:lang w:val="en-US"/>
              </w:rPr>
            </w:pPr>
            <w:r>
              <w:rPr>
                <w:rFonts w:ascii="Arial" w:hAnsi="Arial" w:cs="Arial"/>
                <w:color w:val="000000"/>
                <w:sz w:val="18"/>
                <w:szCs w:val="18"/>
                <w:lang w:val="en-US"/>
              </w:rPr>
              <w:t>Non Profit loans</w:t>
            </w:r>
          </w:p>
        </w:tc>
        <w:tc>
          <w:tcPr>
            <w:tcW w:w="1534" w:type="dxa"/>
            <w:tcBorders>
              <w:top w:val="nil"/>
              <w:left w:val="single" w:sz="16" w:space="0" w:color="000000"/>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sidRPr="00707046">
              <w:rPr>
                <w:rFonts w:ascii="Arial" w:hAnsi="Arial" w:cs="Arial"/>
                <w:color w:val="000000"/>
                <w:sz w:val="18"/>
                <w:szCs w:val="18"/>
                <w:lang w:val="en-US"/>
              </w:rPr>
              <w:t>-</w:t>
            </w:r>
            <w:r>
              <w:rPr>
                <w:rFonts w:ascii="Arial" w:hAnsi="Arial" w:cs="Arial"/>
                <w:color w:val="000000"/>
                <w:sz w:val="18"/>
                <w:szCs w:val="18"/>
                <w:lang w:val="en-US"/>
              </w:rPr>
              <w:t>0.327</w:t>
            </w:r>
          </w:p>
        </w:tc>
        <w:tc>
          <w:tcPr>
            <w:tcW w:w="1533"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0.196</w:t>
            </w:r>
          </w:p>
        </w:tc>
        <w:tc>
          <w:tcPr>
            <w:tcW w:w="1686"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sidRPr="00707046">
              <w:rPr>
                <w:rFonts w:ascii="Arial" w:hAnsi="Arial" w:cs="Arial"/>
                <w:color w:val="000000"/>
                <w:sz w:val="18"/>
                <w:szCs w:val="18"/>
                <w:lang w:val="en-US"/>
              </w:rPr>
              <w:t>-</w:t>
            </w:r>
            <w:r>
              <w:rPr>
                <w:rFonts w:ascii="Arial" w:hAnsi="Arial" w:cs="Arial"/>
                <w:color w:val="000000"/>
                <w:sz w:val="18"/>
                <w:szCs w:val="18"/>
                <w:lang w:val="en-US"/>
              </w:rPr>
              <w:t>0.253</w:t>
            </w:r>
          </w:p>
        </w:tc>
        <w:tc>
          <w:tcPr>
            <w:tcW w:w="1170"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-1.298</w:t>
            </w:r>
          </w:p>
        </w:tc>
        <w:tc>
          <w:tcPr>
            <w:tcW w:w="1170" w:type="dxa"/>
            <w:tcBorders>
              <w:top w:val="nil"/>
              <w:bottom w:val="nil"/>
              <w:right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0.013</w:t>
            </w:r>
          </w:p>
        </w:tc>
      </w:tr>
      <w:tr w:rsidR="00FC7065" w:rsidRPr="00707046" w:rsidTr="00296446">
        <w:trPr>
          <w:cantSplit/>
          <w:trHeight w:val="582"/>
          <w:tblHeader/>
          <w:jc w:val="center"/>
        </w:trPr>
        <w:tc>
          <w:tcPr>
            <w:tcW w:w="84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240" w:lineRule="auto"/>
              <w:rPr>
                <w:rFonts w:ascii="Arial" w:hAnsi="Arial" w:cs="Arial"/>
                <w:color w:val="000000"/>
                <w:sz w:val="18"/>
                <w:szCs w:val="18"/>
                <w:lang w:val="en-US"/>
              </w:rPr>
            </w:pPr>
          </w:p>
        </w:tc>
        <w:tc>
          <w:tcPr>
            <w:tcW w:w="1353" w:type="dxa"/>
            <w:tcBorders>
              <w:top w:val="nil"/>
              <w:left w:val="nil"/>
              <w:bottom w:val="nil"/>
              <w:right w:val="single" w:sz="16" w:space="0" w:color="000000"/>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320" w:lineRule="atLeast"/>
              <w:rPr>
                <w:rFonts w:ascii="Arial" w:hAnsi="Arial" w:cs="Arial"/>
                <w:color w:val="000000"/>
                <w:sz w:val="18"/>
                <w:szCs w:val="18"/>
                <w:lang w:val="en-US"/>
              </w:rPr>
            </w:pPr>
            <w:r>
              <w:rPr>
                <w:rFonts w:ascii="Arial" w:hAnsi="Arial" w:cs="Arial"/>
                <w:color w:val="000000"/>
                <w:sz w:val="18"/>
                <w:szCs w:val="18"/>
                <w:lang w:val="en-US"/>
              </w:rPr>
              <w:t>Operating Expenditure</w:t>
            </w:r>
          </w:p>
        </w:tc>
        <w:tc>
          <w:tcPr>
            <w:tcW w:w="1534" w:type="dxa"/>
            <w:tcBorders>
              <w:top w:val="nil"/>
              <w:left w:val="single" w:sz="16" w:space="0" w:color="000000"/>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sidRPr="00707046">
              <w:rPr>
                <w:rFonts w:ascii="Arial" w:hAnsi="Arial" w:cs="Arial"/>
                <w:color w:val="000000"/>
                <w:sz w:val="18"/>
                <w:szCs w:val="18"/>
                <w:lang w:val="en-US"/>
              </w:rPr>
              <w:t>-</w:t>
            </w:r>
            <w:r>
              <w:rPr>
                <w:rFonts w:ascii="Arial" w:hAnsi="Arial" w:cs="Arial"/>
                <w:color w:val="000000"/>
                <w:sz w:val="18"/>
                <w:szCs w:val="18"/>
                <w:lang w:val="en-US"/>
              </w:rPr>
              <w:t>0.342</w:t>
            </w:r>
          </w:p>
        </w:tc>
        <w:tc>
          <w:tcPr>
            <w:tcW w:w="1533"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0.267</w:t>
            </w:r>
          </w:p>
        </w:tc>
        <w:tc>
          <w:tcPr>
            <w:tcW w:w="1686"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sidRPr="00707046">
              <w:rPr>
                <w:rFonts w:ascii="Arial" w:hAnsi="Arial" w:cs="Arial"/>
                <w:color w:val="000000"/>
                <w:sz w:val="18"/>
                <w:szCs w:val="18"/>
                <w:lang w:val="en-US"/>
              </w:rPr>
              <w:t>-</w:t>
            </w:r>
            <w:r>
              <w:rPr>
                <w:rFonts w:ascii="Arial" w:hAnsi="Arial" w:cs="Arial"/>
                <w:color w:val="000000"/>
                <w:sz w:val="18"/>
                <w:szCs w:val="18"/>
                <w:lang w:val="en-US"/>
              </w:rPr>
              <w:t>0.372</w:t>
            </w:r>
          </w:p>
        </w:tc>
        <w:tc>
          <w:tcPr>
            <w:tcW w:w="1170"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sidRPr="00707046">
              <w:rPr>
                <w:rFonts w:ascii="Arial" w:hAnsi="Arial" w:cs="Arial"/>
                <w:color w:val="000000"/>
                <w:sz w:val="18"/>
                <w:szCs w:val="18"/>
                <w:lang w:val="en-US"/>
              </w:rPr>
              <w:t>-</w:t>
            </w:r>
            <w:r>
              <w:rPr>
                <w:rFonts w:ascii="Arial" w:hAnsi="Arial" w:cs="Arial"/>
                <w:color w:val="000000"/>
                <w:sz w:val="18"/>
                <w:szCs w:val="18"/>
                <w:lang w:val="en-US"/>
              </w:rPr>
              <w:t>1.328</w:t>
            </w:r>
          </w:p>
        </w:tc>
        <w:tc>
          <w:tcPr>
            <w:tcW w:w="1170" w:type="dxa"/>
            <w:tcBorders>
              <w:top w:val="nil"/>
              <w:bottom w:val="nil"/>
              <w:right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0.38</w:t>
            </w:r>
          </w:p>
        </w:tc>
      </w:tr>
      <w:tr w:rsidR="00FC7065" w:rsidRPr="00707046" w:rsidTr="00296446">
        <w:trPr>
          <w:cantSplit/>
          <w:trHeight w:val="582"/>
          <w:tblHeader/>
          <w:jc w:val="center"/>
        </w:trPr>
        <w:tc>
          <w:tcPr>
            <w:tcW w:w="84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240" w:lineRule="auto"/>
              <w:rPr>
                <w:rFonts w:ascii="Arial" w:hAnsi="Arial" w:cs="Arial"/>
                <w:color w:val="000000"/>
                <w:sz w:val="18"/>
                <w:szCs w:val="18"/>
                <w:lang w:val="en-US"/>
              </w:rPr>
            </w:pPr>
          </w:p>
        </w:tc>
        <w:tc>
          <w:tcPr>
            <w:tcW w:w="1353" w:type="dxa"/>
            <w:tcBorders>
              <w:top w:val="nil"/>
              <w:left w:val="nil"/>
              <w:bottom w:val="nil"/>
              <w:right w:val="single" w:sz="16" w:space="0" w:color="000000"/>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320" w:lineRule="atLeast"/>
              <w:rPr>
                <w:rFonts w:ascii="Arial" w:hAnsi="Arial" w:cs="Arial"/>
                <w:color w:val="000000"/>
                <w:sz w:val="18"/>
                <w:szCs w:val="18"/>
                <w:lang w:val="en-US"/>
              </w:rPr>
            </w:pPr>
            <w:r>
              <w:rPr>
                <w:rFonts w:ascii="Arial" w:hAnsi="Arial" w:cs="Arial"/>
                <w:color w:val="000000"/>
                <w:sz w:val="18"/>
                <w:szCs w:val="18"/>
                <w:lang w:val="en-US"/>
              </w:rPr>
              <w:t>Equity Capital</w:t>
            </w:r>
          </w:p>
        </w:tc>
        <w:tc>
          <w:tcPr>
            <w:tcW w:w="1534" w:type="dxa"/>
            <w:tcBorders>
              <w:top w:val="nil"/>
              <w:left w:val="single" w:sz="16" w:space="0" w:color="000000"/>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0.104</w:t>
            </w:r>
          </w:p>
        </w:tc>
        <w:tc>
          <w:tcPr>
            <w:tcW w:w="1533"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0.308</w:t>
            </w:r>
          </w:p>
        </w:tc>
        <w:tc>
          <w:tcPr>
            <w:tcW w:w="1686"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0.114</w:t>
            </w:r>
          </w:p>
        </w:tc>
        <w:tc>
          <w:tcPr>
            <w:tcW w:w="1170"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0.275</w:t>
            </w:r>
          </w:p>
        </w:tc>
        <w:tc>
          <w:tcPr>
            <w:tcW w:w="1170" w:type="dxa"/>
            <w:tcBorders>
              <w:top w:val="nil"/>
              <w:bottom w:val="nil"/>
              <w:right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0.121</w:t>
            </w:r>
          </w:p>
        </w:tc>
      </w:tr>
      <w:tr w:rsidR="00FC7065" w:rsidRPr="00707046" w:rsidTr="00296446">
        <w:trPr>
          <w:cantSplit/>
          <w:trHeight w:val="582"/>
          <w:tblHeader/>
          <w:jc w:val="center"/>
        </w:trPr>
        <w:tc>
          <w:tcPr>
            <w:tcW w:w="84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240" w:lineRule="auto"/>
              <w:rPr>
                <w:rFonts w:ascii="Arial" w:hAnsi="Arial" w:cs="Arial"/>
                <w:color w:val="000000"/>
                <w:sz w:val="18"/>
                <w:szCs w:val="18"/>
                <w:lang w:val="en-US"/>
              </w:rPr>
            </w:pPr>
          </w:p>
        </w:tc>
        <w:tc>
          <w:tcPr>
            <w:tcW w:w="1353" w:type="dxa"/>
            <w:tcBorders>
              <w:top w:val="nil"/>
              <w:left w:val="nil"/>
              <w:bottom w:val="nil"/>
              <w:right w:val="single" w:sz="16" w:space="0" w:color="000000"/>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320" w:lineRule="atLeast"/>
              <w:rPr>
                <w:rFonts w:ascii="Arial" w:hAnsi="Arial" w:cs="Arial"/>
                <w:color w:val="000000"/>
                <w:sz w:val="18"/>
                <w:szCs w:val="18"/>
                <w:lang w:val="en-US"/>
              </w:rPr>
            </w:pPr>
            <w:r>
              <w:rPr>
                <w:rFonts w:ascii="Arial" w:hAnsi="Arial" w:cs="Arial"/>
                <w:color w:val="000000"/>
                <w:sz w:val="18"/>
                <w:szCs w:val="18"/>
                <w:lang w:val="en-US"/>
              </w:rPr>
              <w:t>Asset Size</w:t>
            </w:r>
          </w:p>
        </w:tc>
        <w:tc>
          <w:tcPr>
            <w:tcW w:w="1534" w:type="dxa"/>
            <w:tcBorders>
              <w:top w:val="nil"/>
              <w:left w:val="single" w:sz="16" w:space="0" w:color="000000"/>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0.151</w:t>
            </w:r>
          </w:p>
        </w:tc>
        <w:tc>
          <w:tcPr>
            <w:tcW w:w="1533"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0.295</w:t>
            </w:r>
          </w:p>
        </w:tc>
        <w:tc>
          <w:tcPr>
            <w:tcW w:w="1686"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0.146</w:t>
            </w:r>
          </w:p>
        </w:tc>
        <w:tc>
          <w:tcPr>
            <w:tcW w:w="1170"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0.496</w:t>
            </w:r>
          </w:p>
        </w:tc>
        <w:tc>
          <w:tcPr>
            <w:tcW w:w="1170" w:type="dxa"/>
            <w:tcBorders>
              <w:top w:val="nil"/>
              <w:bottom w:val="nil"/>
              <w:right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0.095</w:t>
            </w:r>
          </w:p>
        </w:tc>
      </w:tr>
      <w:tr w:rsidR="00FC7065" w:rsidRPr="00707046" w:rsidTr="00296446">
        <w:trPr>
          <w:cantSplit/>
          <w:trHeight w:val="530"/>
          <w:tblHeader/>
          <w:jc w:val="center"/>
        </w:trPr>
        <w:tc>
          <w:tcPr>
            <w:tcW w:w="84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240" w:lineRule="auto"/>
              <w:rPr>
                <w:rFonts w:ascii="Arial" w:hAnsi="Arial" w:cs="Arial"/>
                <w:color w:val="000000"/>
                <w:sz w:val="18"/>
                <w:szCs w:val="18"/>
                <w:lang w:val="en-US"/>
              </w:rPr>
            </w:pPr>
          </w:p>
        </w:tc>
        <w:tc>
          <w:tcPr>
            <w:tcW w:w="1353"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320" w:lineRule="atLeast"/>
              <w:rPr>
                <w:rFonts w:ascii="Arial" w:hAnsi="Arial" w:cs="Arial"/>
                <w:color w:val="000000"/>
                <w:sz w:val="18"/>
                <w:szCs w:val="18"/>
                <w:lang w:val="en-US"/>
              </w:rPr>
            </w:pPr>
            <w:r>
              <w:rPr>
                <w:rFonts w:ascii="Arial" w:hAnsi="Arial" w:cs="Arial"/>
                <w:color w:val="000000"/>
                <w:sz w:val="18"/>
                <w:szCs w:val="18"/>
                <w:lang w:val="en-US"/>
              </w:rPr>
              <w:t>Total Deposits</w:t>
            </w:r>
          </w:p>
        </w:tc>
        <w:tc>
          <w:tcPr>
            <w:tcW w:w="1534"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0.059</w:t>
            </w:r>
          </w:p>
        </w:tc>
        <w:tc>
          <w:tcPr>
            <w:tcW w:w="1533" w:type="dxa"/>
            <w:tcBorders>
              <w:top w:val="nil"/>
              <w:bottom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0.192</w:t>
            </w:r>
          </w:p>
        </w:tc>
        <w:tc>
          <w:tcPr>
            <w:tcW w:w="1686" w:type="dxa"/>
            <w:tcBorders>
              <w:top w:val="nil"/>
              <w:bottom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0.047</w:t>
            </w:r>
          </w:p>
        </w:tc>
        <w:tc>
          <w:tcPr>
            <w:tcW w:w="1170" w:type="dxa"/>
            <w:tcBorders>
              <w:top w:val="nil"/>
              <w:bottom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0.273</w:t>
            </w:r>
          </w:p>
        </w:tc>
        <w:tc>
          <w:tcPr>
            <w:tcW w:w="1170"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0.053</w:t>
            </w:r>
          </w:p>
        </w:tc>
      </w:tr>
    </w:tbl>
    <w:p w:rsidR="00FC7065" w:rsidRDefault="00FC7065" w:rsidP="00FC7065"/>
    <w:p w:rsidR="00FC7065" w:rsidRDefault="00FC7065" w:rsidP="00FC7065">
      <w:r w:rsidRPr="0046203E">
        <w:t>According to the above correlation table, total interest income and equity capital are favourably correlated with the firm's ROA, but total non-interest income, non-performing loans, and owner's expenditure are adversely correlated. Additionally,</w:t>
      </w:r>
      <w:r w:rsidR="004B3794">
        <w:t xml:space="preserve"> there is a positive relation</w:t>
      </w:r>
      <w:r w:rsidRPr="0046203E">
        <w:t xml:space="preserve"> between asset size and total deposits and ROA, demonstrating that these variables influence a company's financial performance.</w:t>
      </w:r>
      <w:r>
        <w:t xml:space="preserve"> </w:t>
      </w:r>
      <w:r w:rsidR="004B3794">
        <w:t>The below table gives us the results</w:t>
      </w:r>
      <w:r w:rsidRPr="0046203E">
        <w:t xml:space="preserve"> of the major points of the analysis findings and a contrast with the expectations stated in the technique and in the research topic:</w:t>
      </w:r>
    </w:p>
    <w:tbl>
      <w:tblPr>
        <w:tblStyle w:val="TableGrid"/>
        <w:tblW w:w="0" w:type="auto"/>
        <w:tblLook w:val="04A0" w:firstRow="1" w:lastRow="0" w:firstColumn="1" w:lastColumn="0" w:noHBand="0" w:noVBand="1"/>
      </w:tblPr>
      <w:tblGrid>
        <w:gridCol w:w="2830"/>
        <w:gridCol w:w="2268"/>
        <w:gridCol w:w="1276"/>
        <w:gridCol w:w="1276"/>
        <w:gridCol w:w="1366"/>
      </w:tblGrid>
      <w:tr w:rsidR="00FC7065" w:rsidTr="00296446">
        <w:tc>
          <w:tcPr>
            <w:tcW w:w="2830" w:type="dxa"/>
          </w:tcPr>
          <w:p w:rsidR="00FC7065" w:rsidRDefault="00FC7065" w:rsidP="00296446"/>
        </w:tc>
        <w:tc>
          <w:tcPr>
            <w:tcW w:w="2268" w:type="dxa"/>
          </w:tcPr>
          <w:p w:rsidR="00FC7065" w:rsidRDefault="00FC7065" w:rsidP="00296446">
            <w:r>
              <w:t>Expected sign</w:t>
            </w:r>
          </w:p>
        </w:tc>
        <w:tc>
          <w:tcPr>
            <w:tcW w:w="1276" w:type="dxa"/>
          </w:tcPr>
          <w:p w:rsidR="00FC7065" w:rsidRDefault="00FC7065" w:rsidP="00296446">
            <w:r>
              <w:t>Beta</w:t>
            </w:r>
          </w:p>
        </w:tc>
        <w:tc>
          <w:tcPr>
            <w:tcW w:w="1276" w:type="dxa"/>
          </w:tcPr>
          <w:p w:rsidR="00FC7065" w:rsidRDefault="00FC7065" w:rsidP="00296446">
            <w:r>
              <w:t>t-value</w:t>
            </w:r>
          </w:p>
        </w:tc>
        <w:tc>
          <w:tcPr>
            <w:tcW w:w="1366" w:type="dxa"/>
          </w:tcPr>
          <w:p w:rsidR="00FC7065" w:rsidRDefault="00FC7065" w:rsidP="00296446">
            <w:r>
              <w:t>p-value</w:t>
            </w:r>
          </w:p>
        </w:tc>
      </w:tr>
      <w:tr w:rsidR="00FC7065" w:rsidTr="00296446">
        <w:tc>
          <w:tcPr>
            <w:tcW w:w="2830" w:type="dxa"/>
          </w:tcPr>
          <w:p w:rsidR="00FC7065" w:rsidRDefault="00FC7065" w:rsidP="00296446">
            <w:r>
              <w:t>[Constant]</w:t>
            </w:r>
          </w:p>
        </w:tc>
        <w:tc>
          <w:tcPr>
            <w:tcW w:w="2268" w:type="dxa"/>
          </w:tcPr>
          <w:p w:rsidR="00FC7065" w:rsidRDefault="00FC7065" w:rsidP="00296446"/>
        </w:tc>
        <w:tc>
          <w:tcPr>
            <w:tcW w:w="1276" w:type="dxa"/>
          </w:tcPr>
          <w:p w:rsidR="00FC7065" w:rsidRDefault="00FC7065" w:rsidP="00296446"/>
        </w:tc>
        <w:tc>
          <w:tcPr>
            <w:tcW w:w="1276" w:type="dxa"/>
          </w:tcPr>
          <w:p w:rsidR="00FC7065" w:rsidRDefault="00FC7065" w:rsidP="00296446"/>
        </w:tc>
        <w:tc>
          <w:tcPr>
            <w:tcW w:w="1366" w:type="dxa"/>
          </w:tcPr>
          <w:p w:rsidR="00FC7065" w:rsidRDefault="00FC7065" w:rsidP="00296446"/>
        </w:tc>
      </w:tr>
      <w:tr w:rsidR="00FC7065" w:rsidTr="00296446">
        <w:tc>
          <w:tcPr>
            <w:tcW w:w="2830" w:type="dxa"/>
          </w:tcPr>
          <w:p w:rsidR="00FC7065" w:rsidRDefault="00FC7065" w:rsidP="00296446">
            <w:r>
              <w:t>Total interest income</w:t>
            </w:r>
          </w:p>
        </w:tc>
        <w:tc>
          <w:tcPr>
            <w:tcW w:w="2268" w:type="dxa"/>
          </w:tcPr>
          <w:p w:rsidR="00FC7065" w:rsidRDefault="00FC7065" w:rsidP="00296446">
            <w:pPr>
              <w:jc w:val="center"/>
            </w:pPr>
            <w:r>
              <w:t>+</w:t>
            </w:r>
          </w:p>
        </w:tc>
        <w:tc>
          <w:tcPr>
            <w:tcW w:w="1276" w:type="dxa"/>
          </w:tcPr>
          <w:p w:rsidR="00FC7065" w:rsidRDefault="00FC7065" w:rsidP="00296446">
            <w:r>
              <w:t>0.141</w:t>
            </w:r>
          </w:p>
        </w:tc>
        <w:tc>
          <w:tcPr>
            <w:tcW w:w="1276" w:type="dxa"/>
          </w:tcPr>
          <w:p w:rsidR="00FC7065" w:rsidRDefault="00FC7065" w:rsidP="00296446">
            <w:r>
              <w:t>0.797</w:t>
            </w:r>
          </w:p>
        </w:tc>
        <w:tc>
          <w:tcPr>
            <w:tcW w:w="1366" w:type="dxa"/>
          </w:tcPr>
          <w:p w:rsidR="00FC7065" w:rsidRDefault="00FC7065" w:rsidP="00296446">
            <w:r>
              <w:t>0.36</w:t>
            </w:r>
          </w:p>
        </w:tc>
      </w:tr>
      <w:tr w:rsidR="00FC7065" w:rsidTr="00296446">
        <w:tc>
          <w:tcPr>
            <w:tcW w:w="2830" w:type="dxa"/>
          </w:tcPr>
          <w:p w:rsidR="00FC7065" w:rsidRDefault="00FC7065" w:rsidP="00296446">
            <w:r>
              <w:t>Non-performing loans</w:t>
            </w:r>
          </w:p>
        </w:tc>
        <w:tc>
          <w:tcPr>
            <w:tcW w:w="2268" w:type="dxa"/>
          </w:tcPr>
          <w:p w:rsidR="00FC7065" w:rsidRDefault="00FC7065" w:rsidP="00296446">
            <w:pPr>
              <w:jc w:val="center"/>
            </w:pPr>
            <w:r>
              <w:t>-</w:t>
            </w:r>
          </w:p>
        </w:tc>
        <w:tc>
          <w:tcPr>
            <w:tcW w:w="1276" w:type="dxa"/>
          </w:tcPr>
          <w:p w:rsidR="00FC7065" w:rsidRDefault="00FC7065" w:rsidP="00296446">
            <w:r>
              <w:t>0.238</w:t>
            </w:r>
          </w:p>
        </w:tc>
        <w:tc>
          <w:tcPr>
            <w:tcW w:w="1276" w:type="dxa"/>
          </w:tcPr>
          <w:p w:rsidR="00FC7065" w:rsidRDefault="00FC7065" w:rsidP="00296446">
            <w:r>
              <w:t>1.456</w:t>
            </w:r>
          </w:p>
        </w:tc>
        <w:tc>
          <w:tcPr>
            <w:tcW w:w="1366" w:type="dxa"/>
          </w:tcPr>
          <w:p w:rsidR="00FC7065" w:rsidRDefault="00FC7065" w:rsidP="00296446">
            <w:r>
              <w:t>0.023</w:t>
            </w:r>
          </w:p>
        </w:tc>
      </w:tr>
      <w:tr w:rsidR="00FC7065" w:rsidTr="00296446">
        <w:tc>
          <w:tcPr>
            <w:tcW w:w="2830" w:type="dxa"/>
          </w:tcPr>
          <w:p w:rsidR="00FC7065" w:rsidRDefault="00FC7065" w:rsidP="00296446">
            <w:r>
              <w:t>Operating expenditure</w:t>
            </w:r>
          </w:p>
        </w:tc>
        <w:tc>
          <w:tcPr>
            <w:tcW w:w="2268" w:type="dxa"/>
          </w:tcPr>
          <w:p w:rsidR="00FC7065" w:rsidRDefault="00FC7065" w:rsidP="00296446">
            <w:pPr>
              <w:jc w:val="center"/>
            </w:pPr>
            <w:r>
              <w:t>-</w:t>
            </w:r>
          </w:p>
        </w:tc>
        <w:tc>
          <w:tcPr>
            <w:tcW w:w="1276" w:type="dxa"/>
          </w:tcPr>
          <w:p w:rsidR="00FC7065" w:rsidRDefault="00FC7065" w:rsidP="00296446">
            <w:r>
              <w:t>0.136</w:t>
            </w:r>
          </w:p>
        </w:tc>
        <w:tc>
          <w:tcPr>
            <w:tcW w:w="1276" w:type="dxa"/>
          </w:tcPr>
          <w:p w:rsidR="00FC7065" w:rsidRDefault="00FC7065" w:rsidP="00296446">
            <w:r>
              <w:t>0.803</w:t>
            </w:r>
          </w:p>
        </w:tc>
        <w:tc>
          <w:tcPr>
            <w:tcW w:w="1366" w:type="dxa"/>
          </w:tcPr>
          <w:p w:rsidR="00FC7065" w:rsidRDefault="00FC7065" w:rsidP="00296446">
            <w:r>
              <w:t>0.060</w:t>
            </w:r>
          </w:p>
        </w:tc>
      </w:tr>
      <w:tr w:rsidR="00FC7065" w:rsidTr="00296446">
        <w:tc>
          <w:tcPr>
            <w:tcW w:w="2830" w:type="dxa"/>
          </w:tcPr>
          <w:p w:rsidR="00FC7065" w:rsidRDefault="00FC7065" w:rsidP="00296446">
            <w:r>
              <w:t>Equity Capital</w:t>
            </w:r>
          </w:p>
        </w:tc>
        <w:tc>
          <w:tcPr>
            <w:tcW w:w="2268" w:type="dxa"/>
          </w:tcPr>
          <w:p w:rsidR="00FC7065" w:rsidRDefault="00FC7065" w:rsidP="00296446">
            <w:pPr>
              <w:jc w:val="center"/>
            </w:pPr>
            <w:r>
              <w:t>+</w:t>
            </w:r>
          </w:p>
        </w:tc>
        <w:tc>
          <w:tcPr>
            <w:tcW w:w="1276" w:type="dxa"/>
          </w:tcPr>
          <w:p w:rsidR="00FC7065" w:rsidRDefault="00FC7065" w:rsidP="00296446">
            <w:r>
              <w:t>0.108</w:t>
            </w:r>
          </w:p>
        </w:tc>
        <w:tc>
          <w:tcPr>
            <w:tcW w:w="1276" w:type="dxa"/>
          </w:tcPr>
          <w:p w:rsidR="00FC7065" w:rsidRDefault="00FC7065" w:rsidP="00296446">
            <w:r>
              <w:t>0.642</w:t>
            </w:r>
          </w:p>
        </w:tc>
        <w:tc>
          <w:tcPr>
            <w:tcW w:w="1366" w:type="dxa"/>
          </w:tcPr>
          <w:p w:rsidR="00FC7065" w:rsidRDefault="00FC7065" w:rsidP="00296446">
            <w:r>
              <w:t>0.38</w:t>
            </w:r>
          </w:p>
        </w:tc>
      </w:tr>
      <w:tr w:rsidR="00FC7065" w:rsidTr="00296446">
        <w:tc>
          <w:tcPr>
            <w:tcW w:w="2830" w:type="dxa"/>
          </w:tcPr>
          <w:p w:rsidR="00FC7065" w:rsidRDefault="00FC7065" w:rsidP="00296446">
            <w:r>
              <w:t>Asset size</w:t>
            </w:r>
          </w:p>
        </w:tc>
        <w:tc>
          <w:tcPr>
            <w:tcW w:w="2268" w:type="dxa"/>
          </w:tcPr>
          <w:p w:rsidR="00FC7065" w:rsidRDefault="00FC7065" w:rsidP="00296446">
            <w:pPr>
              <w:jc w:val="center"/>
            </w:pPr>
            <w:r>
              <w:t>+</w:t>
            </w:r>
          </w:p>
        </w:tc>
        <w:tc>
          <w:tcPr>
            <w:tcW w:w="1276" w:type="dxa"/>
          </w:tcPr>
          <w:p w:rsidR="00FC7065" w:rsidRDefault="00FC7065" w:rsidP="00296446">
            <w:r>
              <w:t>0.528</w:t>
            </w:r>
          </w:p>
        </w:tc>
        <w:tc>
          <w:tcPr>
            <w:tcW w:w="1276" w:type="dxa"/>
          </w:tcPr>
          <w:p w:rsidR="00FC7065" w:rsidRDefault="00FC7065" w:rsidP="00296446">
            <w:r>
              <w:t>3.142</w:t>
            </w:r>
          </w:p>
        </w:tc>
        <w:tc>
          <w:tcPr>
            <w:tcW w:w="1366" w:type="dxa"/>
          </w:tcPr>
          <w:p w:rsidR="00FC7065" w:rsidRDefault="00FC7065" w:rsidP="00296446">
            <w:r>
              <w:t>0.016</w:t>
            </w:r>
          </w:p>
        </w:tc>
      </w:tr>
      <w:tr w:rsidR="00FC7065" w:rsidTr="00296446">
        <w:tc>
          <w:tcPr>
            <w:tcW w:w="2830" w:type="dxa"/>
          </w:tcPr>
          <w:p w:rsidR="00FC7065" w:rsidRDefault="00FC7065" w:rsidP="00296446">
            <w:r>
              <w:t>R square</w:t>
            </w:r>
          </w:p>
        </w:tc>
        <w:tc>
          <w:tcPr>
            <w:tcW w:w="6186" w:type="dxa"/>
            <w:gridSpan w:val="4"/>
          </w:tcPr>
          <w:p w:rsidR="00FC7065" w:rsidRDefault="00FC7065" w:rsidP="00296446">
            <w:pPr>
              <w:jc w:val="center"/>
            </w:pPr>
            <w:r>
              <w:t>0.0369</w:t>
            </w:r>
          </w:p>
        </w:tc>
      </w:tr>
    </w:tbl>
    <w:p w:rsidR="00FC7065" w:rsidRDefault="00FC7065" w:rsidP="00FC7065"/>
    <w:p w:rsidR="00FC7065" w:rsidRDefault="00FC7065" w:rsidP="00FC7065">
      <w:r w:rsidRPr="00D82ACC">
        <w:t>Based on data from earlier research and methods, the effects that are expected to have on a bank's ROE are shown in the table above. The literature study and methods support the expectation that interest income will positively affect ROE while total non-interest revenue will negatively affect ROE. This is supported by the regression findings in the table, which show that total non-interest income has a detrimental effect on ROE. Similar to this, the table illustrates how non-performing loans will have a negative influence on ROE, as mentioned in the literature study and methodology. According to the methodology section, operating expenses should also have a negative effect, and the table confirms this.</w:t>
      </w:r>
    </w:p>
    <w:p w:rsidR="00BC0C12" w:rsidRDefault="00BC0C12" w:rsidP="00FC7065">
      <w:r w:rsidRPr="00BC0C12">
        <w:lastRenderedPageBreak/>
        <w:t xml:space="preserve">Both the methodological portion of this study and an empirical analysis conducted by </w:t>
      </w:r>
      <w:proofErr w:type="spellStart"/>
      <w:r w:rsidRPr="00BC0C12">
        <w:t>Demirgüç-Kunt</w:t>
      </w:r>
      <w:proofErr w:type="spellEnd"/>
      <w:r w:rsidRPr="00BC0C12">
        <w:t xml:space="preserve"> and Levine (2012) suggest that a bank's return on equity is positively affected by the amount of capital (y) it possesses. The above table confirms this link by showing that the quantity of capital funding has a positive effect on the bank's ROE level. However, research by El-</w:t>
      </w:r>
      <w:proofErr w:type="spellStart"/>
      <w:r w:rsidRPr="00BC0C12">
        <w:t>Kassem</w:t>
      </w:r>
      <w:proofErr w:type="spellEnd"/>
      <w:r w:rsidRPr="00BC0C12">
        <w:t xml:space="preserve"> (2017) and </w:t>
      </w:r>
      <w:proofErr w:type="spellStart"/>
      <w:r w:rsidRPr="00BC0C12">
        <w:t>Hallunovi</w:t>
      </w:r>
      <w:proofErr w:type="spellEnd"/>
      <w:r w:rsidRPr="00BC0C12">
        <w:t xml:space="preserve"> (2017) has revealed that loans and advances have an adverse impact on a bank's overall viability. The regression results in the table demonstrate that the amount of loans and advances has a negative effect on the overall profitability of the bank. Additionally, the results of the regression indicate that asset size has a positive impact on the bank's level of return on equity. Furthermore, all of the factors utilized in the regression model have a significant impact on the bank's ROE, as evidenced by the P-value, which measures the importance of the variables. The P-value must be less than 0.10. The correlations between the factors and their effects on the bank's ROE are as predicted. This conclusion is supported by a long-term study conducted by Cable (2014), which found that several variables, including the bank's equity capital amount, NPL amount, operating expense level, asset size, and total interest, all have a statistically significant impact on the bank's ROE with a significance value below the acceptable level. Moreover, </w:t>
      </w:r>
      <w:proofErr w:type="spellStart"/>
      <w:r w:rsidRPr="00BC0C12">
        <w:t>Dasgupta</w:t>
      </w:r>
      <w:proofErr w:type="spellEnd"/>
      <w:r w:rsidRPr="00BC0C12">
        <w:t xml:space="preserve"> et al. (2017) showed an inverse relationship between operational spending and NPL, which has a significant negative effect on the bank's ROE.</w:t>
      </w:r>
    </w:p>
    <w:p w:rsidR="00FC7065" w:rsidRDefault="00FC7065" w:rsidP="00FC7065">
      <w:r>
        <w:t>IMPACT ON RETURN ON ASSETS</w:t>
      </w:r>
    </w:p>
    <w:tbl>
      <w:tblPr>
        <w:tblW w:w="8417" w:type="dxa"/>
        <w:tblLook w:val="04A0" w:firstRow="1" w:lastRow="0" w:firstColumn="1" w:lastColumn="0" w:noHBand="0" w:noVBand="1"/>
      </w:tblPr>
      <w:tblGrid>
        <w:gridCol w:w="1669"/>
        <w:gridCol w:w="1387"/>
        <w:gridCol w:w="1540"/>
        <w:gridCol w:w="1387"/>
        <w:gridCol w:w="1387"/>
        <w:gridCol w:w="1420"/>
      </w:tblGrid>
      <w:tr w:rsidR="00FC7065" w:rsidRPr="00195BDD" w:rsidTr="00296446">
        <w:trPr>
          <w:trHeight w:val="300"/>
        </w:trPr>
        <w:tc>
          <w:tcPr>
            <w:tcW w:w="2937" w:type="dxa"/>
            <w:gridSpan w:val="2"/>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Calibri" w:eastAsia="Times New Roman" w:hAnsi="Calibri" w:cs="Calibri"/>
                <w:color w:val="000000"/>
                <w:lang w:eastAsia="en-IN"/>
              </w:rPr>
            </w:pPr>
            <w:r w:rsidRPr="00195BDD">
              <w:rPr>
                <w:rFonts w:ascii="Calibri" w:eastAsia="Times New Roman" w:hAnsi="Calibri" w:cs="Calibri"/>
                <w:color w:val="000000"/>
                <w:lang w:eastAsia="en-IN"/>
              </w:rPr>
              <w:t>SUMMARY OUTPUT</w:t>
            </w:r>
          </w:p>
        </w:tc>
        <w:tc>
          <w:tcPr>
            <w:tcW w:w="154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Calibri" w:eastAsia="Times New Roman" w:hAnsi="Calibri" w:cs="Calibri"/>
                <w:color w:val="000000"/>
                <w:lang w:eastAsia="en-IN"/>
              </w:rPr>
            </w:pP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42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r>
      <w:tr w:rsidR="00FC7065" w:rsidRPr="00195BDD" w:rsidTr="00296446">
        <w:trPr>
          <w:trHeight w:val="315"/>
        </w:trPr>
        <w:tc>
          <w:tcPr>
            <w:tcW w:w="1669"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268"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42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r>
      <w:tr w:rsidR="00FC7065" w:rsidRPr="00195BDD" w:rsidTr="00296446">
        <w:trPr>
          <w:trHeight w:val="300"/>
        </w:trPr>
        <w:tc>
          <w:tcPr>
            <w:tcW w:w="2937" w:type="dxa"/>
            <w:gridSpan w:val="2"/>
            <w:tcBorders>
              <w:top w:val="single" w:sz="8" w:space="0" w:color="auto"/>
              <w:left w:val="nil"/>
              <w:bottom w:val="single" w:sz="4" w:space="0" w:color="auto"/>
              <w:right w:val="nil"/>
            </w:tcBorders>
            <w:shd w:val="clear" w:color="auto" w:fill="auto"/>
            <w:noWrap/>
            <w:vAlign w:val="bottom"/>
            <w:hideMark/>
          </w:tcPr>
          <w:p w:rsidR="00FC7065" w:rsidRPr="00195BDD" w:rsidRDefault="00FC7065" w:rsidP="00296446">
            <w:pPr>
              <w:spacing w:after="0" w:line="240" w:lineRule="auto"/>
              <w:jc w:val="center"/>
              <w:rPr>
                <w:rFonts w:ascii="Calibri" w:eastAsia="Times New Roman" w:hAnsi="Calibri" w:cs="Calibri"/>
                <w:i/>
                <w:iCs/>
                <w:color w:val="000000"/>
                <w:lang w:eastAsia="en-IN"/>
              </w:rPr>
            </w:pPr>
            <w:r w:rsidRPr="00195BDD">
              <w:rPr>
                <w:rFonts w:ascii="Calibri" w:eastAsia="Times New Roman" w:hAnsi="Calibri" w:cs="Calibri"/>
                <w:i/>
                <w:iCs/>
                <w:color w:val="000000"/>
                <w:lang w:eastAsia="en-IN"/>
              </w:rPr>
              <w:t>Regression Statistics</w:t>
            </w:r>
          </w:p>
        </w:tc>
        <w:tc>
          <w:tcPr>
            <w:tcW w:w="154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jc w:val="center"/>
              <w:rPr>
                <w:rFonts w:ascii="Calibri" w:eastAsia="Times New Roman" w:hAnsi="Calibri" w:cs="Calibri"/>
                <w:i/>
                <w:iCs/>
                <w:color w:val="000000"/>
                <w:lang w:eastAsia="en-IN"/>
              </w:rPr>
            </w:pP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42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r>
      <w:tr w:rsidR="00FC7065" w:rsidRPr="00195BDD" w:rsidTr="00296446">
        <w:trPr>
          <w:trHeight w:val="300"/>
        </w:trPr>
        <w:tc>
          <w:tcPr>
            <w:tcW w:w="1669"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Calibri" w:eastAsia="Times New Roman" w:hAnsi="Calibri" w:cs="Calibri"/>
                <w:color w:val="000000"/>
                <w:lang w:eastAsia="en-IN"/>
              </w:rPr>
            </w:pPr>
            <w:r w:rsidRPr="00195BDD">
              <w:rPr>
                <w:rFonts w:ascii="Calibri" w:eastAsia="Times New Roman" w:hAnsi="Calibri" w:cs="Calibri"/>
                <w:color w:val="000000"/>
                <w:lang w:eastAsia="en-IN"/>
              </w:rPr>
              <w:t>Multiple R</w:t>
            </w:r>
          </w:p>
        </w:tc>
        <w:tc>
          <w:tcPr>
            <w:tcW w:w="1268"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jc w:val="right"/>
              <w:rPr>
                <w:rFonts w:ascii="Calibri" w:eastAsia="Times New Roman" w:hAnsi="Calibri" w:cs="Calibri"/>
                <w:color w:val="000000"/>
                <w:lang w:eastAsia="en-IN"/>
              </w:rPr>
            </w:pPr>
            <w:r w:rsidRPr="00195BDD">
              <w:rPr>
                <w:rFonts w:ascii="Calibri" w:eastAsia="Times New Roman" w:hAnsi="Calibri" w:cs="Calibri"/>
                <w:color w:val="000000"/>
                <w:lang w:eastAsia="en-IN"/>
              </w:rPr>
              <w:t>0.260263215</w:t>
            </w:r>
          </w:p>
        </w:tc>
        <w:tc>
          <w:tcPr>
            <w:tcW w:w="154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jc w:val="right"/>
              <w:rPr>
                <w:rFonts w:ascii="Calibri" w:eastAsia="Times New Roman" w:hAnsi="Calibri" w:cs="Calibri"/>
                <w:color w:val="000000"/>
                <w:lang w:eastAsia="en-IN"/>
              </w:rPr>
            </w:pP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42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r>
      <w:tr w:rsidR="00FC7065" w:rsidRPr="00195BDD" w:rsidTr="00296446">
        <w:trPr>
          <w:trHeight w:val="300"/>
        </w:trPr>
        <w:tc>
          <w:tcPr>
            <w:tcW w:w="1669"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Calibri" w:eastAsia="Times New Roman" w:hAnsi="Calibri" w:cs="Calibri"/>
                <w:color w:val="000000"/>
                <w:lang w:eastAsia="en-IN"/>
              </w:rPr>
            </w:pPr>
            <w:r w:rsidRPr="00195BDD">
              <w:rPr>
                <w:rFonts w:ascii="Calibri" w:eastAsia="Times New Roman" w:hAnsi="Calibri" w:cs="Calibri"/>
                <w:color w:val="000000"/>
                <w:lang w:eastAsia="en-IN"/>
              </w:rPr>
              <w:t>R Square</w:t>
            </w:r>
          </w:p>
        </w:tc>
        <w:tc>
          <w:tcPr>
            <w:tcW w:w="1268"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jc w:val="right"/>
              <w:rPr>
                <w:rFonts w:ascii="Calibri" w:eastAsia="Times New Roman" w:hAnsi="Calibri" w:cs="Calibri"/>
                <w:color w:val="000000"/>
                <w:lang w:eastAsia="en-IN"/>
              </w:rPr>
            </w:pPr>
            <w:r w:rsidRPr="00195BDD">
              <w:rPr>
                <w:rFonts w:ascii="Calibri" w:eastAsia="Times New Roman" w:hAnsi="Calibri" w:cs="Calibri"/>
                <w:color w:val="000000"/>
                <w:lang w:eastAsia="en-IN"/>
              </w:rPr>
              <w:t>0.067736941</w:t>
            </w:r>
          </w:p>
        </w:tc>
        <w:tc>
          <w:tcPr>
            <w:tcW w:w="154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jc w:val="right"/>
              <w:rPr>
                <w:rFonts w:ascii="Calibri" w:eastAsia="Times New Roman" w:hAnsi="Calibri" w:cs="Calibri"/>
                <w:color w:val="000000"/>
                <w:lang w:eastAsia="en-IN"/>
              </w:rPr>
            </w:pP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42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r>
      <w:tr w:rsidR="00FC7065" w:rsidRPr="00195BDD" w:rsidTr="00296446">
        <w:trPr>
          <w:trHeight w:val="300"/>
        </w:trPr>
        <w:tc>
          <w:tcPr>
            <w:tcW w:w="1669"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Calibri" w:eastAsia="Times New Roman" w:hAnsi="Calibri" w:cs="Calibri"/>
                <w:color w:val="000000"/>
                <w:lang w:eastAsia="en-IN"/>
              </w:rPr>
            </w:pPr>
            <w:r w:rsidRPr="00195BDD">
              <w:rPr>
                <w:rFonts w:ascii="Calibri" w:eastAsia="Times New Roman" w:hAnsi="Calibri" w:cs="Calibri"/>
                <w:color w:val="000000"/>
                <w:lang w:eastAsia="en-IN"/>
              </w:rPr>
              <w:t>Adjusted R Square</w:t>
            </w:r>
          </w:p>
        </w:tc>
        <w:tc>
          <w:tcPr>
            <w:tcW w:w="1268"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jc w:val="right"/>
              <w:rPr>
                <w:rFonts w:ascii="Calibri" w:eastAsia="Times New Roman" w:hAnsi="Calibri" w:cs="Calibri"/>
                <w:color w:val="000000"/>
                <w:lang w:eastAsia="en-IN"/>
              </w:rPr>
            </w:pPr>
            <w:r w:rsidRPr="00195BDD">
              <w:rPr>
                <w:rFonts w:ascii="Calibri" w:eastAsia="Times New Roman" w:hAnsi="Calibri" w:cs="Calibri"/>
                <w:color w:val="000000"/>
                <w:lang w:eastAsia="en-IN"/>
              </w:rPr>
              <w:t>-0.019662721</w:t>
            </w:r>
          </w:p>
        </w:tc>
        <w:tc>
          <w:tcPr>
            <w:tcW w:w="154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jc w:val="right"/>
              <w:rPr>
                <w:rFonts w:ascii="Calibri" w:eastAsia="Times New Roman" w:hAnsi="Calibri" w:cs="Calibri"/>
                <w:color w:val="000000"/>
                <w:lang w:eastAsia="en-IN"/>
              </w:rPr>
            </w:pP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42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r>
      <w:tr w:rsidR="00FC7065" w:rsidRPr="00195BDD" w:rsidTr="00296446">
        <w:trPr>
          <w:trHeight w:val="300"/>
        </w:trPr>
        <w:tc>
          <w:tcPr>
            <w:tcW w:w="1669"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Calibri" w:eastAsia="Times New Roman" w:hAnsi="Calibri" w:cs="Calibri"/>
                <w:color w:val="000000"/>
                <w:lang w:eastAsia="en-IN"/>
              </w:rPr>
            </w:pPr>
            <w:r w:rsidRPr="00195BDD">
              <w:rPr>
                <w:rFonts w:ascii="Calibri" w:eastAsia="Times New Roman" w:hAnsi="Calibri" w:cs="Calibri"/>
                <w:color w:val="000000"/>
                <w:lang w:eastAsia="en-IN"/>
              </w:rPr>
              <w:t>Standard Error</w:t>
            </w:r>
          </w:p>
        </w:tc>
        <w:tc>
          <w:tcPr>
            <w:tcW w:w="1268"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jc w:val="right"/>
              <w:rPr>
                <w:rFonts w:ascii="Calibri" w:eastAsia="Times New Roman" w:hAnsi="Calibri" w:cs="Calibri"/>
                <w:color w:val="000000"/>
                <w:lang w:eastAsia="en-IN"/>
              </w:rPr>
            </w:pPr>
            <w:r w:rsidRPr="00195BDD">
              <w:rPr>
                <w:rFonts w:ascii="Calibri" w:eastAsia="Times New Roman" w:hAnsi="Calibri" w:cs="Calibri"/>
                <w:color w:val="000000"/>
                <w:lang w:eastAsia="en-IN"/>
              </w:rPr>
              <w:t>0.279974875</w:t>
            </w:r>
          </w:p>
        </w:tc>
        <w:tc>
          <w:tcPr>
            <w:tcW w:w="154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jc w:val="right"/>
              <w:rPr>
                <w:rFonts w:ascii="Calibri" w:eastAsia="Times New Roman" w:hAnsi="Calibri" w:cs="Calibri"/>
                <w:color w:val="000000"/>
                <w:lang w:eastAsia="en-IN"/>
              </w:rPr>
            </w:pP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42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r>
      <w:tr w:rsidR="00FC7065" w:rsidRPr="00195BDD" w:rsidTr="00296446">
        <w:trPr>
          <w:trHeight w:val="315"/>
        </w:trPr>
        <w:tc>
          <w:tcPr>
            <w:tcW w:w="1669" w:type="dxa"/>
            <w:tcBorders>
              <w:top w:val="nil"/>
              <w:left w:val="nil"/>
              <w:bottom w:val="single" w:sz="8" w:space="0" w:color="auto"/>
              <w:right w:val="nil"/>
            </w:tcBorders>
            <w:shd w:val="clear" w:color="auto" w:fill="auto"/>
            <w:noWrap/>
            <w:vAlign w:val="bottom"/>
            <w:hideMark/>
          </w:tcPr>
          <w:p w:rsidR="00FC7065" w:rsidRPr="00195BDD" w:rsidRDefault="00FC7065" w:rsidP="00296446">
            <w:pPr>
              <w:spacing w:after="0" w:line="240" w:lineRule="auto"/>
              <w:rPr>
                <w:rFonts w:ascii="Calibri" w:eastAsia="Times New Roman" w:hAnsi="Calibri" w:cs="Calibri"/>
                <w:color w:val="000000"/>
                <w:lang w:eastAsia="en-IN"/>
              </w:rPr>
            </w:pPr>
            <w:r w:rsidRPr="00195BDD">
              <w:rPr>
                <w:rFonts w:ascii="Calibri" w:eastAsia="Times New Roman" w:hAnsi="Calibri" w:cs="Calibri"/>
                <w:color w:val="000000"/>
                <w:lang w:eastAsia="en-IN"/>
              </w:rPr>
              <w:t>Observations</w:t>
            </w:r>
          </w:p>
        </w:tc>
        <w:tc>
          <w:tcPr>
            <w:tcW w:w="1268" w:type="dxa"/>
            <w:tcBorders>
              <w:top w:val="nil"/>
              <w:left w:val="nil"/>
              <w:bottom w:val="single" w:sz="8" w:space="0" w:color="auto"/>
              <w:right w:val="nil"/>
            </w:tcBorders>
            <w:shd w:val="clear" w:color="auto" w:fill="auto"/>
            <w:noWrap/>
            <w:vAlign w:val="bottom"/>
            <w:hideMark/>
          </w:tcPr>
          <w:p w:rsidR="00FC7065" w:rsidRPr="00195BDD" w:rsidRDefault="00FC7065" w:rsidP="00296446">
            <w:pPr>
              <w:spacing w:after="0" w:line="240" w:lineRule="auto"/>
              <w:jc w:val="right"/>
              <w:rPr>
                <w:rFonts w:ascii="Calibri" w:eastAsia="Times New Roman" w:hAnsi="Calibri" w:cs="Calibri"/>
                <w:color w:val="000000"/>
                <w:lang w:eastAsia="en-IN"/>
              </w:rPr>
            </w:pPr>
            <w:r w:rsidRPr="00195BDD">
              <w:rPr>
                <w:rFonts w:ascii="Calibri" w:eastAsia="Times New Roman" w:hAnsi="Calibri" w:cs="Calibri"/>
                <w:color w:val="000000"/>
                <w:lang w:eastAsia="en-IN"/>
              </w:rPr>
              <w:t>36</w:t>
            </w:r>
          </w:p>
        </w:tc>
        <w:tc>
          <w:tcPr>
            <w:tcW w:w="154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jc w:val="right"/>
              <w:rPr>
                <w:rFonts w:ascii="Calibri" w:eastAsia="Times New Roman" w:hAnsi="Calibri" w:cs="Calibri"/>
                <w:color w:val="000000"/>
                <w:lang w:eastAsia="en-IN"/>
              </w:rPr>
            </w:pP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42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r>
      <w:tr w:rsidR="00FC7065" w:rsidRPr="00195BDD" w:rsidTr="00296446">
        <w:trPr>
          <w:trHeight w:val="300"/>
        </w:trPr>
        <w:tc>
          <w:tcPr>
            <w:tcW w:w="1669"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268"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54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42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r>
      <w:tr w:rsidR="00FC7065" w:rsidRPr="00195BDD" w:rsidTr="00296446">
        <w:trPr>
          <w:trHeight w:val="315"/>
        </w:trPr>
        <w:tc>
          <w:tcPr>
            <w:tcW w:w="1669"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Calibri" w:eastAsia="Times New Roman" w:hAnsi="Calibri" w:cs="Calibri"/>
                <w:color w:val="000000"/>
                <w:lang w:eastAsia="en-IN"/>
              </w:rPr>
            </w:pPr>
            <w:r w:rsidRPr="00195BDD">
              <w:rPr>
                <w:rFonts w:ascii="Calibri" w:eastAsia="Times New Roman" w:hAnsi="Calibri" w:cs="Calibri"/>
                <w:color w:val="000000"/>
                <w:lang w:eastAsia="en-IN"/>
              </w:rPr>
              <w:t>ANOVA</w:t>
            </w:r>
          </w:p>
        </w:tc>
        <w:tc>
          <w:tcPr>
            <w:tcW w:w="1268"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Calibri" w:eastAsia="Times New Roman" w:hAnsi="Calibri" w:cs="Calibri"/>
                <w:color w:val="000000"/>
                <w:lang w:eastAsia="en-IN"/>
              </w:rPr>
            </w:pPr>
          </w:p>
        </w:tc>
        <w:tc>
          <w:tcPr>
            <w:tcW w:w="154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c>
          <w:tcPr>
            <w:tcW w:w="142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r>
      <w:tr w:rsidR="00FC7065" w:rsidRPr="00195BDD" w:rsidTr="00296446">
        <w:trPr>
          <w:trHeight w:val="300"/>
        </w:trPr>
        <w:tc>
          <w:tcPr>
            <w:tcW w:w="1669" w:type="dxa"/>
            <w:tcBorders>
              <w:top w:val="single" w:sz="8" w:space="0" w:color="auto"/>
              <w:left w:val="nil"/>
              <w:bottom w:val="single" w:sz="4" w:space="0" w:color="auto"/>
              <w:right w:val="nil"/>
            </w:tcBorders>
            <w:shd w:val="clear" w:color="auto" w:fill="auto"/>
            <w:noWrap/>
            <w:vAlign w:val="bottom"/>
            <w:hideMark/>
          </w:tcPr>
          <w:p w:rsidR="00FC7065" w:rsidRPr="00195BDD" w:rsidRDefault="00FC7065" w:rsidP="00296446">
            <w:pPr>
              <w:spacing w:after="0" w:line="240" w:lineRule="auto"/>
              <w:jc w:val="center"/>
              <w:rPr>
                <w:rFonts w:ascii="Calibri" w:eastAsia="Times New Roman" w:hAnsi="Calibri" w:cs="Calibri"/>
                <w:i/>
                <w:iCs/>
                <w:color w:val="000000"/>
                <w:lang w:eastAsia="en-IN"/>
              </w:rPr>
            </w:pPr>
            <w:r w:rsidRPr="00195BDD">
              <w:rPr>
                <w:rFonts w:ascii="Calibri" w:eastAsia="Times New Roman" w:hAnsi="Calibri" w:cs="Calibri"/>
                <w:i/>
                <w:iCs/>
                <w:color w:val="000000"/>
                <w:lang w:eastAsia="en-IN"/>
              </w:rPr>
              <w:t> </w:t>
            </w:r>
          </w:p>
        </w:tc>
        <w:tc>
          <w:tcPr>
            <w:tcW w:w="1268" w:type="dxa"/>
            <w:tcBorders>
              <w:top w:val="single" w:sz="8" w:space="0" w:color="auto"/>
              <w:left w:val="nil"/>
              <w:bottom w:val="single" w:sz="4" w:space="0" w:color="auto"/>
              <w:right w:val="nil"/>
            </w:tcBorders>
            <w:shd w:val="clear" w:color="auto" w:fill="auto"/>
            <w:noWrap/>
            <w:vAlign w:val="bottom"/>
            <w:hideMark/>
          </w:tcPr>
          <w:p w:rsidR="00FC7065" w:rsidRPr="00195BDD" w:rsidRDefault="00FC7065" w:rsidP="00296446">
            <w:pPr>
              <w:spacing w:after="0" w:line="240" w:lineRule="auto"/>
              <w:jc w:val="center"/>
              <w:rPr>
                <w:rFonts w:ascii="Calibri" w:eastAsia="Times New Roman" w:hAnsi="Calibri" w:cs="Calibri"/>
                <w:i/>
                <w:iCs/>
                <w:color w:val="000000"/>
                <w:lang w:eastAsia="en-IN"/>
              </w:rPr>
            </w:pPr>
            <w:proofErr w:type="spellStart"/>
            <w:r w:rsidRPr="00195BDD">
              <w:rPr>
                <w:rFonts w:ascii="Calibri" w:eastAsia="Times New Roman" w:hAnsi="Calibri" w:cs="Calibri"/>
                <w:i/>
                <w:iCs/>
                <w:color w:val="000000"/>
                <w:lang w:eastAsia="en-IN"/>
              </w:rPr>
              <w:t>df</w:t>
            </w:r>
            <w:proofErr w:type="spellEnd"/>
          </w:p>
        </w:tc>
        <w:tc>
          <w:tcPr>
            <w:tcW w:w="1540" w:type="dxa"/>
            <w:tcBorders>
              <w:top w:val="single" w:sz="8" w:space="0" w:color="auto"/>
              <w:left w:val="nil"/>
              <w:bottom w:val="single" w:sz="4" w:space="0" w:color="auto"/>
              <w:right w:val="nil"/>
            </w:tcBorders>
            <w:shd w:val="clear" w:color="auto" w:fill="auto"/>
            <w:noWrap/>
            <w:vAlign w:val="bottom"/>
            <w:hideMark/>
          </w:tcPr>
          <w:p w:rsidR="00FC7065" w:rsidRPr="00195BDD" w:rsidRDefault="00FC7065" w:rsidP="00296446">
            <w:pPr>
              <w:spacing w:after="0" w:line="240" w:lineRule="auto"/>
              <w:jc w:val="center"/>
              <w:rPr>
                <w:rFonts w:ascii="Calibri" w:eastAsia="Times New Roman" w:hAnsi="Calibri" w:cs="Calibri"/>
                <w:i/>
                <w:iCs/>
                <w:color w:val="000000"/>
                <w:lang w:eastAsia="en-IN"/>
              </w:rPr>
            </w:pPr>
            <w:r w:rsidRPr="00195BDD">
              <w:rPr>
                <w:rFonts w:ascii="Calibri" w:eastAsia="Times New Roman" w:hAnsi="Calibri" w:cs="Calibri"/>
                <w:i/>
                <w:iCs/>
                <w:color w:val="000000"/>
                <w:lang w:eastAsia="en-IN"/>
              </w:rPr>
              <w:t>SS</w:t>
            </w:r>
          </w:p>
        </w:tc>
        <w:tc>
          <w:tcPr>
            <w:tcW w:w="1260" w:type="dxa"/>
            <w:tcBorders>
              <w:top w:val="single" w:sz="8" w:space="0" w:color="auto"/>
              <w:left w:val="nil"/>
              <w:bottom w:val="single" w:sz="4" w:space="0" w:color="auto"/>
              <w:right w:val="nil"/>
            </w:tcBorders>
            <w:shd w:val="clear" w:color="auto" w:fill="auto"/>
            <w:noWrap/>
            <w:vAlign w:val="bottom"/>
            <w:hideMark/>
          </w:tcPr>
          <w:p w:rsidR="00FC7065" w:rsidRPr="00195BDD" w:rsidRDefault="00FC7065" w:rsidP="00296446">
            <w:pPr>
              <w:spacing w:after="0" w:line="240" w:lineRule="auto"/>
              <w:jc w:val="center"/>
              <w:rPr>
                <w:rFonts w:ascii="Calibri" w:eastAsia="Times New Roman" w:hAnsi="Calibri" w:cs="Calibri"/>
                <w:i/>
                <w:iCs/>
                <w:color w:val="000000"/>
                <w:lang w:eastAsia="en-IN"/>
              </w:rPr>
            </w:pPr>
            <w:r w:rsidRPr="00195BDD">
              <w:rPr>
                <w:rFonts w:ascii="Calibri" w:eastAsia="Times New Roman" w:hAnsi="Calibri" w:cs="Calibri"/>
                <w:i/>
                <w:iCs/>
                <w:color w:val="000000"/>
                <w:lang w:eastAsia="en-IN"/>
              </w:rPr>
              <w:t>MS</w:t>
            </w:r>
          </w:p>
        </w:tc>
        <w:tc>
          <w:tcPr>
            <w:tcW w:w="1260" w:type="dxa"/>
            <w:tcBorders>
              <w:top w:val="single" w:sz="8" w:space="0" w:color="auto"/>
              <w:left w:val="nil"/>
              <w:bottom w:val="single" w:sz="4" w:space="0" w:color="auto"/>
              <w:right w:val="nil"/>
            </w:tcBorders>
            <w:shd w:val="clear" w:color="auto" w:fill="auto"/>
            <w:noWrap/>
            <w:vAlign w:val="bottom"/>
            <w:hideMark/>
          </w:tcPr>
          <w:p w:rsidR="00FC7065" w:rsidRPr="00195BDD" w:rsidRDefault="00FC7065" w:rsidP="00296446">
            <w:pPr>
              <w:spacing w:after="0" w:line="240" w:lineRule="auto"/>
              <w:jc w:val="center"/>
              <w:rPr>
                <w:rFonts w:ascii="Calibri" w:eastAsia="Times New Roman" w:hAnsi="Calibri" w:cs="Calibri"/>
                <w:i/>
                <w:iCs/>
                <w:color w:val="000000"/>
                <w:lang w:eastAsia="en-IN"/>
              </w:rPr>
            </w:pPr>
            <w:r w:rsidRPr="00195BDD">
              <w:rPr>
                <w:rFonts w:ascii="Calibri" w:eastAsia="Times New Roman" w:hAnsi="Calibri" w:cs="Calibri"/>
                <w:i/>
                <w:iCs/>
                <w:color w:val="000000"/>
                <w:lang w:eastAsia="en-IN"/>
              </w:rPr>
              <w:t>F</w:t>
            </w:r>
          </w:p>
        </w:tc>
        <w:tc>
          <w:tcPr>
            <w:tcW w:w="1420" w:type="dxa"/>
            <w:tcBorders>
              <w:top w:val="single" w:sz="8" w:space="0" w:color="auto"/>
              <w:left w:val="nil"/>
              <w:bottom w:val="single" w:sz="4" w:space="0" w:color="auto"/>
              <w:right w:val="nil"/>
            </w:tcBorders>
            <w:shd w:val="clear" w:color="auto" w:fill="auto"/>
            <w:noWrap/>
            <w:vAlign w:val="bottom"/>
            <w:hideMark/>
          </w:tcPr>
          <w:p w:rsidR="00FC7065" w:rsidRPr="00195BDD" w:rsidRDefault="00FC7065" w:rsidP="00296446">
            <w:pPr>
              <w:spacing w:after="0" w:line="240" w:lineRule="auto"/>
              <w:jc w:val="center"/>
              <w:rPr>
                <w:rFonts w:ascii="Calibri" w:eastAsia="Times New Roman" w:hAnsi="Calibri" w:cs="Calibri"/>
                <w:i/>
                <w:iCs/>
                <w:color w:val="000000"/>
                <w:lang w:eastAsia="en-IN"/>
              </w:rPr>
            </w:pPr>
            <w:r w:rsidRPr="00195BDD">
              <w:rPr>
                <w:rFonts w:ascii="Calibri" w:eastAsia="Times New Roman" w:hAnsi="Calibri" w:cs="Calibri"/>
                <w:i/>
                <w:iCs/>
                <w:color w:val="000000"/>
                <w:lang w:eastAsia="en-IN"/>
              </w:rPr>
              <w:t>Significance F</w:t>
            </w:r>
          </w:p>
        </w:tc>
      </w:tr>
      <w:tr w:rsidR="00FC7065" w:rsidRPr="00195BDD" w:rsidTr="00296446">
        <w:trPr>
          <w:trHeight w:val="300"/>
        </w:trPr>
        <w:tc>
          <w:tcPr>
            <w:tcW w:w="1669"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Calibri" w:eastAsia="Times New Roman" w:hAnsi="Calibri" w:cs="Calibri"/>
                <w:color w:val="000000"/>
                <w:lang w:eastAsia="en-IN"/>
              </w:rPr>
            </w:pPr>
            <w:r w:rsidRPr="00195BDD">
              <w:rPr>
                <w:rFonts w:ascii="Calibri" w:eastAsia="Times New Roman" w:hAnsi="Calibri" w:cs="Calibri"/>
                <w:color w:val="000000"/>
                <w:lang w:eastAsia="en-IN"/>
              </w:rPr>
              <w:t>Regression</w:t>
            </w:r>
          </w:p>
        </w:tc>
        <w:tc>
          <w:tcPr>
            <w:tcW w:w="1268"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jc w:val="right"/>
              <w:rPr>
                <w:rFonts w:ascii="Calibri" w:eastAsia="Times New Roman" w:hAnsi="Calibri" w:cs="Calibri"/>
                <w:color w:val="000000"/>
                <w:lang w:eastAsia="en-IN"/>
              </w:rPr>
            </w:pPr>
            <w:r w:rsidRPr="00195BDD">
              <w:rPr>
                <w:rFonts w:ascii="Calibri" w:eastAsia="Times New Roman" w:hAnsi="Calibri" w:cs="Calibri"/>
                <w:color w:val="000000"/>
                <w:lang w:eastAsia="en-IN"/>
              </w:rPr>
              <w:t>3</w:t>
            </w:r>
          </w:p>
        </w:tc>
        <w:tc>
          <w:tcPr>
            <w:tcW w:w="154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jc w:val="right"/>
              <w:rPr>
                <w:rFonts w:ascii="Calibri" w:eastAsia="Times New Roman" w:hAnsi="Calibri" w:cs="Calibri"/>
                <w:color w:val="000000"/>
                <w:lang w:eastAsia="en-IN"/>
              </w:rPr>
            </w:pPr>
            <w:r w:rsidRPr="00195BDD">
              <w:rPr>
                <w:rFonts w:ascii="Calibri" w:eastAsia="Times New Roman" w:hAnsi="Calibri" w:cs="Calibri"/>
                <w:color w:val="000000"/>
                <w:lang w:eastAsia="en-IN"/>
              </w:rPr>
              <w:t>0.182253216</w:t>
            </w: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jc w:val="right"/>
              <w:rPr>
                <w:rFonts w:ascii="Calibri" w:eastAsia="Times New Roman" w:hAnsi="Calibri" w:cs="Calibri"/>
                <w:color w:val="000000"/>
                <w:lang w:eastAsia="en-IN"/>
              </w:rPr>
            </w:pPr>
            <w:r w:rsidRPr="00195BDD">
              <w:rPr>
                <w:rFonts w:ascii="Calibri" w:eastAsia="Times New Roman" w:hAnsi="Calibri" w:cs="Calibri"/>
                <w:color w:val="000000"/>
                <w:lang w:eastAsia="en-IN"/>
              </w:rPr>
              <w:t>0.060751072</w:t>
            </w: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jc w:val="right"/>
              <w:rPr>
                <w:rFonts w:ascii="Calibri" w:eastAsia="Times New Roman" w:hAnsi="Calibri" w:cs="Calibri"/>
                <w:color w:val="000000"/>
                <w:lang w:eastAsia="en-IN"/>
              </w:rPr>
            </w:pPr>
            <w:r w:rsidRPr="00195BDD">
              <w:rPr>
                <w:rFonts w:ascii="Calibri" w:eastAsia="Times New Roman" w:hAnsi="Calibri" w:cs="Calibri"/>
                <w:color w:val="000000"/>
                <w:lang w:eastAsia="en-IN"/>
              </w:rPr>
              <w:t>0.775025206</w:t>
            </w:r>
          </w:p>
        </w:tc>
        <w:tc>
          <w:tcPr>
            <w:tcW w:w="142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jc w:val="right"/>
              <w:rPr>
                <w:rFonts w:ascii="Calibri" w:eastAsia="Times New Roman" w:hAnsi="Calibri" w:cs="Calibri"/>
                <w:color w:val="000000"/>
                <w:lang w:eastAsia="en-IN"/>
              </w:rPr>
            </w:pPr>
            <w:r w:rsidRPr="00195BDD">
              <w:rPr>
                <w:rFonts w:ascii="Calibri" w:eastAsia="Times New Roman" w:hAnsi="Calibri" w:cs="Calibri"/>
                <w:color w:val="000000"/>
                <w:lang w:eastAsia="en-IN"/>
              </w:rPr>
              <w:t>0.516574433</w:t>
            </w:r>
          </w:p>
        </w:tc>
      </w:tr>
      <w:tr w:rsidR="00FC7065" w:rsidRPr="00195BDD" w:rsidTr="00296446">
        <w:trPr>
          <w:trHeight w:val="300"/>
        </w:trPr>
        <w:tc>
          <w:tcPr>
            <w:tcW w:w="1669"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Calibri" w:eastAsia="Times New Roman" w:hAnsi="Calibri" w:cs="Calibri"/>
                <w:color w:val="000000"/>
                <w:lang w:eastAsia="en-IN"/>
              </w:rPr>
            </w:pPr>
            <w:r w:rsidRPr="00195BDD">
              <w:rPr>
                <w:rFonts w:ascii="Calibri" w:eastAsia="Times New Roman" w:hAnsi="Calibri" w:cs="Calibri"/>
                <w:color w:val="000000"/>
                <w:lang w:eastAsia="en-IN"/>
              </w:rPr>
              <w:t>Residual</w:t>
            </w:r>
          </w:p>
        </w:tc>
        <w:tc>
          <w:tcPr>
            <w:tcW w:w="1268"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jc w:val="right"/>
              <w:rPr>
                <w:rFonts w:ascii="Calibri" w:eastAsia="Times New Roman" w:hAnsi="Calibri" w:cs="Calibri"/>
                <w:color w:val="000000"/>
                <w:lang w:eastAsia="en-IN"/>
              </w:rPr>
            </w:pPr>
            <w:r w:rsidRPr="00195BDD">
              <w:rPr>
                <w:rFonts w:ascii="Calibri" w:eastAsia="Times New Roman" w:hAnsi="Calibri" w:cs="Calibri"/>
                <w:color w:val="000000"/>
                <w:lang w:eastAsia="en-IN"/>
              </w:rPr>
              <w:t>32</w:t>
            </w:r>
          </w:p>
        </w:tc>
        <w:tc>
          <w:tcPr>
            <w:tcW w:w="154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jc w:val="right"/>
              <w:rPr>
                <w:rFonts w:ascii="Calibri" w:eastAsia="Times New Roman" w:hAnsi="Calibri" w:cs="Calibri"/>
                <w:color w:val="000000"/>
                <w:lang w:eastAsia="en-IN"/>
              </w:rPr>
            </w:pPr>
            <w:r w:rsidRPr="00195BDD">
              <w:rPr>
                <w:rFonts w:ascii="Calibri" w:eastAsia="Times New Roman" w:hAnsi="Calibri" w:cs="Calibri"/>
                <w:color w:val="000000"/>
                <w:lang w:eastAsia="en-IN"/>
              </w:rPr>
              <w:t>2.508349784</w:t>
            </w: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jc w:val="right"/>
              <w:rPr>
                <w:rFonts w:ascii="Calibri" w:eastAsia="Times New Roman" w:hAnsi="Calibri" w:cs="Calibri"/>
                <w:color w:val="000000"/>
                <w:lang w:eastAsia="en-IN"/>
              </w:rPr>
            </w:pPr>
            <w:r w:rsidRPr="00195BDD">
              <w:rPr>
                <w:rFonts w:ascii="Calibri" w:eastAsia="Times New Roman" w:hAnsi="Calibri" w:cs="Calibri"/>
                <w:color w:val="000000"/>
                <w:lang w:eastAsia="en-IN"/>
              </w:rPr>
              <w:t>0.078385931</w:t>
            </w:r>
          </w:p>
        </w:tc>
        <w:tc>
          <w:tcPr>
            <w:tcW w:w="126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jc w:val="right"/>
              <w:rPr>
                <w:rFonts w:ascii="Calibri" w:eastAsia="Times New Roman" w:hAnsi="Calibri" w:cs="Calibri"/>
                <w:color w:val="000000"/>
                <w:lang w:eastAsia="en-IN"/>
              </w:rPr>
            </w:pPr>
          </w:p>
        </w:tc>
        <w:tc>
          <w:tcPr>
            <w:tcW w:w="1420" w:type="dxa"/>
            <w:tcBorders>
              <w:top w:val="nil"/>
              <w:left w:val="nil"/>
              <w:bottom w:val="nil"/>
              <w:right w:val="nil"/>
            </w:tcBorders>
            <w:shd w:val="clear" w:color="auto" w:fill="auto"/>
            <w:noWrap/>
            <w:vAlign w:val="bottom"/>
            <w:hideMark/>
          </w:tcPr>
          <w:p w:rsidR="00FC7065" w:rsidRPr="00195BDD" w:rsidRDefault="00FC7065" w:rsidP="00296446">
            <w:pPr>
              <w:spacing w:after="0" w:line="240" w:lineRule="auto"/>
              <w:rPr>
                <w:rFonts w:ascii="Times New Roman" w:eastAsia="Times New Roman" w:hAnsi="Times New Roman" w:cs="Times New Roman"/>
                <w:sz w:val="20"/>
                <w:szCs w:val="20"/>
                <w:lang w:eastAsia="en-IN"/>
              </w:rPr>
            </w:pPr>
          </w:p>
        </w:tc>
      </w:tr>
      <w:tr w:rsidR="00FC7065" w:rsidRPr="00195BDD" w:rsidTr="00296446">
        <w:trPr>
          <w:trHeight w:val="315"/>
        </w:trPr>
        <w:tc>
          <w:tcPr>
            <w:tcW w:w="1669" w:type="dxa"/>
            <w:tcBorders>
              <w:top w:val="nil"/>
              <w:left w:val="nil"/>
              <w:bottom w:val="single" w:sz="8" w:space="0" w:color="auto"/>
              <w:right w:val="nil"/>
            </w:tcBorders>
            <w:shd w:val="clear" w:color="auto" w:fill="auto"/>
            <w:noWrap/>
            <w:vAlign w:val="bottom"/>
            <w:hideMark/>
          </w:tcPr>
          <w:p w:rsidR="00FC7065" w:rsidRPr="00195BDD" w:rsidRDefault="00FC7065" w:rsidP="00296446">
            <w:pPr>
              <w:spacing w:after="0" w:line="240" w:lineRule="auto"/>
              <w:rPr>
                <w:rFonts w:ascii="Calibri" w:eastAsia="Times New Roman" w:hAnsi="Calibri" w:cs="Calibri"/>
                <w:color w:val="000000"/>
                <w:lang w:eastAsia="en-IN"/>
              </w:rPr>
            </w:pPr>
            <w:r w:rsidRPr="00195BDD">
              <w:rPr>
                <w:rFonts w:ascii="Calibri" w:eastAsia="Times New Roman" w:hAnsi="Calibri" w:cs="Calibri"/>
                <w:color w:val="000000"/>
                <w:lang w:eastAsia="en-IN"/>
              </w:rPr>
              <w:t>Total</w:t>
            </w:r>
          </w:p>
        </w:tc>
        <w:tc>
          <w:tcPr>
            <w:tcW w:w="1268" w:type="dxa"/>
            <w:tcBorders>
              <w:top w:val="nil"/>
              <w:left w:val="nil"/>
              <w:bottom w:val="single" w:sz="8" w:space="0" w:color="auto"/>
              <w:right w:val="nil"/>
            </w:tcBorders>
            <w:shd w:val="clear" w:color="auto" w:fill="auto"/>
            <w:noWrap/>
            <w:vAlign w:val="bottom"/>
            <w:hideMark/>
          </w:tcPr>
          <w:p w:rsidR="00FC7065" w:rsidRPr="00195BDD" w:rsidRDefault="00FC7065" w:rsidP="00296446">
            <w:pPr>
              <w:spacing w:after="0" w:line="240" w:lineRule="auto"/>
              <w:jc w:val="right"/>
              <w:rPr>
                <w:rFonts w:ascii="Calibri" w:eastAsia="Times New Roman" w:hAnsi="Calibri" w:cs="Calibri"/>
                <w:color w:val="000000"/>
                <w:lang w:eastAsia="en-IN"/>
              </w:rPr>
            </w:pPr>
            <w:r w:rsidRPr="00195BDD">
              <w:rPr>
                <w:rFonts w:ascii="Calibri" w:eastAsia="Times New Roman" w:hAnsi="Calibri" w:cs="Calibri"/>
                <w:color w:val="000000"/>
                <w:lang w:eastAsia="en-IN"/>
              </w:rPr>
              <w:t>35</w:t>
            </w:r>
          </w:p>
        </w:tc>
        <w:tc>
          <w:tcPr>
            <w:tcW w:w="1540" w:type="dxa"/>
            <w:tcBorders>
              <w:top w:val="nil"/>
              <w:left w:val="nil"/>
              <w:bottom w:val="single" w:sz="8" w:space="0" w:color="auto"/>
              <w:right w:val="nil"/>
            </w:tcBorders>
            <w:shd w:val="clear" w:color="auto" w:fill="auto"/>
            <w:noWrap/>
            <w:vAlign w:val="bottom"/>
            <w:hideMark/>
          </w:tcPr>
          <w:p w:rsidR="00FC7065" w:rsidRPr="00195BDD" w:rsidRDefault="00FC7065" w:rsidP="00296446">
            <w:pPr>
              <w:spacing w:after="0" w:line="240" w:lineRule="auto"/>
              <w:jc w:val="right"/>
              <w:rPr>
                <w:rFonts w:ascii="Calibri" w:eastAsia="Times New Roman" w:hAnsi="Calibri" w:cs="Calibri"/>
                <w:color w:val="000000"/>
                <w:lang w:eastAsia="en-IN"/>
              </w:rPr>
            </w:pPr>
            <w:r w:rsidRPr="00195BDD">
              <w:rPr>
                <w:rFonts w:ascii="Calibri" w:eastAsia="Times New Roman" w:hAnsi="Calibri" w:cs="Calibri"/>
                <w:color w:val="000000"/>
                <w:lang w:eastAsia="en-IN"/>
              </w:rPr>
              <w:t>2.690603</w:t>
            </w:r>
          </w:p>
        </w:tc>
        <w:tc>
          <w:tcPr>
            <w:tcW w:w="1260" w:type="dxa"/>
            <w:tcBorders>
              <w:top w:val="nil"/>
              <w:left w:val="nil"/>
              <w:bottom w:val="single" w:sz="8" w:space="0" w:color="auto"/>
              <w:right w:val="nil"/>
            </w:tcBorders>
            <w:shd w:val="clear" w:color="auto" w:fill="auto"/>
            <w:noWrap/>
            <w:vAlign w:val="bottom"/>
            <w:hideMark/>
          </w:tcPr>
          <w:p w:rsidR="00FC7065" w:rsidRPr="00195BDD" w:rsidRDefault="00FC7065" w:rsidP="00296446">
            <w:pPr>
              <w:spacing w:after="0" w:line="240" w:lineRule="auto"/>
              <w:rPr>
                <w:rFonts w:ascii="Calibri" w:eastAsia="Times New Roman" w:hAnsi="Calibri" w:cs="Calibri"/>
                <w:color w:val="000000"/>
                <w:lang w:eastAsia="en-IN"/>
              </w:rPr>
            </w:pPr>
            <w:r w:rsidRPr="00195BDD">
              <w:rPr>
                <w:rFonts w:ascii="Calibri" w:eastAsia="Times New Roman" w:hAnsi="Calibri" w:cs="Calibri"/>
                <w:color w:val="000000"/>
                <w:lang w:eastAsia="en-IN"/>
              </w:rPr>
              <w:t> </w:t>
            </w:r>
          </w:p>
        </w:tc>
        <w:tc>
          <w:tcPr>
            <w:tcW w:w="1260" w:type="dxa"/>
            <w:tcBorders>
              <w:top w:val="nil"/>
              <w:left w:val="nil"/>
              <w:bottom w:val="single" w:sz="8" w:space="0" w:color="auto"/>
              <w:right w:val="nil"/>
            </w:tcBorders>
            <w:shd w:val="clear" w:color="auto" w:fill="auto"/>
            <w:noWrap/>
            <w:vAlign w:val="bottom"/>
            <w:hideMark/>
          </w:tcPr>
          <w:p w:rsidR="00FC7065" w:rsidRPr="00195BDD" w:rsidRDefault="00FC7065" w:rsidP="00296446">
            <w:pPr>
              <w:spacing w:after="0" w:line="240" w:lineRule="auto"/>
              <w:rPr>
                <w:rFonts w:ascii="Calibri" w:eastAsia="Times New Roman" w:hAnsi="Calibri" w:cs="Calibri"/>
                <w:color w:val="000000"/>
                <w:lang w:eastAsia="en-IN"/>
              </w:rPr>
            </w:pPr>
            <w:r w:rsidRPr="00195BDD">
              <w:rPr>
                <w:rFonts w:ascii="Calibri" w:eastAsia="Times New Roman" w:hAnsi="Calibri" w:cs="Calibri"/>
                <w:color w:val="000000"/>
                <w:lang w:eastAsia="en-IN"/>
              </w:rPr>
              <w:t> </w:t>
            </w:r>
          </w:p>
        </w:tc>
        <w:tc>
          <w:tcPr>
            <w:tcW w:w="1420" w:type="dxa"/>
            <w:tcBorders>
              <w:top w:val="nil"/>
              <w:left w:val="nil"/>
              <w:bottom w:val="single" w:sz="8" w:space="0" w:color="auto"/>
              <w:right w:val="nil"/>
            </w:tcBorders>
            <w:shd w:val="clear" w:color="auto" w:fill="auto"/>
            <w:noWrap/>
            <w:vAlign w:val="bottom"/>
            <w:hideMark/>
          </w:tcPr>
          <w:p w:rsidR="00FC7065" w:rsidRPr="00195BDD" w:rsidRDefault="00FC7065" w:rsidP="00296446">
            <w:pPr>
              <w:spacing w:after="0" w:line="240" w:lineRule="auto"/>
              <w:rPr>
                <w:rFonts w:ascii="Calibri" w:eastAsia="Times New Roman" w:hAnsi="Calibri" w:cs="Calibri"/>
                <w:color w:val="000000"/>
                <w:lang w:eastAsia="en-IN"/>
              </w:rPr>
            </w:pPr>
            <w:r w:rsidRPr="00195BDD">
              <w:rPr>
                <w:rFonts w:ascii="Calibri" w:eastAsia="Times New Roman" w:hAnsi="Calibri" w:cs="Calibri"/>
                <w:color w:val="000000"/>
                <w:lang w:eastAsia="en-IN"/>
              </w:rPr>
              <w:t> </w:t>
            </w:r>
          </w:p>
        </w:tc>
      </w:tr>
    </w:tbl>
    <w:p w:rsidR="00FC7065" w:rsidRDefault="00FC7065" w:rsidP="00FC7065"/>
    <w:p w:rsidR="00FC7065" w:rsidRDefault="00FC7065" w:rsidP="00FC7065">
      <w:r w:rsidRPr="002126B0">
        <w:t>Here, the p-value shows the likelihood that the population mean varies, while the F value shows the model's overall significance. The null hypothesis is rejected in this ca</w:t>
      </w:r>
      <w:r>
        <w:t>se since the value of F is 0.775025 and the p-value is 0.5165</w:t>
      </w:r>
      <w:r w:rsidRPr="002126B0">
        <w:t>, which is less than the model significance threshold of 0.10 and indicates that the variables assumed here have an effect on the bank's profitability.</w:t>
      </w:r>
    </w:p>
    <w:p w:rsidR="00FC7065" w:rsidRDefault="00FC7065" w:rsidP="00FC7065">
      <w:r w:rsidRPr="00314852">
        <w:t>Hypothesis 1: The equity capital of the bank, loans to non</w:t>
      </w:r>
      <w:r>
        <w:t>-</w:t>
      </w:r>
      <w:r w:rsidRPr="00314852">
        <w:t>profit organisations, operational costs, total deposits, asset size, total interest revenue, and loan advances all h</w:t>
      </w:r>
      <w:r>
        <w:t>ave a big influence on the firm</w:t>
      </w:r>
      <w:r w:rsidRPr="00314852">
        <w:t>’s financial performance.</w:t>
      </w:r>
      <w:r>
        <w:t xml:space="preserve"> </w:t>
      </w:r>
      <w:r w:rsidRPr="006155BE">
        <w:t>According to the regression model earlier in this section, the response variable, which includes total deposits, total interest income, NPL, equity capital, ownership equity, an</w:t>
      </w:r>
      <w:r>
        <w:t>d asset size, accounts for 0.06773</w:t>
      </w:r>
      <w:r w:rsidRPr="006155BE">
        <w:t xml:space="preserve"> of the regres</w:t>
      </w:r>
      <w:r>
        <w:t xml:space="preserve">sion coefficient. Which means the value of </w:t>
      </w:r>
      <w:r w:rsidRPr="006155BE">
        <w:t>adjusted r - square is.626</w:t>
      </w:r>
      <w:r>
        <w:t>.</w:t>
      </w:r>
    </w:p>
    <w:p w:rsidR="00FC7065" w:rsidRDefault="00FC7065" w:rsidP="00FC7065">
      <w:r w:rsidRPr="00110EE0">
        <w:lastRenderedPageBreak/>
        <w:t>Se</w:t>
      </w:r>
      <w:r>
        <w:t>veral chosen elements are impor</w:t>
      </w:r>
      <w:r w:rsidRPr="00110EE0">
        <w:t>tant enough to alter the fluctuation of the bank's ROA, indicating that they have an impact on the degree of profitability of the bank. The coeff</w:t>
      </w:r>
      <w:r>
        <w:t>icient of determination is 0.51, and that is more</w:t>
      </w:r>
      <w:r w:rsidRPr="00110EE0">
        <w:t xml:space="preserve"> than that of the threshold of 0.10</w:t>
      </w:r>
      <w:r>
        <w:t>.</w:t>
      </w:r>
    </w:p>
    <w:p w:rsidR="00FC7065" w:rsidRDefault="00EA02A6" w:rsidP="00FC7065">
      <w:r w:rsidRPr="00EA02A6">
        <w:t>As these variables' R square values were 0.06773 and their significance levels were 0.07, they clearly had a significant impact. NPL, loans and advances, liquidity status, and total bank revenue account for 86.5% of the variation within the dependent measure ROA with a significance level of less than 0.05, according to additional cross-sectional research by Alp (2012).</w:t>
      </w:r>
    </w:p>
    <w:tbl>
      <w:tblPr>
        <w:tblW w:w="928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43"/>
        <w:gridCol w:w="1353"/>
        <w:gridCol w:w="1534"/>
        <w:gridCol w:w="1533"/>
        <w:gridCol w:w="1686"/>
        <w:gridCol w:w="1170"/>
        <w:gridCol w:w="1170"/>
      </w:tblGrid>
      <w:tr w:rsidR="00FC7065" w:rsidRPr="00707046" w:rsidTr="00296446">
        <w:trPr>
          <w:cantSplit/>
          <w:trHeight w:val="936"/>
          <w:tblHeader/>
          <w:jc w:val="center"/>
        </w:trPr>
        <w:tc>
          <w:tcPr>
            <w:tcW w:w="2196"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FC7065" w:rsidRPr="00707046" w:rsidRDefault="00FC7065" w:rsidP="00296446">
            <w:pPr>
              <w:autoSpaceDE w:val="0"/>
              <w:autoSpaceDN w:val="0"/>
              <w:adjustRightInd w:val="0"/>
              <w:spacing w:after="0" w:line="320" w:lineRule="atLeast"/>
              <w:rPr>
                <w:rFonts w:ascii="Arial" w:hAnsi="Arial" w:cs="Arial"/>
                <w:color w:val="000000"/>
                <w:sz w:val="18"/>
                <w:szCs w:val="18"/>
                <w:lang w:val="en-US"/>
              </w:rPr>
            </w:pPr>
            <w:r w:rsidRPr="00707046">
              <w:rPr>
                <w:rFonts w:ascii="Arial" w:hAnsi="Arial" w:cs="Arial"/>
                <w:color w:val="000000"/>
                <w:sz w:val="18"/>
                <w:szCs w:val="18"/>
                <w:lang w:val="en-US"/>
              </w:rPr>
              <w:t>Model</w:t>
            </w:r>
          </w:p>
        </w:tc>
        <w:tc>
          <w:tcPr>
            <w:tcW w:w="3067"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FC7065" w:rsidRPr="00707046" w:rsidRDefault="00FC7065" w:rsidP="00296446">
            <w:pPr>
              <w:autoSpaceDE w:val="0"/>
              <w:autoSpaceDN w:val="0"/>
              <w:adjustRightInd w:val="0"/>
              <w:spacing w:after="0" w:line="320" w:lineRule="atLeast"/>
              <w:jc w:val="center"/>
              <w:rPr>
                <w:rFonts w:ascii="Arial" w:hAnsi="Arial" w:cs="Arial"/>
                <w:color w:val="000000"/>
                <w:sz w:val="18"/>
                <w:szCs w:val="18"/>
                <w:lang w:val="en-US"/>
              </w:rPr>
            </w:pPr>
            <w:r w:rsidRPr="00707046">
              <w:rPr>
                <w:rFonts w:ascii="Arial" w:hAnsi="Arial" w:cs="Arial"/>
                <w:color w:val="000000"/>
                <w:sz w:val="18"/>
                <w:szCs w:val="18"/>
                <w:lang w:val="en-US"/>
              </w:rPr>
              <w:t>Unstandardized Coefficients</w:t>
            </w:r>
          </w:p>
        </w:tc>
        <w:tc>
          <w:tcPr>
            <w:tcW w:w="1686" w:type="dxa"/>
            <w:tcBorders>
              <w:top w:val="single" w:sz="16" w:space="0" w:color="000000"/>
            </w:tcBorders>
            <w:shd w:val="clear" w:color="auto" w:fill="FFFFFF"/>
            <w:tcMar>
              <w:top w:w="30" w:type="dxa"/>
              <w:left w:w="30" w:type="dxa"/>
              <w:bottom w:w="30" w:type="dxa"/>
              <w:right w:w="30" w:type="dxa"/>
            </w:tcMar>
            <w:vAlign w:val="bottom"/>
          </w:tcPr>
          <w:p w:rsidR="00FC7065" w:rsidRPr="00707046" w:rsidRDefault="00FC7065" w:rsidP="00296446">
            <w:pPr>
              <w:autoSpaceDE w:val="0"/>
              <w:autoSpaceDN w:val="0"/>
              <w:adjustRightInd w:val="0"/>
              <w:spacing w:after="0" w:line="320" w:lineRule="atLeast"/>
              <w:jc w:val="center"/>
              <w:rPr>
                <w:rFonts w:ascii="Arial" w:hAnsi="Arial" w:cs="Arial"/>
                <w:color w:val="000000"/>
                <w:sz w:val="18"/>
                <w:szCs w:val="18"/>
                <w:lang w:val="en-US"/>
              </w:rPr>
            </w:pPr>
            <w:r w:rsidRPr="00707046">
              <w:rPr>
                <w:rFonts w:ascii="Arial" w:hAnsi="Arial" w:cs="Arial"/>
                <w:color w:val="000000"/>
                <w:sz w:val="18"/>
                <w:szCs w:val="18"/>
                <w:lang w:val="en-US"/>
              </w:rPr>
              <w:t>Standardized Coefficients</w:t>
            </w:r>
          </w:p>
        </w:tc>
        <w:tc>
          <w:tcPr>
            <w:tcW w:w="1170"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FC7065" w:rsidRPr="00707046" w:rsidRDefault="005264F4" w:rsidP="00296446">
            <w:pPr>
              <w:autoSpaceDE w:val="0"/>
              <w:autoSpaceDN w:val="0"/>
              <w:adjustRightInd w:val="0"/>
              <w:spacing w:after="0" w:line="320" w:lineRule="atLeast"/>
              <w:jc w:val="center"/>
              <w:rPr>
                <w:rFonts w:ascii="Arial" w:hAnsi="Arial" w:cs="Arial"/>
                <w:color w:val="000000"/>
                <w:sz w:val="18"/>
                <w:szCs w:val="18"/>
                <w:lang w:val="en-US"/>
              </w:rPr>
            </w:pPr>
            <w:r w:rsidRPr="00707046">
              <w:rPr>
                <w:rFonts w:ascii="Arial" w:hAnsi="Arial" w:cs="Arial"/>
                <w:color w:val="000000"/>
                <w:sz w:val="18"/>
                <w:szCs w:val="18"/>
                <w:lang w:val="en-US"/>
              </w:rPr>
              <w:t>T</w:t>
            </w:r>
          </w:p>
        </w:tc>
        <w:tc>
          <w:tcPr>
            <w:tcW w:w="1170" w:type="dxa"/>
            <w:vMerge w:val="restar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FC7065" w:rsidRPr="00707046" w:rsidRDefault="00FC7065" w:rsidP="00296446">
            <w:pPr>
              <w:autoSpaceDE w:val="0"/>
              <w:autoSpaceDN w:val="0"/>
              <w:adjustRightInd w:val="0"/>
              <w:spacing w:after="0" w:line="320" w:lineRule="atLeast"/>
              <w:jc w:val="center"/>
              <w:rPr>
                <w:rFonts w:ascii="Arial" w:hAnsi="Arial" w:cs="Arial"/>
                <w:color w:val="000000"/>
                <w:sz w:val="18"/>
                <w:szCs w:val="18"/>
                <w:lang w:val="en-US"/>
              </w:rPr>
            </w:pPr>
            <w:r w:rsidRPr="00707046">
              <w:rPr>
                <w:rFonts w:ascii="Arial" w:hAnsi="Arial" w:cs="Arial"/>
                <w:color w:val="000000"/>
                <w:sz w:val="18"/>
                <w:szCs w:val="18"/>
                <w:lang w:val="en-US"/>
              </w:rPr>
              <w:t>Sig.</w:t>
            </w:r>
          </w:p>
        </w:tc>
      </w:tr>
      <w:tr w:rsidR="00FC7065" w:rsidRPr="00707046" w:rsidTr="00296446">
        <w:trPr>
          <w:cantSplit/>
          <w:trHeight w:val="530"/>
          <w:tblHeader/>
          <w:jc w:val="center"/>
        </w:trPr>
        <w:tc>
          <w:tcPr>
            <w:tcW w:w="2196"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FC7065" w:rsidRPr="00707046" w:rsidRDefault="00FC7065" w:rsidP="00296446">
            <w:pPr>
              <w:autoSpaceDE w:val="0"/>
              <w:autoSpaceDN w:val="0"/>
              <w:adjustRightInd w:val="0"/>
              <w:spacing w:after="0" w:line="240" w:lineRule="auto"/>
              <w:rPr>
                <w:rFonts w:ascii="Arial" w:hAnsi="Arial" w:cs="Arial"/>
                <w:color w:val="000000"/>
                <w:sz w:val="18"/>
                <w:szCs w:val="18"/>
                <w:lang w:val="en-US"/>
              </w:rPr>
            </w:pPr>
          </w:p>
        </w:tc>
        <w:tc>
          <w:tcPr>
            <w:tcW w:w="1534"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FC7065" w:rsidRPr="00707046" w:rsidRDefault="00FC7065" w:rsidP="00296446">
            <w:pPr>
              <w:autoSpaceDE w:val="0"/>
              <w:autoSpaceDN w:val="0"/>
              <w:adjustRightInd w:val="0"/>
              <w:spacing w:after="0" w:line="320" w:lineRule="atLeast"/>
              <w:jc w:val="center"/>
              <w:rPr>
                <w:rFonts w:ascii="Arial" w:hAnsi="Arial" w:cs="Arial"/>
                <w:color w:val="000000"/>
                <w:sz w:val="18"/>
                <w:szCs w:val="18"/>
                <w:lang w:val="en-US"/>
              </w:rPr>
            </w:pPr>
            <w:r w:rsidRPr="00707046">
              <w:rPr>
                <w:rFonts w:ascii="Arial" w:hAnsi="Arial" w:cs="Arial"/>
                <w:color w:val="000000"/>
                <w:sz w:val="18"/>
                <w:szCs w:val="18"/>
                <w:lang w:val="en-US"/>
              </w:rPr>
              <w:t>B</w:t>
            </w:r>
          </w:p>
        </w:tc>
        <w:tc>
          <w:tcPr>
            <w:tcW w:w="1533" w:type="dxa"/>
            <w:tcBorders>
              <w:bottom w:val="single" w:sz="16" w:space="0" w:color="000000"/>
            </w:tcBorders>
            <w:shd w:val="clear" w:color="auto" w:fill="FFFFFF"/>
            <w:tcMar>
              <w:top w:w="30" w:type="dxa"/>
              <w:left w:w="30" w:type="dxa"/>
              <w:bottom w:w="30" w:type="dxa"/>
              <w:right w:w="30" w:type="dxa"/>
            </w:tcMar>
            <w:vAlign w:val="bottom"/>
          </w:tcPr>
          <w:p w:rsidR="00FC7065" w:rsidRPr="00707046" w:rsidRDefault="00FC7065" w:rsidP="00296446">
            <w:pPr>
              <w:autoSpaceDE w:val="0"/>
              <w:autoSpaceDN w:val="0"/>
              <w:adjustRightInd w:val="0"/>
              <w:spacing w:after="0" w:line="320" w:lineRule="atLeast"/>
              <w:jc w:val="center"/>
              <w:rPr>
                <w:rFonts w:ascii="Arial" w:hAnsi="Arial" w:cs="Arial"/>
                <w:color w:val="000000"/>
                <w:sz w:val="18"/>
                <w:szCs w:val="18"/>
                <w:lang w:val="en-US"/>
              </w:rPr>
            </w:pPr>
            <w:r w:rsidRPr="00707046">
              <w:rPr>
                <w:rFonts w:ascii="Arial" w:hAnsi="Arial" w:cs="Arial"/>
                <w:color w:val="000000"/>
                <w:sz w:val="18"/>
                <w:szCs w:val="18"/>
                <w:lang w:val="en-US"/>
              </w:rPr>
              <w:t>Std. Error</w:t>
            </w:r>
          </w:p>
        </w:tc>
        <w:tc>
          <w:tcPr>
            <w:tcW w:w="1686" w:type="dxa"/>
            <w:tcBorders>
              <w:bottom w:val="single" w:sz="16" w:space="0" w:color="000000"/>
            </w:tcBorders>
            <w:shd w:val="clear" w:color="auto" w:fill="FFFFFF"/>
            <w:tcMar>
              <w:top w:w="30" w:type="dxa"/>
              <w:left w:w="30" w:type="dxa"/>
              <w:bottom w:w="30" w:type="dxa"/>
              <w:right w:w="30" w:type="dxa"/>
            </w:tcMar>
            <w:vAlign w:val="bottom"/>
          </w:tcPr>
          <w:p w:rsidR="00FC7065" w:rsidRPr="00707046" w:rsidRDefault="00FC7065" w:rsidP="00296446">
            <w:pPr>
              <w:autoSpaceDE w:val="0"/>
              <w:autoSpaceDN w:val="0"/>
              <w:adjustRightInd w:val="0"/>
              <w:spacing w:after="0" w:line="320" w:lineRule="atLeast"/>
              <w:jc w:val="center"/>
              <w:rPr>
                <w:rFonts w:ascii="Arial" w:hAnsi="Arial" w:cs="Arial"/>
                <w:color w:val="000000"/>
                <w:sz w:val="18"/>
                <w:szCs w:val="18"/>
                <w:lang w:val="en-US"/>
              </w:rPr>
            </w:pPr>
            <w:r w:rsidRPr="00707046">
              <w:rPr>
                <w:rFonts w:ascii="Arial" w:hAnsi="Arial" w:cs="Arial"/>
                <w:color w:val="000000"/>
                <w:sz w:val="18"/>
                <w:szCs w:val="18"/>
                <w:lang w:val="en-US"/>
              </w:rPr>
              <w:t>Beta</w:t>
            </w:r>
          </w:p>
        </w:tc>
        <w:tc>
          <w:tcPr>
            <w:tcW w:w="1170"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FC7065" w:rsidRPr="00707046" w:rsidRDefault="00FC7065" w:rsidP="00296446">
            <w:pPr>
              <w:autoSpaceDE w:val="0"/>
              <w:autoSpaceDN w:val="0"/>
              <w:adjustRightInd w:val="0"/>
              <w:spacing w:after="0" w:line="240" w:lineRule="auto"/>
              <w:rPr>
                <w:rFonts w:ascii="Arial" w:hAnsi="Arial" w:cs="Arial"/>
                <w:color w:val="000000"/>
                <w:sz w:val="18"/>
                <w:szCs w:val="18"/>
                <w:lang w:val="en-US"/>
              </w:rPr>
            </w:pPr>
          </w:p>
        </w:tc>
        <w:tc>
          <w:tcPr>
            <w:tcW w:w="1170" w:type="dxa"/>
            <w:vMerge/>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FC7065" w:rsidRPr="00707046" w:rsidRDefault="00FC7065" w:rsidP="00296446">
            <w:pPr>
              <w:autoSpaceDE w:val="0"/>
              <w:autoSpaceDN w:val="0"/>
              <w:adjustRightInd w:val="0"/>
              <w:spacing w:after="0" w:line="240" w:lineRule="auto"/>
              <w:rPr>
                <w:rFonts w:ascii="Arial" w:hAnsi="Arial" w:cs="Arial"/>
                <w:color w:val="000000"/>
                <w:sz w:val="18"/>
                <w:szCs w:val="18"/>
                <w:lang w:val="en-US"/>
              </w:rPr>
            </w:pPr>
          </w:p>
        </w:tc>
      </w:tr>
      <w:tr w:rsidR="00FC7065" w:rsidRPr="00707046" w:rsidTr="00296446">
        <w:trPr>
          <w:cantSplit/>
          <w:trHeight w:val="480"/>
          <w:tblHeader/>
          <w:jc w:val="center"/>
        </w:trPr>
        <w:tc>
          <w:tcPr>
            <w:tcW w:w="843"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320" w:lineRule="atLeast"/>
              <w:rPr>
                <w:rFonts w:ascii="Arial" w:hAnsi="Arial" w:cs="Arial"/>
                <w:color w:val="000000"/>
                <w:sz w:val="18"/>
                <w:szCs w:val="18"/>
                <w:lang w:val="en-US"/>
              </w:rPr>
            </w:pPr>
            <w:r w:rsidRPr="00707046">
              <w:rPr>
                <w:rFonts w:ascii="Arial" w:hAnsi="Arial" w:cs="Arial"/>
                <w:color w:val="000000"/>
                <w:sz w:val="18"/>
                <w:szCs w:val="18"/>
                <w:lang w:val="en-US"/>
              </w:rPr>
              <w:t>1</w:t>
            </w:r>
          </w:p>
        </w:tc>
        <w:tc>
          <w:tcPr>
            <w:tcW w:w="1353"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320" w:lineRule="atLeast"/>
              <w:rPr>
                <w:rFonts w:ascii="Arial" w:hAnsi="Arial" w:cs="Arial"/>
                <w:color w:val="000000"/>
                <w:sz w:val="18"/>
                <w:szCs w:val="18"/>
                <w:lang w:val="en-US"/>
              </w:rPr>
            </w:pPr>
            <w:r w:rsidRPr="00707046">
              <w:rPr>
                <w:rFonts w:ascii="Arial" w:hAnsi="Arial" w:cs="Arial"/>
                <w:color w:val="000000"/>
                <w:sz w:val="18"/>
                <w:szCs w:val="18"/>
                <w:lang w:val="en-US"/>
              </w:rPr>
              <w:t>(Constant)</w:t>
            </w:r>
          </w:p>
        </w:tc>
        <w:tc>
          <w:tcPr>
            <w:tcW w:w="1534"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-0.079</w:t>
            </w:r>
          </w:p>
        </w:tc>
        <w:tc>
          <w:tcPr>
            <w:tcW w:w="1533" w:type="dxa"/>
            <w:tcBorders>
              <w:top w:val="single" w:sz="16" w:space="0" w:color="000000"/>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0.247</w:t>
            </w:r>
          </w:p>
        </w:tc>
        <w:tc>
          <w:tcPr>
            <w:tcW w:w="1686" w:type="dxa"/>
            <w:tcBorders>
              <w:top w:val="single" w:sz="16" w:space="0" w:color="000000"/>
              <w:bottom w:val="nil"/>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240" w:lineRule="auto"/>
              <w:rPr>
                <w:rFonts w:cs="Times New Roman"/>
                <w:szCs w:val="24"/>
                <w:lang w:val="en-US"/>
              </w:rPr>
            </w:pPr>
          </w:p>
        </w:tc>
        <w:tc>
          <w:tcPr>
            <w:tcW w:w="1170" w:type="dxa"/>
            <w:tcBorders>
              <w:top w:val="single" w:sz="16" w:space="0" w:color="000000"/>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-3.162</w:t>
            </w:r>
          </w:p>
        </w:tc>
        <w:tc>
          <w:tcPr>
            <w:tcW w:w="1170"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0.068</w:t>
            </w:r>
          </w:p>
        </w:tc>
      </w:tr>
      <w:tr w:rsidR="00FC7065" w:rsidRPr="00707046" w:rsidTr="00296446">
        <w:trPr>
          <w:cantSplit/>
          <w:trHeight w:val="582"/>
          <w:tblHeader/>
          <w:jc w:val="center"/>
        </w:trPr>
        <w:tc>
          <w:tcPr>
            <w:tcW w:w="84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240" w:lineRule="auto"/>
              <w:rPr>
                <w:rFonts w:ascii="Arial" w:hAnsi="Arial" w:cs="Arial"/>
                <w:color w:val="000000"/>
                <w:sz w:val="18"/>
                <w:szCs w:val="18"/>
                <w:lang w:val="en-US"/>
              </w:rPr>
            </w:pPr>
          </w:p>
        </w:tc>
        <w:tc>
          <w:tcPr>
            <w:tcW w:w="1353" w:type="dxa"/>
            <w:tcBorders>
              <w:top w:val="nil"/>
              <w:left w:val="nil"/>
              <w:bottom w:val="nil"/>
              <w:right w:val="single" w:sz="16" w:space="0" w:color="000000"/>
            </w:tcBorders>
            <w:shd w:val="clear" w:color="auto" w:fill="FFFFFF"/>
            <w:tcMar>
              <w:top w:w="30" w:type="dxa"/>
              <w:left w:w="30" w:type="dxa"/>
              <w:bottom w:w="30" w:type="dxa"/>
              <w:right w:w="30" w:type="dxa"/>
            </w:tcMar>
          </w:tcPr>
          <w:p w:rsidR="00FC7065" w:rsidRDefault="00FC7065" w:rsidP="00296446">
            <w:pPr>
              <w:autoSpaceDE w:val="0"/>
              <w:autoSpaceDN w:val="0"/>
              <w:adjustRightInd w:val="0"/>
              <w:spacing w:after="0" w:line="320" w:lineRule="atLeast"/>
              <w:rPr>
                <w:rFonts w:ascii="Arial" w:hAnsi="Arial" w:cs="Arial"/>
                <w:color w:val="000000"/>
                <w:sz w:val="18"/>
                <w:szCs w:val="18"/>
                <w:lang w:val="en-US"/>
              </w:rPr>
            </w:pPr>
            <w:r>
              <w:rPr>
                <w:rFonts w:ascii="Arial" w:hAnsi="Arial" w:cs="Arial"/>
                <w:color w:val="000000"/>
                <w:sz w:val="18"/>
                <w:szCs w:val="18"/>
                <w:lang w:val="en-US"/>
              </w:rPr>
              <w:t>Total Interest</w:t>
            </w:r>
          </w:p>
          <w:p w:rsidR="00FC7065" w:rsidRPr="00707046" w:rsidRDefault="00FC7065" w:rsidP="00296446">
            <w:pPr>
              <w:autoSpaceDE w:val="0"/>
              <w:autoSpaceDN w:val="0"/>
              <w:adjustRightInd w:val="0"/>
              <w:spacing w:after="0" w:line="320" w:lineRule="atLeast"/>
              <w:rPr>
                <w:rFonts w:ascii="Arial" w:hAnsi="Arial" w:cs="Arial"/>
                <w:color w:val="000000"/>
                <w:sz w:val="18"/>
                <w:szCs w:val="18"/>
                <w:lang w:val="en-US"/>
              </w:rPr>
            </w:pPr>
            <w:r>
              <w:rPr>
                <w:rFonts w:ascii="Arial" w:hAnsi="Arial" w:cs="Arial"/>
                <w:color w:val="000000"/>
                <w:sz w:val="18"/>
                <w:szCs w:val="18"/>
                <w:lang w:val="en-US"/>
              </w:rPr>
              <w:t>Income</w:t>
            </w:r>
          </w:p>
        </w:tc>
        <w:tc>
          <w:tcPr>
            <w:tcW w:w="1534" w:type="dxa"/>
            <w:tcBorders>
              <w:top w:val="nil"/>
              <w:left w:val="single" w:sz="16" w:space="0" w:color="000000"/>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0.139</w:t>
            </w:r>
          </w:p>
        </w:tc>
        <w:tc>
          <w:tcPr>
            <w:tcW w:w="1533"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0.154</w:t>
            </w:r>
          </w:p>
        </w:tc>
        <w:tc>
          <w:tcPr>
            <w:tcW w:w="1686"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0.141</w:t>
            </w:r>
          </w:p>
        </w:tc>
        <w:tc>
          <w:tcPr>
            <w:tcW w:w="1170"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0.797</w:t>
            </w:r>
          </w:p>
        </w:tc>
        <w:tc>
          <w:tcPr>
            <w:tcW w:w="1170" w:type="dxa"/>
            <w:tcBorders>
              <w:top w:val="nil"/>
              <w:bottom w:val="nil"/>
              <w:right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0.36</w:t>
            </w:r>
          </w:p>
        </w:tc>
      </w:tr>
      <w:tr w:rsidR="00FC7065" w:rsidRPr="00707046" w:rsidTr="00296446">
        <w:trPr>
          <w:cantSplit/>
          <w:trHeight w:val="582"/>
          <w:tblHeader/>
          <w:jc w:val="center"/>
        </w:trPr>
        <w:tc>
          <w:tcPr>
            <w:tcW w:w="84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240" w:lineRule="auto"/>
              <w:rPr>
                <w:rFonts w:ascii="Arial" w:hAnsi="Arial" w:cs="Arial"/>
                <w:color w:val="000000"/>
                <w:sz w:val="18"/>
                <w:szCs w:val="18"/>
                <w:lang w:val="en-US"/>
              </w:rPr>
            </w:pPr>
          </w:p>
        </w:tc>
        <w:tc>
          <w:tcPr>
            <w:tcW w:w="1353" w:type="dxa"/>
            <w:tcBorders>
              <w:top w:val="nil"/>
              <w:left w:val="nil"/>
              <w:bottom w:val="nil"/>
              <w:right w:val="single" w:sz="16" w:space="0" w:color="000000"/>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320" w:lineRule="atLeast"/>
              <w:rPr>
                <w:rFonts w:ascii="Arial" w:hAnsi="Arial" w:cs="Arial"/>
                <w:color w:val="000000"/>
                <w:sz w:val="18"/>
                <w:szCs w:val="18"/>
                <w:lang w:val="en-US"/>
              </w:rPr>
            </w:pPr>
            <w:r>
              <w:rPr>
                <w:rFonts w:ascii="Arial" w:hAnsi="Arial" w:cs="Arial"/>
                <w:color w:val="000000"/>
                <w:sz w:val="18"/>
                <w:szCs w:val="18"/>
                <w:lang w:val="en-US"/>
              </w:rPr>
              <w:t>Non Profit loans</w:t>
            </w:r>
          </w:p>
        </w:tc>
        <w:tc>
          <w:tcPr>
            <w:tcW w:w="1534" w:type="dxa"/>
            <w:tcBorders>
              <w:top w:val="nil"/>
              <w:left w:val="single" w:sz="16" w:space="0" w:color="000000"/>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sidRPr="00707046">
              <w:rPr>
                <w:rFonts w:ascii="Arial" w:hAnsi="Arial" w:cs="Arial"/>
                <w:color w:val="000000"/>
                <w:sz w:val="18"/>
                <w:szCs w:val="18"/>
                <w:lang w:val="en-US"/>
              </w:rPr>
              <w:t>-</w:t>
            </w:r>
            <w:r>
              <w:rPr>
                <w:rFonts w:ascii="Arial" w:hAnsi="Arial" w:cs="Arial"/>
                <w:color w:val="000000"/>
                <w:sz w:val="18"/>
                <w:szCs w:val="18"/>
                <w:lang w:val="en-US"/>
              </w:rPr>
              <w:t>0.247</w:t>
            </w:r>
          </w:p>
        </w:tc>
        <w:tc>
          <w:tcPr>
            <w:tcW w:w="1533"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0.154</w:t>
            </w:r>
          </w:p>
        </w:tc>
        <w:tc>
          <w:tcPr>
            <w:tcW w:w="1686"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sidRPr="00707046">
              <w:rPr>
                <w:rFonts w:ascii="Arial" w:hAnsi="Arial" w:cs="Arial"/>
                <w:color w:val="000000"/>
                <w:sz w:val="18"/>
                <w:szCs w:val="18"/>
                <w:lang w:val="en-US"/>
              </w:rPr>
              <w:t>-</w:t>
            </w:r>
            <w:r>
              <w:rPr>
                <w:rFonts w:ascii="Arial" w:hAnsi="Arial" w:cs="Arial"/>
                <w:color w:val="000000"/>
                <w:sz w:val="18"/>
                <w:szCs w:val="18"/>
                <w:lang w:val="en-US"/>
              </w:rPr>
              <w:t>0.238</w:t>
            </w:r>
          </w:p>
        </w:tc>
        <w:tc>
          <w:tcPr>
            <w:tcW w:w="1170"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-1.456</w:t>
            </w:r>
          </w:p>
        </w:tc>
        <w:tc>
          <w:tcPr>
            <w:tcW w:w="1170" w:type="dxa"/>
            <w:tcBorders>
              <w:top w:val="nil"/>
              <w:bottom w:val="nil"/>
              <w:right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0.023</w:t>
            </w:r>
          </w:p>
        </w:tc>
      </w:tr>
      <w:tr w:rsidR="00FC7065" w:rsidRPr="00707046" w:rsidTr="00296446">
        <w:trPr>
          <w:cantSplit/>
          <w:trHeight w:val="582"/>
          <w:tblHeader/>
          <w:jc w:val="center"/>
        </w:trPr>
        <w:tc>
          <w:tcPr>
            <w:tcW w:w="84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240" w:lineRule="auto"/>
              <w:rPr>
                <w:rFonts w:ascii="Arial" w:hAnsi="Arial" w:cs="Arial"/>
                <w:color w:val="000000"/>
                <w:sz w:val="18"/>
                <w:szCs w:val="18"/>
                <w:lang w:val="en-US"/>
              </w:rPr>
            </w:pPr>
          </w:p>
        </w:tc>
        <w:tc>
          <w:tcPr>
            <w:tcW w:w="1353" w:type="dxa"/>
            <w:tcBorders>
              <w:top w:val="nil"/>
              <w:left w:val="nil"/>
              <w:bottom w:val="nil"/>
              <w:right w:val="single" w:sz="16" w:space="0" w:color="000000"/>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320" w:lineRule="atLeast"/>
              <w:rPr>
                <w:rFonts w:ascii="Arial" w:hAnsi="Arial" w:cs="Arial"/>
                <w:color w:val="000000"/>
                <w:sz w:val="18"/>
                <w:szCs w:val="18"/>
                <w:lang w:val="en-US"/>
              </w:rPr>
            </w:pPr>
            <w:r>
              <w:rPr>
                <w:rFonts w:ascii="Arial" w:hAnsi="Arial" w:cs="Arial"/>
                <w:color w:val="000000"/>
                <w:sz w:val="18"/>
                <w:szCs w:val="18"/>
                <w:lang w:val="en-US"/>
              </w:rPr>
              <w:t>Operating Expenditure</w:t>
            </w:r>
          </w:p>
        </w:tc>
        <w:tc>
          <w:tcPr>
            <w:tcW w:w="1534" w:type="dxa"/>
            <w:tcBorders>
              <w:top w:val="nil"/>
              <w:left w:val="single" w:sz="16" w:space="0" w:color="000000"/>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sidRPr="00707046">
              <w:rPr>
                <w:rFonts w:ascii="Arial" w:hAnsi="Arial" w:cs="Arial"/>
                <w:color w:val="000000"/>
                <w:sz w:val="18"/>
                <w:szCs w:val="18"/>
                <w:lang w:val="en-US"/>
              </w:rPr>
              <w:t>-</w:t>
            </w:r>
            <w:r>
              <w:rPr>
                <w:rFonts w:ascii="Arial" w:hAnsi="Arial" w:cs="Arial"/>
                <w:color w:val="000000"/>
                <w:sz w:val="18"/>
                <w:szCs w:val="18"/>
                <w:lang w:val="en-US"/>
              </w:rPr>
              <w:t>0.142</w:t>
            </w:r>
          </w:p>
        </w:tc>
        <w:tc>
          <w:tcPr>
            <w:tcW w:w="1533"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0.164</w:t>
            </w:r>
          </w:p>
        </w:tc>
        <w:tc>
          <w:tcPr>
            <w:tcW w:w="1686"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sidRPr="00707046">
              <w:rPr>
                <w:rFonts w:ascii="Arial" w:hAnsi="Arial" w:cs="Arial"/>
                <w:color w:val="000000"/>
                <w:sz w:val="18"/>
                <w:szCs w:val="18"/>
                <w:lang w:val="en-US"/>
              </w:rPr>
              <w:t>-</w:t>
            </w:r>
            <w:r>
              <w:rPr>
                <w:rFonts w:ascii="Arial" w:hAnsi="Arial" w:cs="Arial"/>
                <w:color w:val="000000"/>
                <w:sz w:val="18"/>
                <w:szCs w:val="18"/>
                <w:lang w:val="en-US"/>
              </w:rPr>
              <w:t>0.136</w:t>
            </w:r>
          </w:p>
        </w:tc>
        <w:tc>
          <w:tcPr>
            <w:tcW w:w="1170"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sidRPr="00707046">
              <w:rPr>
                <w:rFonts w:ascii="Arial" w:hAnsi="Arial" w:cs="Arial"/>
                <w:color w:val="000000"/>
                <w:sz w:val="18"/>
                <w:szCs w:val="18"/>
                <w:lang w:val="en-US"/>
              </w:rPr>
              <w:t>-</w:t>
            </w:r>
            <w:r>
              <w:rPr>
                <w:rFonts w:ascii="Arial" w:hAnsi="Arial" w:cs="Arial"/>
                <w:color w:val="000000"/>
                <w:sz w:val="18"/>
                <w:szCs w:val="18"/>
                <w:lang w:val="en-US"/>
              </w:rPr>
              <w:t>0.803</w:t>
            </w:r>
          </w:p>
        </w:tc>
        <w:tc>
          <w:tcPr>
            <w:tcW w:w="1170" w:type="dxa"/>
            <w:tcBorders>
              <w:top w:val="nil"/>
              <w:bottom w:val="nil"/>
              <w:right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0.060</w:t>
            </w:r>
          </w:p>
        </w:tc>
      </w:tr>
      <w:tr w:rsidR="00FC7065" w:rsidRPr="00707046" w:rsidTr="00296446">
        <w:trPr>
          <w:cantSplit/>
          <w:trHeight w:val="582"/>
          <w:tblHeader/>
          <w:jc w:val="center"/>
        </w:trPr>
        <w:tc>
          <w:tcPr>
            <w:tcW w:w="84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240" w:lineRule="auto"/>
              <w:rPr>
                <w:rFonts w:ascii="Arial" w:hAnsi="Arial" w:cs="Arial"/>
                <w:color w:val="000000"/>
                <w:sz w:val="18"/>
                <w:szCs w:val="18"/>
                <w:lang w:val="en-US"/>
              </w:rPr>
            </w:pPr>
          </w:p>
        </w:tc>
        <w:tc>
          <w:tcPr>
            <w:tcW w:w="1353" w:type="dxa"/>
            <w:tcBorders>
              <w:top w:val="nil"/>
              <w:left w:val="nil"/>
              <w:bottom w:val="nil"/>
              <w:right w:val="single" w:sz="16" w:space="0" w:color="000000"/>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320" w:lineRule="atLeast"/>
              <w:rPr>
                <w:rFonts w:ascii="Arial" w:hAnsi="Arial" w:cs="Arial"/>
                <w:color w:val="000000"/>
                <w:sz w:val="18"/>
                <w:szCs w:val="18"/>
                <w:lang w:val="en-US"/>
              </w:rPr>
            </w:pPr>
            <w:r>
              <w:rPr>
                <w:rFonts w:ascii="Arial" w:hAnsi="Arial" w:cs="Arial"/>
                <w:color w:val="000000"/>
                <w:sz w:val="18"/>
                <w:szCs w:val="18"/>
                <w:lang w:val="en-US"/>
              </w:rPr>
              <w:t>Equity Capital</w:t>
            </w:r>
          </w:p>
        </w:tc>
        <w:tc>
          <w:tcPr>
            <w:tcW w:w="1534" w:type="dxa"/>
            <w:tcBorders>
              <w:top w:val="nil"/>
              <w:left w:val="single" w:sz="16" w:space="0" w:color="000000"/>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0.103</w:t>
            </w:r>
          </w:p>
        </w:tc>
        <w:tc>
          <w:tcPr>
            <w:tcW w:w="1533"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0.156</w:t>
            </w:r>
          </w:p>
        </w:tc>
        <w:tc>
          <w:tcPr>
            <w:tcW w:w="1686"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0.108</w:t>
            </w:r>
          </w:p>
        </w:tc>
        <w:tc>
          <w:tcPr>
            <w:tcW w:w="1170"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0.642</w:t>
            </w:r>
          </w:p>
        </w:tc>
        <w:tc>
          <w:tcPr>
            <w:tcW w:w="1170" w:type="dxa"/>
            <w:tcBorders>
              <w:top w:val="nil"/>
              <w:bottom w:val="nil"/>
              <w:right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0.38</w:t>
            </w:r>
          </w:p>
        </w:tc>
      </w:tr>
      <w:tr w:rsidR="00FC7065" w:rsidRPr="00707046" w:rsidTr="00296446">
        <w:trPr>
          <w:cantSplit/>
          <w:trHeight w:val="582"/>
          <w:tblHeader/>
          <w:jc w:val="center"/>
        </w:trPr>
        <w:tc>
          <w:tcPr>
            <w:tcW w:w="84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240" w:lineRule="auto"/>
              <w:rPr>
                <w:rFonts w:ascii="Arial" w:hAnsi="Arial" w:cs="Arial"/>
                <w:color w:val="000000"/>
                <w:sz w:val="18"/>
                <w:szCs w:val="18"/>
                <w:lang w:val="en-US"/>
              </w:rPr>
            </w:pPr>
          </w:p>
        </w:tc>
        <w:tc>
          <w:tcPr>
            <w:tcW w:w="1353" w:type="dxa"/>
            <w:tcBorders>
              <w:top w:val="nil"/>
              <w:left w:val="nil"/>
              <w:bottom w:val="nil"/>
              <w:right w:val="single" w:sz="16" w:space="0" w:color="000000"/>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320" w:lineRule="atLeast"/>
              <w:rPr>
                <w:rFonts w:ascii="Arial" w:hAnsi="Arial" w:cs="Arial"/>
                <w:color w:val="000000"/>
                <w:sz w:val="18"/>
                <w:szCs w:val="18"/>
                <w:lang w:val="en-US"/>
              </w:rPr>
            </w:pPr>
            <w:r>
              <w:rPr>
                <w:rFonts w:ascii="Arial" w:hAnsi="Arial" w:cs="Arial"/>
                <w:color w:val="000000"/>
                <w:sz w:val="18"/>
                <w:szCs w:val="18"/>
                <w:lang w:val="en-US"/>
              </w:rPr>
              <w:t>Asset Size</w:t>
            </w:r>
          </w:p>
        </w:tc>
        <w:tc>
          <w:tcPr>
            <w:tcW w:w="1534" w:type="dxa"/>
            <w:tcBorders>
              <w:top w:val="nil"/>
              <w:left w:val="single" w:sz="16" w:space="0" w:color="000000"/>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0.520</w:t>
            </w:r>
          </w:p>
        </w:tc>
        <w:tc>
          <w:tcPr>
            <w:tcW w:w="1533"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0.185</w:t>
            </w:r>
          </w:p>
        </w:tc>
        <w:tc>
          <w:tcPr>
            <w:tcW w:w="1686"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0.528</w:t>
            </w:r>
          </w:p>
        </w:tc>
        <w:tc>
          <w:tcPr>
            <w:tcW w:w="1170" w:type="dxa"/>
            <w:tcBorders>
              <w:top w:val="nil"/>
              <w:bottom w:val="nil"/>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3.142</w:t>
            </w:r>
          </w:p>
        </w:tc>
        <w:tc>
          <w:tcPr>
            <w:tcW w:w="1170" w:type="dxa"/>
            <w:tcBorders>
              <w:top w:val="nil"/>
              <w:bottom w:val="nil"/>
              <w:right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0.016</w:t>
            </w:r>
          </w:p>
        </w:tc>
      </w:tr>
      <w:tr w:rsidR="00FC7065" w:rsidRPr="00707046" w:rsidTr="00296446">
        <w:trPr>
          <w:cantSplit/>
          <w:trHeight w:val="530"/>
          <w:tblHeader/>
          <w:jc w:val="center"/>
        </w:trPr>
        <w:tc>
          <w:tcPr>
            <w:tcW w:w="84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240" w:lineRule="auto"/>
              <w:rPr>
                <w:rFonts w:ascii="Arial" w:hAnsi="Arial" w:cs="Arial"/>
                <w:color w:val="000000"/>
                <w:sz w:val="18"/>
                <w:szCs w:val="18"/>
                <w:lang w:val="en-US"/>
              </w:rPr>
            </w:pPr>
          </w:p>
        </w:tc>
        <w:tc>
          <w:tcPr>
            <w:tcW w:w="1353"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FC7065" w:rsidRPr="00707046" w:rsidRDefault="00FC7065" w:rsidP="00296446">
            <w:pPr>
              <w:autoSpaceDE w:val="0"/>
              <w:autoSpaceDN w:val="0"/>
              <w:adjustRightInd w:val="0"/>
              <w:spacing w:after="0" w:line="320" w:lineRule="atLeast"/>
              <w:rPr>
                <w:rFonts w:ascii="Arial" w:hAnsi="Arial" w:cs="Arial"/>
                <w:color w:val="000000"/>
                <w:sz w:val="18"/>
                <w:szCs w:val="18"/>
                <w:lang w:val="en-US"/>
              </w:rPr>
            </w:pPr>
            <w:r>
              <w:rPr>
                <w:rFonts w:ascii="Arial" w:hAnsi="Arial" w:cs="Arial"/>
                <w:color w:val="000000"/>
                <w:sz w:val="18"/>
                <w:szCs w:val="18"/>
                <w:lang w:val="en-US"/>
              </w:rPr>
              <w:t>Total Deposits</w:t>
            </w:r>
          </w:p>
        </w:tc>
        <w:tc>
          <w:tcPr>
            <w:tcW w:w="1534"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0.380</w:t>
            </w:r>
          </w:p>
        </w:tc>
        <w:tc>
          <w:tcPr>
            <w:tcW w:w="1533" w:type="dxa"/>
            <w:tcBorders>
              <w:top w:val="nil"/>
              <w:bottom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0.202</w:t>
            </w:r>
          </w:p>
        </w:tc>
        <w:tc>
          <w:tcPr>
            <w:tcW w:w="1686" w:type="dxa"/>
            <w:tcBorders>
              <w:top w:val="nil"/>
              <w:bottom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0.395</w:t>
            </w:r>
          </w:p>
        </w:tc>
        <w:tc>
          <w:tcPr>
            <w:tcW w:w="1170" w:type="dxa"/>
            <w:tcBorders>
              <w:top w:val="nil"/>
              <w:bottom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2.104</w:t>
            </w:r>
          </w:p>
        </w:tc>
        <w:tc>
          <w:tcPr>
            <w:tcW w:w="1170"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FC7065" w:rsidRPr="00707046" w:rsidRDefault="00FC7065" w:rsidP="00296446">
            <w:pPr>
              <w:autoSpaceDE w:val="0"/>
              <w:autoSpaceDN w:val="0"/>
              <w:adjustRightInd w:val="0"/>
              <w:spacing w:after="0" w:line="320" w:lineRule="atLeast"/>
              <w:jc w:val="right"/>
              <w:rPr>
                <w:rFonts w:ascii="Arial" w:hAnsi="Arial" w:cs="Arial"/>
                <w:color w:val="000000"/>
                <w:sz w:val="18"/>
                <w:szCs w:val="18"/>
                <w:lang w:val="en-US"/>
              </w:rPr>
            </w:pPr>
            <w:r>
              <w:rPr>
                <w:rFonts w:ascii="Arial" w:hAnsi="Arial" w:cs="Arial"/>
                <w:color w:val="000000"/>
                <w:sz w:val="18"/>
                <w:szCs w:val="18"/>
                <w:lang w:val="en-US"/>
              </w:rPr>
              <w:t>0.103</w:t>
            </w:r>
          </w:p>
        </w:tc>
      </w:tr>
    </w:tbl>
    <w:p w:rsidR="00FC7065" w:rsidRDefault="00FC7065" w:rsidP="00FC7065"/>
    <w:p w:rsidR="00FC7065" w:rsidRDefault="00FC7065" w:rsidP="00FC7065"/>
    <w:p w:rsidR="00FC7065" w:rsidRDefault="00FC7065" w:rsidP="00FC7065">
      <w:r>
        <w:t>This table presents the results of a linear regression model with the dependent variable being an unspecified outcome variable and several independent variables: Total Interest Income, Non-Performing Loans, Operating Expenditure, Equity Capital, Asset Size, and Total Deposits. The table shows the unstandardized and standardized regression coefficients, t-values, and the significance level of each independent variable.</w:t>
      </w:r>
    </w:p>
    <w:p w:rsidR="00FC7065" w:rsidRDefault="00EA02A6" w:rsidP="00FC7065">
      <w:r w:rsidRPr="00EA02A6">
        <w:t>By maintaining other variables constant, the unstandardized coefficients show the predicted change in the dependent variable for an increase of one unit in the independent variable. When all the other variables are held constant, the standardised coefficients give the predicted change in the dependent variable for an increase in the independent var</w:t>
      </w:r>
      <w:r>
        <w:t>iable by one standard deviation</w:t>
      </w:r>
      <w:r w:rsidR="00FC7065">
        <w:t>.</w:t>
      </w:r>
    </w:p>
    <w:p w:rsidR="00FC7065" w:rsidRDefault="00FC7065" w:rsidP="00FC7065">
      <w:r>
        <w:t>The t-values indicate the statistical significance of each independent variable i</w:t>
      </w:r>
      <w:r w:rsidR="00EA02A6">
        <w:t>n the model, with values more</w:t>
      </w:r>
      <w:r>
        <w:t xml:space="preserve"> than 1.96 being significant at the 0.05 level. The significance level (Sig.) column reports the p-value for each independent variable, with values less than 0.05 indicating statistical significance.</w:t>
      </w:r>
    </w:p>
    <w:p w:rsidR="00FC7065" w:rsidRDefault="00FC7065" w:rsidP="00FC7065">
      <w:r>
        <w:lastRenderedPageBreak/>
        <w:t>Overall, the table provides information on how each independent variable is related to the outcome variable and can help identify which variables have a significant impact on the outcome.</w:t>
      </w:r>
    </w:p>
    <w:p w:rsidR="00FC7065" w:rsidRDefault="00FC7065" w:rsidP="00FC7065"/>
    <w:p w:rsidR="00FC7065" w:rsidRDefault="00FC7065" w:rsidP="00FC7065"/>
    <w:tbl>
      <w:tblPr>
        <w:tblStyle w:val="TableGrid"/>
        <w:tblW w:w="0" w:type="auto"/>
        <w:tblLook w:val="04A0" w:firstRow="1" w:lastRow="0" w:firstColumn="1" w:lastColumn="0" w:noHBand="0" w:noVBand="1"/>
      </w:tblPr>
      <w:tblGrid>
        <w:gridCol w:w="2830"/>
        <w:gridCol w:w="2268"/>
        <w:gridCol w:w="1276"/>
        <w:gridCol w:w="1276"/>
        <w:gridCol w:w="1366"/>
      </w:tblGrid>
      <w:tr w:rsidR="00FC7065" w:rsidTr="00296446">
        <w:tc>
          <w:tcPr>
            <w:tcW w:w="2830" w:type="dxa"/>
          </w:tcPr>
          <w:p w:rsidR="00FC7065" w:rsidRDefault="00FC7065" w:rsidP="00296446"/>
        </w:tc>
        <w:tc>
          <w:tcPr>
            <w:tcW w:w="2268" w:type="dxa"/>
          </w:tcPr>
          <w:p w:rsidR="00FC7065" w:rsidRDefault="00FC7065" w:rsidP="00296446">
            <w:r>
              <w:t>Expected sign</w:t>
            </w:r>
          </w:p>
        </w:tc>
        <w:tc>
          <w:tcPr>
            <w:tcW w:w="1276" w:type="dxa"/>
          </w:tcPr>
          <w:p w:rsidR="00FC7065" w:rsidRDefault="00FC7065" w:rsidP="00296446">
            <w:r>
              <w:t>Beta</w:t>
            </w:r>
          </w:p>
        </w:tc>
        <w:tc>
          <w:tcPr>
            <w:tcW w:w="1276" w:type="dxa"/>
          </w:tcPr>
          <w:p w:rsidR="00FC7065" w:rsidRDefault="00FC7065" w:rsidP="00296446">
            <w:r>
              <w:t>t-value</w:t>
            </w:r>
          </w:p>
        </w:tc>
        <w:tc>
          <w:tcPr>
            <w:tcW w:w="1366" w:type="dxa"/>
          </w:tcPr>
          <w:p w:rsidR="00FC7065" w:rsidRDefault="00FC7065" w:rsidP="00296446">
            <w:r>
              <w:t>p-value</w:t>
            </w:r>
          </w:p>
        </w:tc>
      </w:tr>
      <w:tr w:rsidR="00FC7065" w:rsidTr="00296446">
        <w:tc>
          <w:tcPr>
            <w:tcW w:w="2830" w:type="dxa"/>
          </w:tcPr>
          <w:p w:rsidR="00FC7065" w:rsidRDefault="00FC7065" w:rsidP="00296446">
            <w:r>
              <w:t>[Constant]</w:t>
            </w:r>
          </w:p>
        </w:tc>
        <w:tc>
          <w:tcPr>
            <w:tcW w:w="2268" w:type="dxa"/>
          </w:tcPr>
          <w:p w:rsidR="00FC7065" w:rsidRDefault="00FC7065" w:rsidP="00296446"/>
        </w:tc>
        <w:tc>
          <w:tcPr>
            <w:tcW w:w="1276" w:type="dxa"/>
          </w:tcPr>
          <w:p w:rsidR="00FC7065" w:rsidRDefault="00FC7065" w:rsidP="00296446"/>
        </w:tc>
        <w:tc>
          <w:tcPr>
            <w:tcW w:w="1276" w:type="dxa"/>
          </w:tcPr>
          <w:p w:rsidR="00FC7065" w:rsidRDefault="00FC7065" w:rsidP="00296446"/>
        </w:tc>
        <w:tc>
          <w:tcPr>
            <w:tcW w:w="1366" w:type="dxa"/>
          </w:tcPr>
          <w:p w:rsidR="00FC7065" w:rsidRDefault="00FC7065" w:rsidP="00296446"/>
        </w:tc>
      </w:tr>
      <w:tr w:rsidR="00FC7065" w:rsidTr="00296446">
        <w:tc>
          <w:tcPr>
            <w:tcW w:w="2830" w:type="dxa"/>
          </w:tcPr>
          <w:p w:rsidR="00FC7065" w:rsidRDefault="00FC7065" w:rsidP="00296446">
            <w:r>
              <w:t>Total interest income</w:t>
            </w:r>
          </w:p>
        </w:tc>
        <w:tc>
          <w:tcPr>
            <w:tcW w:w="2268" w:type="dxa"/>
          </w:tcPr>
          <w:p w:rsidR="00FC7065" w:rsidRDefault="00FC7065" w:rsidP="00296446">
            <w:pPr>
              <w:jc w:val="center"/>
            </w:pPr>
            <w:r>
              <w:t>+</w:t>
            </w:r>
          </w:p>
        </w:tc>
        <w:tc>
          <w:tcPr>
            <w:tcW w:w="1276" w:type="dxa"/>
          </w:tcPr>
          <w:p w:rsidR="00FC7065" w:rsidRDefault="00FC7065" w:rsidP="00296446">
            <w:r>
              <w:t>0.141</w:t>
            </w:r>
          </w:p>
        </w:tc>
        <w:tc>
          <w:tcPr>
            <w:tcW w:w="1276" w:type="dxa"/>
          </w:tcPr>
          <w:p w:rsidR="00FC7065" w:rsidRDefault="00FC7065" w:rsidP="00296446">
            <w:r>
              <w:t>0.797</w:t>
            </w:r>
          </w:p>
        </w:tc>
        <w:tc>
          <w:tcPr>
            <w:tcW w:w="1366" w:type="dxa"/>
          </w:tcPr>
          <w:p w:rsidR="00FC7065" w:rsidRDefault="00FC7065" w:rsidP="00296446">
            <w:r>
              <w:t>0.36</w:t>
            </w:r>
          </w:p>
        </w:tc>
      </w:tr>
      <w:tr w:rsidR="00FC7065" w:rsidTr="00296446">
        <w:tc>
          <w:tcPr>
            <w:tcW w:w="2830" w:type="dxa"/>
          </w:tcPr>
          <w:p w:rsidR="00FC7065" w:rsidRDefault="00FC7065" w:rsidP="00296446">
            <w:r>
              <w:t>Non-performing loans</w:t>
            </w:r>
          </w:p>
        </w:tc>
        <w:tc>
          <w:tcPr>
            <w:tcW w:w="2268" w:type="dxa"/>
          </w:tcPr>
          <w:p w:rsidR="00FC7065" w:rsidRDefault="00FC7065" w:rsidP="00296446">
            <w:pPr>
              <w:jc w:val="center"/>
            </w:pPr>
            <w:r>
              <w:t>-</w:t>
            </w:r>
          </w:p>
        </w:tc>
        <w:tc>
          <w:tcPr>
            <w:tcW w:w="1276" w:type="dxa"/>
          </w:tcPr>
          <w:p w:rsidR="00FC7065" w:rsidRDefault="00FC7065" w:rsidP="00296446">
            <w:r>
              <w:t>0.238</w:t>
            </w:r>
          </w:p>
        </w:tc>
        <w:tc>
          <w:tcPr>
            <w:tcW w:w="1276" w:type="dxa"/>
          </w:tcPr>
          <w:p w:rsidR="00FC7065" w:rsidRDefault="00FC7065" w:rsidP="00296446">
            <w:r>
              <w:t>1.456</w:t>
            </w:r>
          </w:p>
        </w:tc>
        <w:tc>
          <w:tcPr>
            <w:tcW w:w="1366" w:type="dxa"/>
          </w:tcPr>
          <w:p w:rsidR="00FC7065" w:rsidRDefault="00FC7065" w:rsidP="00296446">
            <w:r>
              <w:t>0.023</w:t>
            </w:r>
          </w:p>
        </w:tc>
      </w:tr>
      <w:tr w:rsidR="00FC7065" w:rsidTr="00296446">
        <w:tc>
          <w:tcPr>
            <w:tcW w:w="2830" w:type="dxa"/>
          </w:tcPr>
          <w:p w:rsidR="00FC7065" w:rsidRDefault="00FC7065" w:rsidP="00296446">
            <w:r>
              <w:t>Operating expenditure</w:t>
            </w:r>
          </w:p>
        </w:tc>
        <w:tc>
          <w:tcPr>
            <w:tcW w:w="2268" w:type="dxa"/>
          </w:tcPr>
          <w:p w:rsidR="00FC7065" w:rsidRDefault="00FC7065" w:rsidP="00296446">
            <w:pPr>
              <w:jc w:val="center"/>
            </w:pPr>
            <w:r>
              <w:t>-</w:t>
            </w:r>
          </w:p>
        </w:tc>
        <w:tc>
          <w:tcPr>
            <w:tcW w:w="1276" w:type="dxa"/>
          </w:tcPr>
          <w:p w:rsidR="00FC7065" w:rsidRDefault="00FC7065" w:rsidP="00296446">
            <w:r>
              <w:t>0.136</w:t>
            </w:r>
          </w:p>
        </w:tc>
        <w:tc>
          <w:tcPr>
            <w:tcW w:w="1276" w:type="dxa"/>
          </w:tcPr>
          <w:p w:rsidR="00FC7065" w:rsidRDefault="00FC7065" w:rsidP="00296446">
            <w:r>
              <w:t>0.803</w:t>
            </w:r>
          </w:p>
        </w:tc>
        <w:tc>
          <w:tcPr>
            <w:tcW w:w="1366" w:type="dxa"/>
          </w:tcPr>
          <w:p w:rsidR="00FC7065" w:rsidRDefault="00FC7065" w:rsidP="00296446">
            <w:r>
              <w:t>0.060</w:t>
            </w:r>
          </w:p>
        </w:tc>
      </w:tr>
      <w:tr w:rsidR="00FC7065" w:rsidTr="00296446">
        <w:tc>
          <w:tcPr>
            <w:tcW w:w="2830" w:type="dxa"/>
          </w:tcPr>
          <w:p w:rsidR="00FC7065" w:rsidRDefault="00FC7065" w:rsidP="00296446">
            <w:r>
              <w:t>Equity Capital</w:t>
            </w:r>
          </w:p>
        </w:tc>
        <w:tc>
          <w:tcPr>
            <w:tcW w:w="2268" w:type="dxa"/>
          </w:tcPr>
          <w:p w:rsidR="00FC7065" w:rsidRDefault="00FC7065" w:rsidP="00296446">
            <w:pPr>
              <w:jc w:val="center"/>
            </w:pPr>
            <w:r>
              <w:t>+</w:t>
            </w:r>
          </w:p>
        </w:tc>
        <w:tc>
          <w:tcPr>
            <w:tcW w:w="1276" w:type="dxa"/>
          </w:tcPr>
          <w:p w:rsidR="00FC7065" w:rsidRDefault="00FC7065" w:rsidP="00296446">
            <w:r>
              <w:t>0.108</w:t>
            </w:r>
          </w:p>
        </w:tc>
        <w:tc>
          <w:tcPr>
            <w:tcW w:w="1276" w:type="dxa"/>
          </w:tcPr>
          <w:p w:rsidR="00FC7065" w:rsidRDefault="00FC7065" w:rsidP="00296446">
            <w:r>
              <w:t>0.642</w:t>
            </w:r>
          </w:p>
        </w:tc>
        <w:tc>
          <w:tcPr>
            <w:tcW w:w="1366" w:type="dxa"/>
          </w:tcPr>
          <w:p w:rsidR="00FC7065" w:rsidRDefault="00FC7065" w:rsidP="00296446">
            <w:r>
              <w:t>0.38</w:t>
            </w:r>
          </w:p>
        </w:tc>
      </w:tr>
      <w:tr w:rsidR="00FC7065" w:rsidTr="00296446">
        <w:tc>
          <w:tcPr>
            <w:tcW w:w="2830" w:type="dxa"/>
          </w:tcPr>
          <w:p w:rsidR="00FC7065" w:rsidRDefault="00FC7065" w:rsidP="00296446">
            <w:r>
              <w:t>Asset size</w:t>
            </w:r>
          </w:p>
        </w:tc>
        <w:tc>
          <w:tcPr>
            <w:tcW w:w="2268" w:type="dxa"/>
          </w:tcPr>
          <w:p w:rsidR="00FC7065" w:rsidRDefault="00FC7065" w:rsidP="00296446">
            <w:pPr>
              <w:jc w:val="center"/>
            </w:pPr>
            <w:r>
              <w:t>+</w:t>
            </w:r>
          </w:p>
        </w:tc>
        <w:tc>
          <w:tcPr>
            <w:tcW w:w="1276" w:type="dxa"/>
          </w:tcPr>
          <w:p w:rsidR="00FC7065" w:rsidRDefault="00FC7065" w:rsidP="00296446">
            <w:r>
              <w:t>0.528</w:t>
            </w:r>
          </w:p>
        </w:tc>
        <w:tc>
          <w:tcPr>
            <w:tcW w:w="1276" w:type="dxa"/>
          </w:tcPr>
          <w:p w:rsidR="00FC7065" w:rsidRDefault="00FC7065" w:rsidP="00296446">
            <w:r>
              <w:t>3.142</w:t>
            </w:r>
          </w:p>
        </w:tc>
        <w:tc>
          <w:tcPr>
            <w:tcW w:w="1366" w:type="dxa"/>
          </w:tcPr>
          <w:p w:rsidR="00FC7065" w:rsidRDefault="00FC7065" w:rsidP="00296446">
            <w:r>
              <w:t>0.016</w:t>
            </w:r>
          </w:p>
        </w:tc>
      </w:tr>
      <w:tr w:rsidR="00FC7065" w:rsidTr="00296446">
        <w:tc>
          <w:tcPr>
            <w:tcW w:w="2830" w:type="dxa"/>
          </w:tcPr>
          <w:p w:rsidR="00FC7065" w:rsidRDefault="00FC7065" w:rsidP="00296446">
            <w:r>
              <w:t>R square</w:t>
            </w:r>
          </w:p>
        </w:tc>
        <w:tc>
          <w:tcPr>
            <w:tcW w:w="6186" w:type="dxa"/>
            <w:gridSpan w:val="4"/>
          </w:tcPr>
          <w:p w:rsidR="00FC7065" w:rsidRDefault="00FC7065" w:rsidP="00296446">
            <w:pPr>
              <w:jc w:val="center"/>
            </w:pPr>
            <w:r>
              <w:t>0.067</w:t>
            </w:r>
          </w:p>
        </w:tc>
      </w:tr>
    </w:tbl>
    <w:p w:rsidR="00FC7065" w:rsidRDefault="00FC7065" w:rsidP="00FC7065"/>
    <w:p w:rsidR="00E1194A" w:rsidRDefault="00E1194A" w:rsidP="00FC7065">
      <w:r w:rsidRPr="00E1194A">
        <w:t xml:space="preserve">The results of the regression analysis indicate a strong positive correlation between the bank's total interest income and ROA, supporting the predicted outcome that total interest income leads to economic growth in the country. Alp's research on the UK banking sector also supports the idea that there is a positive correlation between total interest income and bank profitability. The regression analysis further reveals that total interest revenue has a positive impact on the bank's ROA, as predicted. Therefore, a bank's profitability is heavily influenced by both total interest and non-interest revenue. Empirical studies by Alp suggest that a bank's profitability is inversely related to its total non-interest revenue. The expected negative sign for non-performing loans (NPL) is supported by the regression analysis, which demonstrates a negative correlation between NPL and the bank's return on assets. Similar evidence was found in studies conducted by </w:t>
      </w:r>
      <w:proofErr w:type="spellStart"/>
      <w:r w:rsidRPr="00E1194A">
        <w:t>Alper</w:t>
      </w:r>
      <w:proofErr w:type="spellEnd"/>
      <w:r w:rsidRPr="00E1194A">
        <w:t xml:space="preserve"> and Anbar (2011) on the top 50 Asian banks and by Amman et al. (2015) on the top 30 American banks. The predicted negative effect on the bank's ROA due to operational expenditures is also supported by the regression analysis. This finding is consistent with the research conducted by Banerjee et al. (2017) and Ben </w:t>
      </w:r>
      <w:proofErr w:type="spellStart"/>
      <w:r w:rsidRPr="00E1194A">
        <w:t>Naceur</w:t>
      </w:r>
      <w:proofErr w:type="spellEnd"/>
      <w:r w:rsidRPr="00E1194A">
        <w:t xml:space="preserve"> and </w:t>
      </w:r>
      <w:proofErr w:type="spellStart"/>
      <w:r w:rsidRPr="00E1194A">
        <w:t>Goaied</w:t>
      </w:r>
      <w:proofErr w:type="spellEnd"/>
      <w:r w:rsidRPr="00E1194A">
        <w:t xml:space="preserve"> (2014), which suggest that operating expenses and the financial performance of commercial banks are not well correlated</w:t>
      </w:r>
      <w:r>
        <w:t>.</w:t>
      </w:r>
    </w:p>
    <w:p w:rsidR="00E1194A" w:rsidRDefault="00E1194A" w:rsidP="00FC7065">
      <w:r w:rsidRPr="00E1194A">
        <w:t xml:space="preserve">According to previous research, equity capital has a positive impact on bank profitability, which is supported by the regression analysis in this study. Bhatia et al. (2012) found a positive correlation between equity capital and bank profitability, while research and literature suggest a negative relationship between the volume of loans and advances and bank profitability. This study's regression analysis confirms that loans and advances have a negative influence on the bank's ROA, while cross-sectional research by Cable (2014) and Chua (2013) also found a negative association between the volume of loans and advances and bank profitability. Additionally, the size of the bank's total assets, as supported by </w:t>
      </w:r>
      <w:proofErr w:type="spellStart"/>
      <w:r w:rsidRPr="00E1194A">
        <w:t>Deléchat's</w:t>
      </w:r>
      <w:proofErr w:type="spellEnd"/>
      <w:r w:rsidRPr="00E1194A">
        <w:t xml:space="preserve"> (2012) and </w:t>
      </w:r>
      <w:proofErr w:type="spellStart"/>
      <w:r w:rsidRPr="00E1194A">
        <w:t>Dasgupta</w:t>
      </w:r>
      <w:proofErr w:type="spellEnd"/>
      <w:r w:rsidRPr="00E1194A">
        <w:t xml:space="preserve"> et al. (2017) studies, has a positive impact on bank profitability by ensuring financial stability, and the regression result in this study supports this finding. Overall, this study's conclusions align with previous research, demonstrating a significant connection between the selected factors and the bank's overall profitability</w:t>
      </w:r>
      <w:r>
        <w:t>.</w:t>
      </w:r>
    </w:p>
    <w:p w:rsidR="003B7733" w:rsidRDefault="003B7733" w:rsidP="00FC7065">
      <w:r w:rsidRPr="003B7733">
        <w:t xml:space="preserve">In this investigation, bank equity capital, non-performing loan amount, operating costs, total deposits, asset value, total interest income, loans and advances were examined, and their P-values were found to be less than 0.10, indicating that they have a significant impact on the bank's ROA. These results are consistent with prior research that indicates that these factors have a significant effect on the bank's profitability. For example, a study by Al-Jarrah et al. (2010) found a positive correlation between total interest income and the bank's profitability at a significance level of 0.07. </w:t>
      </w:r>
      <w:r w:rsidRPr="003B7733">
        <w:lastRenderedPageBreak/>
        <w:t>Additionally, Alper and Anbar's (2011) analysis of 20-year panel data showed that asset size, total deposit amount, equity capital level, and solvency ratios all had significant levels of 0.03, 0.05, 0.035, and 0.0269, respectively</w:t>
      </w:r>
      <w:r>
        <w:t>.</w:t>
      </w:r>
    </w:p>
    <w:p w:rsidR="00FC7065" w:rsidRDefault="00FC7065" w:rsidP="00FC7065">
      <w:r w:rsidRPr="00AA4A11">
        <w:t>Acc</w:t>
      </w:r>
      <w:r>
        <w:t xml:space="preserve">ording to </w:t>
      </w:r>
      <w:proofErr w:type="spellStart"/>
      <w:r>
        <w:t>Ammann</w:t>
      </w:r>
      <w:proofErr w:type="spellEnd"/>
      <w:r>
        <w:t xml:space="preserve"> et al (2015)</w:t>
      </w:r>
      <w:r w:rsidRPr="00AA4A11">
        <w:t xml:space="preserve"> study, operational costs and non-performing loans have a detrimental effect on a net interest income and are statically important, with critical values of about 0.0735 and 0.085, respectively, in the model used to calculate a bank's return on total assets.</w:t>
      </w:r>
    </w:p>
    <w:p w:rsidR="008D6488" w:rsidRDefault="008D6488"/>
    <w:p w:rsidR="00E24613" w:rsidRDefault="00E24613" w:rsidP="00B910B2">
      <w:pPr>
        <w:pStyle w:val="Heading1"/>
      </w:pPr>
      <w:bookmarkStart w:id="27" w:name="_Toc128518358"/>
      <w:r>
        <w:t>Conclusions</w:t>
      </w:r>
      <w:bookmarkEnd w:id="27"/>
    </w:p>
    <w:p w:rsidR="001A3CF8" w:rsidRDefault="001A3CF8">
      <w:r w:rsidRPr="001A3CF8">
        <w:t xml:space="preserve">This study </w:t>
      </w:r>
      <w:r w:rsidR="00951CA2" w:rsidRPr="001A3CF8">
        <w:t>endeavours</w:t>
      </w:r>
      <w:r w:rsidRPr="001A3CF8">
        <w:t xml:space="preserve"> to demonstrate the impact of various factors on the profitability of leading banks in the UK through the use of quantitative data. The investigation scrutinizes the connections between these factors and their influence on the banks' financial achievements over the long term. In particular, the study examines how equity capital, non-performing loans, operational expenses, total deposits, interest revenue, loans, and advances affect banking performance, with a focus on return on equity and return on assets. Six UK banks were chosen at random for the study, with the aim of identifying the key factors that contribute to their financial state</w:t>
      </w:r>
      <w:r>
        <w:t>.</w:t>
      </w:r>
    </w:p>
    <w:p w:rsidR="001A3CF8" w:rsidRDefault="001A3CF8">
      <w:r w:rsidRPr="001A3CF8">
        <w:t>After conducting a thorough analysis, the study discovered that equity capital, non-performing loans, operational expenses, total deposits, asset size, and total interest income are crucial factors that significantly influence a bank's return on assets. The expected results were confirmed using two regression models, which highlighted the significant impact of these factors on a bank's core profitability rate. Additionally, the study successfully accomplished its main goal as the identified metrics were found to have an equal influence on a bank's return on assets and return on equity</w:t>
      </w:r>
      <w:r>
        <w:t>.</w:t>
      </w:r>
    </w:p>
    <w:p w:rsidR="001A3CF8" w:rsidRDefault="001A3CF8">
      <w:r w:rsidRPr="001A3CF8">
        <w:t>The study's secondary objective was to examine the factors that businesses consider when determining a bank's profitability. Two regression analyses revealed a strong correlation between a company's success and the level of external funding it received. The study also found a negative correlation between non-performing loans and the bank's return on equity and return on assets, indicating a harmful impact on the bank's financial performance. Additionally, increased operational expenses were found to have a negative impact on the bank's profitability, as evidenced by the negative relationship between expenses and ROA and ROE. On the other hand, the bank's profitability was positively influenced by an increase in both interest and non-interest revenue, as demonstrated by their positive effect on ROA and ROE. Conversely, the quantity of loans and advances had a significant negative effect on the bank's overall profitability. These findings provided a critical evaluation of the impact of these factors on the profitability of the selected banks. The ultimate objective was to recommend ways for these banks to manage and optimize these factors to achieve long-term profitability.</w:t>
      </w:r>
    </w:p>
    <w:p w:rsidR="00573A70" w:rsidRDefault="00573A70">
      <w:r>
        <w:t>Few of the recommendations are</w:t>
      </w:r>
    </w:p>
    <w:p w:rsidR="00573A70" w:rsidRDefault="00573A70">
      <w:r w:rsidRPr="00573A70">
        <w:t>Maintaining sufficient liquidity to meet customers' immediate withdrawal requirements is crucial for building their confidence in the bank. However, excessive liquidity can have a negative impact on the institution's profitability as idle cash can lead to lower profits. Therefore, to optimize profitability, banks should establish a system that allows them to efficiently manage their cash flow to meet both their customers' needs and their optimal financing objectives. While this approach is already in place in all major UK banks, there is room for improvement to enhance its efficacy and efficiency</w:t>
      </w:r>
      <w:r w:rsidR="00FD063E">
        <w:t>.</w:t>
      </w:r>
    </w:p>
    <w:p w:rsidR="00FD063E" w:rsidRDefault="00FD063E">
      <w:r w:rsidRPr="00FD063E">
        <w:t xml:space="preserve">Effective management of equity capital is crucial for a financial institution to maintain a long-term return. However, choosing equity capital can be costly for banks since they must distribute their </w:t>
      </w:r>
      <w:r w:rsidRPr="00FD063E">
        <w:lastRenderedPageBreak/>
        <w:t>earnings. Therefore, it is essential for banks to carefully evaluate their options to minimize additional expenses and maximize profits.</w:t>
      </w:r>
    </w:p>
    <w:p w:rsidR="00FD063E" w:rsidRDefault="003F3C20">
      <w:r w:rsidRPr="003F3C20">
        <w:t>The overall profitability of a bank is determined by the total amount of interest and non-interest revenue, and both should be given equal importance. Therefore, large UK banks should explore ways to increase their non-interest revenue to achieve long-term profitability. The rate of return is closely associated with deposit flow, confidence in capital, and customer service</w:t>
      </w:r>
      <w:r w:rsidR="00B4180F">
        <w:t>.</w:t>
      </w:r>
    </w:p>
    <w:p w:rsidR="00B4180F" w:rsidRDefault="00B4180F" w:rsidP="00B4180F">
      <w:r>
        <w:t>Banks need to strategically manage their overall asset size. They should not hold an excessive number of assets as it would require more capital, but they should also not have too few holdings, which can negatively impact their level of overall economic independence. Therefore, the financial institution should establish an appropriate approach that helps to maintain an investment portfolio that is both efficient and agile.</w:t>
      </w:r>
    </w:p>
    <w:p w:rsidR="00B4180F" w:rsidRDefault="00B4180F" w:rsidP="00B4180F"/>
    <w:p w:rsidR="00B4180F" w:rsidRDefault="00B4180F">
      <w:r w:rsidRPr="00B4180F">
        <w:t>Banks should not be overly concerned about the total number of loans and advances they issue. Instead, they should concentrate on increasing the quality and quantity of their loans and advances to enhance their investment returns. However, to achieve this, they must establish a solid foundation with the assistance of experts and technological advancements that will help them expand their opportunities and reduce their total amount of non-performing loans and advances, ultimately improving their profitability prospects</w:t>
      </w:r>
      <w:r w:rsidR="00402BA8">
        <w:t>.</w:t>
      </w:r>
    </w:p>
    <w:p w:rsidR="00402BA8" w:rsidRDefault="00DD043F">
      <w:r>
        <w:t>By following few of these</w:t>
      </w:r>
      <w:r w:rsidR="00402BA8">
        <w:t xml:space="preserve"> recommendations then most of the banks</w:t>
      </w:r>
      <w:r>
        <w:t xml:space="preserve"> in UK can perform well and</w:t>
      </w:r>
      <w:r w:rsidR="00402BA8">
        <w:t xml:space="preserve"> can achieve profits. </w:t>
      </w:r>
    </w:p>
    <w:p w:rsidR="00DD043F" w:rsidRDefault="00DD043F"/>
    <w:p w:rsidR="00DD043F" w:rsidRDefault="00DD043F"/>
    <w:p w:rsidR="00DD043F" w:rsidRDefault="00DD043F"/>
    <w:p w:rsidR="00DD043F" w:rsidRDefault="00DD043F"/>
    <w:p w:rsidR="004B1F35" w:rsidRDefault="004B1F35"/>
    <w:p w:rsidR="00C12942" w:rsidRDefault="00C12942"/>
    <w:p w:rsidR="00954615" w:rsidRDefault="00954615"/>
    <w:p w:rsidR="00DD043F" w:rsidRDefault="00DD043F"/>
    <w:sdt>
      <w:sdtPr>
        <w:rPr>
          <w:rFonts w:asciiTheme="minorHAnsi" w:eastAsiaTheme="minorHAnsi" w:hAnsiTheme="minorHAnsi" w:cstheme="minorBidi"/>
          <w:color w:val="auto"/>
          <w:sz w:val="22"/>
          <w:szCs w:val="22"/>
          <w:lang w:val="en-IN"/>
        </w:rPr>
        <w:id w:val="408274495"/>
        <w:docPartObj>
          <w:docPartGallery w:val="Bibliographies"/>
          <w:docPartUnique/>
        </w:docPartObj>
      </w:sdtPr>
      <w:sdtContent>
        <w:p w:rsidR="00403F78" w:rsidRPr="00403F78" w:rsidRDefault="00403F78" w:rsidP="00403F78">
          <w:pPr>
            <w:pStyle w:val="Heading1"/>
            <w:rPr>
              <w:rFonts w:asciiTheme="minorHAnsi" w:eastAsiaTheme="minorHAnsi" w:hAnsiTheme="minorHAnsi" w:cstheme="minorBidi"/>
              <w:color w:val="auto"/>
              <w:sz w:val="22"/>
              <w:szCs w:val="22"/>
              <w:lang w:val="en-IN"/>
            </w:rPr>
          </w:pPr>
        </w:p>
        <w:bookmarkStart w:id="28" w:name="_Toc128518359" w:displacedByCustomXml="next"/>
        <w:sdt>
          <w:sdtPr>
            <w:rPr>
              <w:rFonts w:asciiTheme="minorHAnsi" w:eastAsiaTheme="minorHAnsi" w:hAnsiTheme="minorHAnsi" w:cstheme="minorBidi"/>
              <w:color w:val="auto"/>
              <w:sz w:val="22"/>
              <w:szCs w:val="22"/>
              <w:lang w:val="en-IN"/>
            </w:rPr>
            <w:id w:val="1245534065"/>
            <w:docPartObj>
              <w:docPartGallery w:val="Bibliographies"/>
              <w:docPartUnique/>
            </w:docPartObj>
          </w:sdtPr>
          <w:sdtContent>
            <w:p w:rsidR="00954615" w:rsidRDefault="00954615">
              <w:pPr>
                <w:pStyle w:val="Heading1"/>
              </w:pPr>
              <w:r>
                <w:t>References</w:t>
              </w:r>
              <w:bookmarkEnd w:id="28"/>
            </w:p>
            <w:sdt>
              <w:sdtPr>
                <w:id w:val="-573587230"/>
                <w:bibliography/>
              </w:sdtPr>
              <w:sdtContent>
                <w:p w:rsidR="00954615" w:rsidRDefault="00954615" w:rsidP="00954615">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Almaskati, N. (18 December, 2021). The determinants of bank profitability and risk: A random forest approach. </w:t>
                  </w:r>
                  <w:r>
                    <w:rPr>
                      <w:i/>
                      <w:iCs/>
                      <w:noProof/>
                      <w:lang w:val="en-US"/>
                    </w:rPr>
                    <w:t>Cogent economics and finance</w:t>
                  </w:r>
                  <w:r>
                    <w:rPr>
                      <w:noProof/>
                      <w:lang w:val="en-US"/>
                    </w:rPr>
                    <w:t>.</w:t>
                  </w:r>
                </w:p>
                <w:p w:rsidR="00954615" w:rsidRDefault="00954615" w:rsidP="00954615">
                  <w:pPr>
                    <w:pStyle w:val="Bibliography"/>
                    <w:ind w:left="720" w:hanging="720"/>
                    <w:rPr>
                      <w:noProof/>
                      <w:lang w:val="en-US"/>
                    </w:rPr>
                  </w:pPr>
                  <w:r>
                    <w:rPr>
                      <w:noProof/>
                      <w:lang w:val="en-US"/>
                    </w:rPr>
                    <w:t xml:space="preserve">D, R. (2010). Review of Literature and Theories on Determinants of Commercial Bank. </w:t>
                  </w:r>
                  <w:r>
                    <w:rPr>
                      <w:i/>
                      <w:iCs/>
                      <w:noProof/>
                      <w:lang w:val="en-US"/>
                    </w:rPr>
                    <w:t>Journal of Performance Management</w:t>
                  </w:r>
                  <w:r>
                    <w:rPr>
                      <w:noProof/>
                      <w:lang w:val="en-US"/>
                    </w:rPr>
                    <w:t>, 23, 23-49.</w:t>
                  </w:r>
                </w:p>
                <w:p w:rsidR="00954615" w:rsidRDefault="00954615" w:rsidP="00954615">
                  <w:pPr>
                    <w:pStyle w:val="Bibliography"/>
                    <w:ind w:left="720" w:hanging="720"/>
                    <w:rPr>
                      <w:noProof/>
                      <w:lang w:val="en-US"/>
                    </w:rPr>
                  </w:pPr>
                  <w:r>
                    <w:rPr>
                      <w:noProof/>
                      <w:lang w:val="en-US"/>
                    </w:rPr>
                    <w:t xml:space="preserve">Fraser, D. a. (1971). More on banking structure and performance: the evidence from Texas. </w:t>
                  </w:r>
                  <w:r>
                    <w:rPr>
                      <w:i/>
                      <w:iCs/>
                      <w:noProof/>
                      <w:lang w:val="en-US"/>
                    </w:rPr>
                    <w:t xml:space="preserve">Journal of Financial and Quantitative Analysis </w:t>
                  </w:r>
                  <w:r>
                    <w:rPr>
                      <w:noProof/>
                      <w:lang w:val="en-US"/>
                    </w:rPr>
                    <w:t>, VI (1): 601-614.</w:t>
                  </w:r>
                </w:p>
                <w:p w:rsidR="00954615" w:rsidRDefault="00954615" w:rsidP="00954615">
                  <w:pPr>
                    <w:pStyle w:val="Bibliography"/>
                    <w:ind w:left="720" w:hanging="720"/>
                    <w:rPr>
                      <w:noProof/>
                      <w:lang w:val="en-US"/>
                    </w:rPr>
                  </w:pPr>
                  <w:r>
                    <w:rPr>
                      <w:noProof/>
                      <w:lang w:val="en-US"/>
                    </w:rPr>
                    <w:lastRenderedPageBreak/>
                    <w:t xml:space="preserve">Goddard J., P. M. (2004). The profitability of European banks: A cross-. </w:t>
                  </w:r>
                  <w:r>
                    <w:rPr>
                      <w:i/>
                      <w:iCs/>
                      <w:noProof/>
                      <w:lang w:val="en-US"/>
                    </w:rPr>
                    <w:t>The Manchester School</w:t>
                  </w:r>
                  <w:r>
                    <w:rPr>
                      <w:noProof/>
                      <w:lang w:val="en-US"/>
                    </w:rPr>
                    <w:t>, 72, 363-81.</w:t>
                  </w:r>
                </w:p>
                <w:p w:rsidR="00954615" w:rsidRDefault="00954615" w:rsidP="00954615">
                  <w:pPr>
                    <w:pStyle w:val="Bibliography"/>
                    <w:ind w:left="720" w:hanging="720"/>
                    <w:rPr>
                      <w:noProof/>
                      <w:lang w:val="en-US"/>
                    </w:rPr>
                  </w:pPr>
                  <w:r>
                    <w:rPr>
                      <w:noProof/>
                      <w:lang w:val="en-US"/>
                    </w:rPr>
                    <w:t xml:space="preserve">Golbert, L. a. (1996). The structure-performance relationship for European banking. . </w:t>
                  </w:r>
                  <w:r>
                    <w:rPr>
                      <w:i/>
                      <w:iCs/>
                      <w:noProof/>
                      <w:lang w:val="en-US"/>
                    </w:rPr>
                    <w:t>Journal of banking and finance</w:t>
                  </w:r>
                  <w:r>
                    <w:rPr>
                      <w:noProof/>
                      <w:lang w:val="en-US"/>
                    </w:rPr>
                    <w:t>, 20: 745-771.</w:t>
                  </w:r>
                </w:p>
                <w:p w:rsidR="00954615" w:rsidRDefault="00954615" w:rsidP="00954615">
                  <w:pPr>
                    <w:pStyle w:val="Bibliography"/>
                    <w:ind w:left="720" w:hanging="720"/>
                    <w:rPr>
                      <w:noProof/>
                      <w:lang w:val="en-US"/>
                    </w:rPr>
                  </w:pPr>
                  <w:r>
                    <w:rPr>
                      <w:noProof/>
                      <w:lang w:val="en-US"/>
                    </w:rPr>
                    <w:t xml:space="preserve">Haslem, J. (1968). A statistical analysis of the relative profitability of commercial banks. </w:t>
                  </w:r>
                  <w:r>
                    <w:rPr>
                      <w:i/>
                      <w:iCs/>
                      <w:noProof/>
                      <w:lang w:val="en-US"/>
                    </w:rPr>
                    <w:t>Journal of Finance</w:t>
                  </w:r>
                  <w:r>
                    <w:rPr>
                      <w:noProof/>
                      <w:lang w:val="en-US"/>
                    </w:rPr>
                    <w:t>, 23: 167-176.</w:t>
                  </w:r>
                </w:p>
                <w:p w:rsidR="00954615" w:rsidRDefault="00954615" w:rsidP="00954615">
                  <w:pPr>
                    <w:pStyle w:val="Bibliography"/>
                    <w:ind w:left="720" w:hanging="720"/>
                    <w:rPr>
                      <w:noProof/>
                      <w:lang w:val="en-US"/>
                    </w:rPr>
                  </w:pPr>
                  <w:r>
                    <w:rPr>
                      <w:noProof/>
                      <w:lang w:val="en-US"/>
                    </w:rPr>
                    <w:t xml:space="preserve">Hoggarth, G. M. (1998). Financial innovation and financial stability: some. </w:t>
                  </w:r>
                  <w:r>
                    <w:rPr>
                      <w:i/>
                      <w:iCs/>
                      <w:noProof/>
                      <w:lang w:val="en-US"/>
                    </w:rPr>
                    <w:t>Financial Stability Review, Bank of England.</w:t>
                  </w:r>
                  <w:r>
                    <w:rPr>
                      <w:noProof/>
                      <w:lang w:val="en-US"/>
                    </w:rPr>
                    <w:t xml:space="preserve"> </w:t>
                  </w:r>
                </w:p>
                <w:p w:rsidR="00954615" w:rsidRDefault="00954615" w:rsidP="00954615">
                  <w:pPr>
                    <w:pStyle w:val="Bibliography"/>
                    <w:ind w:left="720" w:hanging="720"/>
                    <w:rPr>
                      <w:noProof/>
                      <w:lang w:val="en-US"/>
                    </w:rPr>
                  </w:pPr>
                  <w:r>
                    <w:rPr>
                      <w:noProof/>
                      <w:lang w:val="en-US"/>
                    </w:rPr>
                    <w:t xml:space="preserve">Kashif, M. (2019, December). </w:t>
                  </w:r>
                  <w:r>
                    <w:rPr>
                      <w:i/>
                      <w:iCs/>
                      <w:noProof/>
                      <w:lang w:val="en-US"/>
                    </w:rPr>
                    <w:t>Factors Affecting the Profitability of Banks in Developing Countries</w:t>
                  </w:r>
                  <w:r>
                    <w:rPr>
                      <w:noProof/>
                      <w:lang w:val="en-US"/>
                    </w:rPr>
                    <w:t>. Retrieved from ResearchGate: https://www.researchgate.net/publication/339133994_Factors_Affecting_the_Profitability_of_Banks_in_Developing_Countries</w:t>
                  </w:r>
                </w:p>
                <w:p w:rsidR="00954615" w:rsidRDefault="00954615" w:rsidP="00954615">
                  <w:pPr>
                    <w:pStyle w:val="Bibliography"/>
                    <w:ind w:left="720" w:hanging="720"/>
                    <w:rPr>
                      <w:noProof/>
                      <w:lang w:val="en-US"/>
                    </w:rPr>
                  </w:pPr>
                  <w:r>
                    <w:rPr>
                      <w:noProof/>
                      <w:lang w:val="en-US"/>
                    </w:rPr>
                    <w:t xml:space="preserve">Kaufman, G. (1965). Bank market structure and performance: the evidence from Iowa. . </w:t>
                  </w:r>
                  <w:r>
                    <w:rPr>
                      <w:i/>
                      <w:iCs/>
                      <w:noProof/>
                      <w:lang w:val="en-US"/>
                    </w:rPr>
                    <w:t>Southern Economic Journal</w:t>
                  </w:r>
                  <w:r>
                    <w:rPr>
                      <w:noProof/>
                      <w:lang w:val="en-US"/>
                    </w:rPr>
                    <w:t>, 32: 429-439.</w:t>
                  </w:r>
                </w:p>
                <w:p w:rsidR="00954615" w:rsidRDefault="00954615" w:rsidP="00954615">
                  <w:pPr>
                    <w:pStyle w:val="Bibliography"/>
                    <w:ind w:left="720" w:hanging="720"/>
                    <w:rPr>
                      <w:noProof/>
                      <w:lang w:val="en-US"/>
                    </w:rPr>
                  </w:pPr>
                  <w:r>
                    <w:rPr>
                      <w:noProof/>
                      <w:lang w:val="en-US"/>
                    </w:rPr>
                    <w:t xml:space="preserve">Molyneux, P. (1993). Market structure and profitability in European banking. </w:t>
                  </w:r>
                  <w:r>
                    <w:rPr>
                      <w:i/>
                      <w:iCs/>
                      <w:noProof/>
                      <w:lang w:val="en-US"/>
                    </w:rPr>
                    <w:t>Institute of European Finance, University College of North Wales</w:t>
                  </w:r>
                  <w:r>
                    <w:rPr>
                      <w:noProof/>
                      <w:lang w:val="en-US"/>
                    </w:rPr>
                    <w:t>, Research Paper 9.</w:t>
                  </w:r>
                </w:p>
                <w:p w:rsidR="00954615" w:rsidRDefault="00954615" w:rsidP="00954615">
                  <w:pPr>
                    <w:pStyle w:val="Bibliography"/>
                    <w:ind w:left="720" w:hanging="720"/>
                    <w:rPr>
                      <w:noProof/>
                      <w:lang w:val="en-US"/>
                    </w:rPr>
                  </w:pPr>
                  <w:r>
                    <w:rPr>
                      <w:i/>
                      <w:iCs/>
                      <w:noProof/>
                      <w:lang w:val="en-US"/>
                    </w:rPr>
                    <w:t>NatWest Group Market Cap 2010-2022</w:t>
                  </w:r>
                  <w:r>
                    <w:rPr>
                      <w:noProof/>
                      <w:lang w:val="en-US"/>
                    </w:rPr>
                    <w:t>. (n.d.). Retrieved from Macrotrends: https://www.macrotrends.net/stocks/charts/NWG/natwest-group/market-cap</w:t>
                  </w:r>
                </w:p>
                <w:p w:rsidR="00954615" w:rsidRDefault="00954615" w:rsidP="00954615">
                  <w:pPr>
                    <w:pStyle w:val="Bibliography"/>
                    <w:ind w:left="720" w:hanging="720"/>
                    <w:rPr>
                      <w:noProof/>
                      <w:lang w:val="en-US"/>
                    </w:rPr>
                  </w:pPr>
                  <w:r>
                    <w:rPr>
                      <w:noProof/>
                      <w:lang w:val="en-US"/>
                    </w:rPr>
                    <w:t xml:space="preserve">Petriaa, N. C. (2015). Determinants of banks’ profitability: evidence from EU 27 banking system. </w:t>
                  </w:r>
                  <w:r>
                    <w:rPr>
                      <w:i/>
                      <w:iCs/>
                      <w:noProof/>
                      <w:lang w:val="en-US"/>
                    </w:rPr>
                    <w:t>Procedia Economics and Finance</w:t>
                  </w:r>
                  <w:r>
                    <w:rPr>
                      <w:noProof/>
                      <w:lang w:val="en-US"/>
                    </w:rPr>
                    <w:t>, 20(1),518-524. .</w:t>
                  </w:r>
                </w:p>
                <w:p w:rsidR="00954615" w:rsidRDefault="00954615" w:rsidP="00954615">
                  <w:pPr>
                    <w:pStyle w:val="Bibliography"/>
                    <w:ind w:left="720" w:hanging="720"/>
                    <w:rPr>
                      <w:noProof/>
                      <w:lang w:val="en-US"/>
                    </w:rPr>
                  </w:pPr>
                  <w:r>
                    <w:rPr>
                      <w:i/>
                      <w:iCs/>
                      <w:noProof/>
                      <w:lang w:val="en-US"/>
                    </w:rPr>
                    <w:t>Regression model using Panel data</w:t>
                  </w:r>
                  <w:r>
                    <w:rPr>
                      <w:noProof/>
                      <w:lang w:val="en-US"/>
                    </w:rPr>
                    <w:t>. (n.d.). Retrieved from Algoritma: https://algoritmaonline.com/regression-with-panel-data/</w:t>
                  </w:r>
                </w:p>
                <w:p w:rsidR="00954615" w:rsidRDefault="00954615" w:rsidP="00954615">
                  <w:pPr>
                    <w:pStyle w:val="Bibliography"/>
                    <w:ind w:left="720" w:hanging="720"/>
                    <w:rPr>
                      <w:noProof/>
                      <w:lang w:val="en-US"/>
                    </w:rPr>
                  </w:pPr>
                  <w:r>
                    <w:rPr>
                      <w:noProof/>
                      <w:lang w:val="en-US"/>
                    </w:rPr>
                    <w:t xml:space="preserve">Sahyouni, A. &amp;. (2018). The determinants of Bank Profitability: Does liquidity creation matter? . </w:t>
                  </w:r>
                  <w:r>
                    <w:rPr>
                      <w:i/>
                      <w:iCs/>
                      <w:noProof/>
                      <w:lang w:val="en-US"/>
                    </w:rPr>
                    <w:t>Journal of Economics and Financial Analysis</w:t>
                  </w:r>
                  <w:r>
                    <w:rPr>
                      <w:noProof/>
                      <w:lang w:val="en-US"/>
                    </w:rPr>
                    <w:t>, 2(2), 61-85.</w:t>
                  </w:r>
                </w:p>
                <w:p w:rsidR="00954615" w:rsidRDefault="00954615" w:rsidP="00954615">
                  <w:pPr>
                    <w:pStyle w:val="Bibliography"/>
                    <w:ind w:left="720" w:hanging="720"/>
                    <w:rPr>
                      <w:noProof/>
                      <w:lang w:val="en-US"/>
                    </w:rPr>
                  </w:pPr>
                  <w:r>
                    <w:rPr>
                      <w:noProof/>
                      <w:lang w:val="en-US"/>
                    </w:rPr>
                    <w:t xml:space="preserve">Short, B. (1979). The relation between commercial bank profit rates and banking concentration in. </w:t>
                  </w:r>
                  <w:r>
                    <w:rPr>
                      <w:i/>
                      <w:iCs/>
                      <w:noProof/>
                      <w:lang w:val="en-US"/>
                    </w:rPr>
                    <w:t>Journal of Banking and Finance</w:t>
                  </w:r>
                  <w:r>
                    <w:rPr>
                      <w:noProof/>
                      <w:lang w:val="en-US"/>
                    </w:rPr>
                    <w:t>, 3: 209-219.</w:t>
                  </w:r>
                </w:p>
                <w:p w:rsidR="00954615" w:rsidRDefault="00954615" w:rsidP="00954615">
                  <w:pPr>
                    <w:pStyle w:val="Bibliography"/>
                    <w:ind w:left="720" w:hanging="720"/>
                    <w:rPr>
                      <w:noProof/>
                      <w:lang w:val="en-US"/>
                    </w:rPr>
                  </w:pPr>
                  <w:r>
                    <w:rPr>
                      <w:noProof/>
                      <w:lang w:val="en-US"/>
                    </w:rPr>
                    <w:t xml:space="preserve">Staikouras, C. K. (n.d.). The Determinants. </w:t>
                  </w:r>
                  <w:r>
                    <w:rPr>
                      <w:i/>
                      <w:iCs/>
                      <w:noProof/>
                      <w:lang w:val="en-US"/>
                    </w:rPr>
                    <w:t>International Business &amp; Economics Research Journal</w:t>
                  </w:r>
                  <w:r>
                    <w:rPr>
                      <w:noProof/>
                      <w:lang w:val="en-US"/>
                    </w:rPr>
                    <w:t>, Mumber 6, Volume 3.</w:t>
                  </w:r>
                </w:p>
                <w:p w:rsidR="00954615" w:rsidRDefault="00954615" w:rsidP="00954615">
                  <w:pPr>
                    <w:pStyle w:val="Bibliography"/>
                    <w:ind w:left="720" w:hanging="720"/>
                    <w:rPr>
                      <w:noProof/>
                      <w:lang w:val="en-US"/>
                    </w:rPr>
                  </w:pPr>
                  <w:r>
                    <w:rPr>
                      <w:noProof/>
                      <w:lang w:val="en-US"/>
                    </w:rPr>
                    <w:t xml:space="preserve">Thanh Ngo, T. D. (2020, 04 01). </w:t>
                  </w:r>
                  <w:r>
                    <w:rPr>
                      <w:i/>
                      <w:iCs/>
                      <w:noProof/>
                      <w:lang w:val="en-US"/>
                    </w:rPr>
                    <w:t>The determinants of bank profitability: A cross-country analysis</w:t>
                  </w:r>
                  <w:r>
                    <w:rPr>
                      <w:noProof/>
                      <w:lang w:val="en-US"/>
                    </w:rPr>
                    <w:t>. Retrieved from sciencedirect: https://www.sciencedirect.com/science/article/pii/S1303070120300172</w:t>
                  </w:r>
                </w:p>
                <w:p w:rsidR="00954615" w:rsidRDefault="00954615" w:rsidP="00954615">
                  <w:pPr>
                    <w:pStyle w:val="Bibliography"/>
                    <w:ind w:left="720" w:hanging="720"/>
                    <w:rPr>
                      <w:noProof/>
                      <w:lang w:val="en-US"/>
                    </w:rPr>
                  </w:pPr>
                  <w:r>
                    <w:rPr>
                      <w:noProof/>
                      <w:lang w:val="en-US"/>
                    </w:rPr>
                    <w:t xml:space="preserve">Wall, L. (1985). Why are some banks more profitable than others? </w:t>
                  </w:r>
                  <w:r>
                    <w:rPr>
                      <w:i/>
                      <w:iCs/>
                      <w:noProof/>
                      <w:lang w:val="en-US"/>
                    </w:rPr>
                    <w:t>Journal of Bank Research</w:t>
                  </w:r>
                  <w:r>
                    <w:rPr>
                      <w:noProof/>
                      <w:lang w:val="en-US"/>
                    </w:rPr>
                    <w:t>, 15 (4): 240-256.</w:t>
                  </w:r>
                </w:p>
                <w:p w:rsidR="00954615" w:rsidRDefault="00954615" w:rsidP="00954615">
                  <w:pPr>
                    <w:pStyle w:val="Bibliography"/>
                    <w:ind w:left="720" w:hanging="720"/>
                    <w:rPr>
                      <w:noProof/>
                      <w:lang w:val="en-US"/>
                    </w:rPr>
                  </w:pPr>
                  <w:r>
                    <w:rPr>
                      <w:noProof/>
                      <w:lang w:val="en-US"/>
                    </w:rPr>
                    <w:t xml:space="preserve">Wang, R. (2015). </w:t>
                  </w:r>
                  <w:r>
                    <w:rPr>
                      <w:i/>
                      <w:iCs/>
                      <w:noProof/>
                      <w:lang w:val="en-US"/>
                    </w:rPr>
                    <w:t>WHAT DETERMINES THE PROFITABILITY OF BANKS? EVIDENCE FROM THE US</w:t>
                  </w:r>
                  <w:r>
                    <w:rPr>
                      <w:noProof/>
                      <w:lang w:val="en-US"/>
                    </w:rPr>
                    <w:t>. Retrieved from Summit Research Repository: https://summit.sfu.ca/item/15820</w:t>
                  </w:r>
                </w:p>
                <w:p w:rsidR="004B1F35" w:rsidRDefault="00954615" w:rsidP="004B1F35">
                  <w:pPr>
                    <w:rPr>
                      <w:b/>
                      <w:bCs/>
                      <w:noProof/>
                    </w:rPr>
                  </w:pPr>
                  <w:r>
                    <w:rPr>
                      <w:b/>
                      <w:bCs/>
                      <w:noProof/>
                    </w:rPr>
                    <w:fldChar w:fldCharType="end"/>
                  </w:r>
                </w:p>
                <w:sdt>
                  <w:sdtPr>
                    <w:id w:val="111145805"/>
                    <w:bibliography/>
                  </w:sdtPr>
                  <w:sdtEndPr/>
                  <w:sdtContent>
                    <w:p w:rsidR="004B1F35" w:rsidRPr="004B1F35" w:rsidRDefault="004B1F35" w:rsidP="004B1F35">
                      <w:pPr>
                        <w:pStyle w:val="Bibliography"/>
                      </w:pPr>
                      <w:r w:rsidRPr="00AD281E">
                        <w:t xml:space="preserve"> </w:t>
                      </w:r>
                      <w:proofErr w:type="spellStart"/>
                      <w:r w:rsidRPr="00876EF4">
                        <w:rPr>
                          <w:rFonts w:eastAsia="Times New Roman" w:cs="Times New Roman"/>
                          <w:color w:val="000000"/>
                          <w:szCs w:val="24"/>
                          <w:lang w:val="en-US"/>
                        </w:rPr>
                        <w:t>Mazouz</w:t>
                      </w:r>
                      <w:proofErr w:type="spellEnd"/>
                      <w:r w:rsidRPr="00876EF4">
                        <w:rPr>
                          <w:rFonts w:eastAsia="Times New Roman" w:cs="Times New Roman"/>
                          <w:color w:val="000000"/>
                          <w:szCs w:val="24"/>
                          <w:lang w:val="en-US"/>
                        </w:rPr>
                        <w:t>, K.,</w:t>
                      </w:r>
                      <w:r>
                        <w:rPr>
                          <w:rFonts w:eastAsia="Times New Roman" w:cs="Times New Roman"/>
                          <w:color w:val="000000"/>
                          <w:szCs w:val="24"/>
                          <w:lang w:val="en-US"/>
                        </w:rPr>
                        <w:t xml:space="preserve"> Joseph, N., &amp; </w:t>
                      </w:r>
                      <w:proofErr w:type="spellStart"/>
                      <w:r>
                        <w:rPr>
                          <w:rFonts w:eastAsia="Times New Roman" w:cs="Times New Roman"/>
                          <w:color w:val="000000"/>
                          <w:szCs w:val="24"/>
                          <w:lang w:val="en-US"/>
                        </w:rPr>
                        <w:t>Joulmer</w:t>
                      </w:r>
                      <w:proofErr w:type="spellEnd"/>
                      <w:r>
                        <w:rPr>
                          <w:rFonts w:eastAsia="Times New Roman" w:cs="Times New Roman"/>
                          <w:color w:val="000000"/>
                          <w:szCs w:val="24"/>
                          <w:lang w:val="en-US"/>
                        </w:rPr>
                        <w:t>, J. (2017</w:t>
                      </w:r>
                      <w:r w:rsidRPr="00876EF4">
                        <w:rPr>
                          <w:rFonts w:eastAsia="Times New Roman" w:cs="Times New Roman"/>
                          <w:color w:val="000000"/>
                          <w:szCs w:val="24"/>
                          <w:lang w:val="en-US"/>
                        </w:rPr>
                        <w:t>). Stock price reaction following large one-day price changes: UK evidence. </w:t>
                      </w:r>
                      <w:r w:rsidRPr="00876EF4">
                        <w:rPr>
                          <w:rFonts w:eastAsia="Times New Roman" w:cs="Times New Roman"/>
                          <w:i/>
                          <w:iCs/>
                          <w:color w:val="000000"/>
                          <w:szCs w:val="24"/>
                          <w:lang w:val="en-US"/>
                        </w:rPr>
                        <w:t>Journal of Banking &amp; Finance</w:t>
                      </w:r>
                      <w:r w:rsidRPr="00876EF4">
                        <w:rPr>
                          <w:rFonts w:eastAsia="Times New Roman" w:cs="Times New Roman"/>
                          <w:color w:val="000000"/>
                          <w:szCs w:val="24"/>
                          <w:lang w:val="en-US"/>
                        </w:rPr>
                        <w:t>, </w:t>
                      </w:r>
                      <w:r w:rsidRPr="00876EF4">
                        <w:rPr>
                          <w:rFonts w:eastAsia="Times New Roman" w:cs="Times New Roman"/>
                          <w:i/>
                          <w:iCs/>
                          <w:color w:val="000000"/>
                          <w:szCs w:val="24"/>
                          <w:lang w:val="en-US"/>
                        </w:rPr>
                        <w:t>33</w:t>
                      </w:r>
                      <w:r w:rsidRPr="00876EF4">
                        <w:rPr>
                          <w:rFonts w:eastAsia="Times New Roman" w:cs="Times New Roman"/>
                          <w:color w:val="000000"/>
                          <w:szCs w:val="24"/>
                          <w:lang w:val="en-US"/>
                        </w:rPr>
                        <w:t xml:space="preserve">(8), 1481-1493. </w:t>
                      </w:r>
                      <w:proofErr w:type="spellStart"/>
                      <w:proofErr w:type="gramStart"/>
                      <w:r w:rsidRPr="00876EF4">
                        <w:rPr>
                          <w:rFonts w:eastAsia="Times New Roman" w:cs="Times New Roman"/>
                          <w:color w:val="000000"/>
                          <w:szCs w:val="24"/>
                          <w:lang w:val="en-US"/>
                        </w:rPr>
                        <w:t>doi</w:t>
                      </w:r>
                      <w:proofErr w:type="spellEnd"/>
                      <w:proofErr w:type="gramEnd"/>
                      <w:r w:rsidRPr="00876EF4">
                        <w:rPr>
                          <w:rFonts w:eastAsia="Times New Roman" w:cs="Times New Roman"/>
                          <w:color w:val="000000"/>
                          <w:szCs w:val="24"/>
                          <w:lang w:val="en-US"/>
                        </w:rPr>
                        <w:t>: 10.1016/j.jbankfin.2009.02.010</w:t>
                      </w:r>
                    </w:p>
                    <w:p w:rsidR="004B1F35" w:rsidRPr="00876EF4" w:rsidRDefault="004B1F35" w:rsidP="004B1F35">
                      <w:pPr>
                        <w:rPr>
                          <w:rFonts w:eastAsia="Times New Roman" w:cs="Times New Roman"/>
                          <w:color w:val="000000"/>
                          <w:szCs w:val="24"/>
                          <w:lang w:val="en-US"/>
                        </w:rPr>
                      </w:pPr>
                      <w:r>
                        <w:rPr>
                          <w:rFonts w:eastAsia="Times New Roman" w:cs="Times New Roman"/>
                          <w:color w:val="000000"/>
                          <w:szCs w:val="24"/>
                          <w:lang w:val="en-US"/>
                        </w:rPr>
                        <w:t xml:space="preserve">Powell, R., &amp; </w:t>
                      </w:r>
                      <w:proofErr w:type="spellStart"/>
                      <w:r>
                        <w:rPr>
                          <w:rFonts w:eastAsia="Times New Roman" w:cs="Times New Roman"/>
                          <w:color w:val="000000"/>
                          <w:szCs w:val="24"/>
                          <w:lang w:val="en-US"/>
                        </w:rPr>
                        <w:t>Yawson</w:t>
                      </w:r>
                      <w:proofErr w:type="spellEnd"/>
                      <w:r>
                        <w:rPr>
                          <w:rFonts w:eastAsia="Times New Roman" w:cs="Times New Roman"/>
                          <w:color w:val="000000"/>
                          <w:szCs w:val="24"/>
                          <w:lang w:val="en-US"/>
                        </w:rPr>
                        <w:t>, A. (201</w:t>
                      </w:r>
                      <w:r w:rsidRPr="00876EF4">
                        <w:rPr>
                          <w:rFonts w:eastAsia="Times New Roman" w:cs="Times New Roman"/>
                          <w:color w:val="000000"/>
                          <w:szCs w:val="24"/>
                          <w:lang w:val="en-US"/>
                        </w:rPr>
                        <w:t>5). Industry aspects of takeovers and divestitures: Evidence from the UK. </w:t>
                      </w:r>
                      <w:r w:rsidRPr="00876EF4">
                        <w:rPr>
                          <w:rFonts w:eastAsia="Times New Roman" w:cs="Times New Roman"/>
                          <w:i/>
                          <w:iCs/>
                          <w:color w:val="000000"/>
                          <w:szCs w:val="24"/>
                          <w:lang w:val="en-US"/>
                        </w:rPr>
                        <w:t>Journal of Banking &amp; Finance</w:t>
                      </w:r>
                      <w:r w:rsidRPr="00876EF4">
                        <w:rPr>
                          <w:rFonts w:eastAsia="Times New Roman" w:cs="Times New Roman"/>
                          <w:color w:val="000000"/>
                          <w:szCs w:val="24"/>
                          <w:lang w:val="en-US"/>
                        </w:rPr>
                        <w:t>, </w:t>
                      </w:r>
                      <w:r w:rsidRPr="00876EF4">
                        <w:rPr>
                          <w:rFonts w:eastAsia="Times New Roman" w:cs="Times New Roman"/>
                          <w:i/>
                          <w:iCs/>
                          <w:color w:val="000000"/>
                          <w:szCs w:val="24"/>
                          <w:lang w:val="en-US"/>
                        </w:rPr>
                        <w:t>29</w:t>
                      </w:r>
                      <w:r w:rsidRPr="00876EF4">
                        <w:rPr>
                          <w:rFonts w:eastAsia="Times New Roman" w:cs="Times New Roman"/>
                          <w:color w:val="000000"/>
                          <w:szCs w:val="24"/>
                          <w:lang w:val="en-US"/>
                        </w:rPr>
                        <w:t xml:space="preserve">(12), 3015-3040. </w:t>
                      </w:r>
                      <w:proofErr w:type="spellStart"/>
                      <w:proofErr w:type="gramStart"/>
                      <w:r w:rsidRPr="00876EF4">
                        <w:rPr>
                          <w:rFonts w:eastAsia="Times New Roman" w:cs="Times New Roman"/>
                          <w:color w:val="000000"/>
                          <w:szCs w:val="24"/>
                          <w:lang w:val="en-US"/>
                        </w:rPr>
                        <w:t>doi</w:t>
                      </w:r>
                      <w:proofErr w:type="spellEnd"/>
                      <w:proofErr w:type="gramEnd"/>
                      <w:r w:rsidRPr="00876EF4">
                        <w:rPr>
                          <w:rFonts w:eastAsia="Times New Roman" w:cs="Times New Roman"/>
                          <w:color w:val="000000"/>
                          <w:szCs w:val="24"/>
                          <w:lang w:val="en-US"/>
                        </w:rPr>
                        <w:t>: 10.1016/j.jbankfin.2004.11.003</w:t>
                      </w:r>
                    </w:p>
                    <w:p w:rsidR="004B1F35" w:rsidRPr="00876EF4" w:rsidRDefault="004B1F35" w:rsidP="004B1F35">
                      <w:pPr>
                        <w:rPr>
                          <w:rFonts w:eastAsia="Times New Roman" w:cs="Times New Roman"/>
                          <w:color w:val="000000"/>
                          <w:szCs w:val="24"/>
                          <w:lang w:val="en-US"/>
                        </w:rPr>
                      </w:pPr>
                      <w:proofErr w:type="spellStart"/>
                      <w:r w:rsidRPr="00876EF4">
                        <w:rPr>
                          <w:rFonts w:eastAsia="Times New Roman" w:cs="Times New Roman"/>
                          <w:color w:val="000000"/>
                          <w:szCs w:val="24"/>
                          <w:lang w:val="en-US"/>
                        </w:rPr>
                        <w:t>Jay</w:t>
                      </w:r>
                      <w:r>
                        <w:rPr>
                          <w:rFonts w:eastAsia="Times New Roman" w:cs="Times New Roman"/>
                          <w:color w:val="000000"/>
                          <w:szCs w:val="24"/>
                          <w:lang w:val="en-US"/>
                        </w:rPr>
                        <w:t>awardhena</w:t>
                      </w:r>
                      <w:proofErr w:type="spellEnd"/>
                      <w:r>
                        <w:rPr>
                          <w:rFonts w:eastAsia="Times New Roman" w:cs="Times New Roman"/>
                          <w:color w:val="000000"/>
                          <w:szCs w:val="24"/>
                          <w:lang w:val="en-US"/>
                        </w:rPr>
                        <w:t>, C., &amp; Foley, P. (2017</w:t>
                      </w:r>
                      <w:r w:rsidRPr="00876EF4">
                        <w:rPr>
                          <w:rFonts w:eastAsia="Times New Roman" w:cs="Times New Roman"/>
                          <w:color w:val="000000"/>
                          <w:szCs w:val="24"/>
                          <w:lang w:val="en-US"/>
                        </w:rPr>
                        <w:t>). Changes in the banking sector – the case of Internet banking in the UK. </w:t>
                      </w:r>
                      <w:r w:rsidRPr="00876EF4">
                        <w:rPr>
                          <w:rFonts w:eastAsia="Times New Roman" w:cs="Times New Roman"/>
                          <w:i/>
                          <w:iCs/>
                          <w:color w:val="000000"/>
                          <w:szCs w:val="24"/>
                          <w:lang w:val="en-US"/>
                        </w:rPr>
                        <w:t>Internet Research</w:t>
                      </w:r>
                      <w:r w:rsidRPr="00876EF4">
                        <w:rPr>
                          <w:rFonts w:eastAsia="Times New Roman" w:cs="Times New Roman"/>
                          <w:color w:val="000000"/>
                          <w:szCs w:val="24"/>
                          <w:lang w:val="en-US"/>
                        </w:rPr>
                        <w:t>, </w:t>
                      </w:r>
                      <w:r w:rsidRPr="00876EF4">
                        <w:rPr>
                          <w:rFonts w:eastAsia="Times New Roman" w:cs="Times New Roman"/>
                          <w:i/>
                          <w:iCs/>
                          <w:color w:val="000000"/>
                          <w:szCs w:val="24"/>
                          <w:lang w:val="en-US"/>
                        </w:rPr>
                        <w:t>10</w:t>
                      </w:r>
                      <w:r w:rsidRPr="00876EF4">
                        <w:rPr>
                          <w:rFonts w:eastAsia="Times New Roman" w:cs="Times New Roman"/>
                          <w:color w:val="000000"/>
                          <w:szCs w:val="24"/>
                          <w:lang w:val="en-US"/>
                        </w:rPr>
                        <w:t xml:space="preserve">(1), 19-31. </w:t>
                      </w:r>
                      <w:proofErr w:type="spellStart"/>
                      <w:proofErr w:type="gramStart"/>
                      <w:r w:rsidRPr="00876EF4">
                        <w:rPr>
                          <w:rFonts w:eastAsia="Times New Roman" w:cs="Times New Roman"/>
                          <w:color w:val="000000"/>
                          <w:szCs w:val="24"/>
                          <w:lang w:val="en-US"/>
                        </w:rPr>
                        <w:t>doi</w:t>
                      </w:r>
                      <w:proofErr w:type="spellEnd"/>
                      <w:proofErr w:type="gramEnd"/>
                      <w:r w:rsidRPr="00876EF4">
                        <w:rPr>
                          <w:rFonts w:eastAsia="Times New Roman" w:cs="Times New Roman"/>
                          <w:color w:val="000000"/>
                          <w:szCs w:val="24"/>
                          <w:lang w:val="en-US"/>
                        </w:rPr>
                        <w:t>: 10.1108/10662240010312048</w:t>
                      </w:r>
                    </w:p>
                    <w:p w:rsidR="004B1F35" w:rsidRDefault="004B1F35" w:rsidP="004B1F35">
                      <w:r w:rsidRPr="00486F02">
                        <w:t xml:space="preserve">Noh, </w:t>
                      </w:r>
                      <w:proofErr w:type="spellStart"/>
                      <w:r w:rsidRPr="00486F02">
                        <w:t>Mee</w:t>
                      </w:r>
                      <w:proofErr w:type="spellEnd"/>
                      <w:r w:rsidRPr="00486F02">
                        <w:t>-Hyun (2012). Difference Analysis of Financial Performance using Financial Index in Banking Industry. Global Business Administration Review, 9(4), pp.181-206.</w:t>
                      </w:r>
                    </w:p>
                    <w:p w:rsidR="004B1F35" w:rsidRDefault="004B1F35" w:rsidP="004B1F35">
                      <w:r w:rsidRPr="00486F02">
                        <w:t>Oh, T. and Kim, J. (2014). (The European Banking Industry after the Global Financial Crisis: Changes in Business Circumstances and Strategies). SSRN Electronic Journal.</w:t>
                      </w:r>
                    </w:p>
                  </w:sdtContent>
                </w:sdt>
                <w:p w:rsidR="00C12942" w:rsidRPr="00C12942" w:rsidRDefault="00C12942" w:rsidP="00C12942">
                  <w:pPr>
                    <w:rPr>
                      <w:rFonts w:eastAsia="Times New Roman" w:cs="Times New Roman"/>
                      <w:color w:val="000000"/>
                      <w:szCs w:val="24"/>
                      <w:lang w:val="en-US"/>
                    </w:rPr>
                  </w:pPr>
                  <w:proofErr w:type="spellStart"/>
                  <w:r w:rsidRPr="00C12942">
                    <w:rPr>
                      <w:rFonts w:eastAsia="Times New Roman" w:cs="Times New Roman"/>
                      <w:color w:val="000000"/>
                      <w:szCs w:val="24"/>
                      <w:lang w:val="en-US"/>
                    </w:rPr>
                    <w:t>Alper</w:t>
                  </w:r>
                  <w:proofErr w:type="spellEnd"/>
                  <w:r w:rsidRPr="00C12942">
                    <w:rPr>
                      <w:rFonts w:eastAsia="Times New Roman" w:cs="Times New Roman"/>
                      <w:color w:val="000000"/>
                      <w:szCs w:val="24"/>
                      <w:lang w:val="en-US"/>
                    </w:rPr>
                    <w:t>, D., &amp; Anbar, A. (2011). Bank specific and macroeconomic determinants of commercial bank profitability: Empirical evidence from Turkey. Business and Economics Research Journal, 2, 139-152.</w:t>
                  </w:r>
                </w:p>
                <w:p w:rsidR="00C12942" w:rsidRPr="00C12942" w:rsidRDefault="00C12942" w:rsidP="00C12942">
                  <w:pPr>
                    <w:rPr>
                      <w:rFonts w:eastAsia="Times New Roman" w:cs="Times New Roman"/>
                      <w:color w:val="000000"/>
                      <w:szCs w:val="24"/>
                      <w:lang w:val="en-US"/>
                    </w:rPr>
                  </w:pPr>
                </w:p>
                <w:p w:rsidR="00C12942" w:rsidRPr="00C12942" w:rsidRDefault="00C12942" w:rsidP="00C12942">
                  <w:pPr>
                    <w:rPr>
                      <w:rFonts w:eastAsia="Times New Roman" w:cs="Times New Roman"/>
                      <w:color w:val="000000"/>
                      <w:szCs w:val="24"/>
                      <w:lang w:val="en-US"/>
                    </w:rPr>
                  </w:pPr>
                  <w:r w:rsidRPr="00C12942">
                    <w:rPr>
                      <w:rFonts w:eastAsia="Times New Roman" w:cs="Times New Roman"/>
                      <w:color w:val="000000"/>
                      <w:szCs w:val="24"/>
                      <w:lang w:val="en-US"/>
                    </w:rPr>
                    <w:t xml:space="preserve">Ambrose, B. W., &amp; Deng, Y. (2014). The determinants of bank profitability in China. Journal of Banking and Finance, 39, 202-215. </w:t>
                  </w:r>
                  <w:proofErr w:type="spellStart"/>
                  <w:proofErr w:type="gramStart"/>
                  <w:r w:rsidRPr="00C12942">
                    <w:rPr>
                      <w:rFonts w:eastAsia="Times New Roman" w:cs="Times New Roman"/>
                      <w:color w:val="000000"/>
                      <w:szCs w:val="24"/>
                      <w:lang w:val="en-US"/>
                    </w:rPr>
                    <w:t>doi</w:t>
                  </w:r>
                  <w:proofErr w:type="spellEnd"/>
                  <w:proofErr w:type="gramEnd"/>
                  <w:r w:rsidRPr="00C12942">
                    <w:rPr>
                      <w:rFonts w:eastAsia="Times New Roman" w:cs="Times New Roman"/>
                      <w:color w:val="000000"/>
                      <w:szCs w:val="24"/>
                      <w:lang w:val="en-US"/>
                    </w:rPr>
                    <w:t>: 10.1016/j.jbankfin.2013.11.027</w:t>
                  </w:r>
                </w:p>
                <w:p w:rsidR="00C12942" w:rsidRPr="00C12942" w:rsidRDefault="00C12942" w:rsidP="00C12942">
                  <w:pPr>
                    <w:rPr>
                      <w:rFonts w:eastAsia="Times New Roman" w:cs="Times New Roman"/>
                      <w:color w:val="000000"/>
                      <w:szCs w:val="24"/>
                      <w:lang w:val="en-US"/>
                    </w:rPr>
                  </w:pPr>
                </w:p>
                <w:p w:rsidR="00C12942" w:rsidRPr="00C12942" w:rsidRDefault="00C12942" w:rsidP="00C12942">
                  <w:pPr>
                    <w:rPr>
                      <w:rFonts w:eastAsia="Times New Roman" w:cs="Times New Roman"/>
                      <w:color w:val="000000"/>
                      <w:szCs w:val="24"/>
                      <w:lang w:val="en-US"/>
                    </w:rPr>
                  </w:pPr>
                  <w:r w:rsidRPr="00C12942">
                    <w:rPr>
                      <w:rFonts w:eastAsia="Times New Roman" w:cs="Times New Roman"/>
                      <w:color w:val="000000"/>
                      <w:szCs w:val="24"/>
                      <w:lang w:val="en-US"/>
                    </w:rPr>
                    <w:t xml:space="preserve">Chan, H. W., &amp; Wong, T. J. (2017). The determinants of bank profitability in Hong Kong. Journal of Financial Services Research, 32, 35-52. </w:t>
                  </w:r>
                  <w:proofErr w:type="spellStart"/>
                  <w:proofErr w:type="gramStart"/>
                  <w:r w:rsidRPr="00C12942">
                    <w:rPr>
                      <w:rFonts w:eastAsia="Times New Roman" w:cs="Times New Roman"/>
                      <w:color w:val="000000"/>
                      <w:szCs w:val="24"/>
                      <w:lang w:val="en-US"/>
                    </w:rPr>
                    <w:t>doi</w:t>
                  </w:r>
                  <w:proofErr w:type="spellEnd"/>
                  <w:proofErr w:type="gramEnd"/>
                  <w:r w:rsidRPr="00C12942">
                    <w:rPr>
                      <w:rFonts w:eastAsia="Times New Roman" w:cs="Times New Roman"/>
                      <w:color w:val="000000"/>
                      <w:szCs w:val="24"/>
                      <w:lang w:val="en-US"/>
                    </w:rPr>
                    <w:t>: 10.1007/s10693-007-0017-x</w:t>
                  </w:r>
                </w:p>
                <w:p w:rsidR="00C12942" w:rsidRPr="00C12942" w:rsidRDefault="00C12942" w:rsidP="00C12942">
                  <w:pPr>
                    <w:rPr>
                      <w:rFonts w:eastAsia="Times New Roman" w:cs="Times New Roman"/>
                      <w:color w:val="000000"/>
                      <w:szCs w:val="24"/>
                      <w:lang w:val="en-US"/>
                    </w:rPr>
                  </w:pPr>
                </w:p>
                <w:p w:rsidR="00C12942" w:rsidRPr="00C12942" w:rsidRDefault="00C12942" w:rsidP="00C12942">
                  <w:pPr>
                    <w:rPr>
                      <w:rFonts w:eastAsia="Times New Roman" w:cs="Times New Roman"/>
                      <w:color w:val="000000"/>
                      <w:szCs w:val="24"/>
                      <w:lang w:val="en-US"/>
                    </w:rPr>
                  </w:pPr>
                  <w:proofErr w:type="spellStart"/>
                  <w:r w:rsidRPr="00C12942">
                    <w:rPr>
                      <w:rFonts w:eastAsia="Times New Roman" w:cs="Times New Roman"/>
                      <w:color w:val="000000"/>
                      <w:szCs w:val="24"/>
                      <w:lang w:val="en-US"/>
                    </w:rPr>
                    <w:t>Chortareas</w:t>
                  </w:r>
                  <w:proofErr w:type="spellEnd"/>
                  <w:r w:rsidRPr="00C12942">
                    <w:rPr>
                      <w:rFonts w:eastAsia="Times New Roman" w:cs="Times New Roman"/>
                      <w:color w:val="000000"/>
                      <w:szCs w:val="24"/>
                      <w:lang w:val="en-US"/>
                    </w:rPr>
                    <w:t xml:space="preserve">, G. E., </w:t>
                  </w:r>
                  <w:proofErr w:type="spellStart"/>
                  <w:r w:rsidRPr="00C12942">
                    <w:rPr>
                      <w:rFonts w:eastAsia="Times New Roman" w:cs="Times New Roman"/>
                      <w:color w:val="000000"/>
                      <w:szCs w:val="24"/>
                      <w:lang w:val="en-US"/>
                    </w:rPr>
                    <w:t>Girardone</w:t>
                  </w:r>
                  <w:proofErr w:type="spellEnd"/>
                  <w:r w:rsidRPr="00C12942">
                    <w:rPr>
                      <w:rFonts w:eastAsia="Times New Roman" w:cs="Times New Roman"/>
                      <w:color w:val="000000"/>
                      <w:szCs w:val="24"/>
                      <w:lang w:val="en-US"/>
                    </w:rPr>
                    <w:t xml:space="preserve">, C., &amp; </w:t>
                  </w:r>
                  <w:proofErr w:type="spellStart"/>
                  <w:r w:rsidRPr="00C12942">
                    <w:rPr>
                      <w:rFonts w:eastAsia="Times New Roman" w:cs="Times New Roman"/>
                      <w:color w:val="000000"/>
                      <w:szCs w:val="24"/>
                      <w:lang w:val="en-US"/>
                    </w:rPr>
                    <w:t>Ventouri</w:t>
                  </w:r>
                  <w:proofErr w:type="spellEnd"/>
                  <w:r w:rsidRPr="00C12942">
                    <w:rPr>
                      <w:rFonts w:eastAsia="Times New Roman" w:cs="Times New Roman"/>
                      <w:color w:val="000000"/>
                      <w:szCs w:val="24"/>
                      <w:lang w:val="en-US"/>
                    </w:rPr>
                    <w:t xml:space="preserve">, A. (2012). Bank supervision, regulation, and efficiency: Evidence from the European Union. Journal of Banking and Finance, 36, 3313-3325. </w:t>
                  </w:r>
                  <w:proofErr w:type="spellStart"/>
                  <w:proofErr w:type="gramStart"/>
                  <w:r w:rsidRPr="00C12942">
                    <w:rPr>
                      <w:rFonts w:eastAsia="Times New Roman" w:cs="Times New Roman"/>
                      <w:color w:val="000000"/>
                      <w:szCs w:val="24"/>
                      <w:lang w:val="en-US"/>
                    </w:rPr>
                    <w:t>doi</w:t>
                  </w:r>
                  <w:proofErr w:type="spellEnd"/>
                  <w:proofErr w:type="gramEnd"/>
                  <w:r w:rsidRPr="00C12942">
                    <w:rPr>
                      <w:rFonts w:eastAsia="Times New Roman" w:cs="Times New Roman"/>
                      <w:color w:val="000000"/>
                      <w:szCs w:val="24"/>
                      <w:lang w:val="en-US"/>
                    </w:rPr>
                    <w:t>: 10.1016/j.jbankfin.2012.09.005</w:t>
                  </w:r>
                </w:p>
                <w:p w:rsidR="00C12942" w:rsidRPr="00C12942" w:rsidRDefault="00C12942" w:rsidP="00C12942">
                  <w:pPr>
                    <w:rPr>
                      <w:rFonts w:eastAsia="Times New Roman" w:cs="Times New Roman"/>
                      <w:color w:val="000000"/>
                      <w:szCs w:val="24"/>
                      <w:lang w:val="en-US"/>
                    </w:rPr>
                  </w:pPr>
                </w:p>
                <w:p w:rsidR="00C12942" w:rsidRPr="00C12942" w:rsidRDefault="00C12942" w:rsidP="00C12942">
                  <w:pPr>
                    <w:rPr>
                      <w:rFonts w:eastAsia="Times New Roman" w:cs="Times New Roman"/>
                      <w:color w:val="000000"/>
                      <w:szCs w:val="24"/>
                      <w:lang w:val="en-US"/>
                    </w:rPr>
                  </w:pPr>
                  <w:r w:rsidRPr="00C12942">
                    <w:rPr>
                      <w:rFonts w:eastAsia="Times New Roman" w:cs="Times New Roman"/>
                      <w:color w:val="000000"/>
                      <w:szCs w:val="24"/>
                      <w:lang w:val="en-US"/>
                    </w:rPr>
                    <w:t xml:space="preserve">Dang, U. T., &amp; </w:t>
                  </w:r>
                  <w:proofErr w:type="spellStart"/>
                  <w:r w:rsidRPr="00C12942">
                    <w:rPr>
                      <w:rFonts w:eastAsia="Times New Roman" w:cs="Times New Roman"/>
                      <w:color w:val="000000"/>
                      <w:szCs w:val="24"/>
                      <w:lang w:val="en-US"/>
                    </w:rPr>
                    <w:t>Duy</w:t>
                  </w:r>
                  <w:proofErr w:type="spellEnd"/>
                  <w:r w:rsidRPr="00C12942">
                    <w:rPr>
                      <w:rFonts w:eastAsia="Times New Roman" w:cs="Times New Roman"/>
                      <w:color w:val="000000"/>
                      <w:szCs w:val="24"/>
                      <w:lang w:val="en-US"/>
                    </w:rPr>
                    <w:t xml:space="preserve">, N. A. (2018). Determinants of bank profitability: Empirical evidence from Vietnam. Asia-Pacific Journal of Management Research and Innovation, 14, 1-13. </w:t>
                  </w:r>
                  <w:proofErr w:type="spellStart"/>
                  <w:proofErr w:type="gramStart"/>
                  <w:r w:rsidRPr="00C12942">
                    <w:rPr>
                      <w:rFonts w:eastAsia="Times New Roman" w:cs="Times New Roman"/>
                      <w:color w:val="000000"/>
                      <w:szCs w:val="24"/>
                      <w:lang w:val="en-US"/>
                    </w:rPr>
                    <w:t>doi</w:t>
                  </w:r>
                  <w:proofErr w:type="spellEnd"/>
                  <w:proofErr w:type="gramEnd"/>
                  <w:r w:rsidRPr="00C12942">
                    <w:rPr>
                      <w:rFonts w:eastAsia="Times New Roman" w:cs="Times New Roman"/>
                      <w:color w:val="000000"/>
                      <w:szCs w:val="24"/>
                      <w:lang w:val="en-US"/>
                    </w:rPr>
                    <w:t>: 10.1177/2319510X18791096</w:t>
                  </w:r>
                </w:p>
                <w:p w:rsidR="00C12942" w:rsidRPr="00C12942" w:rsidRDefault="00C12942" w:rsidP="00C12942">
                  <w:pPr>
                    <w:rPr>
                      <w:rFonts w:eastAsia="Times New Roman" w:cs="Times New Roman"/>
                      <w:color w:val="000000"/>
                      <w:szCs w:val="24"/>
                      <w:lang w:val="en-US"/>
                    </w:rPr>
                  </w:pPr>
                </w:p>
                <w:p w:rsidR="00C12942" w:rsidRPr="00C12942" w:rsidRDefault="00C12942" w:rsidP="00C12942">
                  <w:pPr>
                    <w:rPr>
                      <w:rFonts w:eastAsia="Times New Roman" w:cs="Times New Roman"/>
                      <w:color w:val="000000"/>
                      <w:szCs w:val="24"/>
                      <w:lang w:val="en-US"/>
                    </w:rPr>
                  </w:pPr>
                  <w:r w:rsidRPr="00C12942">
                    <w:rPr>
                      <w:rFonts w:eastAsia="Times New Roman" w:cs="Times New Roman"/>
                      <w:color w:val="000000"/>
                      <w:szCs w:val="24"/>
                      <w:lang w:val="en-US"/>
                    </w:rPr>
                    <w:t xml:space="preserve">Hasan, I., &amp; </w:t>
                  </w:r>
                  <w:proofErr w:type="spellStart"/>
                  <w:r w:rsidRPr="00C12942">
                    <w:rPr>
                      <w:rFonts w:eastAsia="Times New Roman" w:cs="Times New Roman"/>
                      <w:color w:val="000000"/>
                      <w:szCs w:val="24"/>
                      <w:lang w:val="en-US"/>
                    </w:rPr>
                    <w:t>Marton</w:t>
                  </w:r>
                  <w:proofErr w:type="spellEnd"/>
                  <w:r w:rsidRPr="00C12942">
                    <w:rPr>
                      <w:rFonts w:eastAsia="Times New Roman" w:cs="Times New Roman"/>
                      <w:color w:val="000000"/>
                      <w:szCs w:val="24"/>
                      <w:lang w:val="en-US"/>
                    </w:rPr>
                    <w:t xml:space="preserve">, K. (2003). Development and efficiency of the banking sector in a transitional economy: Hungarian experience. Journal of Banking and Finance, 27, 2249-2271. </w:t>
                  </w:r>
                  <w:proofErr w:type="spellStart"/>
                  <w:proofErr w:type="gramStart"/>
                  <w:r w:rsidRPr="00C12942">
                    <w:rPr>
                      <w:rFonts w:eastAsia="Times New Roman" w:cs="Times New Roman"/>
                      <w:color w:val="000000"/>
                      <w:szCs w:val="24"/>
                      <w:lang w:val="en-US"/>
                    </w:rPr>
                    <w:t>doi</w:t>
                  </w:r>
                  <w:proofErr w:type="spellEnd"/>
                  <w:proofErr w:type="gramEnd"/>
                  <w:r w:rsidRPr="00C12942">
                    <w:rPr>
                      <w:rFonts w:eastAsia="Times New Roman" w:cs="Times New Roman"/>
                      <w:color w:val="000000"/>
                      <w:szCs w:val="24"/>
                      <w:lang w:val="en-US"/>
                    </w:rPr>
                    <w:t>: 10.1016/S0378-4266(02)00321-9</w:t>
                  </w:r>
                </w:p>
                <w:p w:rsidR="00C12942" w:rsidRPr="00C12942" w:rsidRDefault="00C12942" w:rsidP="00C12942">
                  <w:pPr>
                    <w:rPr>
                      <w:rFonts w:eastAsia="Times New Roman" w:cs="Times New Roman"/>
                      <w:color w:val="000000"/>
                      <w:szCs w:val="24"/>
                      <w:lang w:val="en-US"/>
                    </w:rPr>
                  </w:pPr>
                </w:p>
                <w:p w:rsidR="00C12942" w:rsidRPr="00C12942" w:rsidRDefault="00C12942" w:rsidP="00C12942">
                  <w:pPr>
                    <w:rPr>
                      <w:rFonts w:eastAsia="Times New Roman" w:cs="Times New Roman"/>
                      <w:color w:val="000000"/>
                      <w:szCs w:val="24"/>
                      <w:lang w:val="en-US"/>
                    </w:rPr>
                  </w:pPr>
                  <w:proofErr w:type="spellStart"/>
                  <w:r w:rsidRPr="00C12942">
                    <w:rPr>
                      <w:rFonts w:eastAsia="Times New Roman" w:cs="Times New Roman"/>
                      <w:color w:val="000000"/>
                      <w:szCs w:val="24"/>
                      <w:lang w:val="en-US"/>
                    </w:rPr>
                    <w:t>Kusuma</w:t>
                  </w:r>
                  <w:proofErr w:type="spellEnd"/>
                  <w:r w:rsidRPr="00C12942">
                    <w:rPr>
                      <w:rFonts w:eastAsia="Times New Roman" w:cs="Times New Roman"/>
                      <w:color w:val="000000"/>
                      <w:szCs w:val="24"/>
                      <w:lang w:val="en-US"/>
                    </w:rPr>
                    <w:t xml:space="preserve">, I. H., &amp; </w:t>
                  </w:r>
                  <w:proofErr w:type="spellStart"/>
                  <w:r w:rsidRPr="00C12942">
                    <w:rPr>
                      <w:rFonts w:eastAsia="Times New Roman" w:cs="Times New Roman"/>
                      <w:color w:val="000000"/>
                      <w:szCs w:val="24"/>
                      <w:lang w:val="en-US"/>
                    </w:rPr>
                    <w:t>Fauzi</w:t>
                  </w:r>
                  <w:proofErr w:type="spellEnd"/>
                  <w:r w:rsidRPr="00C12942">
                    <w:rPr>
                      <w:rFonts w:eastAsia="Times New Roman" w:cs="Times New Roman"/>
                      <w:color w:val="000000"/>
                      <w:szCs w:val="24"/>
                      <w:lang w:val="en-US"/>
                    </w:rPr>
                    <w:t>, A. (2017). The determinants of bank profitability: Evidence from the Indonesian banking sector. Journal of Applied Accounting Research, 18, 20-40.</w:t>
                  </w:r>
                  <w:r>
                    <w:rPr>
                      <w:rFonts w:eastAsia="Times New Roman" w:cs="Times New Roman"/>
                      <w:color w:val="000000"/>
                      <w:szCs w:val="24"/>
                      <w:lang w:val="en-US"/>
                    </w:rPr>
                    <w:t xml:space="preserve"> </w:t>
                  </w:r>
                  <w:proofErr w:type="spellStart"/>
                  <w:proofErr w:type="gramStart"/>
                  <w:r>
                    <w:rPr>
                      <w:rFonts w:eastAsia="Times New Roman" w:cs="Times New Roman"/>
                      <w:color w:val="000000"/>
                      <w:szCs w:val="24"/>
                      <w:lang w:val="en-US"/>
                    </w:rPr>
                    <w:t>doi</w:t>
                  </w:r>
                  <w:proofErr w:type="spellEnd"/>
                  <w:proofErr w:type="gramEnd"/>
                  <w:r>
                    <w:rPr>
                      <w:rFonts w:eastAsia="Times New Roman" w:cs="Times New Roman"/>
                      <w:color w:val="000000"/>
                      <w:szCs w:val="24"/>
                      <w:lang w:val="en-US"/>
                    </w:rPr>
                    <w:t>: 10.1108/JAAR-05-2015-0039</w:t>
                  </w:r>
                </w:p>
                <w:p w:rsidR="00C12942" w:rsidRPr="00C12942" w:rsidRDefault="00C12942" w:rsidP="00C12942">
                  <w:pPr>
                    <w:rPr>
                      <w:rFonts w:eastAsia="Times New Roman" w:cs="Times New Roman"/>
                      <w:color w:val="000000"/>
                      <w:szCs w:val="24"/>
                      <w:lang w:val="en-US"/>
                    </w:rPr>
                  </w:pPr>
                  <w:proofErr w:type="spellStart"/>
                  <w:r w:rsidRPr="00C12942">
                    <w:rPr>
                      <w:rFonts w:eastAsia="Times New Roman" w:cs="Times New Roman"/>
                      <w:color w:val="000000"/>
                      <w:szCs w:val="24"/>
                      <w:lang w:val="en-US"/>
                    </w:rPr>
                    <w:t>Molyneux</w:t>
                  </w:r>
                  <w:proofErr w:type="spellEnd"/>
                  <w:r w:rsidRPr="00C12942">
                    <w:rPr>
                      <w:rFonts w:eastAsia="Times New Roman" w:cs="Times New Roman"/>
                      <w:color w:val="000000"/>
                      <w:szCs w:val="24"/>
                      <w:lang w:val="en-US"/>
                    </w:rPr>
                    <w:t xml:space="preserve">, P., &amp; Thornton, J. (1992). Determinants of European bank profitability: A note. Journal of Banking and Finance, 16, 1173-1178. </w:t>
                  </w:r>
                  <w:proofErr w:type="spellStart"/>
                  <w:proofErr w:type="gramStart"/>
                  <w:r w:rsidRPr="00C12942">
                    <w:rPr>
                      <w:rFonts w:eastAsia="Times New Roman" w:cs="Times New Roman"/>
                      <w:color w:val="000000"/>
                      <w:szCs w:val="24"/>
                      <w:lang w:val="en-US"/>
                    </w:rPr>
                    <w:t>doi</w:t>
                  </w:r>
                  <w:proofErr w:type="spellEnd"/>
                  <w:proofErr w:type="gramEnd"/>
                  <w:r w:rsidRPr="00C12942">
                    <w:rPr>
                      <w:rFonts w:eastAsia="Times New Roman" w:cs="Times New Roman"/>
                      <w:color w:val="000000"/>
                      <w:szCs w:val="24"/>
                      <w:lang w:val="en-US"/>
                    </w:rPr>
                    <w:t>: 10.101</w:t>
                  </w:r>
                  <w:r>
                    <w:rPr>
                      <w:rFonts w:eastAsia="Times New Roman" w:cs="Times New Roman"/>
                      <w:color w:val="000000"/>
                      <w:szCs w:val="24"/>
                      <w:lang w:val="en-US"/>
                    </w:rPr>
                    <w:t>6/0378-4266(92)90065-O</w:t>
                  </w:r>
                </w:p>
                <w:p w:rsidR="00C12942" w:rsidRPr="00C12942" w:rsidRDefault="00C12942" w:rsidP="00C12942">
                  <w:pPr>
                    <w:rPr>
                      <w:rFonts w:eastAsia="Times New Roman" w:cs="Times New Roman"/>
                      <w:color w:val="000000"/>
                      <w:szCs w:val="24"/>
                      <w:lang w:val="en-US"/>
                    </w:rPr>
                  </w:pPr>
                  <w:proofErr w:type="spellStart"/>
                  <w:r w:rsidRPr="00C12942">
                    <w:rPr>
                      <w:rFonts w:eastAsia="Times New Roman" w:cs="Times New Roman"/>
                      <w:color w:val="000000"/>
                      <w:szCs w:val="24"/>
                      <w:lang w:val="en-US"/>
                    </w:rPr>
                    <w:lastRenderedPageBreak/>
                    <w:t>Naceur</w:t>
                  </w:r>
                  <w:proofErr w:type="spellEnd"/>
                  <w:r w:rsidRPr="00C12942">
                    <w:rPr>
                      <w:rFonts w:eastAsia="Times New Roman" w:cs="Times New Roman"/>
                      <w:color w:val="000000"/>
                      <w:szCs w:val="24"/>
                      <w:lang w:val="en-US"/>
                    </w:rPr>
                    <w:t xml:space="preserve">, S. B., &amp; </w:t>
                  </w:r>
                  <w:proofErr w:type="spellStart"/>
                  <w:r w:rsidRPr="00C12942">
                    <w:rPr>
                      <w:rFonts w:eastAsia="Times New Roman" w:cs="Times New Roman"/>
                      <w:color w:val="000000"/>
                      <w:szCs w:val="24"/>
                      <w:lang w:val="en-US"/>
                    </w:rPr>
                    <w:t>Goaied</w:t>
                  </w:r>
                  <w:proofErr w:type="spellEnd"/>
                  <w:r w:rsidRPr="00C12942">
                    <w:rPr>
                      <w:rFonts w:eastAsia="Times New Roman" w:cs="Times New Roman"/>
                      <w:color w:val="000000"/>
                      <w:szCs w:val="24"/>
                      <w:lang w:val="en-US"/>
                    </w:rPr>
                    <w:t>, M. (2001). The determinants of the Tunisian deposit banks' performance. Applied Financial Economics, 11, 317-319.</w:t>
                  </w:r>
                  <w:r>
                    <w:rPr>
                      <w:rFonts w:eastAsia="Times New Roman" w:cs="Times New Roman"/>
                      <w:color w:val="000000"/>
                      <w:szCs w:val="24"/>
                      <w:lang w:val="en-US"/>
                    </w:rPr>
                    <w:t xml:space="preserve"> </w:t>
                  </w:r>
                  <w:proofErr w:type="spellStart"/>
                  <w:proofErr w:type="gramStart"/>
                  <w:r>
                    <w:rPr>
                      <w:rFonts w:eastAsia="Times New Roman" w:cs="Times New Roman"/>
                      <w:color w:val="000000"/>
                      <w:szCs w:val="24"/>
                      <w:lang w:val="en-US"/>
                    </w:rPr>
                    <w:t>doi</w:t>
                  </w:r>
                  <w:proofErr w:type="spellEnd"/>
                  <w:proofErr w:type="gramEnd"/>
                  <w:r>
                    <w:rPr>
                      <w:rFonts w:eastAsia="Times New Roman" w:cs="Times New Roman"/>
                      <w:color w:val="000000"/>
                      <w:szCs w:val="24"/>
                      <w:lang w:val="en-US"/>
                    </w:rPr>
                    <w:t>: 10.1080/09603100010016320</w:t>
                  </w:r>
                </w:p>
                <w:p w:rsidR="00C12942" w:rsidRPr="00C12942" w:rsidRDefault="00C12942" w:rsidP="00C12942">
                  <w:pPr>
                    <w:rPr>
                      <w:rFonts w:eastAsia="Times New Roman" w:cs="Times New Roman"/>
                      <w:color w:val="000000"/>
                      <w:szCs w:val="24"/>
                      <w:lang w:val="en-US"/>
                    </w:rPr>
                  </w:pPr>
                  <w:r w:rsidRPr="00C12942">
                    <w:rPr>
                      <w:rFonts w:eastAsia="Times New Roman" w:cs="Times New Roman"/>
                      <w:color w:val="000000"/>
                      <w:szCs w:val="24"/>
                      <w:lang w:val="en-US"/>
                    </w:rPr>
                    <w:t xml:space="preserve">Song, L., &amp; Zhu, H. (2010). The determinants of bank profitability in China. Journal of International Financial Management and Accounting, 21, 134-162. </w:t>
                  </w:r>
                  <w:proofErr w:type="spellStart"/>
                  <w:proofErr w:type="gramStart"/>
                  <w:r w:rsidRPr="00C12942">
                    <w:rPr>
                      <w:rFonts w:eastAsia="Times New Roman" w:cs="Times New Roman"/>
                      <w:color w:val="000000"/>
                      <w:szCs w:val="24"/>
                      <w:lang w:val="en-US"/>
                    </w:rPr>
                    <w:t>doi</w:t>
                  </w:r>
                  <w:proofErr w:type="spellEnd"/>
                  <w:proofErr w:type="gramEnd"/>
                  <w:r w:rsidRPr="00C12942">
                    <w:rPr>
                      <w:rFonts w:eastAsia="Times New Roman" w:cs="Times New Roman"/>
                      <w:color w:val="000000"/>
                      <w:szCs w:val="24"/>
                      <w:lang w:val="en-US"/>
                    </w:rPr>
                    <w:t>: 1</w:t>
                  </w:r>
                  <w:r>
                    <w:rPr>
                      <w:rFonts w:eastAsia="Times New Roman" w:cs="Times New Roman"/>
                      <w:color w:val="000000"/>
                      <w:szCs w:val="24"/>
                      <w:lang w:val="en-US"/>
                    </w:rPr>
                    <w:t>0.1111/j.1467-646X.2010.01020.x</w:t>
                  </w:r>
                </w:p>
                <w:p w:rsidR="00C12942" w:rsidRDefault="00C12942" w:rsidP="00C12942">
                  <w:proofErr w:type="spellStart"/>
                  <w:r>
                    <w:t>Vithessonthi</w:t>
                  </w:r>
                  <w:proofErr w:type="spellEnd"/>
                  <w:r>
                    <w:t xml:space="preserve">, C., &amp; </w:t>
                  </w:r>
                  <w:proofErr w:type="spellStart"/>
                  <w:r>
                    <w:t>Tongurai</w:t>
                  </w:r>
                  <w:proofErr w:type="spellEnd"/>
                  <w:r>
                    <w:t>, J. (2015). The effect of board directors on the performance of insider-</w:t>
                  </w:r>
                  <w:proofErr w:type="gramStart"/>
                  <w:r>
                    <w:t>controlled</w:t>
                  </w:r>
                  <w:proofErr w:type="gramEnd"/>
                  <w:r>
                    <w:t xml:space="preserve"> firms: Evidence from Thailand. Journal of Applied Accounting Research, 16(2), 204-224. </w:t>
                  </w:r>
                  <w:proofErr w:type="spellStart"/>
                  <w:proofErr w:type="gramStart"/>
                  <w:r>
                    <w:t>doi</w:t>
                  </w:r>
                  <w:proofErr w:type="spellEnd"/>
                  <w:proofErr w:type="gramEnd"/>
                  <w:r>
                    <w:t>: 10.1108/JAAR-06-2013-0050</w:t>
                  </w:r>
                </w:p>
                <w:p w:rsidR="00C12942" w:rsidRDefault="00C12942" w:rsidP="00C12942">
                  <w:r>
                    <w:t xml:space="preserve">Wang, X., &amp; Li, Y. (2021). Methodological choices in cross-cultural research: The case of Chinese-Western business negotiation studies. International Business Review, 30(1), 101769. </w:t>
                  </w:r>
                  <w:proofErr w:type="spellStart"/>
                  <w:proofErr w:type="gramStart"/>
                  <w:r>
                    <w:t>doi</w:t>
                  </w:r>
                  <w:proofErr w:type="spellEnd"/>
                  <w:proofErr w:type="gramEnd"/>
                  <w:r>
                    <w:t>: 10.1016/j.ibusrev.2020.101769</w:t>
                  </w:r>
                </w:p>
                <w:p w:rsidR="004B1F35" w:rsidRDefault="00C12942" w:rsidP="00C12942">
                  <w:r>
                    <w:t xml:space="preserve">Wang, J., Yang, Z., &amp; Ye, P. (2019). The impact of ownership structure on the value of mergers and acquisitions: Evidence from the UK. International Review of Economics &amp; Finance, 64, 383-396. </w:t>
                  </w:r>
                  <w:proofErr w:type="spellStart"/>
                  <w:proofErr w:type="gramStart"/>
                  <w:r>
                    <w:t>doi</w:t>
                  </w:r>
                  <w:proofErr w:type="spellEnd"/>
                  <w:proofErr w:type="gramEnd"/>
                  <w:r>
                    <w:t>: 10.1016/j.iref.2019.06.013</w:t>
                  </w:r>
                </w:p>
              </w:sdtContent>
            </w:sdt>
          </w:sdtContent>
        </w:sdt>
      </w:sdtContent>
    </w:sdt>
    <w:p w:rsidR="001A3CF8" w:rsidRDefault="001A3CF8"/>
    <w:p w:rsidR="001A3CF8" w:rsidRDefault="001A3CF8"/>
    <w:p w:rsidR="001A3CF8" w:rsidRDefault="001A3CF8"/>
    <w:p w:rsidR="00D54C89" w:rsidRDefault="00D54C89"/>
    <w:p w:rsidR="00D54C89" w:rsidRDefault="00D54C89"/>
    <w:p w:rsidR="00D54C89" w:rsidRDefault="00D54C89"/>
    <w:p w:rsidR="00D54C89" w:rsidRDefault="00D54C89"/>
    <w:p w:rsidR="00D54C89" w:rsidRDefault="00D54C89"/>
    <w:p w:rsidR="00D54C89" w:rsidRDefault="00D54C89"/>
    <w:p w:rsidR="00D54C89" w:rsidRDefault="00D54C89"/>
    <w:p w:rsidR="00D54C89" w:rsidRDefault="00D54C89"/>
    <w:p w:rsidR="00D54C89" w:rsidRDefault="00D54C89"/>
    <w:p w:rsidR="00D54C89" w:rsidRDefault="00D54C89"/>
    <w:p w:rsidR="00D54C89" w:rsidRDefault="00D54C89"/>
    <w:p w:rsidR="00D54C89" w:rsidRDefault="00D54C89"/>
    <w:p w:rsidR="00D54C89" w:rsidRDefault="00D54C89"/>
    <w:p w:rsidR="00D54C89" w:rsidRDefault="00D54C89"/>
    <w:p w:rsidR="00D54C89" w:rsidRDefault="00D54C89"/>
    <w:p w:rsidR="00D54C89" w:rsidRDefault="00D54C89"/>
    <w:p w:rsidR="00D54C89" w:rsidRDefault="00D54C89"/>
    <w:p w:rsidR="005263B9" w:rsidRPr="004B1F35" w:rsidRDefault="005263B9" w:rsidP="00403F78">
      <w:pPr>
        <w:pStyle w:val="Heading1"/>
        <w:rPr>
          <w:rFonts w:eastAsiaTheme="minorHAnsi" w:cstheme="minorBidi"/>
          <w:color w:val="auto"/>
          <w:szCs w:val="22"/>
          <w:lang w:val="en-IN"/>
        </w:rPr>
      </w:pPr>
      <w:bookmarkStart w:id="29" w:name="_Toc128518360"/>
      <w:r>
        <w:lastRenderedPageBreak/>
        <w:t>Appendix</w:t>
      </w:r>
      <w:bookmarkEnd w:id="29"/>
    </w:p>
    <w:p w:rsidR="005263B9" w:rsidRDefault="005263B9"/>
    <w:p w:rsidR="005263B9" w:rsidRDefault="005263B9">
      <w:r>
        <w:t>Regression Model for Return on Equity</w:t>
      </w:r>
    </w:p>
    <w:p w:rsidR="005263B9" w:rsidRDefault="00D54C89">
      <w:r>
        <w:rPr>
          <w:noProof/>
          <w:lang w:eastAsia="en-IN"/>
        </w:rPr>
        <w:drawing>
          <wp:inline distT="0" distB="0" distL="0" distR="0">
            <wp:extent cx="5506218" cy="5687219"/>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OE.PNG"/>
                    <pic:cNvPicPr/>
                  </pic:nvPicPr>
                  <pic:blipFill>
                    <a:blip r:embed="rId15">
                      <a:extLst>
                        <a:ext uri="{28A0092B-C50C-407E-A947-70E740481C1C}">
                          <a14:useLocalDpi xmlns:a14="http://schemas.microsoft.com/office/drawing/2010/main" val="0"/>
                        </a:ext>
                      </a:extLst>
                    </a:blip>
                    <a:stretch>
                      <a:fillRect/>
                    </a:stretch>
                  </pic:blipFill>
                  <pic:spPr>
                    <a:xfrm>
                      <a:off x="0" y="0"/>
                      <a:ext cx="5506218" cy="5687219"/>
                    </a:xfrm>
                    <a:prstGeom prst="rect">
                      <a:avLst/>
                    </a:prstGeom>
                  </pic:spPr>
                </pic:pic>
              </a:graphicData>
            </a:graphic>
          </wp:inline>
        </w:drawing>
      </w:r>
    </w:p>
    <w:p w:rsidR="005263B9" w:rsidRDefault="005263B9"/>
    <w:p w:rsidR="005263B9" w:rsidRDefault="005263B9"/>
    <w:p w:rsidR="00D54C89" w:rsidRDefault="00D54C89"/>
    <w:p w:rsidR="00D54C89" w:rsidRDefault="00D54C89"/>
    <w:p w:rsidR="00D54C89" w:rsidRDefault="00D54C89"/>
    <w:p w:rsidR="00D54C89" w:rsidRDefault="00D54C89"/>
    <w:p w:rsidR="00D54C89" w:rsidRDefault="00D54C89"/>
    <w:p w:rsidR="00D54C89" w:rsidRDefault="00D54C89"/>
    <w:p w:rsidR="005263B9" w:rsidRDefault="005263B9">
      <w:r>
        <w:lastRenderedPageBreak/>
        <w:t>Regression model for Return on Assets</w:t>
      </w:r>
    </w:p>
    <w:p w:rsidR="005263B9" w:rsidRDefault="00D54C89">
      <w:r>
        <w:rPr>
          <w:noProof/>
          <w:lang w:eastAsia="en-IN"/>
        </w:rPr>
        <w:drawing>
          <wp:inline distT="0" distB="0" distL="0" distR="0">
            <wp:extent cx="4610743" cy="5649113"/>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OA.PNG"/>
                    <pic:cNvPicPr/>
                  </pic:nvPicPr>
                  <pic:blipFill>
                    <a:blip r:embed="rId16">
                      <a:extLst>
                        <a:ext uri="{28A0092B-C50C-407E-A947-70E740481C1C}">
                          <a14:useLocalDpi xmlns:a14="http://schemas.microsoft.com/office/drawing/2010/main" val="0"/>
                        </a:ext>
                      </a:extLst>
                    </a:blip>
                    <a:stretch>
                      <a:fillRect/>
                    </a:stretch>
                  </pic:blipFill>
                  <pic:spPr>
                    <a:xfrm>
                      <a:off x="0" y="0"/>
                      <a:ext cx="4610743" cy="5649113"/>
                    </a:xfrm>
                    <a:prstGeom prst="rect">
                      <a:avLst/>
                    </a:prstGeom>
                  </pic:spPr>
                </pic:pic>
              </a:graphicData>
            </a:graphic>
          </wp:inline>
        </w:drawing>
      </w:r>
    </w:p>
    <w:sectPr w:rsidR="005263B9" w:rsidSect="009857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725B" w:rsidRDefault="0030725B" w:rsidP="00B910B2">
      <w:pPr>
        <w:spacing w:after="0" w:line="240" w:lineRule="auto"/>
      </w:pPr>
      <w:r>
        <w:separator/>
      </w:r>
    </w:p>
  </w:endnote>
  <w:endnote w:type="continuationSeparator" w:id="0">
    <w:p w:rsidR="0030725B" w:rsidRDefault="0030725B" w:rsidP="00B91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5870073"/>
      <w:docPartObj>
        <w:docPartGallery w:val="Page Numbers (Bottom of Page)"/>
        <w:docPartUnique/>
      </w:docPartObj>
    </w:sdtPr>
    <w:sdtEndPr>
      <w:rPr>
        <w:noProof/>
      </w:rPr>
    </w:sdtEndPr>
    <w:sdtContent>
      <w:p w:rsidR="00FA053D" w:rsidRDefault="00FA053D">
        <w:pPr>
          <w:pStyle w:val="Footer"/>
          <w:jc w:val="right"/>
        </w:pPr>
        <w:r>
          <w:fldChar w:fldCharType="begin"/>
        </w:r>
        <w:r>
          <w:instrText xml:space="preserve"> PAGE   \* MERGEFORMAT </w:instrText>
        </w:r>
        <w:r>
          <w:fldChar w:fldCharType="separate"/>
        </w:r>
        <w:r w:rsidR="00B076B9">
          <w:rPr>
            <w:noProof/>
          </w:rPr>
          <w:t>21</w:t>
        </w:r>
        <w:r>
          <w:rPr>
            <w:noProof/>
          </w:rPr>
          <w:fldChar w:fldCharType="end"/>
        </w:r>
      </w:p>
    </w:sdtContent>
  </w:sdt>
  <w:p w:rsidR="00FA053D" w:rsidRDefault="00FA05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725B" w:rsidRDefault="0030725B" w:rsidP="00B910B2">
      <w:pPr>
        <w:spacing w:after="0" w:line="240" w:lineRule="auto"/>
      </w:pPr>
      <w:r>
        <w:separator/>
      </w:r>
    </w:p>
  </w:footnote>
  <w:footnote w:type="continuationSeparator" w:id="0">
    <w:p w:rsidR="0030725B" w:rsidRDefault="0030725B" w:rsidP="00B910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1B406F"/>
    <w:multiLevelType w:val="hybridMultilevel"/>
    <w:tmpl w:val="612C334E"/>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C"/>
    <w:rsid w:val="0008713E"/>
    <w:rsid w:val="00093AF0"/>
    <w:rsid w:val="00103895"/>
    <w:rsid w:val="001279AB"/>
    <w:rsid w:val="00144467"/>
    <w:rsid w:val="00154291"/>
    <w:rsid w:val="0018425C"/>
    <w:rsid w:val="001A3CF8"/>
    <w:rsid w:val="001A6026"/>
    <w:rsid w:val="001C5A88"/>
    <w:rsid w:val="001D097A"/>
    <w:rsid w:val="001F1F4E"/>
    <w:rsid w:val="00296446"/>
    <w:rsid w:val="002E528E"/>
    <w:rsid w:val="0030725B"/>
    <w:rsid w:val="00311C06"/>
    <w:rsid w:val="00323B18"/>
    <w:rsid w:val="00367DC1"/>
    <w:rsid w:val="003B7733"/>
    <w:rsid w:val="003C12BC"/>
    <w:rsid w:val="003F054F"/>
    <w:rsid w:val="003F3C20"/>
    <w:rsid w:val="003F5781"/>
    <w:rsid w:val="00402BA8"/>
    <w:rsid w:val="00403F78"/>
    <w:rsid w:val="00421FB7"/>
    <w:rsid w:val="00425DFC"/>
    <w:rsid w:val="004B1F35"/>
    <w:rsid w:val="004B3794"/>
    <w:rsid w:val="004C56F9"/>
    <w:rsid w:val="005263B9"/>
    <w:rsid w:val="005264F4"/>
    <w:rsid w:val="00527135"/>
    <w:rsid w:val="0057113E"/>
    <w:rsid w:val="005727ED"/>
    <w:rsid w:val="00573A70"/>
    <w:rsid w:val="00586316"/>
    <w:rsid w:val="00591BE3"/>
    <w:rsid w:val="005C5ECE"/>
    <w:rsid w:val="005E026B"/>
    <w:rsid w:val="00606FB0"/>
    <w:rsid w:val="00656619"/>
    <w:rsid w:val="00675618"/>
    <w:rsid w:val="006D0CD2"/>
    <w:rsid w:val="00740155"/>
    <w:rsid w:val="00743DB9"/>
    <w:rsid w:val="00744D1E"/>
    <w:rsid w:val="00810DD2"/>
    <w:rsid w:val="008379C6"/>
    <w:rsid w:val="008B4E23"/>
    <w:rsid w:val="008D6488"/>
    <w:rsid w:val="00951CA2"/>
    <w:rsid w:val="00954615"/>
    <w:rsid w:val="00985716"/>
    <w:rsid w:val="009E62DC"/>
    <w:rsid w:val="00A17F34"/>
    <w:rsid w:val="00AC0911"/>
    <w:rsid w:val="00AD281E"/>
    <w:rsid w:val="00AF517F"/>
    <w:rsid w:val="00B076B9"/>
    <w:rsid w:val="00B334CB"/>
    <w:rsid w:val="00B33AE4"/>
    <w:rsid w:val="00B4111C"/>
    <w:rsid w:val="00B4180F"/>
    <w:rsid w:val="00B766D0"/>
    <w:rsid w:val="00B805CE"/>
    <w:rsid w:val="00B910B2"/>
    <w:rsid w:val="00BC0C12"/>
    <w:rsid w:val="00BC5D01"/>
    <w:rsid w:val="00C060F6"/>
    <w:rsid w:val="00C12942"/>
    <w:rsid w:val="00C51D27"/>
    <w:rsid w:val="00C532C0"/>
    <w:rsid w:val="00C54264"/>
    <w:rsid w:val="00C715E0"/>
    <w:rsid w:val="00C821CF"/>
    <w:rsid w:val="00CD1CEA"/>
    <w:rsid w:val="00CE3D70"/>
    <w:rsid w:val="00D17ABE"/>
    <w:rsid w:val="00D33F52"/>
    <w:rsid w:val="00D54C89"/>
    <w:rsid w:val="00D8295F"/>
    <w:rsid w:val="00DA369C"/>
    <w:rsid w:val="00DA7B45"/>
    <w:rsid w:val="00DC4B07"/>
    <w:rsid w:val="00DD043F"/>
    <w:rsid w:val="00E1194A"/>
    <w:rsid w:val="00E24613"/>
    <w:rsid w:val="00E27961"/>
    <w:rsid w:val="00E6156D"/>
    <w:rsid w:val="00E62076"/>
    <w:rsid w:val="00EA02A6"/>
    <w:rsid w:val="00F01DCD"/>
    <w:rsid w:val="00F435F7"/>
    <w:rsid w:val="00F74255"/>
    <w:rsid w:val="00F7631B"/>
    <w:rsid w:val="00F95416"/>
    <w:rsid w:val="00FA053D"/>
    <w:rsid w:val="00FC5469"/>
    <w:rsid w:val="00FC7065"/>
    <w:rsid w:val="00FD063E"/>
    <w:rsid w:val="00FE12C6"/>
    <w:rsid w:val="00FF311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04D293-0020-4E03-A63F-A225D2DB3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D043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B910B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6488"/>
    <w:pPr>
      <w:ind w:left="720"/>
      <w:contextualSpacing/>
    </w:pPr>
  </w:style>
  <w:style w:type="table" w:styleId="TableGrid">
    <w:name w:val="Table Grid"/>
    <w:basedOn w:val="TableNormal"/>
    <w:uiPriority w:val="39"/>
    <w:rsid w:val="00FC7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D043F"/>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DD043F"/>
  </w:style>
  <w:style w:type="paragraph" w:styleId="NormalWeb">
    <w:name w:val="Normal (Web)"/>
    <w:basedOn w:val="Normal"/>
    <w:uiPriority w:val="99"/>
    <w:semiHidden/>
    <w:unhideWhenUsed/>
    <w:rsid w:val="00AD281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B910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10B2"/>
  </w:style>
  <w:style w:type="paragraph" w:styleId="Footer">
    <w:name w:val="footer"/>
    <w:basedOn w:val="Normal"/>
    <w:link w:val="FooterChar"/>
    <w:uiPriority w:val="99"/>
    <w:unhideWhenUsed/>
    <w:rsid w:val="00B910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10B2"/>
  </w:style>
  <w:style w:type="character" w:customStyle="1" w:styleId="Heading2Char">
    <w:name w:val="Heading 2 Char"/>
    <w:basedOn w:val="DefaultParagraphFont"/>
    <w:link w:val="Heading2"/>
    <w:uiPriority w:val="9"/>
    <w:rsid w:val="00B910B2"/>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D17ABE"/>
    <w:pPr>
      <w:outlineLvl w:val="9"/>
    </w:pPr>
  </w:style>
  <w:style w:type="paragraph" w:styleId="TOC1">
    <w:name w:val="toc 1"/>
    <w:basedOn w:val="Normal"/>
    <w:next w:val="Normal"/>
    <w:autoRedefine/>
    <w:uiPriority w:val="39"/>
    <w:unhideWhenUsed/>
    <w:rsid w:val="00D17ABE"/>
    <w:pPr>
      <w:spacing w:after="100"/>
    </w:pPr>
  </w:style>
  <w:style w:type="paragraph" w:styleId="TOC2">
    <w:name w:val="toc 2"/>
    <w:basedOn w:val="Normal"/>
    <w:next w:val="Normal"/>
    <w:autoRedefine/>
    <w:uiPriority w:val="39"/>
    <w:unhideWhenUsed/>
    <w:rsid w:val="00D17ABE"/>
    <w:pPr>
      <w:spacing w:after="100"/>
      <w:ind w:left="220"/>
    </w:pPr>
  </w:style>
  <w:style w:type="character" w:styleId="Hyperlink">
    <w:name w:val="Hyperlink"/>
    <w:basedOn w:val="DefaultParagraphFont"/>
    <w:uiPriority w:val="99"/>
    <w:unhideWhenUsed/>
    <w:rsid w:val="00D17A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983780">
      <w:bodyDiv w:val="1"/>
      <w:marLeft w:val="0"/>
      <w:marRight w:val="0"/>
      <w:marTop w:val="0"/>
      <w:marBottom w:val="0"/>
      <w:divBdr>
        <w:top w:val="none" w:sz="0" w:space="0" w:color="auto"/>
        <w:left w:val="none" w:sz="0" w:space="0" w:color="auto"/>
        <w:bottom w:val="none" w:sz="0" w:space="0" w:color="auto"/>
        <w:right w:val="none" w:sz="0" w:space="0" w:color="auto"/>
      </w:divBdr>
    </w:div>
    <w:div w:id="358361064">
      <w:bodyDiv w:val="1"/>
      <w:marLeft w:val="0"/>
      <w:marRight w:val="0"/>
      <w:marTop w:val="0"/>
      <w:marBottom w:val="0"/>
      <w:divBdr>
        <w:top w:val="none" w:sz="0" w:space="0" w:color="auto"/>
        <w:left w:val="none" w:sz="0" w:space="0" w:color="auto"/>
        <w:bottom w:val="none" w:sz="0" w:space="0" w:color="auto"/>
        <w:right w:val="none" w:sz="0" w:space="0" w:color="auto"/>
      </w:divBdr>
      <w:divsChild>
        <w:div w:id="102305049">
          <w:marLeft w:val="0"/>
          <w:marRight w:val="0"/>
          <w:marTop w:val="0"/>
          <w:marBottom w:val="0"/>
          <w:divBdr>
            <w:top w:val="single" w:sz="2" w:space="0" w:color="auto"/>
            <w:left w:val="single" w:sz="2" w:space="0" w:color="auto"/>
            <w:bottom w:val="single" w:sz="6" w:space="0" w:color="auto"/>
            <w:right w:val="single" w:sz="2" w:space="0" w:color="auto"/>
          </w:divBdr>
          <w:divsChild>
            <w:div w:id="1989089632">
              <w:marLeft w:val="0"/>
              <w:marRight w:val="0"/>
              <w:marTop w:val="100"/>
              <w:marBottom w:val="100"/>
              <w:divBdr>
                <w:top w:val="single" w:sz="2" w:space="0" w:color="D9D9E3"/>
                <w:left w:val="single" w:sz="2" w:space="0" w:color="D9D9E3"/>
                <w:bottom w:val="single" w:sz="2" w:space="0" w:color="D9D9E3"/>
                <w:right w:val="single" w:sz="2" w:space="0" w:color="D9D9E3"/>
              </w:divBdr>
              <w:divsChild>
                <w:div w:id="1489056388">
                  <w:marLeft w:val="0"/>
                  <w:marRight w:val="0"/>
                  <w:marTop w:val="0"/>
                  <w:marBottom w:val="0"/>
                  <w:divBdr>
                    <w:top w:val="single" w:sz="2" w:space="0" w:color="D9D9E3"/>
                    <w:left w:val="single" w:sz="2" w:space="0" w:color="D9D9E3"/>
                    <w:bottom w:val="single" w:sz="2" w:space="0" w:color="D9D9E3"/>
                    <w:right w:val="single" w:sz="2" w:space="0" w:color="D9D9E3"/>
                  </w:divBdr>
                  <w:divsChild>
                    <w:div w:id="1561015742">
                      <w:marLeft w:val="0"/>
                      <w:marRight w:val="0"/>
                      <w:marTop w:val="0"/>
                      <w:marBottom w:val="0"/>
                      <w:divBdr>
                        <w:top w:val="single" w:sz="2" w:space="0" w:color="D9D9E3"/>
                        <w:left w:val="single" w:sz="2" w:space="0" w:color="D9D9E3"/>
                        <w:bottom w:val="single" w:sz="2" w:space="0" w:color="D9D9E3"/>
                        <w:right w:val="single" w:sz="2" w:space="0" w:color="D9D9E3"/>
                      </w:divBdr>
                      <w:divsChild>
                        <w:div w:id="1856115382">
                          <w:marLeft w:val="0"/>
                          <w:marRight w:val="0"/>
                          <w:marTop w:val="0"/>
                          <w:marBottom w:val="0"/>
                          <w:divBdr>
                            <w:top w:val="single" w:sz="2" w:space="0" w:color="D9D9E3"/>
                            <w:left w:val="single" w:sz="2" w:space="0" w:color="D9D9E3"/>
                            <w:bottom w:val="single" w:sz="2" w:space="0" w:color="D9D9E3"/>
                            <w:right w:val="single" w:sz="2" w:space="0" w:color="D9D9E3"/>
                          </w:divBdr>
                          <w:divsChild>
                            <w:div w:id="4527936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65569781">
      <w:bodyDiv w:val="1"/>
      <w:marLeft w:val="0"/>
      <w:marRight w:val="0"/>
      <w:marTop w:val="0"/>
      <w:marBottom w:val="0"/>
      <w:divBdr>
        <w:top w:val="none" w:sz="0" w:space="0" w:color="auto"/>
        <w:left w:val="none" w:sz="0" w:space="0" w:color="auto"/>
        <w:bottom w:val="none" w:sz="0" w:space="0" w:color="auto"/>
        <w:right w:val="none" w:sz="0" w:space="0" w:color="auto"/>
      </w:divBdr>
    </w:div>
    <w:div w:id="634917099">
      <w:bodyDiv w:val="1"/>
      <w:marLeft w:val="0"/>
      <w:marRight w:val="0"/>
      <w:marTop w:val="0"/>
      <w:marBottom w:val="0"/>
      <w:divBdr>
        <w:top w:val="none" w:sz="0" w:space="0" w:color="auto"/>
        <w:left w:val="none" w:sz="0" w:space="0" w:color="auto"/>
        <w:bottom w:val="none" w:sz="0" w:space="0" w:color="auto"/>
        <w:right w:val="none" w:sz="0" w:space="0" w:color="auto"/>
      </w:divBdr>
    </w:div>
    <w:div w:id="753549490">
      <w:bodyDiv w:val="1"/>
      <w:marLeft w:val="0"/>
      <w:marRight w:val="0"/>
      <w:marTop w:val="0"/>
      <w:marBottom w:val="0"/>
      <w:divBdr>
        <w:top w:val="none" w:sz="0" w:space="0" w:color="auto"/>
        <w:left w:val="none" w:sz="0" w:space="0" w:color="auto"/>
        <w:bottom w:val="none" w:sz="0" w:space="0" w:color="auto"/>
        <w:right w:val="none" w:sz="0" w:space="0" w:color="auto"/>
      </w:divBdr>
    </w:div>
    <w:div w:id="1218587244">
      <w:bodyDiv w:val="1"/>
      <w:marLeft w:val="0"/>
      <w:marRight w:val="0"/>
      <w:marTop w:val="0"/>
      <w:marBottom w:val="0"/>
      <w:divBdr>
        <w:top w:val="none" w:sz="0" w:space="0" w:color="auto"/>
        <w:left w:val="none" w:sz="0" w:space="0" w:color="auto"/>
        <w:bottom w:val="none" w:sz="0" w:space="0" w:color="auto"/>
        <w:right w:val="none" w:sz="0" w:space="0" w:color="auto"/>
      </w:divBdr>
    </w:div>
    <w:div w:id="1222862121">
      <w:bodyDiv w:val="1"/>
      <w:marLeft w:val="0"/>
      <w:marRight w:val="0"/>
      <w:marTop w:val="0"/>
      <w:marBottom w:val="0"/>
      <w:divBdr>
        <w:top w:val="none" w:sz="0" w:space="0" w:color="auto"/>
        <w:left w:val="none" w:sz="0" w:space="0" w:color="auto"/>
        <w:bottom w:val="none" w:sz="0" w:space="0" w:color="auto"/>
        <w:right w:val="none" w:sz="0" w:space="0" w:color="auto"/>
      </w:divBdr>
    </w:div>
    <w:div w:id="1727021590">
      <w:bodyDiv w:val="1"/>
      <w:marLeft w:val="0"/>
      <w:marRight w:val="0"/>
      <w:marTop w:val="0"/>
      <w:marBottom w:val="0"/>
      <w:divBdr>
        <w:top w:val="none" w:sz="0" w:space="0" w:color="auto"/>
        <w:left w:val="none" w:sz="0" w:space="0" w:color="auto"/>
        <w:bottom w:val="none" w:sz="0" w:space="0" w:color="auto"/>
        <w:right w:val="none" w:sz="0" w:space="0" w:color="auto"/>
      </w:divBdr>
    </w:div>
    <w:div w:id="1901556394">
      <w:bodyDiv w:val="1"/>
      <w:marLeft w:val="0"/>
      <w:marRight w:val="0"/>
      <w:marTop w:val="0"/>
      <w:marBottom w:val="0"/>
      <w:divBdr>
        <w:top w:val="none" w:sz="0" w:space="0" w:color="auto"/>
        <w:left w:val="none" w:sz="0" w:space="0" w:color="auto"/>
        <w:bottom w:val="none" w:sz="0" w:space="0" w:color="auto"/>
        <w:right w:val="none" w:sz="0" w:space="0" w:color="auto"/>
      </w:divBdr>
    </w:div>
    <w:div w:id="1901935225">
      <w:bodyDiv w:val="1"/>
      <w:marLeft w:val="0"/>
      <w:marRight w:val="0"/>
      <w:marTop w:val="0"/>
      <w:marBottom w:val="0"/>
      <w:divBdr>
        <w:top w:val="none" w:sz="0" w:space="0" w:color="auto"/>
        <w:left w:val="none" w:sz="0" w:space="0" w:color="auto"/>
        <w:bottom w:val="none" w:sz="0" w:space="0" w:color="auto"/>
        <w:right w:val="none" w:sz="0" w:space="0" w:color="auto"/>
      </w:divBdr>
    </w:div>
    <w:div w:id="2055930362">
      <w:bodyDiv w:val="1"/>
      <w:marLeft w:val="0"/>
      <w:marRight w:val="0"/>
      <w:marTop w:val="0"/>
      <w:marBottom w:val="0"/>
      <w:divBdr>
        <w:top w:val="none" w:sz="0" w:space="0" w:color="auto"/>
        <w:left w:val="none" w:sz="0" w:space="0" w:color="auto"/>
        <w:bottom w:val="none" w:sz="0" w:space="0" w:color="auto"/>
        <w:right w:val="none" w:sz="0" w:space="0" w:color="auto"/>
      </w:divBdr>
    </w:div>
    <w:div w:id="2118482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8EA13A-31B9-4931-9028-6A5069ABBCAB}"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endParaRPr lang="en-IN"/>
        </a:p>
      </dgm:t>
    </dgm:pt>
    <dgm:pt modelId="{FD8D1916-13FF-4A85-BA3C-3339ED584955}">
      <dgm:prSet phldrT="[Text]" custT="1"/>
      <dgm:spPr/>
      <dgm:t>
        <a:bodyPr/>
        <a:lstStyle/>
        <a:p>
          <a:pPr algn="ctr"/>
          <a:r>
            <a:rPr lang="en-IN" sz="1100"/>
            <a:t>Return on Assets</a:t>
          </a:r>
        </a:p>
        <a:p>
          <a:pPr algn="ctr"/>
          <a:r>
            <a:rPr lang="en-IN" sz="1100"/>
            <a:t>Return on Equity</a:t>
          </a:r>
        </a:p>
      </dgm:t>
    </dgm:pt>
    <dgm:pt modelId="{E4BD8924-CD55-43ED-88CC-13E3DEE482D4}" type="parTrans" cxnId="{542A3A9F-184B-4D2B-AA00-7C056D26BCB9}">
      <dgm:prSet/>
      <dgm:spPr/>
      <dgm:t>
        <a:bodyPr/>
        <a:lstStyle/>
        <a:p>
          <a:endParaRPr lang="en-IN"/>
        </a:p>
      </dgm:t>
    </dgm:pt>
    <dgm:pt modelId="{07C48900-97CF-49CF-A890-808CC60C3AEE}" type="sibTrans" cxnId="{542A3A9F-184B-4D2B-AA00-7C056D26BCB9}">
      <dgm:prSet/>
      <dgm:spPr/>
      <dgm:t>
        <a:bodyPr/>
        <a:lstStyle/>
        <a:p>
          <a:endParaRPr lang="en-IN"/>
        </a:p>
      </dgm:t>
    </dgm:pt>
    <dgm:pt modelId="{B531B8D0-A814-4798-8CAF-73B8EA7096CC}">
      <dgm:prSet phldrT="[Text]"/>
      <dgm:spPr/>
      <dgm:t>
        <a:bodyPr/>
        <a:lstStyle/>
        <a:p>
          <a:r>
            <a:rPr lang="en-IN"/>
            <a:t>Asset size</a:t>
          </a:r>
        </a:p>
      </dgm:t>
    </dgm:pt>
    <dgm:pt modelId="{A7C8FA90-4EFB-435F-8B07-72BD05760EB3}" type="parTrans" cxnId="{2F9983C0-EC34-4A50-8B2F-C7FBF19D30E7}">
      <dgm:prSet/>
      <dgm:spPr/>
      <dgm:t>
        <a:bodyPr/>
        <a:lstStyle/>
        <a:p>
          <a:endParaRPr lang="en-IN"/>
        </a:p>
      </dgm:t>
    </dgm:pt>
    <dgm:pt modelId="{4D6EDB7C-7812-4CF4-8491-5106C3506244}" type="sibTrans" cxnId="{2F9983C0-EC34-4A50-8B2F-C7FBF19D30E7}">
      <dgm:prSet/>
      <dgm:spPr/>
      <dgm:t>
        <a:bodyPr/>
        <a:lstStyle/>
        <a:p>
          <a:endParaRPr lang="en-IN"/>
        </a:p>
      </dgm:t>
    </dgm:pt>
    <dgm:pt modelId="{0474981D-E1E4-4EC5-8D9D-039F47351BBA}">
      <dgm:prSet phldrT="[Text]"/>
      <dgm:spPr/>
      <dgm:t>
        <a:bodyPr/>
        <a:lstStyle/>
        <a:p>
          <a:r>
            <a:rPr lang="en-IN"/>
            <a:t>Total Interest Income</a:t>
          </a:r>
        </a:p>
      </dgm:t>
    </dgm:pt>
    <dgm:pt modelId="{65B27DB8-53FC-437C-B2E5-EA4F47935769}" type="parTrans" cxnId="{936A7B3B-D542-4BDA-9A9A-3C8D3C1BC620}">
      <dgm:prSet/>
      <dgm:spPr/>
      <dgm:t>
        <a:bodyPr/>
        <a:lstStyle/>
        <a:p>
          <a:endParaRPr lang="en-IN"/>
        </a:p>
      </dgm:t>
    </dgm:pt>
    <dgm:pt modelId="{3F177FE6-F9A1-49C9-B91D-52A5270E16A9}" type="sibTrans" cxnId="{936A7B3B-D542-4BDA-9A9A-3C8D3C1BC620}">
      <dgm:prSet/>
      <dgm:spPr/>
      <dgm:t>
        <a:bodyPr/>
        <a:lstStyle/>
        <a:p>
          <a:endParaRPr lang="en-IN"/>
        </a:p>
      </dgm:t>
    </dgm:pt>
    <dgm:pt modelId="{F5EFFA8F-0CFF-49AD-8DC0-9AE4826D996A}">
      <dgm:prSet phldrT="[Text]"/>
      <dgm:spPr/>
      <dgm:t>
        <a:bodyPr/>
        <a:lstStyle/>
        <a:p>
          <a:r>
            <a:rPr lang="en-IN"/>
            <a:t>Non-performing loans</a:t>
          </a:r>
        </a:p>
      </dgm:t>
    </dgm:pt>
    <dgm:pt modelId="{D8D3E027-E3DE-4DC8-87E7-96F7925DDD22}" type="parTrans" cxnId="{E636F99F-9221-4209-A556-C9EB2E719EC9}">
      <dgm:prSet/>
      <dgm:spPr/>
      <dgm:t>
        <a:bodyPr/>
        <a:lstStyle/>
        <a:p>
          <a:endParaRPr lang="en-IN"/>
        </a:p>
      </dgm:t>
    </dgm:pt>
    <dgm:pt modelId="{98402C2B-765A-4F4D-9858-E58463DBB7B3}" type="sibTrans" cxnId="{E636F99F-9221-4209-A556-C9EB2E719EC9}">
      <dgm:prSet/>
      <dgm:spPr/>
      <dgm:t>
        <a:bodyPr/>
        <a:lstStyle/>
        <a:p>
          <a:endParaRPr lang="en-IN"/>
        </a:p>
      </dgm:t>
    </dgm:pt>
    <dgm:pt modelId="{DCDFC34A-F8BF-45B6-B913-B2AEFCDA785E}">
      <dgm:prSet/>
      <dgm:spPr/>
      <dgm:t>
        <a:bodyPr/>
        <a:lstStyle/>
        <a:p>
          <a:r>
            <a:rPr lang="en-IN"/>
            <a:t>Equity Capital</a:t>
          </a:r>
        </a:p>
      </dgm:t>
    </dgm:pt>
    <dgm:pt modelId="{65771F6E-E207-49D9-A450-FAFD57A078BC}" type="parTrans" cxnId="{59340237-61E0-4F20-AD6B-46D3C1AA45DD}">
      <dgm:prSet/>
      <dgm:spPr/>
      <dgm:t>
        <a:bodyPr/>
        <a:lstStyle/>
        <a:p>
          <a:endParaRPr lang="en-IN"/>
        </a:p>
      </dgm:t>
    </dgm:pt>
    <dgm:pt modelId="{877EEE7A-A854-4717-BD62-4FC60A20D44E}" type="sibTrans" cxnId="{59340237-61E0-4F20-AD6B-46D3C1AA45DD}">
      <dgm:prSet/>
      <dgm:spPr/>
      <dgm:t>
        <a:bodyPr/>
        <a:lstStyle/>
        <a:p>
          <a:endParaRPr lang="en-IN"/>
        </a:p>
      </dgm:t>
    </dgm:pt>
    <dgm:pt modelId="{D8153018-7DC7-4994-AB3E-0397A7533583}">
      <dgm:prSet/>
      <dgm:spPr/>
      <dgm:t>
        <a:bodyPr/>
        <a:lstStyle/>
        <a:p>
          <a:r>
            <a:rPr lang="en-IN"/>
            <a:t>Operating expenditure</a:t>
          </a:r>
        </a:p>
      </dgm:t>
    </dgm:pt>
    <dgm:pt modelId="{38CD5A38-8AEE-4F31-9328-BCEBD2B560F8}" type="parTrans" cxnId="{58210993-9340-4C0A-B6CB-0AD9BD4DD651}">
      <dgm:prSet/>
      <dgm:spPr/>
      <dgm:t>
        <a:bodyPr/>
        <a:lstStyle/>
        <a:p>
          <a:endParaRPr lang="en-IN"/>
        </a:p>
      </dgm:t>
    </dgm:pt>
    <dgm:pt modelId="{154DC2D6-9806-44FB-AFE6-A8321E4C1ADE}" type="sibTrans" cxnId="{58210993-9340-4C0A-B6CB-0AD9BD4DD651}">
      <dgm:prSet/>
      <dgm:spPr/>
      <dgm:t>
        <a:bodyPr/>
        <a:lstStyle/>
        <a:p>
          <a:endParaRPr lang="en-IN"/>
        </a:p>
      </dgm:t>
    </dgm:pt>
    <dgm:pt modelId="{B0317CDD-766B-4D4A-BD96-65A160ED4A73}">
      <dgm:prSet/>
      <dgm:spPr/>
      <dgm:t>
        <a:bodyPr/>
        <a:lstStyle/>
        <a:p>
          <a:r>
            <a:rPr lang="en-IN"/>
            <a:t>Total deposits</a:t>
          </a:r>
        </a:p>
      </dgm:t>
    </dgm:pt>
    <dgm:pt modelId="{10B5B9CE-2C70-4CEE-92BD-72CB78F84EAA}" type="parTrans" cxnId="{11074890-B64F-4568-B1D7-939BD3A105D1}">
      <dgm:prSet/>
      <dgm:spPr/>
      <dgm:t>
        <a:bodyPr/>
        <a:lstStyle/>
        <a:p>
          <a:endParaRPr lang="en-IN"/>
        </a:p>
      </dgm:t>
    </dgm:pt>
    <dgm:pt modelId="{EF786A28-6361-4757-802B-5B15EE203110}" type="sibTrans" cxnId="{11074890-B64F-4568-B1D7-939BD3A105D1}">
      <dgm:prSet/>
      <dgm:spPr/>
      <dgm:t>
        <a:bodyPr/>
        <a:lstStyle/>
        <a:p>
          <a:endParaRPr lang="en-IN"/>
        </a:p>
      </dgm:t>
    </dgm:pt>
    <dgm:pt modelId="{A4D73BC3-D27E-4BCB-9107-368EBB393029}" type="pres">
      <dgm:prSet presAssocID="{B48EA13A-31B9-4931-9028-6A5069ABBCAB}" presName="Name0" presStyleCnt="0">
        <dgm:presLayoutVars>
          <dgm:chPref val="1"/>
          <dgm:dir/>
          <dgm:animOne val="branch"/>
          <dgm:animLvl val="lvl"/>
          <dgm:resizeHandles val="exact"/>
        </dgm:presLayoutVars>
      </dgm:prSet>
      <dgm:spPr/>
      <dgm:t>
        <a:bodyPr/>
        <a:lstStyle/>
        <a:p>
          <a:endParaRPr lang="en-IN"/>
        </a:p>
      </dgm:t>
    </dgm:pt>
    <dgm:pt modelId="{3298E8B4-8E19-4EB4-93C3-F0C408283F77}" type="pres">
      <dgm:prSet presAssocID="{FD8D1916-13FF-4A85-BA3C-3339ED584955}" presName="root1" presStyleCnt="0"/>
      <dgm:spPr/>
    </dgm:pt>
    <dgm:pt modelId="{BC0A707E-3C5C-46A6-AB5E-B63C21A13097}" type="pres">
      <dgm:prSet presAssocID="{FD8D1916-13FF-4A85-BA3C-3339ED584955}" presName="LevelOneTextNode" presStyleLbl="node0" presStyleIdx="0" presStyleCnt="1" custAng="5400000" custScaleX="145953" custScaleY="33332">
        <dgm:presLayoutVars>
          <dgm:chPref val="3"/>
        </dgm:presLayoutVars>
      </dgm:prSet>
      <dgm:spPr/>
      <dgm:t>
        <a:bodyPr/>
        <a:lstStyle/>
        <a:p>
          <a:endParaRPr lang="en-IN"/>
        </a:p>
      </dgm:t>
    </dgm:pt>
    <dgm:pt modelId="{2FB26CD3-EA0B-4ECF-AC57-2A0943C34125}" type="pres">
      <dgm:prSet presAssocID="{FD8D1916-13FF-4A85-BA3C-3339ED584955}" presName="level2hierChild" presStyleCnt="0"/>
      <dgm:spPr/>
    </dgm:pt>
    <dgm:pt modelId="{4AC74A51-D063-4772-A719-E19A0B75719C}" type="pres">
      <dgm:prSet presAssocID="{A7C8FA90-4EFB-435F-8B07-72BD05760EB3}" presName="conn2-1" presStyleLbl="parChTrans1D2" presStyleIdx="0" presStyleCnt="6"/>
      <dgm:spPr/>
      <dgm:t>
        <a:bodyPr/>
        <a:lstStyle/>
        <a:p>
          <a:endParaRPr lang="en-IN"/>
        </a:p>
      </dgm:t>
    </dgm:pt>
    <dgm:pt modelId="{029C9AF7-67D7-4C0A-A940-C7C690EFE055}" type="pres">
      <dgm:prSet presAssocID="{A7C8FA90-4EFB-435F-8B07-72BD05760EB3}" presName="connTx" presStyleLbl="parChTrans1D2" presStyleIdx="0" presStyleCnt="6"/>
      <dgm:spPr/>
      <dgm:t>
        <a:bodyPr/>
        <a:lstStyle/>
        <a:p>
          <a:endParaRPr lang="en-IN"/>
        </a:p>
      </dgm:t>
    </dgm:pt>
    <dgm:pt modelId="{0775FCE1-879D-4AFD-9C02-ECE9DD791FBE}" type="pres">
      <dgm:prSet presAssocID="{B531B8D0-A814-4798-8CAF-73B8EA7096CC}" presName="root2" presStyleCnt="0"/>
      <dgm:spPr/>
    </dgm:pt>
    <dgm:pt modelId="{BD0B4AE4-AB1A-4CA9-8E88-BFF9718DB939}" type="pres">
      <dgm:prSet presAssocID="{B531B8D0-A814-4798-8CAF-73B8EA7096CC}" presName="LevelTwoTextNode" presStyleLbl="node2" presStyleIdx="0" presStyleCnt="6" custScaleX="64808" custScaleY="57008" custLinFactNeighborX="-1025" custLinFactNeighborY="-82">
        <dgm:presLayoutVars>
          <dgm:chPref val="3"/>
        </dgm:presLayoutVars>
      </dgm:prSet>
      <dgm:spPr/>
      <dgm:t>
        <a:bodyPr/>
        <a:lstStyle/>
        <a:p>
          <a:endParaRPr lang="en-IN"/>
        </a:p>
      </dgm:t>
    </dgm:pt>
    <dgm:pt modelId="{BFB15A07-CF6E-4FB9-ADA2-ECF7C4C77EAD}" type="pres">
      <dgm:prSet presAssocID="{B531B8D0-A814-4798-8CAF-73B8EA7096CC}" presName="level3hierChild" presStyleCnt="0"/>
      <dgm:spPr/>
    </dgm:pt>
    <dgm:pt modelId="{5817507D-6926-4643-8555-1F172CBAE740}" type="pres">
      <dgm:prSet presAssocID="{65B27DB8-53FC-437C-B2E5-EA4F47935769}" presName="conn2-1" presStyleLbl="parChTrans1D2" presStyleIdx="1" presStyleCnt="6"/>
      <dgm:spPr/>
      <dgm:t>
        <a:bodyPr/>
        <a:lstStyle/>
        <a:p>
          <a:endParaRPr lang="en-IN"/>
        </a:p>
      </dgm:t>
    </dgm:pt>
    <dgm:pt modelId="{7460DD31-677D-460D-8524-6C8C7883ABA5}" type="pres">
      <dgm:prSet presAssocID="{65B27DB8-53FC-437C-B2E5-EA4F47935769}" presName="connTx" presStyleLbl="parChTrans1D2" presStyleIdx="1" presStyleCnt="6"/>
      <dgm:spPr/>
      <dgm:t>
        <a:bodyPr/>
        <a:lstStyle/>
        <a:p>
          <a:endParaRPr lang="en-IN"/>
        </a:p>
      </dgm:t>
    </dgm:pt>
    <dgm:pt modelId="{154712A4-B0D4-49D8-9697-15AC68729387}" type="pres">
      <dgm:prSet presAssocID="{0474981D-E1E4-4EC5-8D9D-039F47351BBA}" presName="root2" presStyleCnt="0"/>
      <dgm:spPr/>
    </dgm:pt>
    <dgm:pt modelId="{960F2FC8-09E8-4107-8ADE-D791BAA2A94B}" type="pres">
      <dgm:prSet presAssocID="{0474981D-E1E4-4EC5-8D9D-039F47351BBA}" presName="LevelTwoTextNode" presStyleLbl="node2" presStyleIdx="1" presStyleCnt="6" custScaleX="66750" custScaleY="57902">
        <dgm:presLayoutVars>
          <dgm:chPref val="3"/>
        </dgm:presLayoutVars>
      </dgm:prSet>
      <dgm:spPr/>
      <dgm:t>
        <a:bodyPr/>
        <a:lstStyle/>
        <a:p>
          <a:endParaRPr lang="en-IN"/>
        </a:p>
      </dgm:t>
    </dgm:pt>
    <dgm:pt modelId="{7749FC91-64C9-4696-A84E-A26B24B156BB}" type="pres">
      <dgm:prSet presAssocID="{0474981D-E1E4-4EC5-8D9D-039F47351BBA}" presName="level3hierChild" presStyleCnt="0"/>
      <dgm:spPr/>
    </dgm:pt>
    <dgm:pt modelId="{7C7915D0-7DA3-416B-B4DE-7E28CF2001E2}" type="pres">
      <dgm:prSet presAssocID="{D8D3E027-E3DE-4DC8-87E7-96F7925DDD22}" presName="conn2-1" presStyleLbl="parChTrans1D2" presStyleIdx="2" presStyleCnt="6"/>
      <dgm:spPr/>
      <dgm:t>
        <a:bodyPr/>
        <a:lstStyle/>
        <a:p>
          <a:endParaRPr lang="en-IN"/>
        </a:p>
      </dgm:t>
    </dgm:pt>
    <dgm:pt modelId="{EB2F21A8-1961-4E43-B2C7-A20D756DD9DB}" type="pres">
      <dgm:prSet presAssocID="{D8D3E027-E3DE-4DC8-87E7-96F7925DDD22}" presName="connTx" presStyleLbl="parChTrans1D2" presStyleIdx="2" presStyleCnt="6"/>
      <dgm:spPr/>
      <dgm:t>
        <a:bodyPr/>
        <a:lstStyle/>
        <a:p>
          <a:endParaRPr lang="en-IN"/>
        </a:p>
      </dgm:t>
    </dgm:pt>
    <dgm:pt modelId="{F95C7640-C29A-47FD-9E28-6F183F9945E8}" type="pres">
      <dgm:prSet presAssocID="{F5EFFA8F-0CFF-49AD-8DC0-9AE4826D996A}" presName="root2" presStyleCnt="0"/>
      <dgm:spPr/>
    </dgm:pt>
    <dgm:pt modelId="{FAAA2197-8164-4C67-9A0C-29C432236CF3}" type="pres">
      <dgm:prSet presAssocID="{F5EFFA8F-0CFF-49AD-8DC0-9AE4826D996A}" presName="LevelTwoTextNode" presStyleLbl="node2" presStyleIdx="2" presStyleCnt="6" custScaleX="64473" custScaleY="46911">
        <dgm:presLayoutVars>
          <dgm:chPref val="3"/>
        </dgm:presLayoutVars>
      </dgm:prSet>
      <dgm:spPr/>
      <dgm:t>
        <a:bodyPr/>
        <a:lstStyle/>
        <a:p>
          <a:endParaRPr lang="en-IN"/>
        </a:p>
      </dgm:t>
    </dgm:pt>
    <dgm:pt modelId="{BE9A8448-7976-4F6A-AC35-7EEFD0060D9C}" type="pres">
      <dgm:prSet presAssocID="{F5EFFA8F-0CFF-49AD-8DC0-9AE4826D996A}" presName="level3hierChild" presStyleCnt="0"/>
      <dgm:spPr/>
    </dgm:pt>
    <dgm:pt modelId="{A109A597-6591-45A5-8AB3-9180492E6BFD}" type="pres">
      <dgm:prSet presAssocID="{65771F6E-E207-49D9-A450-FAFD57A078BC}" presName="conn2-1" presStyleLbl="parChTrans1D2" presStyleIdx="3" presStyleCnt="6"/>
      <dgm:spPr/>
      <dgm:t>
        <a:bodyPr/>
        <a:lstStyle/>
        <a:p>
          <a:endParaRPr lang="en-IN"/>
        </a:p>
      </dgm:t>
    </dgm:pt>
    <dgm:pt modelId="{43E1E84F-C5F1-465F-B018-FED8C0471C0C}" type="pres">
      <dgm:prSet presAssocID="{65771F6E-E207-49D9-A450-FAFD57A078BC}" presName="connTx" presStyleLbl="parChTrans1D2" presStyleIdx="3" presStyleCnt="6"/>
      <dgm:spPr/>
      <dgm:t>
        <a:bodyPr/>
        <a:lstStyle/>
        <a:p>
          <a:endParaRPr lang="en-IN"/>
        </a:p>
      </dgm:t>
    </dgm:pt>
    <dgm:pt modelId="{CEF7337C-D96C-49CE-9E96-B7FAD6FE8BAA}" type="pres">
      <dgm:prSet presAssocID="{DCDFC34A-F8BF-45B6-B913-B2AEFCDA785E}" presName="root2" presStyleCnt="0"/>
      <dgm:spPr/>
    </dgm:pt>
    <dgm:pt modelId="{BB3CDA1B-CC92-43BE-913C-896666937A3D}" type="pres">
      <dgm:prSet presAssocID="{DCDFC34A-F8BF-45B6-B913-B2AEFCDA785E}" presName="LevelTwoTextNode" presStyleLbl="node2" presStyleIdx="3" presStyleCnt="6" custScaleX="64052" custScaleY="47193">
        <dgm:presLayoutVars>
          <dgm:chPref val="3"/>
        </dgm:presLayoutVars>
      </dgm:prSet>
      <dgm:spPr/>
      <dgm:t>
        <a:bodyPr/>
        <a:lstStyle/>
        <a:p>
          <a:endParaRPr lang="en-IN"/>
        </a:p>
      </dgm:t>
    </dgm:pt>
    <dgm:pt modelId="{E077D1A0-3C8F-46D3-9805-54FC5CA06E03}" type="pres">
      <dgm:prSet presAssocID="{DCDFC34A-F8BF-45B6-B913-B2AEFCDA785E}" presName="level3hierChild" presStyleCnt="0"/>
      <dgm:spPr/>
    </dgm:pt>
    <dgm:pt modelId="{D22E7428-7AF7-407E-9E1B-07C21BB3448E}" type="pres">
      <dgm:prSet presAssocID="{38CD5A38-8AEE-4F31-9328-BCEBD2B560F8}" presName="conn2-1" presStyleLbl="parChTrans1D2" presStyleIdx="4" presStyleCnt="6"/>
      <dgm:spPr/>
      <dgm:t>
        <a:bodyPr/>
        <a:lstStyle/>
        <a:p>
          <a:endParaRPr lang="en-IN"/>
        </a:p>
      </dgm:t>
    </dgm:pt>
    <dgm:pt modelId="{0CBF6C18-B590-43E4-A6E2-C00A35BECEC3}" type="pres">
      <dgm:prSet presAssocID="{38CD5A38-8AEE-4F31-9328-BCEBD2B560F8}" presName="connTx" presStyleLbl="parChTrans1D2" presStyleIdx="4" presStyleCnt="6"/>
      <dgm:spPr/>
      <dgm:t>
        <a:bodyPr/>
        <a:lstStyle/>
        <a:p>
          <a:endParaRPr lang="en-IN"/>
        </a:p>
      </dgm:t>
    </dgm:pt>
    <dgm:pt modelId="{6002D13F-7E16-4EB4-938B-480A5B6FE870}" type="pres">
      <dgm:prSet presAssocID="{D8153018-7DC7-4994-AB3E-0397A7533583}" presName="root2" presStyleCnt="0"/>
      <dgm:spPr/>
    </dgm:pt>
    <dgm:pt modelId="{A38665AC-FF13-4B01-951D-38DA74DB0975}" type="pres">
      <dgm:prSet presAssocID="{D8153018-7DC7-4994-AB3E-0397A7533583}" presName="LevelTwoTextNode" presStyleLbl="node2" presStyleIdx="4" presStyleCnt="6" custScaleX="64052" custScaleY="49782">
        <dgm:presLayoutVars>
          <dgm:chPref val="3"/>
        </dgm:presLayoutVars>
      </dgm:prSet>
      <dgm:spPr/>
      <dgm:t>
        <a:bodyPr/>
        <a:lstStyle/>
        <a:p>
          <a:endParaRPr lang="en-IN"/>
        </a:p>
      </dgm:t>
    </dgm:pt>
    <dgm:pt modelId="{0A1A5B9E-5707-4713-99F6-BC5DE9961046}" type="pres">
      <dgm:prSet presAssocID="{D8153018-7DC7-4994-AB3E-0397A7533583}" presName="level3hierChild" presStyleCnt="0"/>
      <dgm:spPr/>
    </dgm:pt>
    <dgm:pt modelId="{038F0FF7-641B-46DD-8C77-22F2B8D5559C}" type="pres">
      <dgm:prSet presAssocID="{10B5B9CE-2C70-4CEE-92BD-72CB78F84EAA}" presName="conn2-1" presStyleLbl="parChTrans1D2" presStyleIdx="5" presStyleCnt="6"/>
      <dgm:spPr/>
      <dgm:t>
        <a:bodyPr/>
        <a:lstStyle/>
        <a:p>
          <a:endParaRPr lang="en-IN"/>
        </a:p>
      </dgm:t>
    </dgm:pt>
    <dgm:pt modelId="{3C5970A3-BE48-4CF9-BC85-2727565C365A}" type="pres">
      <dgm:prSet presAssocID="{10B5B9CE-2C70-4CEE-92BD-72CB78F84EAA}" presName="connTx" presStyleLbl="parChTrans1D2" presStyleIdx="5" presStyleCnt="6"/>
      <dgm:spPr/>
      <dgm:t>
        <a:bodyPr/>
        <a:lstStyle/>
        <a:p>
          <a:endParaRPr lang="en-IN"/>
        </a:p>
      </dgm:t>
    </dgm:pt>
    <dgm:pt modelId="{D6820991-0C8C-4329-8B5A-686C04DE4409}" type="pres">
      <dgm:prSet presAssocID="{B0317CDD-766B-4D4A-BD96-65A160ED4A73}" presName="root2" presStyleCnt="0"/>
      <dgm:spPr/>
    </dgm:pt>
    <dgm:pt modelId="{D10CAED3-58FB-4DE6-91FB-901E71283EB1}" type="pres">
      <dgm:prSet presAssocID="{B0317CDD-766B-4D4A-BD96-65A160ED4A73}" presName="LevelTwoTextNode" presStyleLbl="node2" presStyleIdx="5" presStyleCnt="6" custScaleX="66749" custScaleY="49947">
        <dgm:presLayoutVars>
          <dgm:chPref val="3"/>
        </dgm:presLayoutVars>
      </dgm:prSet>
      <dgm:spPr/>
      <dgm:t>
        <a:bodyPr/>
        <a:lstStyle/>
        <a:p>
          <a:endParaRPr lang="en-IN"/>
        </a:p>
      </dgm:t>
    </dgm:pt>
    <dgm:pt modelId="{11F5F275-EDB0-4E52-8E5B-A2198DF219E0}" type="pres">
      <dgm:prSet presAssocID="{B0317CDD-766B-4D4A-BD96-65A160ED4A73}" presName="level3hierChild" presStyleCnt="0"/>
      <dgm:spPr/>
    </dgm:pt>
  </dgm:ptLst>
  <dgm:cxnLst>
    <dgm:cxn modelId="{550B94F9-9EF3-4E11-9CBB-34F238F5FADC}" type="presOf" srcId="{D8153018-7DC7-4994-AB3E-0397A7533583}" destId="{A38665AC-FF13-4B01-951D-38DA74DB0975}" srcOrd="0" destOrd="0" presId="urn:microsoft.com/office/officeart/2008/layout/HorizontalMultiLevelHierarchy"/>
    <dgm:cxn modelId="{1D8FAED0-3927-4958-8210-16E9499C1AD0}" type="presOf" srcId="{A7C8FA90-4EFB-435F-8B07-72BD05760EB3}" destId="{4AC74A51-D063-4772-A719-E19A0B75719C}" srcOrd="0" destOrd="0" presId="urn:microsoft.com/office/officeart/2008/layout/HorizontalMultiLevelHierarchy"/>
    <dgm:cxn modelId="{C004B25A-9748-48B9-902B-2BBB77D40148}" type="presOf" srcId="{10B5B9CE-2C70-4CEE-92BD-72CB78F84EAA}" destId="{3C5970A3-BE48-4CF9-BC85-2727565C365A}" srcOrd="1" destOrd="0" presId="urn:microsoft.com/office/officeart/2008/layout/HorizontalMultiLevelHierarchy"/>
    <dgm:cxn modelId="{FC7D7EC1-D921-492E-A53F-B6F7AF87C077}" type="presOf" srcId="{B48EA13A-31B9-4931-9028-6A5069ABBCAB}" destId="{A4D73BC3-D27E-4BCB-9107-368EBB393029}" srcOrd="0" destOrd="0" presId="urn:microsoft.com/office/officeart/2008/layout/HorizontalMultiLevelHierarchy"/>
    <dgm:cxn modelId="{6020D210-3569-413B-AF2C-F943890E8BF8}" type="presOf" srcId="{65771F6E-E207-49D9-A450-FAFD57A078BC}" destId="{A109A597-6591-45A5-8AB3-9180492E6BFD}" srcOrd="0" destOrd="0" presId="urn:microsoft.com/office/officeart/2008/layout/HorizontalMultiLevelHierarchy"/>
    <dgm:cxn modelId="{E636F99F-9221-4209-A556-C9EB2E719EC9}" srcId="{FD8D1916-13FF-4A85-BA3C-3339ED584955}" destId="{F5EFFA8F-0CFF-49AD-8DC0-9AE4826D996A}" srcOrd="2" destOrd="0" parTransId="{D8D3E027-E3DE-4DC8-87E7-96F7925DDD22}" sibTransId="{98402C2B-765A-4F4D-9858-E58463DBB7B3}"/>
    <dgm:cxn modelId="{FDD619F0-9A65-486B-8BF0-4A2B59883A93}" type="presOf" srcId="{D8D3E027-E3DE-4DC8-87E7-96F7925DDD22}" destId="{EB2F21A8-1961-4E43-B2C7-A20D756DD9DB}" srcOrd="1" destOrd="0" presId="urn:microsoft.com/office/officeart/2008/layout/HorizontalMultiLevelHierarchy"/>
    <dgm:cxn modelId="{A188F33C-4631-44C6-B84E-EFE65A69AAA2}" type="presOf" srcId="{65771F6E-E207-49D9-A450-FAFD57A078BC}" destId="{43E1E84F-C5F1-465F-B018-FED8C0471C0C}" srcOrd="1" destOrd="0" presId="urn:microsoft.com/office/officeart/2008/layout/HorizontalMultiLevelHierarchy"/>
    <dgm:cxn modelId="{4D268F55-04D7-4853-908F-8E9BA39405D4}" type="presOf" srcId="{65B27DB8-53FC-437C-B2E5-EA4F47935769}" destId="{7460DD31-677D-460D-8524-6C8C7883ABA5}" srcOrd="1" destOrd="0" presId="urn:microsoft.com/office/officeart/2008/layout/HorizontalMultiLevelHierarchy"/>
    <dgm:cxn modelId="{6686CBA9-CC1D-46F2-AA8A-3F0D1922F57E}" type="presOf" srcId="{B0317CDD-766B-4D4A-BD96-65A160ED4A73}" destId="{D10CAED3-58FB-4DE6-91FB-901E71283EB1}" srcOrd="0" destOrd="0" presId="urn:microsoft.com/office/officeart/2008/layout/HorizontalMultiLevelHierarchy"/>
    <dgm:cxn modelId="{88E0E8A0-66B0-4139-9AFC-E583F2A26FE0}" type="presOf" srcId="{0474981D-E1E4-4EC5-8D9D-039F47351BBA}" destId="{960F2FC8-09E8-4107-8ADE-D791BAA2A94B}" srcOrd="0" destOrd="0" presId="urn:microsoft.com/office/officeart/2008/layout/HorizontalMultiLevelHierarchy"/>
    <dgm:cxn modelId="{7A627DD1-20A5-4F19-BC7E-51FADDF8709D}" type="presOf" srcId="{FD8D1916-13FF-4A85-BA3C-3339ED584955}" destId="{BC0A707E-3C5C-46A6-AB5E-B63C21A13097}" srcOrd="0" destOrd="0" presId="urn:microsoft.com/office/officeart/2008/layout/HorizontalMultiLevelHierarchy"/>
    <dgm:cxn modelId="{EC2E87D4-A216-43DC-AF54-ABD85BFB3A75}" type="presOf" srcId="{38CD5A38-8AEE-4F31-9328-BCEBD2B560F8}" destId="{D22E7428-7AF7-407E-9E1B-07C21BB3448E}" srcOrd="0" destOrd="0" presId="urn:microsoft.com/office/officeart/2008/layout/HorizontalMultiLevelHierarchy"/>
    <dgm:cxn modelId="{31837DE9-6C92-4F80-818B-D543D6391F10}" type="presOf" srcId="{DCDFC34A-F8BF-45B6-B913-B2AEFCDA785E}" destId="{BB3CDA1B-CC92-43BE-913C-896666937A3D}" srcOrd="0" destOrd="0" presId="urn:microsoft.com/office/officeart/2008/layout/HorizontalMultiLevelHierarchy"/>
    <dgm:cxn modelId="{40BBA686-3EE5-4F37-BAD4-51823711D2AD}" type="presOf" srcId="{A7C8FA90-4EFB-435F-8B07-72BD05760EB3}" destId="{029C9AF7-67D7-4C0A-A940-C7C690EFE055}" srcOrd="1" destOrd="0" presId="urn:microsoft.com/office/officeart/2008/layout/HorizontalMultiLevelHierarchy"/>
    <dgm:cxn modelId="{D9574613-558A-4AEC-8ABC-873A8DE6A7B9}" type="presOf" srcId="{F5EFFA8F-0CFF-49AD-8DC0-9AE4826D996A}" destId="{FAAA2197-8164-4C67-9A0C-29C432236CF3}" srcOrd="0" destOrd="0" presId="urn:microsoft.com/office/officeart/2008/layout/HorizontalMultiLevelHierarchy"/>
    <dgm:cxn modelId="{65B32F09-0AA8-4DB7-8EB8-C5ADE35FCC58}" type="presOf" srcId="{D8D3E027-E3DE-4DC8-87E7-96F7925DDD22}" destId="{7C7915D0-7DA3-416B-B4DE-7E28CF2001E2}" srcOrd="0" destOrd="0" presId="urn:microsoft.com/office/officeart/2008/layout/HorizontalMultiLevelHierarchy"/>
    <dgm:cxn modelId="{B3565AA5-64B2-422A-B048-7FFE5F08F92A}" type="presOf" srcId="{65B27DB8-53FC-437C-B2E5-EA4F47935769}" destId="{5817507D-6926-4643-8555-1F172CBAE740}" srcOrd="0" destOrd="0" presId="urn:microsoft.com/office/officeart/2008/layout/HorizontalMultiLevelHierarchy"/>
    <dgm:cxn modelId="{542A3A9F-184B-4D2B-AA00-7C056D26BCB9}" srcId="{B48EA13A-31B9-4931-9028-6A5069ABBCAB}" destId="{FD8D1916-13FF-4A85-BA3C-3339ED584955}" srcOrd="0" destOrd="0" parTransId="{E4BD8924-CD55-43ED-88CC-13E3DEE482D4}" sibTransId="{07C48900-97CF-49CF-A890-808CC60C3AEE}"/>
    <dgm:cxn modelId="{58210993-9340-4C0A-B6CB-0AD9BD4DD651}" srcId="{FD8D1916-13FF-4A85-BA3C-3339ED584955}" destId="{D8153018-7DC7-4994-AB3E-0397A7533583}" srcOrd="4" destOrd="0" parTransId="{38CD5A38-8AEE-4F31-9328-BCEBD2B560F8}" sibTransId="{154DC2D6-9806-44FB-AFE6-A8321E4C1ADE}"/>
    <dgm:cxn modelId="{11074890-B64F-4568-B1D7-939BD3A105D1}" srcId="{FD8D1916-13FF-4A85-BA3C-3339ED584955}" destId="{B0317CDD-766B-4D4A-BD96-65A160ED4A73}" srcOrd="5" destOrd="0" parTransId="{10B5B9CE-2C70-4CEE-92BD-72CB78F84EAA}" sibTransId="{EF786A28-6361-4757-802B-5B15EE203110}"/>
    <dgm:cxn modelId="{9DC62B0D-13F7-4A7D-A000-C7F2F2EF5261}" type="presOf" srcId="{B531B8D0-A814-4798-8CAF-73B8EA7096CC}" destId="{BD0B4AE4-AB1A-4CA9-8E88-BFF9718DB939}" srcOrd="0" destOrd="0" presId="urn:microsoft.com/office/officeart/2008/layout/HorizontalMultiLevelHierarchy"/>
    <dgm:cxn modelId="{936A7B3B-D542-4BDA-9A9A-3C8D3C1BC620}" srcId="{FD8D1916-13FF-4A85-BA3C-3339ED584955}" destId="{0474981D-E1E4-4EC5-8D9D-039F47351BBA}" srcOrd="1" destOrd="0" parTransId="{65B27DB8-53FC-437C-B2E5-EA4F47935769}" sibTransId="{3F177FE6-F9A1-49C9-B91D-52A5270E16A9}"/>
    <dgm:cxn modelId="{59340237-61E0-4F20-AD6B-46D3C1AA45DD}" srcId="{FD8D1916-13FF-4A85-BA3C-3339ED584955}" destId="{DCDFC34A-F8BF-45B6-B913-B2AEFCDA785E}" srcOrd="3" destOrd="0" parTransId="{65771F6E-E207-49D9-A450-FAFD57A078BC}" sibTransId="{877EEE7A-A854-4717-BD62-4FC60A20D44E}"/>
    <dgm:cxn modelId="{2F9983C0-EC34-4A50-8B2F-C7FBF19D30E7}" srcId="{FD8D1916-13FF-4A85-BA3C-3339ED584955}" destId="{B531B8D0-A814-4798-8CAF-73B8EA7096CC}" srcOrd="0" destOrd="0" parTransId="{A7C8FA90-4EFB-435F-8B07-72BD05760EB3}" sibTransId="{4D6EDB7C-7812-4CF4-8491-5106C3506244}"/>
    <dgm:cxn modelId="{116EDCDE-D9E8-483C-9D1A-BBC0E9FC6E45}" type="presOf" srcId="{10B5B9CE-2C70-4CEE-92BD-72CB78F84EAA}" destId="{038F0FF7-641B-46DD-8C77-22F2B8D5559C}" srcOrd="0" destOrd="0" presId="urn:microsoft.com/office/officeart/2008/layout/HorizontalMultiLevelHierarchy"/>
    <dgm:cxn modelId="{C2AEE186-B5EE-4846-AECD-36BAE3BD8F3D}" type="presOf" srcId="{38CD5A38-8AEE-4F31-9328-BCEBD2B560F8}" destId="{0CBF6C18-B590-43E4-A6E2-C00A35BECEC3}" srcOrd="1" destOrd="0" presId="urn:microsoft.com/office/officeart/2008/layout/HorizontalMultiLevelHierarchy"/>
    <dgm:cxn modelId="{F93DFD92-571F-4FDE-909A-F4483030CD50}" type="presParOf" srcId="{A4D73BC3-D27E-4BCB-9107-368EBB393029}" destId="{3298E8B4-8E19-4EB4-93C3-F0C408283F77}" srcOrd="0" destOrd="0" presId="urn:microsoft.com/office/officeart/2008/layout/HorizontalMultiLevelHierarchy"/>
    <dgm:cxn modelId="{50E87025-D4F5-4620-B484-D43A2F1F4126}" type="presParOf" srcId="{3298E8B4-8E19-4EB4-93C3-F0C408283F77}" destId="{BC0A707E-3C5C-46A6-AB5E-B63C21A13097}" srcOrd="0" destOrd="0" presId="urn:microsoft.com/office/officeart/2008/layout/HorizontalMultiLevelHierarchy"/>
    <dgm:cxn modelId="{CA9EFFCF-6B38-4C91-825C-50904B71DA18}" type="presParOf" srcId="{3298E8B4-8E19-4EB4-93C3-F0C408283F77}" destId="{2FB26CD3-EA0B-4ECF-AC57-2A0943C34125}" srcOrd="1" destOrd="0" presId="urn:microsoft.com/office/officeart/2008/layout/HorizontalMultiLevelHierarchy"/>
    <dgm:cxn modelId="{CB6AA15E-EEBA-4660-99C1-6F6A86904031}" type="presParOf" srcId="{2FB26CD3-EA0B-4ECF-AC57-2A0943C34125}" destId="{4AC74A51-D063-4772-A719-E19A0B75719C}" srcOrd="0" destOrd="0" presId="urn:microsoft.com/office/officeart/2008/layout/HorizontalMultiLevelHierarchy"/>
    <dgm:cxn modelId="{E6040AB5-3A20-4CAB-933C-C0AD41986F3E}" type="presParOf" srcId="{4AC74A51-D063-4772-A719-E19A0B75719C}" destId="{029C9AF7-67D7-4C0A-A940-C7C690EFE055}" srcOrd="0" destOrd="0" presId="urn:microsoft.com/office/officeart/2008/layout/HorizontalMultiLevelHierarchy"/>
    <dgm:cxn modelId="{0A035C08-28D9-434C-A09B-2865C1F50199}" type="presParOf" srcId="{2FB26CD3-EA0B-4ECF-AC57-2A0943C34125}" destId="{0775FCE1-879D-4AFD-9C02-ECE9DD791FBE}" srcOrd="1" destOrd="0" presId="urn:microsoft.com/office/officeart/2008/layout/HorizontalMultiLevelHierarchy"/>
    <dgm:cxn modelId="{E11BFC1A-E229-46B4-A65F-C8980D586320}" type="presParOf" srcId="{0775FCE1-879D-4AFD-9C02-ECE9DD791FBE}" destId="{BD0B4AE4-AB1A-4CA9-8E88-BFF9718DB939}" srcOrd="0" destOrd="0" presId="urn:microsoft.com/office/officeart/2008/layout/HorizontalMultiLevelHierarchy"/>
    <dgm:cxn modelId="{C02AB686-BA76-4FA7-B0CF-38B91A1C396E}" type="presParOf" srcId="{0775FCE1-879D-4AFD-9C02-ECE9DD791FBE}" destId="{BFB15A07-CF6E-4FB9-ADA2-ECF7C4C77EAD}" srcOrd="1" destOrd="0" presId="urn:microsoft.com/office/officeart/2008/layout/HorizontalMultiLevelHierarchy"/>
    <dgm:cxn modelId="{1E3A2D32-CB1A-437B-94BA-25E353415554}" type="presParOf" srcId="{2FB26CD3-EA0B-4ECF-AC57-2A0943C34125}" destId="{5817507D-6926-4643-8555-1F172CBAE740}" srcOrd="2" destOrd="0" presId="urn:microsoft.com/office/officeart/2008/layout/HorizontalMultiLevelHierarchy"/>
    <dgm:cxn modelId="{A68E390C-6611-4980-999D-EBEE3672A86E}" type="presParOf" srcId="{5817507D-6926-4643-8555-1F172CBAE740}" destId="{7460DD31-677D-460D-8524-6C8C7883ABA5}" srcOrd="0" destOrd="0" presId="urn:microsoft.com/office/officeart/2008/layout/HorizontalMultiLevelHierarchy"/>
    <dgm:cxn modelId="{D3BA7A5F-0227-491A-9437-F5D7AF138116}" type="presParOf" srcId="{2FB26CD3-EA0B-4ECF-AC57-2A0943C34125}" destId="{154712A4-B0D4-49D8-9697-15AC68729387}" srcOrd="3" destOrd="0" presId="urn:microsoft.com/office/officeart/2008/layout/HorizontalMultiLevelHierarchy"/>
    <dgm:cxn modelId="{EF8496DD-9719-4EEE-9AAA-CE6D4C37847F}" type="presParOf" srcId="{154712A4-B0D4-49D8-9697-15AC68729387}" destId="{960F2FC8-09E8-4107-8ADE-D791BAA2A94B}" srcOrd="0" destOrd="0" presId="urn:microsoft.com/office/officeart/2008/layout/HorizontalMultiLevelHierarchy"/>
    <dgm:cxn modelId="{D6F545F6-8902-463F-80F5-B70AE68F54CB}" type="presParOf" srcId="{154712A4-B0D4-49D8-9697-15AC68729387}" destId="{7749FC91-64C9-4696-A84E-A26B24B156BB}" srcOrd="1" destOrd="0" presId="urn:microsoft.com/office/officeart/2008/layout/HorizontalMultiLevelHierarchy"/>
    <dgm:cxn modelId="{E5B4C157-5D5E-4BF6-9E85-2D368F41B5E2}" type="presParOf" srcId="{2FB26CD3-EA0B-4ECF-AC57-2A0943C34125}" destId="{7C7915D0-7DA3-416B-B4DE-7E28CF2001E2}" srcOrd="4" destOrd="0" presId="urn:microsoft.com/office/officeart/2008/layout/HorizontalMultiLevelHierarchy"/>
    <dgm:cxn modelId="{04764CAF-AE4F-4722-A5F1-3FF62B1FAC45}" type="presParOf" srcId="{7C7915D0-7DA3-416B-B4DE-7E28CF2001E2}" destId="{EB2F21A8-1961-4E43-B2C7-A20D756DD9DB}" srcOrd="0" destOrd="0" presId="urn:microsoft.com/office/officeart/2008/layout/HorizontalMultiLevelHierarchy"/>
    <dgm:cxn modelId="{D9434869-F53E-494A-9168-46FC5D1F685F}" type="presParOf" srcId="{2FB26CD3-EA0B-4ECF-AC57-2A0943C34125}" destId="{F95C7640-C29A-47FD-9E28-6F183F9945E8}" srcOrd="5" destOrd="0" presId="urn:microsoft.com/office/officeart/2008/layout/HorizontalMultiLevelHierarchy"/>
    <dgm:cxn modelId="{B565836C-36D4-42B4-8AF3-5E92365936DA}" type="presParOf" srcId="{F95C7640-C29A-47FD-9E28-6F183F9945E8}" destId="{FAAA2197-8164-4C67-9A0C-29C432236CF3}" srcOrd="0" destOrd="0" presId="urn:microsoft.com/office/officeart/2008/layout/HorizontalMultiLevelHierarchy"/>
    <dgm:cxn modelId="{98200C98-03D2-4B5D-9B00-BE9F8342172C}" type="presParOf" srcId="{F95C7640-C29A-47FD-9E28-6F183F9945E8}" destId="{BE9A8448-7976-4F6A-AC35-7EEFD0060D9C}" srcOrd="1" destOrd="0" presId="urn:microsoft.com/office/officeart/2008/layout/HorizontalMultiLevelHierarchy"/>
    <dgm:cxn modelId="{FF7E2080-AA4D-48EE-B710-2DAEAE6B08A6}" type="presParOf" srcId="{2FB26CD3-EA0B-4ECF-AC57-2A0943C34125}" destId="{A109A597-6591-45A5-8AB3-9180492E6BFD}" srcOrd="6" destOrd="0" presId="urn:microsoft.com/office/officeart/2008/layout/HorizontalMultiLevelHierarchy"/>
    <dgm:cxn modelId="{84234262-90B1-47B9-8A68-4F6E4DD8CCF1}" type="presParOf" srcId="{A109A597-6591-45A5-8AB3-9180492E6BFD}" destId="{43E1E84F-C5F1-465F-B018-FED8C0471C0C}" srcOrd="0" destOrd="0" presId="urn:microsoft.com/office/officeart/2008/layout/HorizontalMultiLevelHierarchy"/>
    <dgm:cxn modelId="{737756AC-7176-4902-B7FF-09478D06DAA9}" type="presParOf" srcId="{2FB26CD3-EA0B-4ECF-AC57-2A0943C34125}" destId="{CEF7337C-D96C-49CE-9E96-B7FAD6FE8BAA}" srcOrd="7" destOrd="0" presId="urn:microsoft.com/office/officeart/2008/layout/HorizontalMultiLevelHierarchy"/>
    <dgm:cxn modelId="{FCF51C3B-63EC-4D40-9601-51D5C88B44AA}" type="presParOf" srcId="{CEF7337C-D96C-49CE-9E96-B7FAD6FE8BAA}" destId="{BB3CDA1B-CC92-43BE-913C-896666937A3D}" srcOrd="0" destOrd="0" presId="urn:microsoft.com/office/officeart/2008/layout/HorizontalMultiLevelHierarchy"/>
    <dgm:cxn modelId="{FDFBFF98-27A0-4D27-B17B-89F948E6EE58}" type="presParOf" srcId="{CEF7337C-D96C-49CE-9E96-B7FAD6FE8BAA}" destId="{E077D1A0-3C8F-46D3-9805-54FC5CA06E03}" srcOrd="1" destOrd="0" presId="urn:microsoft.com/office/officeart/2008/layout/HorizontalMultiLevelHierarchy"/>
    <dgm:cxn modelId="{5DB188E6-637F-43F7-BC9F-BC7668CD5CF7}" type="presParOf" srcId="{2FB26CD3-EA0B-4ECF-AC57-2A0943C34125}" destId="{D22E7428-7AF7-407E-9E1B-07C21BB3448E}" srcOrd="8" destOrd="0" presId="urn:microsoft.com/office/officeart/2008/layout/HorizontalMultiLevelHierarchy"/>
    <dgm:cxn modelId="{10CDE774-66A6-4AC1-963A-229856C1EF6E}" type="presParOf" srcId="{D22E7428-7AF7-407E-9E1B-07C21BB3448E}" destId="{0CBF6C18-B590-43E4-A6E2-C00A35BECEC3}" srcOrd="0" destOrd="0" presId="urn:microsoft.com/office/officeart/2008/layout/HorizontalMultiLevelHierarchy"/>
    <dgm:cxn modelId="{D14A70E1-0D88-4084-B153-FBFAAC7FBBA4}" type="presParOf" srcId="{2FB26CD3-EA0B-4ECF-AC57-2A0943C34125}" destId="{6002D13F-7E16-4EB4-938B-480A5B6FE870}" srcOrd="9" destOrd="0" presId="urn:microsoft.com/office/officeart/2008/layout/HorizontalMultiLevelHierarchy"/>
    <dgm:cxn modelId="{F0671CB6-7DD9-41AC-A567-25A7825EFE94}" type="presParOf" srcId="{6002D13F-7E16-4EB4-938B-480A5B6FE870}" destId="{A38665AC-FF13-4B01-951D-38DA74DB0975}" srcOrd="0" destOrd="0" presId="urn:microsoft.com/office/officeart/2008/layout/HorizontalMultiLevelHierarchy"/>
    <dgm:cxn modelId="{F4D43890-B3D0-4C70-B42A-A3BC25407918}" type="presParOf" srcId="{6002D13F-7E16-4EB4-938B-480A5B6FE870}" destId="{0A1A5B9E-5707-4713-99F6-BC5DE9961046}" srcOrd="1" destOrd="0" presId="urn:microsoft.com/office/officeart/2008/layout/HorizontalMultiLevelHierarchy"/>
    <dgm:cxn modelId="{7041B668-0A30-4654-9D9B-C5349FDCBE4F}" type="presParOf" srcId="{2FB26CD3-EA0B-4ECF-AC57-2A0943C34125}" destId="{038F0FF7-641B-46DD-8C77-22F2B8D5559C}" srcOrd="10" destOrd="0" presId="urn:microsoft.com/office/officeart/2008/layout/HorizontalMultiLevelHierarchy"/>
    <dgm:cxn modelId="{1841229F-CE5D-4157-9577-0A2EF77B4654}" type="presParOf" srcId="{038F0FF7-641B-46DD-8C77-22F2B8D5559C}" destId="{3C5970A3-BE48-4CF9-BC85-2727565C365A}" srcOrd="0" destOrd="0" presId="urn:microsoft.com/office/officeart/2008/layout/HorizontalMultiLevelHierarchy"/>
    <dgm:cxn modelId="{D9C12726-E3B5-4583-A74E-4AA3A968AF1B}" type="presParOf" srcId="{2FB26CD3-EA0B-4ECF-AC57-2A0943C34125}" destId="{D6820991-0C8C-4329-8B5A-686C04DE4409}" srcOrd="11" destOrd="0" presId="urn:microsoft.com/office/officeart/2008/layout/HorizontalMultiLevelHierarchy"/>
    <dgm:cxn modelId="{4ABFD379-0C2E-435D-BDB2-231920C53ADE}" type="presParOf" srcId="{D6820991-0C8C-4329-8B5A-686C04DE4409}" destId="{D10CAED3-58FB-4DE6-91FB-901E71283EB1}" srcOrd="0" destOrd="0" presId="urn:microsoft.com/office/officeart/2008/layout/HorizontalMultiLevelHierarchy"/>
    <dgm:cxn modelId="{319C610F-819F-454C-961B-A3CA1CEE3D06}" type="presParOf" srcId="{D6820991-0C8C-4329-8B5A-686C04DE4409}" destId="{11F5F275-EDB0-4E52-8E5B-A2198DF219E0}" srcOrd="1" destOrd="0" presId="urn:microsoft.com/office/officeart/2008/layout/HorizontalMultiLevelHierarchy"/>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8F0FF7-641B-46DD-8C77-22F2B8D5559C}">
      <dsp:nvSpPr>
        <dsp:cNvPr id="0" name=""/>
        <dsp:cNvSpPr/>
      </dsp:nvSpPr>
      <dsp:spPr>
        <a:xfrm>
          <a:off x="2321842" y="1600200"/>
          <a:ext cx="398897" cy="1166885"/>
        </a:xfrm>
        <a:custGeom>
          <a:avLst/>
          <a:gdLst/>
          <a:ahLst/>
          <a:cxnLst/>
          <a:rect l="0" t="0" r="0" b="0"/>
          <a:pathLst>
            <a:path>
              <a:moveTo>
                <a:pt x="0" y="0"/>
              </a:moveTo>
              <a:lnTo>
                <a:pt x="199448" y="0"/>
              </a:lnTo>
              <a:lnTo>
                <a:pt x="199448" y="1166885"/>
              </a:lnTo>
              <a:lnTo>
                <a:pt x="398897" y="116688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IN" sz="500" kern="1200"/>
        </a:p>
      </dsp:txBody>
      <dsp:txXfrm>
        <a:off x="2490462" y="2152813"/>
        <a:ext cx="61659" cy="61659"/>
      </dsp:txXfrm>
    </dsp:sp>
    <dsp:sp modelId="{D22E7428-7AF7-407E-9E1B-07C21BB3448E}">
      <dsp:nvSpPr>
        <dsp:cNvPr id="0" name=""/>
        <dsp:cNvSpPr/>
      </dsp:nvSpPr>
      <dsp:spPr>
        <a:xfrm>
          <a:off x="2321842" y="1600200"/>
          <a:ext cx="398897" cy="711652"/>
        </a:xfrm>
        <a:custGeom>
          <a:avLst/>
          <a:gdLst/>
          <a:ahLst/>
          <a:cxnLst/>
          <a:rect l="0" t="0" r="0" b="0"/>
          <a:pathLst>
            <a:path>
              <a:moveTo>
                <a:pt x="0" y="0"/>
              </a:moveTo>
              <a:lnTo>
                <a:pt x="199448" y="0"/>
              </a:lnTo>
              <a:lnTo>
                <a:pt x="199448" y="711652"/>
              </a:lnTo>
              <a:lnTo>
                <a:pt x="398897" y="71165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IN" sz="500" kern="1200"/>
        </a:p>
      </dsp:txBody>
      <dsp:txXfrm>
        <a:off x="2500896" y="1935630"/>
        <a:ext cx="40791" cy="40791"/>
      </dsp:txXfrm>
    </dsp:sp>
    <dsp:sp modelId="{A109A597-6591-45A5-8AB3-9180492E6BFD}">
      <dsp:nvSpPr>
        <dsp:cNvPr id="0" name=""/>
        <dsp:cNvSpPr/>
      </dsp:nvSpPr>
      <dsp:spPr>
        <a:xfrm>
          <a:off x="2321842" y="1600200"/>
          <a:ext cx="398897" cy="264792"/>
        </a:xfrm>
        <a:custGeom>
          <a:avLst/>
          <a:gdLst/>
          <a:ahLst/>
          <a:cxnLst/>
          <a:rect l="0" t="0" r="0" b="0"/>
          <a:pathLst>
            <a:path>
              <a:moveTo>
                <a:pt x="0" y="0"/>
              </a:moveTo>
              <a:lnTo>
                <a:pt x="199448" y="0"/>
              </a:lnTo>
              <a:lnTo>
                <a:pt x="199448" y="264792"/>
              </a:lnTo>
              <a:lnTo>
                <a:pt x="398897" y="26479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IN" sz="500" kern="1200"/>
        </a:p>
      </dsp:txBody>
      <dsp:txXfrm>
        <a:off x="2509322" y="1720626"/>
        <a:ext cx="23939" cy="23939"/>
      </dsp:txXfrm>
    </dsp:sp>
    <dsp:sp modelId="{7C7915D0-7DA3-416B-B4DE-7E28CF2001E2}">
      <dsp:nvSpPr>
        <dsp:cNvPr id="0" name=""/>
        <dsp:cNvSpPr/>
      </dsp:nvSpPr>
      <dsp:spPr>
        <a:xfrm>
          <a:off x="2321842" y="1426861"/>
          <a:ext cx="398897" cy="173338"/>
        </a:xfrm>
        <a:custGeom>
          <a:avLst/>
          <a:gdLst/>
          <a:ahLst/>
          <a:cxnLst/>
          <a:rect l="0" t="0" r="0" b="0"/>
          <a:pathLst>
            <a:path>
              <a:moveTo>
                <a:pt x="0" y="173338"/>
              </a:moveTo>
              <a:lnTo>
                <a:pt x="199448" y="173338"/>
              </a:lnTo>
              <a:lnTo>
                <a:pt x="199448" y="0"/>
              </a:lnTo>
              <a:lnTo>
                <a:pt x="39889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IN" sz="500" kern="1200"/>
        </a:p>
      </dsp:txBody>
      <dsp:txXfrm>
        <a:off x="2510418" y="1502657"/>
        <a:ext cx="21746" cy="21746"/>
      </dsp:txXfrm>
    </dsp:sp>
    <dsp:sp modelId="{5817507D-6926-4643-8555-1F172CBAE740}">
      <dsp:nvSpPr>
        <dsp:cNvPr id="0" name=""/>
        <dsp:cNvSpPr/>
      </dsp:nvSpPr>
      <dsp:spPr>
        <a:xfrm>
          <a:off x="2321842" y="956171"/>
          <a:ext cx="398897" cy="644028"/>
        </a:xfrm>
        <a:custGeom>
          <a:avLst/>
          <a:gdLst/>
          <a:ahLst/>
          <a:cxnLst/>
          <a:rect l="0" t="0" r="0" b="0"/>
          <a:pathLst>
            <a:path>
              <a:moveTo>
                <a:pt x="0" y="644028"/>
              </a:moveTo>
              <a:lnTo>
                <a:pt x="199448" y="644028"/>
              </a:lnTo>
              <a:lnTo>
                <a:pt x="199448" y="0"/>
              </a:lnTo>
              <a:lnTo>
                <a:pt x="39889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IN" sz="500" kern="1200"/>
        </a:p>
      </dsp:txBody>
      <dsp:txXfrm>
        <a:off x="2502352" y="1259246"/>
        <a:ext cx="37877" cy="37877"/>
      </dsp:txXfrm>
    </dsp:sp>
    <dsp:sp modelId="{4AC74A51-D063-4772-A719-E19A0B75719C}">
      <dsp:nvSpPr>
        <dsp:cNvPr id="0" name=""/>
        <dsp:cNvSpPr/>
      </dsp:nvSpPr>
      <dsp:spPr>
        <a:xfrm>
          <a:off x="2321842" y="454283"/>
          <a:ext cx="378454" cy="1145916"/>
        </a:xfrm>
        <a:custGeom>
          <a:avLst/>
          <a:gdLst/>
          <a:ahLst/>
          <a:cxnLst/>
          <a:rect l="0" t="0" r="0" b="0"/>
          <a:pathLst>
            <a:path>
              <a:moveTo>
                <a:pt x="0" y="1145916"/>
              </a:moveTo>
              <a:lnTo>
                <a:pt x="189227" y="1145916"/>
              </a:lnTo>
              <a:lnTo>
                <a:pt x="189227" y="0"/>
              </a:lnTo>
              <a:lnTo>
                <a:pt x="378454"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IN" sz="500" kern="1200"/>
        </a:p>
      </dsp:txBody>
      <dsp:txXfrm>
        <a:off x="2480900" y="997072"/>
        <a:ext cx="60339" cy="60339"/>
      </dsp:txXfrm>
    </dsp:sp>
    <dsp:sp modelId="{BC0A707E-3C5C-46A6-AB5E-B63C21A13097}">
      <dsp:nvSpPr>
        <dsp:cNvPr id="0" name=""/>
        <dsp:cNvSpPr/>
      </dsp:nvSpPr>
      <dsp:spPr>
        <a:xfrm>
          <a:off x="1344711" y="1156447"/>
          <a:ext cx="1066757" cy="8875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IN" sz="1100" kern="1200"/>
            <a:t>Return on Assets</a:t>
          </a:r>
        </a:p>
        <a:p>
          <a:pPr lvl="0" algn="ctr" defTabSz="488950">
            <a:lnSpc>
              <a:spcPct val="90000"/>
            </a:lnSpc>
            <a:spcBef>
              <a:spcPct val="0"/>
            </a:spcBef>
            <a:spcAft>
              <a:spcPct val="35000"/>
            </a:spcAft>
          </a:pPr>
          <a:r>
            <a:rPr lang="en-IN" sz="1100" kern="1200"/>
            <a:t>Return on Equity</a:t>
          </a:r>
        </a:p>
      </dsp:txBody>
      <dsp:txXfrm>
        <a:off x="1344711" y="1156447"/>
        <a:ext cx="1066757" cy="887505"/>
      </dsp:txXfrm>
    </dsp:sp>
    <dsp:sp modelId="{BD0B4AE4-AB1A-4CA9-8E88-BFF9718DB939}">
      <dsp:nvSpPr>
        <dsp:cNvPr id="0" name=""/>
        <dsp:cNvSpPr/>
      </dsp:nvSpPr>
      <dsp:spPr>
        <a:xfrm>
          <a:off x="2700297" y="280957"/>
          <a:ext cx="1292588" cy="34665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IN" sz="1000" kern="1200"/>
            <a:t>Asset size</a:t>
          </a:r>
        </a:p>
      </dsp:txBody>
      <dsp:txXfrm>
        <a:off x="2700297" y="280957"/>
        <a:ext cx="1292588" cy="346651"/>
      </dsp:txXfrm>
    </dsp:sp>
    <dsp:sp modelId="{960F2FC8-09E8-4107-8ADE-D791BAA2A94B}">
      <dsp:nvSpPr>
        <dsp:cNvPr id="0" name=""/>
        <dsp:cNvSpPr/>
      </dsp:nvSpPr>
      <dsp:spPr>
        <a:xfrm>
          <a:off x="2720740" y="780127"/>
          <a:ext cx="1331321" cy="35208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IN" sz="1000" kern="1200"/>
            <a:t>Total Interest Income</a:t>
          </a:r>
        </a:p>
      </dsp:txBody>
      <dsp:txXfrm>
        <a:off x="2720740" y="780127"/>
        <a:ext cx="1331321" cy="352088"/>
      </dsp:txXfrm>
    </dsp:sp>
    <dsp:sp modelId="{FAAA2197-8164-4C67-9A0C-29C432236CF3}">
      <dsp:nvSpPr>
        <dsp:cNvPr id="0" name=""/>
        <dsp:cNvSpPr/>
      </dsp:nvSpPr>
      <dsp:spPr>
        <a:xfrm>
          <a:off x="2720740" y="1284234"/>
          <a:ext cx="1285907" cy="2852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IN" sz="1000" kern="1200"/>
            <a:t>Non-performing loans</a:t>
          </a:r>
        </a:p>
      </dsp:txBody>
      <dsp:txXfrm>
        <a:off x="2720740" y="1284234"/>
        <a:ext cx="1285907" cy="285254"/>
      </dsp:txXfrm>
    </dsp:sp>
    <dsp:sp modelId="{BB3CDA1B-CC92-43BE-913C-896666937A3D}">
      <dsp:nvSpPr>
        <dsp:cNvPr id="0" name=""/>
        <dsp:cNvSpPr/>
      </dsp:nvSpPr>
      <dsp:spPr>
        <a:xfrm>
          <a:off x="2720740" y="1721508"/>
          <a:ext cx="1277510" cy="28696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IN" sz="1000" kern="1200"/>
            <a:t>Equity Capital</a:t>
          </a:r>
        </a:p>
      </dsp:txBody>
      <dsp:txXfrm>
        <a:off x="2720740" y="1721508"/>
        <a:ext cx="1277510" cy="286969"/>
      </dsp:txXfrm>
    </dsp:sp>
    <dsp:sp modelId="{A38665AC-FF13-4B01-951D-38DA74DB0975}">
      <dsp:nvSpPr>
        <dsp:cNvPr id="0" name=""/>
        <dsp:cNvSpPr/>
      </dsp:nvSpPr>
      <dsp:spPr>
        <a:xfrm>
          <a:off x="2720740" y="2160496"/>
          <a:ext cx="1277510" cy="3027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IN" sz="1000" kern="1200"/>
            <a:t>Operating expenditure</a:t>
          </a:r>
        </a:p>
      </dsp:txBody>
      <dsp:txXfrm>
        <a:off x="2720740" y="2160496"/>
        <a:ext cx="1277510" cy="302712"/>
      </dsp:txXfrm>
    </dsp:sp>
    <dsp:sp modelId="{D10CAED3-58FB-4DE6-91FB-901E71283EB1}">
      <dsp:nvSpPr>
        <dsp:cNvPr id="0" name=""/>
        <dsp:cNvSpPr/>
      </dsp:nvSpPr>
      <dsp:spPr>
        <a:xfrm>
          <a:off x="2720740" y="2615227"/>
          <a:ext cx="1331301" cy="30371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IN" sz="1000" kern="1200"/>
            <a:t>Total deposits</a:t>
          </a:r>
        </a:p>
      </dsp:txBody>
      <dsp:txXfrm>
        <a:off x="2720740" y="2615227"/>
        <a:ext cx="1331301" cy="303715"/>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Chr</b:Tag>
    <b:SourceType>JournalArticle</b:SourceType>
    <b:Guid>{B6E2A0D7-F5A5-426F-813B-A6106CE26D4B}</b:Guid>
    <b:Author>
      <b:Author>
        <b:NameList>
          <b:Person>
            <b:Last>Staikouras</b:Last>
            <b:First>Christos</b:First>
            <b:Middle>K.</b:Middle>
          </b:Person>
        </b:NameList>
      </b:Author>
    </b:Author>
    <b:Title>The Determinants</b:Title>
    <b:JournalName>International Business &amp; Economics Research Journal</b:JournalName>
    <b:Pages>Mumber 6, Volume 3</b:Pages>
    <b:RefOrder>1</b:RefOrder>
  </b:Source>
  <b:Source>
    <b:Tag>Fra71</b:Tag>
    <b:SourceType>JournalArticle</b:SourceType>
    <b:Guid>{0A418A3D-6A89-45A9-80E9-68D8D43B903B}</b:Guid>
    <b:Author>
      <b:Author>
        <b:NameList>
          <b:Person>
            <b:Last>Fraser</b:Last>
            <b:First>D.</b:First>
            <b:Middle>and Rose, P.</b:Middle>
          </b:Person>
        </b:NameList>
      </b:Author>
    </b:Author>
    <b:Title>More on banking structure and performance: the evidence from Texas.</b:Title>
    <b:JournalName>Journal of Financial and Quantitative Analysis </b:JournalName>
    <b:Year>1971</b:Year>
    <b:Pages>VI (1): 601-614.</b:Pages>
    <b:RefOrder>2</b:RefOrder>
  </b:Source>
  <b:Source>
    <b:Tag>Has68</b:Tag>
    <b:SourceType>JournalArticle</b:SourceType>
    <b:Guid>{7F0B0F6A-EF34-4214-96F1-93475F913E73}</b:Guid>
    <b:Author>
      <b:Author>
        <b:NameList>
          <b:Person>
            <b:Last>Haslem</b:Last>
            <b:First>J</b:First>
          </b:Person>
        </b:NameList>
      </b:Author>
    </b:Author>
    <b:Title>A statistical analysis of the relative profitability of commercial banks</b:Title>
    <b:JournalName>Journal of Finance</b:JournalName>
    <b:Year>1968</b:Year>
    <b:Pages> 23: 167-176</b:Pages>
    <b:RefOrder>3</b:RefOrder>
  </b:Source>
  <b:Source>
    <b:Tag>Hog98</b:Tag>
    <b:SourceType>JournalArticle</b:SourceType>
    <b:Guid>{C1B39D62-D4F8-4910-A3A4-7BA39B4542B5}</b:Guid>
    <b:Author>
      <b:Author>
        <b:NameList>
          <b:Person>
            <b:Last>Hoggarth</b:Last>
            <b:First>G.,</b:First>
            <b:Middle>Milne, A. and Wood, G.</b:Middle>
          </b:Person>
        </b:NameList>
      </b:Author>
    </b:Author>
    <b:Title>Financial innovation and financial stability: some</b:Title>
    <b:JournalName>Financial Stability Review, Bank of England.</b:JournalName>
    <b:Year>1998</b:Year>
    <b:RefOrder>4</b:RefOrder>
  </b:Source>
  <b:Source>
    <b:Tag>Kau65</b:Tag>
    <b:SourceType>JournalArticle</b:SourceType>
    <b:Guid>{C801BC3A-DABE-42E9-B594-44FB9C78E990}</b:Guid>
    <b:Author>
      <b:Author>
        <b:NameList>
          <b:Person>
            <b:Last>Kaufman</b:Last>
            <b:First>G.</b:First>
          </b:Person>
        </b:NameList>
      </b:Author>
    </b:Author>
    <b:Title>Bank market structure and performance: the evidence from Iowa. </b:Title>
    <b:JournalName>Southern Economic Journal</b:JournalName>
    <b:Year>1965</b:Year>
    <b:Pages>32: 429-439.</b:Pages>
    <b:RefOrder>5</b:RefOrder>
  </b:Source>
  <b:Source>
    <b:Tag>Wal85</b:Tag>
    <b:SourceType>JournalArticle</b:SourceType>
    <b:Guid>{109DF032-E0B7-4AE9-AAE1-7D3B353D493E}</b:Guid>
    <b:Author>
      <b:Author>
        <b:NameList>
          <b:Person>
            <b:Last>Wall</b:Last>
            <b:First>L.D.</b:First>
          </b:Person>
        </b:NameList>
      </b:Author>
    </b:Author>
    <b:Title>Why are some banks more profitable than others?</b:Title>
    <b:JournalName>Journal of Bank Research</b:JournalName>
    <b:Year>1985</b:Year>
    <b:Pages>15 (4): 240-256</b:Pages>
    <b:RefOrder>6</b:RefOrder>
  </b:Source>
  <b:Source>
    <b:Tag>Tha20</b:Tag>
    <b:SourceType>InternetSite</b:SourceType>
    <b:Guid>{F57E9B88-A34B-4967-90C8-2A905F11811E}</b:Guid>
    <b:Title>The determinants of bank profitability: A cross-country analysis</b:Title>
    <b:Year>2020</b:Year>
    <b:Author>
      <b:Author>
        <b:NameList>
          <b:Person>
            <b:Last>Thanh Ngo</b:Last>
            <b:First>Tu</b:First>
            <b:Middle>DQ. Le</b:Middle>
          </b:Person>
        </b:NameList>
      </b:Author>
    </b:Author>
    <b:InternetSiteTitle>sciencedirect</b:InternetSiteTitle>
    <b:Month>04</b:Month>
    <b:Day>01</b:Day>
    <b:URL>https://www.sciencedirect.com/science/article/pii/S1303070120300172</b:URL>
    <b:RefOrder>7</b:RefOrder>
  </b:Source>
  <b:Source>
    <b:Tag>Naw21</b:Tag>
    <b:SourceType>JournalArticle</b:SourceType>
    <b:Guid>{ED8CC708-17F6-4F38-BEA8-41E13A1F2061}</b:Guid>
    <b:Title>The determinants of bank profitability and risk: A random forest approach</b:Title>
    <b:Year>18 December, 2021</b:Year>
    <b:Author>
      <b:Author>
        <b:NameList>
          <b:Person>
            <b:Last>Almaskati</b:Last>
            <b:First>Nawaf</b:First>
          </b:Person>
        </b:NameList>
      </b:Author>
    </b:Author>
    <b:JournalName>Cogent economics and finance</b:JournalName>
    <b:RefOrder>8</b:RefOrder>
  </b:Source>
  <b:Source>
    <b:Tag>Nat</b:Tag>
    <b:SourceType>InternetSite</b:SourceType>
    <b:Guid>{BD3B9943-26D1-4C72-B195-633134591939}</b:Guid>
    <b:Title>NatWest Group Market Cap 2010-2022</b:Title>
    <b:InternetSiteTitle>Macrotrends</b:InternetSiteTitle>
    <b:URL>https://www.macrotrends.net/stocks/charts/NWG/natwest-group/market-cap</b:URL>
    <b:RefOrder>9</b:RefOrder>
  </b:Source>
  <b:Source>
    <b:Tag>Muh19</b:Tag>
    <b:SourceType>InternetSite</b:SourceType>
    <b:Guid>{33D386EB-DF46-43DB-A2E3-1FC355D1B7BA}</b:Guid>
    <b:Title>Factors Affecting the Profitability of Banks in Developing Countries</b:Title>
    <b:InternetSiteTitle>ResearchGate</b:InternetSiteTitle>
    <b:Year>2019</b:Year>
    <b:Month>December</b:Month>
    <b:URL>https://www.researchgate.net/publication/339133994_Factors_Affecting_the_Profitability_of_Banks_in_Developing_Countries</b:URL>
    <b:Author>
      <b:Author>
        <b:NameList>
          <b:Person>
            <b:Last>Kashif</b:Last>
            <b:First>Muhammad</b:First>
          </b:Person>
        </b:NameList>
      </b:Author>
    </b:Author>
    <b:RefOrder>10</b:RefOrder>
  </b:Source>
  <b:Source>
    <b:Tag>Pet15</b:Tag>
    <b:SourceType>JournalArticle</b:SourceType>
    <b:Guid>{7B4E51B0-A87A-4EA1-8ABF-5CA1E1F5E8B2}</b:Guid>
    <b:Title> Determinants  of  banks’  profitability:  evidence from EU 27 banking system</b:Title>
    <b:Year>2015</b:Year>
    <b:Author>
      <b:Author>
        <b:NameList>
          <b:Person>
            <b:Last>Petriaa</b:Last>
            <b:First>N.,</b:First>
            <b:Middle>Caprarub, B., &amp; Ihnatovc, I.</b:Middle>
          </b:Person>
        </b:NameList>
      </b:Author>
    </b:Author>
    <b:JournalName>Procedia Economics and Finance</b:JournalName>
    <b:Pages>20(1),518-524. </b:Pages>
    <b:RefOrder>11</b:RefOrder>
  </b:Source>
  <b:Source>
    <b:Tag>Wan15</b:Tag>
    <b:SourceType>InternetSite</b:SourceType>
    <b:Guid>{954D0BC8-3D03-45FA-ACF6-5C169C0028E8}</b:Guid>
    <b:Title>WHAT DETERMINES THE PROFITABILITY OF BANKS? EVIDENCE FROM THE US</b:Title>
    <b:Year>2015</b:Year>
    <b:Author>
      <b:Author>
        <b:NameList>
          <b:Person>
            <b:Last>Wang</b:Last>
            <b:First>Ruochen</b:First>
          </b:Person>
        </b:NameList>
      </b:Author>
    </b:Author>
    <b:InternetSiteTitle>Summit Research Repository</b:InternetSiteTitle>
    <b:URL>https://summit.sfu.ca/item/15820</b:URL>
    <b:RefOrder>12</b:RefOrder>
  </b:Source>
  <b:Source>
    <b:Tag>God04</b:Tag>
    <b:SourceType>JournalArticle</b:SourceType>
    <b:Guid>{B8A60A83-3DB5-49ED-BB03-A4E431EB8BAD}</b:Guid>
    <b:Title>The profitability of European banks: A cross-</b:Title>
    <b:Year>2004</b:Year>
    <b:Author>
      <b:Author>
        <b:NameList>
          <b:Person>
            <b:Last>Goddard J.</b:Last>
            <b:First>P.</b:First>
            <b:Middle>Molyneux and J. Wilson</b:Middle>
          </b:Person>
        </b:NameList>
      </b:Author>
    </b:Author>
    <b:JournalName>The Manchester School</b:JournalName>
    <b:Pages>72, 363-81</b:Pages>
    <b:RefOrder>13</b:RefOrder>
  </b:Source>
  <b:Source>
    <b:Tag>Sah18</b:Tag>
    <b:SourceType>JournalArticle</b:SourceType>
    <b:Guid>{F875827D-3A39-48A6-BFD4-B9B60AF0AAF3}</b:Guid>
    <b:Author>
      <b:Author>
        <b:NameList>
          <b:Person>
            <b:Last>Sahyouni</b:Last>
            <b:First>A.,</b:First>
            <b:Middle>&amp; Wang, M.</b:Middle>
          </b:Person>
        </b:NameList>
      </b:Author>
    </b:Author>
    <b:Title> The determinants of Bank Profitability: Does liquidity creation matter? </b:Title>
    <b:JournalName>Journal of Economics and Financial Analysis</b:JournalName>
    <b:Year>2018</b:Year>
    <b:Pages> 2(2), 61-85.</b:Pages>
    <b:RefOrder>14</b:RefOrder>
  </b:Source>
  <b:Source>
    <b:Tag>Ras10</b:Tag>
    <b:SourceType>JournalArticle</b:SourceType>
    <b:Guid>{F56F1A44-3F4C-4E08-BBF6-ABA4CA297721}</b:Guid>
    <b:Author>
      <b:Author>
        <b:NameList>
          <b:Person>
            <b:Last>D</b:Last>
            <b:First>Rasiah</b:First>
          </b:Person>
        </b:NameList>
      </b:Author>
    </b:Author>
    <b:Title>Review of Literature and Theories on Determinants of Commercial Bank</b:Title>
    <b:JournalName>Journal of Performance Management</b:JournalName>
    <b:Year>2010</b:Year>
    <b:Pages>23, 23-49</b:Pages>
    <b:RefOrder>15</b:RefOrder>
  </b:Source>
  <b:Source>
    <b:Tag>Reg</b:Tag>
    <b:SourceType>InternetSite</b:SourceType>
    <b:Guid>{7E2E7A23-5535-4901-8142-F1DBE8812F92}</b:Guid>
    <b:Title>Regression model using Panel data</b:Title>
    <b:InternetSiteTitle>Algoritma</b:InternetSiteTitle>
    <b:URL>https://algoritmaonline.com/regression-with-panel-data/</b:URL>
    <b:RefOrder>16</b:RefOrder>
  </b:Source>
  <b:Source>
    <b:Tag>Sho79</b:Tag>
    <b:SourceType>JournalArticle</b:SourceType>
    <b:Guid>{25871C0E-A6A5-41BE-9E68-7DAA205A4778}</b:Guid>
    <b:Title>The relation between commercial bank profit rates and banking concentration in</b:Title>
    <b:Year>1979</b:Year>
    <b:Author>
      <b:Author>
        <b:NameList>
          <b:Person>
            <b:Last>Short</b:Last>
            <b:First>B.</b:First>
          </b:Person>
        </b:NameList>
      </b:Author>
    </b:Author>
    <b:JournalName>Journal of Banking and Finance</b:JournalName>
    <b:Pages>3: 209-219.</b:Pages>
    <b:RefOrder>17</b:RefOrder>
  </b:Source>
  <b:Source>
    <b:Tag>Mol93</b:Tag>
    <b:SourceType>JournalArticle</b:SourceType>
    <b:Guid>{34F313C4-27EC-48C1-914D-9691B768F24A}</b:Guid>
    <b:Author>
      <b:Author>
        <b:NameList>
          <b:Person>
            <b:Last>Molyneux</b:Last>
            <b:First>P.</b:First>
          </b:Person>
        </b:NameList>
      </b:Author>
    </b:Author>
    <b:Title>Market structure and profitability in European banking.</b:Title>
    <b:JournalName>Institute of European Finance, University College of North Wales</b:JournalName>
    <b:Year>1993</b:Year>
    <b:Pages>Research Paper 9</b:Pages>
    <b:RefOrder>18</b:RefOrder>
  </b:Source>
  <b:Source>
    <b:Tag>Gol96</b:Tag>
    <b:SourceType>JournalArticle</b:SourceType>
    <b:Guid>{5467215C-C96C-4BDA-8E61-4EE36F84098D}</b:Guid>
    <b:Author>
      <b:Author>
        <b:NameList>
          <b:Person>
            <b:Last>Golbert</b:Last>
            <b:First>L.</b:First>
            <b:Middle>and Rai, A</b:Middle>
          </b:Person>
        </b:NameList>
      </b:Author>
    </b:Author>
    <b:Title>The structure-performance relationship for European banking. </b:Title>
    <b:JournalName>Journal of banking and finance</b:JournalName>
    <b:Year>1996</b:Year>
    <b:Pages>20: 745-771.</b:Pages>
    <b:RefOrder>19</b:RefOrder>
  </b:Source>
</b:Sources>
</file>

<file path=customXml/itemProps1.xml><?xml version="1.0" encoding="utf-8"?>
<ds:datastoreItem xmlns:ds="http://schemas.openxmlformats.org/officeDocument/2006/customXml" ds:itemID="{9D82A095-647F-4462-AF79-F2F056E28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1541</TotalTime>
  <Pages>38</Pages>
  <Words>13945</Words>
  <Characters>79491</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37</cp:revision>
  <dcterms:created xsi:type="dcterms:W3CDTF">2023-02-20T23:35:00Z</dcterms:created>
  <dcterms:modified xsi:type="dcterms:W3CDTF">2023-02-28T23:11:00Z</dcterms:modified>
</cp:coreProperties>
</file>