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71702" w14:textId="77777777" w:rsidR="005275EC" w:rsidRDefault="0068258F">
      <w:pPr>
        <w:rPr>
          <w:b/>
          <w:bCs/>
          <w:color w:val="FF0000"/>
        </w:rPr>
      </w:pPr>
      <w:r>
        <w:rPr>
          <w:noProof/>
        </w:rPr>
        <w:drawing>
          <wp:inline distT="0" distB="0" distL="0" distR="0" wp14:anchorId="210ECE93" wp14:editId="501793F3">
            <wp:extent cx="1809750" cy="723900"/>
            <wp:effectExtent l="0" t="0" r="0" b="0"/>
            <wp:docPr id="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71"/>
                    <pic:cNvPicPr>
                      <a:picLocks noChangeAspect="1" noChangeArrowheads="1"/>
                    </pic:cNvPicPr>
                  </pic:nvPicPr>
                  <pic:blipFill>
                    <a:blip r:embed="rId6"/>
                    <a:stretch>
                      <a:fillRect/>
                    </a:stretch>
                  </pic:blipFill>
                  <pic:spPr bwMode="auto">
                    <a:xfrm>
                      <a:off x="0" y="0"/>
                      <a:ext cx="1809750" cy="723900"/>
                    </a:xfrm>
                    <a:prstGeom prst="rect">
                      <a:avLst/>
                    </a:prstGeom>
                  </pic:spPr>
                </pic:pic>
              </a:graphicData>
            </a:graphic>
          </wp:inline>
        </w:drawing>
      </w:r>
    </w:p>
    <w:p w14:paraId="782AA11B" w14:textId="77777777" w:rsidR="005275EC" w:rsidRDefault="005275EC"/>
    <w:p w14:paraId="167392E8" w14:textId="77777777" w:rsidR="005275EC" w:rsidRDefault="005275EC"/>
    <w:p w14:paraId="6AD778C3" w14:textId="77777777" w:rsidR="005275EC" w:rsidRDefault="005275EC">
      <w:pPr>
        <w:spacing w:line="259" w:lineRule="auto"/>
      </w:pPr>
    </w:p>
    <w:p w14:paraId="6740D0AA" w14:textId="77777777" w:rsidR="005275EC" w:rsidRDefault="005275EC">
      <w:pPr>
        <w:spacing w:line="259" w:lineRule="auto"/>
      </w:pPr>
    </w:p>
    <w:p w14:paraId="3C920551" w14:textId="77777777" w:rsidR="005275EC" w:rsidRDefault="005275EC">
      <w:pPr>
        <w:spacing w:line="259" w:lineRule="auto"/>
      </w:pPr>
    </w:p>
    <w:p w14:paraId="48E2BC0F" w14:textId="77777777" w:rsidR="005275EC" w:rsidRDefault="005275EC">
      <w:pPr>
        <w:spacing w:line="259" w:lineRule="auto"/>
      </w:pPr>
    </w:p>
    <w:p w14:paraId="3D5557CD" w14:textId="77777777" w:rsidR="005275EC" w:rsidRDefault="005275EC">
      <w:pPr>
        <w:spacing w:line="259" w:lineRule="auto"/>
      </w:pPr>
    </w:p>
    <w:p w14:paraId="0E1630D6" w14:textId="77777777" w:rsidR="005275EC" w:rsidRDefault="005275EC">
      <w:pPr>
        <w:spacing w:line="259" w:lineRule="auto"/>
      </w:pPr>
    </w:p>
    <w:p w14:paraId="045C41A9" w14:textId="77777777" w:rsidR="005275EC" w:rsidRDefault="005275EC">
      <w:pPr>
        <w:spacing w:line="259" w:lineRule="auto"/>
        <w:rPr>
          <w:sz w:val="32"/>
          <w:szCs w:val="32"/>
        </w:rPr>
      </w:pPr>
    </w:p>
    <w:p w14:paraId="624FA18C" w14:textId="77777777" w:rsidR="005275EC" w:rsidRDefault="0068258F">
      <w:pPr>
        <w:ind w:left="10" w:right="95" w:hanging="10"/>
        <w:jc w:val="center"/>
        <w:rPr>
          <w:b/>
          <w:bCs/>
          <w:sz w:val="44"/>
          <w:szCs w:val="44"/>
        </w:rPr>
      </w:pPr>
      <w:r>
        <w:rPr>
          <w:b/>
          <w:bCs/>
          <w:sz w:val="44"/>
          <w:szCs w:val="44"/>
        </w:rPr>
        <w:t>Data Mining Report</w:t>
      </w:r>
    </w:p>
    <w:p w14:paraId="23F557B2" w14:textId="77777777" w:rsidR="005275EC" w:rsidRDefault="005275EC">
      <w:pPr>
        <w:spacing w:line="259" w:lineRule="auto"/>
      </w:pPr>
    </w:p>
    <w:p w14:paraId="1632075B" w14:textId="77777777" w:rsidR="005275EC" w:rsidRDefault="005275EC">
      <w:pPr>
        <w:spacing w:line="259" w:lineRule="auto"/>
        <w:jc w:val="center"/>
      </w:pPr>
    </w:p>
    <w:p w14:paraId="1850F0AC" w14:textId="77777777" w:rsidR="005275EC" w:rsidRDefault="005275EC">
      <w:pPr>
        <w:spacing w:line="259" w:lineRule="auto"/>
        <w:jc w:val="center"/>
      </w:pPr>
    </w:p>
    <w:p w14:paraId="742DBC51" w14:textId="77777777" w:rsidR="005275EC" w:rsidRDefault="0068258F">
      <w:pPr>
        <w:spacing w:line="259" w:lineRule="auto"/>
        <w:jc w:val="center"/>
      </w:pPr>
      <w:proofErr w:type="spellStart"/>
      <w:r>
        <w:t>Programme</w:t>
      </w:r>
      <w:proofErr w:type="spellEnd"/>
      <w:r>
        <w:t>: BSc Applied Computing</w:t>
      </w:r>
    </w:p>
    <w:p w14:paraId="199E545B" w14:textId="77777777" w:rsidR="005275EC" w:rsidRDefault="005275EC">
      <w:pPr>
        <w:spacing w:line="259" w:lineRule="auto"/>
        <w:jc w:val="center"/>
        <w:rPr>
          <w:rFonts w:ascii="Arial" w:hAnsi="Arial" w:cs="Arial"/>
          <w:b/>
          <w:sz w:val="22"/>
          <w:szCs w:val="22"/>
        </w:rPr>
      </w:pPr>
    </w:p>
    <w:p w14:paraId="6A16F44F" w14:textId="77777777" w:rsidR="005275EC" w:rsidRDefault="0068258F">
      <w:pPr>
        <w:spacing w:line="360" w:lineRule="auto"/>
        <w:jc w:val="center"/>
      </w:pPr>
      <w:r>
        <w:t>Module: Data Warehousing &amp; Data Mining</w:t>
      </w:r>
    </w:p>
    <w:p w14:paraId="0DA75EF5" w14:textId="77777777" w:rsidR="005275EC" w:rsidRDefault="0068258F">
      <w:pPr>
        <w:spacing w:line="360" w:lineRule="auto"/>
        <w:jc w:val="center"/>
      </w:pPr>
      <w:r>
        <w:t>Module code: ACCA6026</w:t>
      </w:r>
    </w:p>
    <w:p w14:paraId="68F291D4" w14:textId="77777777" w:rsidR="005275EC" w:rsidRDefault="0068258F">
      <w:pPr>
        <w:spacing w:line="360" w:lineRule="auto"/>
        <w:jc w:val="center"/>
      </w:pPr>
      <w:r>
        <w:t xml:space="preserve">Student Name: John Gabriel </w:t>
      </w:r>
      <w:proofErr w:type="spellStart"/>
      <w:r>
        <w:t>Kak</w:t>
      </w:r>
      <w:proofErr w:type="spellEnd"/>
      <w:r>
        <w:t xml:space="preserve"> </w:t>
      </w:r>
      <w:proofErr w:type="spellStart"/>
      <w:r>
        <w:t>Yomon</w:t>
      </w:r>
      <w:proofErr w:type="spellEnd"/>
      <w:r>
        <w:t xml:space="preserve"> </w:t>
      </w:r>
      <w:proofErr w:type="spellStart"/>
      <w:r>
        <w:t>Meki</w:t>
      </w:r>
      <w:proofErr w:type="spellEnd"/>
    </w:p>
    <w:p w14:paraId="3CD14E07" w14:textId="77777777" w:rsidR="005275EC" w:rsidRDefault="0068258F">
      <w:pPr>
        <w:spacing w:line="360" w:lineRule="auto"/>
        <w:jc w:val="center"/>
      </w:pPr>
      <w:r>
        <w:t>Student ID: 2321436</w:t>
      </w:r>
    </w:p>
    <w:p w14:paraId="44AB3E7B" w14:textId="77777777" w:rsidR="005275EC" w:rsidRDefault="0068258F">
      <w:pPr>
        <w:jc w:val="center"/>
      </w:pPr>
      <w:r>
        <w:t xml:space="preserve">Lecturer: Md </w:t>
      </w:r>
      <w:proofErr w:type="spellStart"/>
      <w:r>
        <w:t>Abrar</w:t>
      </w:r>
      <w:proofErr w:type="spellEnd"/>
      <w:r>
        <w:t xml:space="preserve"> </w:t>
      </w:r>
      <w:proofErr w:type="spellStart"/>
      <w:r>
        <w:t>Jahin</w:t>
      </w:r>
      <w:proofErr w:type="spellEnd"/>
      <w:r>
        <w:t xml:space="preserve"> </w:t>
      </w:r>
      <w:proofErr w:type="spellStart"/>
      <w:r>
        <w:t>Almazi</w:t>
      </w:r>
      <w:proofErr w:type="spellEnd"/>
      <w:r>
        <w:t xml:space="preserve"> </w:t>
      </w:r>
      <w:proofErr w:type="spellStart"/>
      <w:r>
        <w:t>Bipon</w:t>
      </w:r>
      <w:proofErr w:type="spellEnd"/>
    </w:p>
    <w:p w14:paraId="7888C9A6" w14:textId="77777777" w:rsidR="005275EC" w:rsidRDefault="005275EC">
      <w:pPr>
        <w:spacing w:line="259" w:lineRule="auto"/>
        <w:jc w:val="center"/>
      </w:pPr>
    </w:p>
    <w:p w14:paraId="32ACE4C2" w14:textId="77777777" w:rsidR="005275EC" w:rsidRDefault="0068258F">
      <w:pPr>
        <w:spacing w:line="259" w:lineRule="auto"/>
        <w:jc w:val="center"/>
      </w:pPr>
      <w:r>
        <w:t>Submission Date: 31 July 2026</w:t>
      </w:r>
    </w:p>
    <w:p w14:paraId="2DD0BF45" w14:textId="77777777" w:rsidR="005275EC" w:rsidRDefault="005275EC">
      <w:pPr>
        <w:spacing w:line="259" w:lineRule="auto"/>
        <w:jc w:val="center"/>
      </w:pPr>
    </w:p>
    <w:p w14:paraId="3C4676E9" w14:textId="77777777" w:rsidR="005275EC" w:rsidRDefault="005275EC"/>
    <w:p w14:paraId="764C8F00" w14:textId="77777777" w:rsidR="005275EC" w:rsidRDefault="005275EC"/>
    <w:p w14:paraId="7216E257" w14:textId="77777777" w:rsidR="005275EC" w:rsidRDefault="005275EC"/>
    <w:p w14:paraId="72F620A8" w14:textId="77777777" w:rsidR="005275EC" w:rsidRDefault="005275EC"/>
    <w:p w14:paraId="674FD360" w14:textId="77777777" w:rsidR="005275EC" w:rsidRDefault="005275EC"/>
    <w:p w14:paraId="7C6CFDF0" w14:textId="77777777" w:rsidR="005275EC" w:rsidRDefault="005275EC"/>
    <w:p w14:paraId="7C56C7E3" w14:textId="77777777" w:rsidR="005275EC" w:rsidRDefault="005275EC"/>
    <w:p w14:paraId="283F384B" w14:textId="77777777" w:rsidR="005275EC" w:rsidRDefault="005275EC"/>
    <w:p w14:paraId="1C5F4D38" w14:textId="77777777" w:rsidR="005275EC" w:rsidRDefault="005275EC"/>
    <w:p w14:paraId="0F222B1F" w14:textId="731D6739" w:rsidR="005275EC" w:rsidRDefault="693B791B" w:rsidP="016EADA8">
      <w:pPr>
        <w:rPr>
          <w:rFonts w:asciiTheme="majorHAnsi" w:eastAsiaTheme="majorEastAsia" w:hAnsiTheme="majorHAnsi" w:cstheme="majorBidi"/>
          <w:sz w:val="32"/>
          <w:szCs w:val="32"/>
        </w:rPr>
      </w:pPr>
      <w:r w:rsidRPr="016EADA8">
        <w:rPr>
          <w:rFonts w:asciiTheme="majorHAnsi" w:eastAsiaTheme="majorEastAsia" w:hAnsiTheme="majorHAnsi" w:cstheme="majorBidi"/>
          <w:sz w:val="32"/>
          <w:szCs w:val="32"/>
        </w:rPr>
        <w:t>Table of Contents</w:t>
      </w:r>
    </w:p>
    <w:sdt>
      <w:sdtPr>
        <w:id w:val="1946411571"/>
        <w:docPartObj>
          <w:docPartGallery w:val="Table of Contents"/>
          <w:docPartUnique/>
        </w:docPartObj>
      </w:sdtPr>
      <w:sdtEndPr/>
      <w:sdtContent>
        <w:p w14:paraId="42133F38" w14:textId="49261609" w:rsidR="006C6A71" w:rsidRDefault="005275EC">
          <w:pPr>
            <w:pStyle w:val="TOC1"/>
            <w:rPr>
              <w:rFonts w:asciiTheme="minorHAnsi" w:eastAsiaTheme="minorEastAsia" w:hAnsiTheme="minorHAnsi" w:cstheme="minorBidi"/>
              <w:noProof/>
              <w:kern w:val="2"/>
              <w:lang w:val="en-GB" w:eastAsia="ja-JP"/>
              <w14:ligatures w14:val="standardContextual"/>
            </w:rPr>
          </w:pPr>
          <w:r w:rsidRPr="74606C50">
            <w:fldChar w:fldCharType="begin"/>
          </w:r>
          <w:r w:rsidRPr="1A6C0835">
            <w:rPr>
              <w:rStyle w:val="IndexLink"/>
            </w:rPr>
            <w:instrText xml:space="preserve"> TOC \f \o "1-9" \h</w:instrText>
          </w:r>
          <w:r w:rsidRPr="74606C50">
            <w:rPr>
              <w:rStyle w:val="IndexLink"/>
            </w:rPr>
            <w:fldChar w:fldCharType="separate"/>
          </w:r>
          <w:hyperlink w:anchor="_Toc236382637" w:history="1">
            <w:r w:rsidR="006C6A71" w:rsidRPr="005118E3">
              <w:rPr>
                <w:rStyle w:val="Hyperlink"/>
                <w:rFonts w:ascii="Arial" w:hAnsi="Arial"/>
                <w:noProof/>
              </w:rPr>
              <w:t>1. Introduction</w:t>
            </w:r>
            <w:r w:rsidR="006C6A71">
              <w:rPr>
                <w:noProof/>
              </w:rPr>
              <w:tab/>
            </w:r>
            <w:r w:rsidR="006C6A71">
              <w:rPr>
                <w:noProof/>
              </w:rPr>
              <w:fldChar w:fldCharType="begin"/>
            </w:r>
            <w:r w:rsidR="006C6A71">
              <w:rPr>
                <w:noProof/>
              </w:rPr>
              <w:instrText xml:space="preserve"> PAGEREF _Toc236382637 \h </w:instrText>
            </w:r>
            <w:r w:rsidR="006C6A71">
              <w:rPr>
                <w:noProof/>
              </w:rPr>
            </w:r>
            <w:r w:rsidR="006C6A71">
              <w:rPr>
                <w:noProof/>
              </w:rPr>
              <w:fldChar w:fldCharType="separate"/>
            </w:r>
            <w:r w:rsidR="006C6A71">
              <w:rPr>
                <w:noProof/>
              </w:rPr>
              <w:t>2</w:t>
            </w:r>
            <w:r w:rsidR="006C6A71">
              <w:rPr>
                <w:noProof/>
              </w:rPr>
              <w:fldChar w:fldCharType="end"/>
            </w:r>
          </w:hyperlink>
        </w:p>
        <w:p w14:paraId="776D1C02" w14:textId="00168630" w:rsidR="006C6A71" w:rsidRDefault="006C6A71">
          <w:pPr>
            <w:pStyle w:val="TOC1"/>
            <w:rPr>
              <w:rFonts w:asciiTheme="minorHAnsi" w:eastAsiaTheme="minorEastAsia" w:hAnsiTheme="minorHAnsi" w:cstheme="minorBidi"/>
              <w:noProof/>
              <w:kern w:val="2"/>
              <w:lang w:val="en-GB" w:eastAsia="ja-JP"/>
              <w14:ligatures w14:val="standardContextual"/>
            </w:rPr>
          </w:pPr>
          <w:hyperlink w:anchor="_Toc236382638" w:history="1">
            <w:r w:rsidRPr="005118E3">
              <w:rPr>
                <w:rStyle w:val="Hyperlink"/>
                <w:noProof/>
              </w:rPr>
              <w:t>2. Data Mining in Customer Analytics</w:t>
            </w:r>
            <w:r>
              <w:rPr>
                <w:noProof/>
              </w:rPr>
              <w:tab/>
            </w:r>
            <w:r>
              <w:rPr>
                <w:noProof/>
              </w:rPr>
              <w:fldChar w:fldCharType="begin"/>
            </w:r>
            <w:r>
              <w:rPr>
                <w:noProof/>
              </w:rPr>
              <w:instrText xml:space="preserve"> PAGEREF _Toc236382638 \h </w:instrText>
            </w:r>
            <w:r>
              <w:rPr>
                <w:noProof/>
              </w:rPr>
            </w:r>
            <w:r>
              <w:rPr>
                <w:noProof/>
              </w:rPr>
              <w:fldChar w:fldCharType="separate"/>
            </w:r>
            <w:r>
              <w:rPr>
                <w:noProof/>
              </w:rPr>
              <w:t>3</w:t>
            </w:r>
            <w:r>
              <w:rPr>
                <w:noProof/>
              </w:rPr>
              <w:fldChar w:fldCharType="end"/>
            </w:r>
          </w:hyperlink>
        </w:p>
        <w:p w14:paraId="2FD882AC" w14:textId="10385FB2"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39" w:history="1">
            <w:r w:rsidRPr="005118E3">
              <w:rPr>
                <w:rStyle w:val="Hyperlink"/>
                <w:noProof/>
              </w:rPr>
              <w:t>2.1 Purpose and Practice of Data Mining</w:t>
            </w:r>
            <w:r>
              <w:rPr>
                <w:noProof/>
              </w:rPr>
              <w:tab/>
            </w:r>
            <w:r>
              <w:rPr>
                <w:noProof/>
              </w:rPr>
              <w:fldChar w:fldCharType="begin"/>
            </w:r>
            <w:r>
              <w:rPr>
                <w:noProof/>
              </w:rPr>
              <w:instrText xml:space="preserve"> PAGEREF _Toc236382639 \h </w:instrText>
            </w:r>
            <w:r>
              <w:rPr>
                <w:noProof/>
              </w:rPr>
            </w:r>
            <w:r>
              <w:rPr>
                <w:noProof/>
              </w:rPr>
              <w:fldChar w:fldCharType="separate"/>
            </w:r>
            <w:r>
              <w:rPr>
                <w:noProof/>
              </w:rPr>
              <w:t>3</w:t>
            </w:r>
            <w:r>
              <w:rPr>
                <w:noProof/>
              </w:rPr>
              <w:fldChar w:fldCharType="end"/>
            </w:r>
          </w:hyperlink>
        </w:p>
        <w:p w14:paraId="2019C366" w14:textId="0CCEE4B3"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40" w:history="1">
            <w:r w:rsidRPr="005118E3">
              <w:rPr>
                <w:rStyle w:val="Hyperlink"/>
                <w:noProof/>
              </w:rPr>
              <w:t>2.2 Dataset Description and Exploration</w:t>
            </w:r>
            <w:r>
              <w:rPr>
                <w:noProof/>
              </w:rPr>
              <w:tab/>
            </w:r>
            <w:r>
              <w:rPr>
                <w:noProof/>
              </w:rPr>
              <w:fldChar w:fldCharType="begin"/>
            </w:r>
            <w:r>
              <w:rPr>
                <w:noProof/>
              </w:rPr>
              <w:instrText xml:space="preserve"> PAGEREF _Toc236382640 \h </w:instrText>
            </w:r>
            <w:r>
              <w:rPr>
                <w:noProof/>
              </w:rPr>
            </w:r>
            <w:r>
              <w:rPr>
                <w:noProof/>
              </w:rPr>
              <w:fldChar w:fldCharType="separate"/>
            </w:r>
            <w:r>
              <w:rPr>
                <w:noProof/>
              </w:rPr>
              <w:t>3</w:t>
            </w:r>
            <w:r>
              <w:rPr>
                <w:noProof/>
              </w:rPr>
              <w:fldChar w:fldCharType="end"/>
            </w:r>
          </w:hyperlink>
        </w:p>
        <w:p w14:paraId="1769DB67" w14:textId="41D6B97F"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41" w:history="1">
            <w:r w:rsidRPr="005118E3">
              <w:rPr>
                <w:rStyle w:val="Hyperlink"/>
                <w:noProof/>
              </w:rPr>
              <w:t>2.3 Data pre-processing and post-processing</w:t>
            </w:r>
            <w:r>
              <w:rPr>
                <w:noProof/>
              </w:rPr>
              <w:tab/>
            </w:r>
            <w:r>
              <w:rPr>
                <w:noProof/>
              </w:rPr>
              <w:fldChar w:fldCharType="begin"/>
            </w:r>
            <w:r>
              <w:rPr>
                <w:noProof/>
              </w:rPr>
              <w:instrText xml:space="preserve"> PAGEREF _Toc236382641 \h </w:instrText>
            </w:r>
            <w:r>
              <w:rPr>
                <w:noProof/>
              </w:rPr>
            </w:r>
            <w:r>
              <w:rPr>
                <w:noProof/>
              </w:rPr>
              <w:fldChar w:fldCharType="separate"/>
            </w:r>
            <w:r>
              <w:rPr>
                <w:noProof/>
              </w:rPr>
              <w:t>5</w:t>
            </w:r>
            <w:r>
              <w:rPr>
                <w:noProof/>
              </w:rPr>
              <w:fldChar w:fldCharType="end"/>
            </w:r>
          </w:hyperlink>
        </w:p>
        <w:p w14:paraId="5312AC7F" w14:textId="718FB886"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42" w:history="1">
            <w:r w:rsidRPr="005118E3">
              <w:rPr>
                <w:rStyle w:val="Hyperlink"/>
                <w:noProof/>
              </w:rPr>
              <w:t>2.4 Sample Runs and Analysis Methods</w:t>
            </w:r>
            <w:r>
              <w:rPr>
                <w:noProof/>
              </w:rPr>
              <w:tab/>
            </w:r>
            <w:r>
              <w:rPr>
                <w:noProof/>
              </w:rPr>
              <w:fldChar w:fldCharType="begin"/>
            </w:r>
            <w:r>
              <w:rPr>
                <w:noProof/>
              </w:rPr>
              <w:instrText xml:space="preserve"> PAGEREF _Toc236382642 \h </w:instrText>
            </w:r>
            <w:r>
              <w:rPr>
                <w:noProof/>
              </w:rPr>
            </w:r>
            <w:r>
              <w:rPr>
                <w:noProof/>
              </w:rPr>
              <w:fldChar w:fldCharType="separate"/>
            </w:r>
            <w:r>
              <w:rPr>
                <w:noProof/>
              </w:rPr>
              <w:t>6</w:t>
            </w:r>
            <w:r>
              <w:rPr>
                <w:noProof/>
              </w:rPr>
              <w:fldChar w:fldCharType="end"/>
            </w:r>
          </w:hyperlink>
        </w:p>
        <w:p w14:paraId="0E70792E" w14:textId="6853D474" w:rsidR="006C6A71" w:rsidRDefault="006C6A71">
          <w:pPr>
            <w:pStyle w:val="TOC1"/>
            <w:rPr>
              <w:rFonts w:asciiTheme="minorHAnsi" w:eastAsiaTheme="minorEastAsia" w:hAnsiTheme="minorHAnsi" w:cstheme="minorBidi"/>
              <w:noProof/>
              <w:kern w:val="2"/>
              <w:lang w:val="en-GB" w:eastAsia="ja-JP"/>
              <w14:ligatures w14:val="standardContextual"/>
            </w:rPr>
          </w:pPr>
          <w:hyperlink w:anchor="_Toc236382643" w:history="1">
            <w:r w:rsidRPr="005118E3">
              <w:rPr>
                <w:rStyle w:val="Hyperlink"/>
                <w:noProof/>
              </w:rPr>
              <w:t>3. Business Recommendations</w:t>
            </w:r>
            <w:r>
              <w:rPr>
                <w:noProof/>
              </w:rPr>
              <w:tab/>
            </w:r>
            <w:r>
              <w:rPr>
                <w:noProof/>
              </w:rPr>
              <w:fldChar w:fldCharType="begin"/>
            </w:r>
            <w:r>
              <w:rPr>
                <w:noProof/>
              </w:rPr>
              <w:instrText xml:space="preserve"> PAGEREF _Toc236382643 \h </w:instrText>
            </w:r>
            <w:r>
              <w:rPr>
                <w:noProof/>
              </w:rPr>
            </w:r>
            <w:r>
              <w:rPr>
                <w:noProof/>
              </w:rPr>
              <w:fldChar w:fldCharType="separate"/>
            </w:r>
            <w:r>
              <w:rPr>
                <w:noProof/>
              </w:rPr>
              <w:t>11</w:t>
            </w:r>
            <w:r>
              <w:rPr>
                <w:noProof/>
              </w:rPr>
              <w:fldChar w:fldCharType="end"/>
            </w:r>
          </w:hyperlink>
        </w:p>
        <w:p w14:paraId="0BE5828D" w14:textId="7072763C" w:rsidR="006C6A71" w:rsidRDefault="006C6A71">
          <w:pPr>
            <w:pStyle w:val="TOC1"/>
            <w:rPr>
              <w:rFonts w:asciiTheme="minorHAnsi" w:eastAsiaTheme="minorEastAsia" w:hAnsiTheme="minorHAnsi" w:cstheme="minorBidi"/>
              <w:noProof/>
              <w:kern w:val="2"/>
              <w:lang w:val="en-GB" w:eastAsia="ja-JP"/>
              <w14:ligatures w14:val="standardContextual"/>
            </w:rPr>
          </w:pPr>
          <w:hyperlink w:anchor="_Toc236382644" w:history="1">
            <w:r w:rsidRPr="005118E3">
              <w:rPr>
                <w:rStyle w:val="Hyperlink"/>
                <w:noProof/>
              </w:rPr>
              <w:t>4. Reflective Commentary</w:t>
            </w:r>
            <w:r>
              <w:rPr>
                <w:noProof/>
              </w:rPr>
              <w:tab/>
            </w:r>
            <w:r>
              <w:rPr>
                <w:noProof/>
              </w:rPr>
              <w:fldChar w:fldCharType="begin"/>
            </w:r>
            <w:r>
              <w:rPr>
                <w:noProof/>
              </w:rPr>
              <w:instrText xml:space="preserve"> PAGEREF _Toc236382644 \h </w:instrText>
            </w:r>
            <w:r>
              <w:rPr>
                <w:noProof/>
              </w:rPr>
            </w:r>
            <w:r>
              <w:rPr>
                <w:noProof/>
              </w:rPr>
              <w:fldChar w:fldCharType="separate"/>
            </w:r>
            <w:r>
              <w:rPr>
                <w:noProof/>
              </w:rPr>
              <w:t>13</w:t>
            </w:r>
            <w:r>
              <w:rPr>
                <w:noProof/>
              </w:rPr>
              <w:fldChar w:fldCharType="end"/>
            </w:r>
          </w:hyperlink>
        </w:p>
        <w:p w14:paraId="7ECE0E78" w14:textId="07ACE0ED" w:rsidR="006C6A71" w:rsidRDefault="006C6A71">
          <w:pPr>
            <w:pStyle w:val="TOC1"/>
            <w:rPr>
              <w:rFonts w:asciiTheme="minorHAnsi" w:eastAsiaTheme="minorEastAsia" w:hAnsiTheme="minorHAnsi" w:cstheme="minorBidi"/>
              <w:noProof/>
              <w:kern w:val="2"/>
              <w:lang w:val="en-GB" w:eastAsia="ja-JP"/>
              <w14:ligatures w14:val="standardContextual"/>
            </w:rPr>
          </w:pPr>
          <w:hyperlink w:anchor="_Toc236382645" w:history="1">
            <w:r w:rsidRPr="005118E3">
              <w:rPr>
                <w:rStyle w:val="Hyperlink"/>
                <w:noProof/>
              </w:rPr>
              <w:t>5. Conclusion</w:t>
            </w:r>
            <w:r>
              <w:rPr>
                <w:noProof/>
              </w:rPr>
              <w:tab/>
            </w:r>
            <w:r>
              <w:rPr>
                <w:noProof/>
              </w:rPr>
              <w:fldChar w:fldCharType="begin"/>
            </w:r>
            <w:r>
              <w:rPr>
                <w:noProof/>
              </w:rPr>
              <w:instrText xml:space="preserve"> PAGEREF _Toc236382645 \h </w:instrText>
            </w:r>
            <w:r>
              <w:rPr>
                <w:noProof/>
              </w:rPr>
            </w:r>
            <w:r>
              <w:rPr>
                <w:noProof/>
              </w:rPr>
              <w:fldChar w:fldCharType="separate"/>
            </w:r>
            <w:r>
              <w:rPr>
                <w:noProof/>
              </w:rPr>
              <w:t>13</w:t>
            </w:r>
            <w:r>
              <w:rPr>
                <w:noProof/>
              </w:rPr>
              <w:fldChar w:fldCharType="end"/>
            </w:r>
          </w:hyperlink>
        </w:p>
        <w:p w14:paraId="420E1B16" w14:textId="6E2B9A35" w:rsidR="006C6A71" w:rsidRDefault="006C6A71">
          <w:pPr>
            <w:pStyle w:val="TOC1"/>
            <w:rPr>
              <w:rFonts w:asciiTheme="minorHAnsi" w:eastAsiaTheme="minorEastAsia" w:hAnsiTheme="minorHAnsi" w:cstheme="minorBidi"/>
              <w:noProof/>
              <w:kern w:val="2"/>
              <w:lang w:val="en-GB" w:eastAsia="ja-JP"/>
              <w14:ligatures w14:val="standardContextual"/>
            </w:rPr>
          </w:pPr>
          <w:hyperlink w:anchor="_Toc236382646" w:history="1">
            <w:r w:rsidRPr="005118E3">
              <w:rPr>
                <w:rStyle w:val="Hyperlink"/>
                <w:noProof/>
              </w:rPr>
              <w:t>6. References</w:t>
            </w:r>
            <w:r>
              <w:rPr>
                <w:noProof/>
              </w:rPr>
              <w:tab/>
            </w:r>
            <w:r>
              <w:rPr>
                <w:noProof/>
              </w:rPr>
              <w:fldChar w:fldCharType="begin"/>
            </w:r>
            <w:r>
              <w:rPr>
                <w:noProof/>
              </w:rPr>
              <w:instrText xml:space="preserve"> PAGEREF _Toc236382646 \h </w:instrText>
            </w:r>
            <w:r>
              <w:rPr>
                <w:noProof/>
              </w:rPr>
            </w:r>
            <w:r>
              <w:rPr>
                <w:noProof/>
              </w:rPr>
              <w:fldChar w:fldCharType="separate"/>
            </w:r>
            <w:r>
              <w:rPr>
                <w:noProof/>
              </w:rPr>
              <w:t>15</w:t>
            </w:r>
            <w:r>
              <w:rPr>
                <w:noProof/>
              </w:rPr>
              <w:fldChar w:fldCharType="end"/>
            </w:r>
          </w:hyperlink>
        </w:p>
        <w:p w14:paraId="323200D2" w14:textId="2193B21A" w:rsidR="006C6A71" w:rsidRDefault="006C6A71">
          <w:pPr>
            <w:pStyle w:val="TOC1"/>
            <w:tabs>
              <w:tab w:val="left" w:pos="1760"/>
            </w:tabs>
            <w:rPr>
              <w:rFonts w:asciiTheme="minorHAnsi" w:eastAsiaTheme="minorEastAsia" w:hAnsiTheme="minorHAnsi" w:cstheme="minorBidi"/>
              <w:noProof/>
              <w:kern w:val="2"/>
              <w:lang w:val="en-GB" w:eastAsia="ja-JP"/>
              <w14:ligatures w14:val="standardContextual"/>
            </w:rPr>
          </w:pPr>
          <w:hyperlink w:anchor="_Toc236382647" w:history="1">
            <w:r w:rsidRPr="005118E3">
              <w:rPr>
                <w:rStyle w:val="Hyperlink"/>
                <w:noProof/>
              </w:rPr>
              <w:t>7. Appendix A</w:t>
            </w:r>
            <w:r>
              <w:rPr>
                <w:rFonts w:asciiTheme="minorHAnsi" w:eastAsiaTheme="minorEastAsia" w:hAnsiTheme="minorHAnsi" w:cstheme="minorBidi"/>
                <w:noProof/>
                <w:kern w:val="2"/>
                <w:lang w:val="en-GB" w:eastAsia="ja-JP"/>
                <w14:ligatures w14:val="standardContextual"/>
              </w:rPr>
              <w:tab/>
            </w:r>
            <w:r w:rsidRPr="005118E3">
              <w:rPr>
                <w:rStyle w:val="Hyperlink"/>
                <w:noProof/>
              </w:rPr>
              <w:t>Weka Confusion Matrices</w:t>
            </w:r>
            <w:r>
              <w:rPr>
                <w:noProof/>
              </w:rPr>
              <w:tab/>
            </w:r>
            <w:r>
              <w:rPr>
                <w:noProof/>
              </w:rPr>
              <w:fldChar w:fldCharType="begin"/>
            </w:r>
            <w:r>
              <w:rPr>
                <w:noProof/>
              </w:rPr>
              <w:instrText xml:space="preserve"> PAGEREF _Toc236382647 \h </w:instrText>
            </w:r>
            <w:r>
              <w:rPr>
                <w:noProof/>
              </w:rPr>
            </w:r>
            <w:r>
              <w:rPr>
                <w:noProof/>
              </w:rPr>
              <w:fldChar w:fldCharType="separate"/>
            </w:r>
            <w:r>
              <w:rPr>
                <w:noProof/>
              </w:rPr>
              <w:t>17</w:t>
            </w:r>
            <w:r>
              <w:rPr>
                <w:noProof/>
              </w:rPr>
              <w:fldChar w:fldCharType="end"/>
            </w:r>
          </w:hyperlink>
        </w:p>
        <w:p w14:paraId="43564C5C" w14:textId="1EC5EB47"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48" w:history="1">
            <w:r w:rsidRPr="005118E3">
              <w:rPr>
                <w:rStyle w:val="Hyperlink"/>
                <w:noProof/>
              </w:rPr>
              <w:t>A.1 ZeroR Confusion Matrix</w:t>
            </w:r>
            <w:r>
              <w:rPr>
                <w:noProof/>
              </w:rPr>
              <w:tab/>
            </w:r>
            <w:r>
              <w:rPr>
                <w:noProof/>
              </w:rPr>
              <w:fldChar w:fldCharType="begin"/>
            </w:r>
            <w:r>
              <w:rPr>
                <w:noProof/>
              </w:rPr>
              <w:instrText xml:space="preserve"> PAGEREF _Toc236382648 \h </w:instrText>
            </w:r>
            <w:r>
              <w:rPr>
                <w:noProof/>
              </w:rPr>
            </w:r>
            <w:r>
              <w:rPr>
                <w:noProof/>
              </w:rPr>
              <w:fldChar w:fldCharType="separate"/>
            </w:r>
            <w:r>
              <w:rPr>
                <w:noProof/>
              </w:rPr>
              <w:t>17</w:t>
            </w:r>
            <w:r>
              <w:rPr>
                <w:noProof/>
              </w:rPr>
              <w:fldChar w:fldCharType="end"/>
            </w:r>
          </w:hyperlink>
        </w:p>
        <w:p w14:paraId="60BC379E" w14:textId="0623E975"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49" w:history="1">
            <w:r w:rsidRPr="005118E3">
              <w:rPr>
                <w:rStyle w:val="Hyperlink"/>
                <w:noProof/>
              </w:rPr>
              <w:t>A.2 J48 Decision Tree Confusion Matrix</w:t>
            </w:r>
            <w:r>
              <w:rPr>
                <w:noProof/>
              </w:rPr>
              <w:tab/>
            </w:r>
            <w:r>
              <w:rPr>
                <w:noProof/>
              </w:rPr>
              <w:fldChar w:fldCharType="begin"/>
            </w:r>
            <w:r>
              <w:rPr>
                <w:noProof/>
              </w:rPr>
              <w:instrText xml:space="preserve"> PAGEREF _Toc236382649 \h </w:instrText>
            </w:r>
            <w:r>
              <w:rPr>
                <w:noProof/>
              </w:rPr>
            </w:r>
            <w:r>
              <w:rPr>
                <w:noProof/>
              </w:rPr>
              <w:fldChar w:fldCharType="separate"/>
            </w:r>
            <w:r>
              <w:rPr>
                <w:noProof/>
              </w:rPr>
              <w:t>17</w:t>
            </w:r>
            <w:r>
              <w:rPr>
                <w:noProof/>
              </w:rPr>
              <w:fldChar w:fldCharType="end"/>
            </w:r>
          </w:hyperlink>
        </w:p>
        <w:p w14:paraId="2FAE8C34" w14:textId="1F8E1EB1"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50" w:history="1">
            <w:r w:rsidRPr="005118E3">
              <w:rPr>
                <w:rStyle w:val="Hyperlink"/>
                <w:noProof/>
              </w:rPr>
              <w:t>A.3 Logistic Regression Confusion Matrix</w:t>
            </w:r>
            <w:r>
              <w:rPr>
                <w:noProof/>
              </w:rPr>
              <w:tab/>
            </w:r>
            <w:r>
              <w:rPr>
                <w:noProof/>
              </w:rPr>
              <w:fldChar w:fldCharType="begin"/>
            </w:r>
            <w:r>
              <w:rPr>
                <w:noProof/>
              </w:rPr>
              <w:instrText xml:space="preserve"> PAGEREF _Toc236382650 \h </w:instrText>
            </w:r>
            <w:r>
              <w:rPr>
                <w:noProof/>
              </w:rPr>
            </w:r>
            <w:r>
              <w:rPr>
                <w:noProof/>
              </w:rPr>
              <w:fldChar w:fldCharType="separate"/>
            </w:r>
            <w:r>
              <w:rPr>
                <w:noProof/>
              </w:rPr>
              <w:t>18</w:t>
            </w:r>
            <w:r>
              <w:rPr>
                <w:noProof/>
              </w:rPr>
              <w:fldChar w:fldCharType="end"/>
            </w:r>
          </w:hyperlink>
        </w:p>
        <w:p w14:paraId="56457EA1" w14:textId="62D4E1D9"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51" w:history="1">
            <w:r w:rsidRPr="005118E3">
              <w:rPr>
                <w:rStyle w:val="Hyperlink"/>
                <w:noProof/>
              </w:rPr>
              <w:t>A.4 Random Forest Confusion Matrix</w:t>
            </w:r>
            <w:r>
              <w:rPr>
                <w:noProof/>
              </w:rPr>
              <w:tab/>
            </w:r>
            <w:r>
              <w:rPr>
                <w:noProof/>
              </w:rPr>
              <w:fldChar w:fldCharType="begin"/>
            </w:r>
            <w:r>
              <w:rPr>
                <w:noProof/>
              </w:rPr>
              <w:instrText xml:space="preserve"> PAGEREF _Toc236382651 \h </w:instrText>
            </w:r>
            <w:r>
              <w:rPr>
                <w:noProof/>
              </w:rPr>
            </w:r>
            <w:r>
              <w:rPr>
                <w:noProof/>
              </w:rPr>
              <w:fldChar w:fldCharType="separate"/>
            </w:r>
            <w:r>
              <w:rPr>
                <w:noProof/>
              </w:rPr>
              <w:t>19</w:t>
            </w:r>
            <w:r>
              <w:rPr>
                <w:noProof/>
              </w:rPr>
              <w:fldChar w:fldCharType="end"/>
            </w:r>
          </w:hyperlink>
        </w:p>
        <w:p w14:paraId="4317DB3A" w14:textId="59C03CAE" w:rsidR="006C6A71" w:rsidRDefault="006C6A71">
          <w:pPr>
            <w:pStyle w:val="TOC2"/>
            <w:rPr>
              <w:rFonts w:asciiTheme="minorHAnsi" w:eastAsiaTheme="minorEastAsia" w:hAnsiTheme="minorHAnsi" w:cstheme="minorBidi"/>
              <w:noProof/>
              <w:kern w:val="2"/>
              <w:lang w:val="en-GB" w:eastAsia="ja-JP"/>
              <w14:ligatures w14:val="standardContextual"/>
            </w:rPr>
          </w:pPr>
          <w:hyperlink w:anchor="_Toc236382652" w:history="1">
            <w:r w:rsidRPr="005118E3">
              <w:rPr>
                <w:rStyle w:val="Hyperlink"/>
                <w:noProof/>
              </w:rPr>
              <w:t>A.5 Naïve Bayes Confusion Matrix</w:t>
            </w:r>
            <w:r>
              <w:rPr>
                <w:noProof/>
              </w:rPr>
              <w:tab/>
            </w:r>
            <w:r>
              <w:rPr>
                <w:noProof/>
              </w:rPr>
              <w:fldChar w:fldCharType="begin"/>
            </w:r>
            <w:r>
              <w:rPr>
                <w:noProof/>
              </w:rPr>
              <w:instrText xml:space="preserve"> PAGEREF _Toc236382652 \h </w:instrText>
            </w:r>
            <w:r>
              <w:rPr>
                <w:noProof/>
              </w:rPr>
            </w:r>
            <w:r>
              <w:rPr>
                <w:noProof/>
              </w:rPr>
              <w:fldChar w:fldCharType="separate"/>
            </w:r>
            <w:r>
              <w:rPr>
                <w:noProof/>
              </w:rPr>
              <w:t>20</w:t>
            </w:r>
            <w:r>
              <w:rPr>
                <w:noProof/>
              </w:rPr>
              <w:fldChar w:fldCharType="end"/>
            </w:r>
          </w:hyperlink>
        </w:p>
        <w:p w14:paraId="1695BBC7" w14:textId="054219C3" w:rsidR="005275EC" w:rsidRDefault="005275EC" w:rsidP="1374BE61">
          <w:pPr>
            <w:pStyle w:val="TOC2"/>
            <w:tabs>
              <w:tab w:val="clear" w:pos="9077"/>
              <w:tab w:val="right" w:leader="dot" w:pos="9359"/>
            </w:tabs>
            <w:spacing w:before="120" w:after="120" w:line="360" w:lineRule="auto"/>
          </w:pPr>
          <w:r w:rsidRPr="74606C50">
            <w:rPr>
              <w:rStyle w:val="IndexLink"/>
            </w:rPr>
            <w:fldChar w:fldCharType="end"/>
          </w:r>
        </w:p>
      </w:sdtContent>
    </w:sdt>
    <w:p w14:paraId="2AA102F3" w14:textId="61F98E40" w:rsidR="74606C50" w:rsidRDefault="74606C50" w:rsidP="74606C50">
      <w:pPr>
        <w:spacing w:before="120" w:after="120" w:line="360" w:lineRule="auto"/>
        <w:jc w:val="both"/>
        <w:rPr>
          <w:rFonts w:ascii="Arial" w:hAnsi="Arial"/>
          <w:sz w:val="22"/>
          <w:szCs w:val="22"/>
        </w:rPr>
      </w:pPr>
    </w:p>
    <w:p w14:paraId="3CDA42F9" w14:textId="2B1B6E6F" w:rsidR="74606C50" w:rsidRDefault="74606C50" w:rsidP="74606C50">
      <w:pPr>
        <w:spacing w:before="120" w:after="120" w:line="360" w:lineRule="auto"/>
        <w:jc w:val="both"/>
        <w:rPr>
          <w:rFonts w:ascii="Arial" w:hAnsi="Arial"/>
          <w:sz w:val="22"/>
          <w:szCs w:val="22"/>
        </w:rPr>
      </w:pPr>
    </w:p>
    <w:p w14:paraId="4D91C007" w14:textId="247A5AE5" w:rsidR="005275EC" w:rsidRDefault="005275EC" w:rsidP="74606C50">
      <w:pPr>
        <w:spacing w:before="120" w:after="120" w:line="360" w:lineRule="auto"/>
        <w:jc w:val="both"/>
        <w:rPr>
          <w:rFonts w:ascii="Arial" w:hAnsi="Arial"/>
          <w:sz w:val="22"/>
          <w:szCs w:val="22"/>
        </w:rPr>
      </w:pPr>
    </w:p>
    <w:p w14:paraId="62DE87C8" w14:textId="49F5FF42" w:rsidR="005275EC" w:rsidRDefault="005275EC" w:rsidP="74606C50">
      <w:pPr>
        <w:spacing w:before="120" w:after="120" w:line="360" w:lineRule="auto"/>
        <w:jc w:val="both"/>
        <w:rPr>
          <w:rFonts w:ascii="Arial" w:hAnsi="Arial"/>
          <w:sz w:val="22"/>
          <w:szCs w:val="22"/>
        </w:rPr>
      </w:pPr>
    </w:p>
    <w:p w14:paraId="76FB07C1" w14:textId="0F0AA58E" w:rsidR="005275EC" w:rsidRDefault="005275EC" w:rsidP="1A6C0835">
      <w:pPr>
        <w:spacing w:before="120" w:after="120" w:line="360" w:lineRule="auto"/>
        <w:jc w:val="both"/>
        <w:rPr>
          <w:rFonts w:ascii="Arial" w:hAnsi="Arial"/>
          <w:sz w:val="22"/>
          <w:szCs w:val="22"/>
        </w:rPr>
      </w:pPr>
    </w:p>
    <w:p w14:paraId="6A53D8E4" w14:textId="33413628" w:rsidR="2DFF77D9" w:rsidRDefault="2DFF77D9" w:rsidP="2DFF77D9">
      <w:pPr>
        <w:spacing w:before="120" w:after="120" w:line="360" w:lineRule="auto"/>
        <w:jc w:val="both"/>
        <w:rPr>
          <w:rFonts w:ascii="Arial" w:hAnsi="Arial"/>
          <w:sz w:val="22"/>
          <w:szCs w:val="22"/>
        </w:rPr>
      </w:pPr>
    </w:p>
    <w:p w14:paraId="73058422" w14:textId="3D25EE75" w:rsidR="2DFF77D9" w:rsidRDefault="2DFF77D9" w:rsidP="2DFF77D9">
      <w:pPr>
        <w:spacing w:before="120" w:after="120" w:line="360" w:lineRule="auto"/>
        <w:jc w:val="both"/>
        <w:rPr>
          <w:rFonts w:ascii="Arial" w:hAnsi="Arial"/>
          <w:sz w:val="22"/>
          <w:szCs w:val="22"/>
        </w:rPr>
      </w:pPr>
    </w:p>
    <w:p w14:paraId="38F4EA7A" w14:textId="6003736B" w:rsidR="2DFF77D9" w:rsidRDefault="2DFF77D9" w:rsidP="2DFF77D9">
      <w:pPr>
        <w:spacing w:before="120" w:after="120" w:line="360" w:lineRule="auto"/>
        <w:jc w:val="both"/>
        <w:rPr>
          <w:rFonts w:ascii="Arial" w:hAnsi="Arial"/>
          <w:sz w:val="22"/>
          <w:szCs w:val="22"/>
        </w:rPr>
      </w:pPr>
    </w:p>
    <w:p w14:paraId="0977809E" w14:textId="6E91CEEF" w:rsidR="005275EC" w:rsidRDefault="005275EC" w:rsidP="1A6C0835">
      <w:pPr>
        <w:spacing w:before="120" w:after="120" w:line="360" w:lineRule="auto"/>
        <w:jc w:val="both"/>
        <w:rPr>
          <w:rFonts w:ascii="Arial" w:hAnsi="Arial"/>
          <w:sz w:val="22"/>
          <w:szCs w:val="22"/>
        </w:rPr>
      </w:pPr>
    </w:p>
    <w:p w14:paraId="22E528C7" w14:textId="6432EC2C" w:rsidR="005275EC" w:rsidRDefault="005275EC" w:rsidP="1A6C0835">
      <w:pPr>
        <w:spacing w:before="120" w:after="120" w:line="360" w:lineRule="auto"/>
        <w:jc w:val="both"/>
        <w:rPr>
          <w:rFonts w:ascii="Arial" w:hAnsi="Arial"/>
          <w:sz w:val="22"/>
          <w:szCs w:val="22"/>
        </w:rPr>
      </w:pPr>
    </w:p>
    <w:p w14:paraId="67F9828B" w14:textId="6B89A770" w:rsidR="005275EC" w:rsidRDefault="005275EC" w:rsidP="74606C50">
      <w:pPr>
        <w:spacing w:before="120" w:after="120" w:line="360" w:lineRule="auto"/>
        <w:jc w:val="both"/>
        <w:rPr>
          <w:rFonts w:ascii="Arial" w:hAnsi="Arial"/>
          <w:sz w:val="22"/>
          <w:szCs w:val="22"/>
        </w:rPr>
      </w:pPr>
    </w:p>
    <w:p w14:paraId="168F949B" w14:textId="5BCAA5C8" w:rsidR="005275EC" w:rsidRDefault="0068258F" w:rsidP="1A6C0835">
      <w:pPr>
        <w:pStyle w:val="Heading1"/>
        <w:spacing w:before="120" w:after="120" w:line="360" w:lineRule="auto"/>
        <w:rPr>
          <w:rFonts w:ascii="Arial" w:hAnsi="Arial"/>
          <w:sz w:val="32"/>
          <w:szCs w:val="32"/>
        </w:rPr>
      </w:pPr>
      <w:bookmarkStart w:id="0" w:name="_Toc1311416883"/>
      <w:bookmarkStart w:id="1" w:name="_Toc236382637"/>
      <w:r>
        <w:rPr>
          <w:rFonts w:ascii="Arial" w:hAnsi="Arial"/>
          <w:sz w:val="32"/>
          <w:szCs w:val="32"/>
        </w:rPr>
        <w:t>1. Introduction</w:t>
      </w:r>
      <w:bookmarkEnd w:id="0"/>
      <w:bookmarkEnd w:id="1"/>
    </w:p>
    <w:p w14:paraId="26014D93" w14:textId="515E4F8A" w:rsidR="00900DAA" w:rsidRDefault="00900DAA" w:rsidP="1374BE61">
      <w:pPr>
        <w:spacing w:before="120" w:after="120" w:line="360" w:lineRule="auto"/>
        <w:jc w:val="both"/>
        <w:rPr>
          <w:b/>
          <w:bCs/>
        </w:rPr>
      </w:pPr>
      <w:r w:rsidRPr="74606C50">
        <w:rPr>
          <w:rFonts w:ascii="Arial" w:hAnsi="Arial"/>
          <w:sz w:val="22"/>
          <w:szCs w:val="22"/>
        </w:rPr>
        <w:t xml:space="preserve">Customer retention remains a major challenge in the telecommunications industry, where customer churn can reduce revenue, profitability, and long-term competitiveness [1], [2]. As competition increases, </w:t>
      </w:r>
      <w:proofErr w:type="spellStart"/>
      <w:r w:rsidRPr="74606C50">
        <w:rPr>
          <w:rFonts w:ascii="Arial" w:hAnsi="Arial"/>
          <w:sz w:val="22"/>
          <w:szCs w:val="22"/>
        </w:rPr>
        <w:t>organisations</w:t>
      </w:r>
      <w:proofErr w:type="spellEnd"/>
      <w:r w:rsidRPr="00900DAA">
        <w:t xml:space="preserve"> increasingly rely on data-driven methods to identify customers at risk of leaving and develop targeted retention strategies. Data mining offers a range of techniques for discovering patterns within large datasets and supporting evidence-based </w:t>
      </w:r>
      <w:r w:rsidRPr="00900DAA">
        <w:lastRenderedPageBreak/>
        <w:t>decision-making [3], [4]. This report investigates customer churn prediction and customer segmentation using the IBM Telco Customer Churn dataset. Classification and clustering algorithms are implemented and evaluated in Weka to assess their predictive performance and their potential to support customer retention strategies</w:t>
      </w:r>
      <w:r>
        <w:t>.</w:t>
      </w:r>
    </w:p>
    <w:p w14:paraId="70C7AC16" w14:textId="43C65124" w:rsidR="74606C50" w:rsidRDefault="74606C50" w:rsidP="74606C50">
      <w:pPr>
        <w:spacing w:before="120" w:after="120" w:line="360" w:lineRule="auto"/>
        <w:jc w:val="both"/>
        <w:rPr>
          <w:rFonts w:ascii="Arial" w:hAnsi="Arial"/>
          <w:sz w:val="22"/>
          <w:szCs w:val="22"/>
        </w:rPr>
      </w:pPr>
    </w:p>
    <w:p w14:paraId="5CE2548E" w14:textId="3CA4C012" w:rsidR="005275EC" w:rsidRDefault="0068258F">
      <w:pPr>
        <w:pStyle w:val="Heading1"/>
        <w:rPr>
          <w:sz w:val="32"/>
          <w:szCs w:val="32"/>
        </w:rPr>
      </w:pPr>
      <w:bookmarkStart w:id="2" w:name="_Toc236382638"/>
      <w:r>
        <w:rPr>
          <w:sz w:val="32"/>
          <w:szCs w:val="32"/>
        </w:rPr>
        <w:t>2. Data Mining in Customer Analytics</w:t>
      </w:r>
      <w:bookmarkEnd w:id="2"/>
    </w:p>
    <w:p w14:paraId="71D2B442" w14:textId="442D81BC" w:rsidR="005275EC" w:rsidRDefault="0068258F">
      <w:pPr>
        <w:pStyle w:val="Heading2"/>
        <w:rPr>
          <w:sz w:val="28"/>
          <w:szCs w:val="28"/>
        </w:rPr>
      </w:pPr>
      <w:bookmarkStart w:id="3" w:name="_Toc236382639"/>
      <w:r>
        <w:rPr>
          <w:sz w:val="28"/>
          <w:szCs w:val="28"/>
        </w:rPr>
        <w:t>2.1 Purpose and Practice of Data Mining</w:t>
      </w:r>
      <w:bookmarkEnd w:id="3"/>
    </w:p>
    <w:p w14:paraId="289DF5F5" w14:textId="77777777" w:rsidR="00750100" w:rsidRPr="00750100" w:rsidRDefault="00750100" w:rsidP="00184E41">
      <w:pPr>
        <w:spacing w:before="120" w:after="120" w:line="360" w:lineRule="auto"/>
        <w:jc w:val="both"/>
        <w:rPr>
          <w:rFonts w:ascii="Arial" w:hAnsi="Arial"/>
          <w:sz w:val="22"/>
          <w:szCs w:val="22"/>
        </w:rPr>
      </w:pPr>
      <w:r w:rsidRPr="00750100">
        <w:rPr>
          <w:rFonts w:ascii="Arial" w:hAnsi="Arial"/>
          <w:sz w:val="22"/>
          <w:szCs w:val="22"/>
        </w:rPr>
        <w:t xml:space="preserve">Data mining is the process of discovering meaningful patterns, relationships, and trends within large datasets to support informed decision-making [2]. It combines statistical analysis, machine learning, and data exploration techniques to transform raw data into useful knowledge. Beyond describing historical events, data mining enables </w:t>
      </w:r>
      <w:proofErr w:type="spellStart"/>
      <w:r w:rsidRPr="00750100">
        <w:rPr>
          <w:rFonts w:ascii="Arial" w:hAnsi="Arial"/>
          <w:sz w:val="22"/>
          <w:szCs w:val="22"/>
        </w:rPr>
        <w:t>organisations</w:t>
      </w:r>
      <w:proofErr w:type="spellEnd"/>
      <w:r w:rsidRPr="00750100">
        <w:rPr>
          <w:rFonts w:ascii="Arial" w:hAnsi="Arial"/>
          <w:sz w:val="22"/>
          <w:szCs w:val="22"/>
        </w:rPr>
        <w:t xml:space="preserve"> to predict future outcomes and identify opportunities to improve business performance [2], [3].</w:t>
      </w:r>
    </w:p>
    <w:p w14:paraId="4EF181BC" w14:textId="77777777" w:rsidR="00750100" w:rsidRPr="00750100" w:rsidRDefault="00750100" w:rsidP="00184E41">
      <w:pPr>
        <w:spacing w:before="120" w:after="120" w:line="360" w:lineRule="auto"/>
        <w:jc w:val="both"/>
        <w:rPr>
          <w:rFonts w:ascii="Arial" w:hAnsi="Arial"/>
          <w:sz w:val="22"/>
          <w:szCs w:val="22"/>
        </w:rPr>
      </w:pPr>
      <w:r w:rsidRPr="00750100">
        <w:rPr>
          <w:rFonts w:ascii="Arial" w:hAnsi="Arial"/>
          <w:sz w:val="22"/>
          <w:szCs w:val="22"/>
        </w:rPr>
        <w:t xml:space="preserve">Across business and retail sectors, data mining supports customer segmentation, sales forecasting, fraud detection, recommendation systems, and customer relationship management (CRM). In customer analytics, historical customer data are </w:t>
      </w:r>
      <w:proofErr w:type="spellStart"/>
      <w:r w:rsidRPr="00750100">
        <w:rPr>
          <w:rFonts w:ascii="Arial" w:hAnsi="Arial"/>
          <w:sz w:val="22"/>
          <w:szCs w:val="22"/>
        </w:rPr>
        <w:t>analysed</w:t>
      </w:r>
      <w:proofErr w:type="spellEnd"/>
      <w:r w:rsidRPr="00750100">
        <w:rPr>
          <w:rFonts w:ascii="Arial" w:hAnsi="Arial"/>
          <w:sz w:val="22"/>
          <w:szCs w:val="22"/>
        </w:rPr>
        <w:t xml:space="preserve"> to understand </w:t>
      </w:r>
      <w:proofErr w:type="spellStart"/>
      <w:r w:rsidRPr="00750100">
        <w:rPr>
          <w:rFonts w:ascii="Arial" w:hAnsi="Arial"/>
          <w:sz w:val="22"/>
          <w:szCs w:val="22"/>
        </w:rPr>
        <w:t>behaviour</w:t>
      </w:r>
      <w:proofErr w:type="spellEnd"/>
      <w:r w:rsidRPr="00750100">
        <w:rPr>
          <w:rFonts w:ascii="Arial" w:hAnsi="Arial"/>
          <w:sz w:val="22"/>
          <w:szCs w:val="22"/>
        </w:rPr>
        <w:t xml:space="preserve">, predict future actions, and improve service delivery [2]. These insights help </w:t>
      </w:r>
      <w:proofErr w:type="spellStart"/>
      <w:r w:rsidRPr="00750100">
        <w:rPr>
          <w:rFonts w:ascii="Arial" w:hAnsi="Arial"/>
          <w:sz w:val="22"/>
          <w:szCs w:val="22"/>
        </w:rPr>
        <w:t>organisations</w:t>
      </w:r>
      <w:proofErr w:type="spellEnd"/>
      <w:r w:rsidRPr="00750100">
        <w:rPr>
          <w:rFonts w:ascii="Arial" w:hAnsi="Arial"/>
          <w:sz w:val="22"/>
          <w:szCs w:val="22"/>
        </w:rPr>
        <w:t xml:space="preserve"> make evidence-based decisions and use resources more effectively.</w:t>
      </w:r>
    </w:p>
    <w:p w14:paraId="403E6B33" w14:textId="220AD8F3" w:rsidR="005275EC" w:rsidRDefault="00750100" w:rsidP="00184E41">
      <w:pPr>
        <w:spacing w:before="120" w:after="120" w:line="360" w:lineRule="auto"/>
        <w:jc w:val="both"/>
        <w:rPr>
          <w:rFonts w:ascii="Arial" w:hAnsi="Arial"/>
          <w:sz w:val="22"/>
          <w:szCs w:val="22"/>
        </w:rPr>
      </w:pPr>
      <w:r w:rsidRPr="00750100">
        <w:rPr>
          <w:rFonts w:ascii="Arial" w:hAnsi="Arial"/>
          <w:sz w:val="22"/>
          <w:szCs w:val="22"/>
        </w:rPr>
        <w:t xml:space="preserve">Customer churn prediction is a common application of classification techniques, which estimate the likelihood that a customer will discontinue a service. Clustering complements this approach by grouping customers with similar characteristics, enabling </w:t>
      </w:r>
      <w:proofErr w:type="spellStart"/>
      <w:r w:rsidRPr="00750100">
        <w:rPr>
          <w:rFonts w:ascii="Arial" w:hAnsi="Arial"/>
          <w:sz w:val="22"/>
          <w:szCs w:val="22"/>
        </w:rPr>
        <w:t>organisations</w:t>
      </w:r>
      <w:proofErr w:type="spellEnd"/>
      <w:r w:rsidRPr="00750100">
        <w:rPr>
          <w:rFonts w:ascii="Arial" w:hAnsi="Arial"/>
          <w:sz w:val="22"/>
          <w:szCs w:val="22"/>
        </w:rPr>
        <w:t xml:space="preserve"> to tailor products, services, and retention strategies to different customer segments [2], [3]. However, predictive accuracy alone is insufficient. Effective data mining models should also produce reliable, interpretable, and practical results that support business objectives [4]. Consequently, </w:t>
      </w:r>
      <w:proofErr w:type="spellStart"/>
      <w:r w:rsidRPr="00750100">
        <w:rPr>
          <w:rFonts w:ascii="Arial" w:hAnsi="Arial"/>
          <w:sz w:val="22"/>
          <w:szCs w:val="22"/>
        </w:rPr>
        <w:t>organisations</w:t>
      </w:r>
      <w:proofErr w:type="spellEnd"/>
      <w:r w:rsidRPr="00750100">
        <w:rPr>
          <w:rFonts w:ascii="Arial" w:hAnsi="Arial"/>
          <w:sz w:val="22"/>
          <w:szCs w:val="22"/>
        </w:rPr>
        <w:t xml:space="preserve"> increasingly combine predictive modelling with customer segmentation to strengthen customer retention and long-term relationships.</w:t>
      </w:r>
    </w:p>
    <w:p w14:paraId="63EA4CAB" w14:textId="77777777" w:rsidR="00184E41" w:rsidRDefault="00184E41" w:rsidP="00184E41">
      <w:pPr>
        <w:spacing w:before="120" w:after="120" w:line="360" w:lineRule="auto"/>
        <w:jc w:val="both"/>
        <w:rPr>
          <w:rFonts w:ascii="Arial" w:hAnsi="Arial"/>
          <w:sz w:val="22"/>
          <w:szCs w:val="22"/>
        </w:rPr>
      </w:pPr>
    </w:p>
    <w:p w14:paraId="35A35859" w14:textId="59E3FCB0" w:rsidR="005275EC" w:rsidRDefault="0068258F" w:rsidP="00135F4B">
      <w:pPr>
        <w:pStyle w:val="Heading2"/>
        <w:jc w:val="both"/>
        <w:rPr>
          <w:sz w:val="28"/>
          <w:szCs w:val="28"/>
        </w:rPr>
      </w:pPr>
      <w:bookmarkStart w:id="4" w:name="_Toc236382640"/>
      <w:r>
        <w:rPr>
          <w:sz w:val="28"/>
          <w:szCs w:val="28"/>
        </w:rPr>
        <w:t>2.2 Dataset Description and Exploration</w:t>
      </w:r>
      <w:bookmarkEnd w:id="4"/>
    </w:p>
    <w:p w14:paraId="5F4AEA4C" w14:textId="4AC47F1B"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The analysis was conducted using the IBM Telco Customer Churn dataset, a publicly </w:t>
      </w:r>
      <w:proofErr w:type="spellStart"/>
      <w:r w:rsidRPr="74606C50">
        <w:rPr>
          <w:rFonts w:ascii="Arial" w:hAnsi="Arial"/>
          <w:sz w:val="22"/>
          <w:szCs w:val="22"/>
        </w:rPr>
        <w:t>availabledataset</w:t>
      </w:r>
      <w:proofErr w:type="spellEnd"/>
      <w:r>
        <w:rPr>
          <w:rFonts w:ascii="Arial" w:hAnsi="Arial"/>
          <w:sz w:val="22"/>
          <w:szCs w:val="22"/>
        </w:rPr>
        <w:t xml:space="preserve"> widely used for customer analytics and machine learning research [5]. It contains customer demographic information, subscribed services, account details, billing records and a </w:t>
      </w:r>
      <w:r>
        <w:rPr>
          <w:rFonts w:ascii="Arial" w:hAnsi="Arial"/>
          <w:sz w:val="22"/>
          <w:szCs w:val="22"/>
        </w:rPr>
        <w:lastRenderedPageBreak/>
        <w:t xml:space="preserve">binary target variable indicating whether a customer remained with the telecommunications provider or discontinued the service. The combination of numerical and categorical attributes </w:t>
      </w:r>
    </w:p>
    <w:p w14:paraId="457F0E91" w14:textId="225FB65D" w:rsidR="005275EC" w:rsidRDefault="0068258F" w:rsidP="007976D1">
      <w:pPr>
        <w:spacing w:before="120" w:after="120" w:line="360" w:lineRule="auto"/>
        <w:jc w:val="both"/>
        <w:rPr>
          <w:rFonts w:ascii="Arial" w:hAnsi="Arial"/>
          <w:sz w:val="22"/>
          <w:szCs w:val="22"/>
        </w:rPr>
      </w:pPr>
      <w:r>
        <w:rPr>
          <w:rFonts w:ascii="Arial" w:hAnsi="Arial"/>
          <w:sz w:val="22"/>
          <w:szCs w:val="22"/>
        </w:rPr>
        <w:t>makes the dataset suitable for both classification and clustering tasks, allowing customer churn to be predicted while supporting customer segmentation.</w:t>
      </w:r>
    </w:p>
    <w:p w14:paraId="776CDC63" w14:textId="711C08B3"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The original dataset consisted of 7,043 customer records described by 21 attributes, including the unique </w:t>
      </w:r>
      <w:proofErr w:type="spellStart"/>
      <w:r>
        <w:rPr>
          <w:rFonts w:ascii="Arial" w:hAnsi="Arial"/>
          <w:sz w:val="22"/>
          <w:szCs w:val="22"/>
        </w:rPr>
        <w:t>customerID</w:t>
      </w:r>
      <w:proofErr w:type="spellEnd"/>
      <w:r>
        <w:rPr>
          <w:rFonts w:ascii="Arial" w:hAnsi="Arial"/>
          <w:sz w:val="22"/>
          <w:szCs w:val="22"/>
        </w:rPr>
        <w:t xml:space="preserve"> field. During the initial inspection, 11 records were found to contain missing values in the </w:t>
      </w:r>
      <w:proofErr w:type="spellStart"/>
      <w:r>
        <w:rPr>
          <w:rFonts w:ascii="Arial" w:hAnsi="Arial"/>
          <w:sz w:val="22"/>
          <w:szCs w:val="22"/>
        </w:rPr>
        <w:t>TotalCharges</w:t>
      </w:r>
      <w:proofErr w:type="spellEnd"/>
      <w:r>
        <w:rPr>
          <w:rFonts w:ascii="Arial" w:hAnsi="Arial"/>
          <w:sz w:val="22"/>
          <w:szCs w:val="22"/>
        </w:rPr>
        <w:t xml:space="preserve"> attribute. As these represented only a small proportion of the dataset, they were removed rather than imputed to preserve the integrity of the financial information. The </w:t>
      </w:r>
      <w:proofErr w:type="spellStart"/>
      <w:r>
        <w:rPr>
          <w:rFonts w:ascii="Arial" w:hAnsi="Arial"/>
          <w:sz w:val="22"/>
          <w:szCs w:val="22"/>
        </w:rPr>
        <w:t>customerID</w:t>
      </w:r>
      <w:proofErr w:type="spellEnd"/>
      <w:r>
        <w:rPr>
          <w:rFonts w:ascii="Arial" w:hAnsi="Arial"/>
          <w:sz w:val="22"/>
          <w:szCs w:val="22"/>
        </w:rPr>
        <w:t xml:space="preserve"> attribute was also excluded because it functions solely as a unique identifier and provides no predictive value. Following these adjustments, the analytical dataset contained 7,032 complete customer records and 20 predictive attributes, with Churn retained as the target variable.</w:t>
      </w:r>
    </w:p>
    <w:p w14:paraId="05AB4D90" w14:textId="20EFFBC8"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The dataset includes four main categories of information. Demographic variables describe customer characteristics such as gender, senior citizen status and partnership. Account-related variables include contract type, tenure, payment method and billing preferences. Service-related attributes record the telecommunications services subscribed to by each customer, while financial variables capture monthly and cumulative charges. Together, these attributes provide a comprehensive representation of customer </w:t>
      </w:r>
      <w:proofErr w:type="spellStart"/>
      <w:r>
        <w:rPr>
          <w:rFonts w:ascii="Arial" w:hAnsi="Arial"/>
          <w:sz w:val="22"/>
          <w:szCs w:val="22"/>
        </w:rPr>
        <w:t>behaviour</w:t>
      </w:r>
      <w:proofErr w:type="spellEnd"/>
      <w:r>
        <w:rPr>
          <w:rFonts w:ascii="Arial" w:hAnsi="Arial"/>
          <w:sz w:val="22"/>
          <w:szCs w:val="22"/>
        </w:rPr>
        <w:t xml:space="preserve"> and the factors that may influence customer </w:t>
      </w:r>
      <w:proofErr w:type="spellStart"/>
      <w:r>
        <w:rPr>
          <w:rFonts w:ascii="Arial" w:hAnsi="Arial"/>
          <w:sz w:val="22"/>
          <w:szCs w:val="22"/>
        </w:rPr>
        <w:t>attrition.Exploratory</w:t>
      </w:r>
      <w:proofErr w:type="spellEnd"/>
      <w:r>
        <w:rPr>
          <w:rFonts w:ascii="Arial" w:hAnsi="Arial"/>
          <w:sz w:val="22"/>
          <w:szCs w:val="22"/>
        </w:rPr>
        <w:t xml:space="preserve"> data analysis (EDA) was performed using Microsoft Excel and Tableau before predictive modelling. The purpose of this stage was to verify data quality, understand the distribution of key variables and identify patterns that could influence model performance [6]. </w:t>
      </w:r>
    </w:p>
    <w:p w14:paraId="05B8F76D" w14:textId="083BBC21" w:rsidR="005275EC" w:rsidRDefault="0068258F" w:rsidP="007976D1">
      <w:pPr>
        <w:spacing w:before="120" w:after="120" w:line="360" w:lineRule="auto"/>
        <w:jc w:val="both"/>
        <w:rPr>
          <w:rFonts w:ascii="Arial" w:hAnsi="Arial"/>
          <w:sz w:val="22"/>
          <w:szCs w:val="22"/>
        </w:rPr>
      </w:pPr>
      <w:r>
        <w:rPr>
          <w:rFonts w:ascii="Arial" w:hAnsi="Arial"/>
          <w:sz w:val="22"/>
          <w:szCs w:val="22"/>
        </w:rPr>
        <w:t>The analysis showed that approximately 73.42% of customers remained with the provider, whereas 26.58% had churned. Although this represents a moderate class imbalance, the original distribution was retained because it reflects realistic business conditions.</w:t>
      </w:r>
    </w:p>
    <w:p w14:paraId="16FD3BCE" w14:textId="7D9E8D9F"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Further exploration identified several </w:t>
      </w:r>
      <w:proofErr w:type="spellStart"/>
      <w:r>
        <w:rPr>
          <w:rFonts w:ascii="Arial" w:hAnsi="Arial"/>
          <w:sz w:val="22"/>
          <w:szCs w:val="22"/>
        </w:rPr>
        <w:t>behavioural</w:t>
      </w:r>
      <w:proofErr w:type="spellEnd"/>
      <w:r>
        <w:rPr>
          <w:rFonts w:ascii="Arial" w:hAnsi="Arial"/>
          <w:sz w:val="22"/>
          <w:szCs w:val="22"/>
        </w:rPr>
        <w:t xml:space="preserve"> trends. Customers on month-to-month contracts were considerably more likely to churn than those on longer-term contracts. </w:t>
      </w:r>
    </w:p>
    <w:p w14:paraId="50C9E13C" w14:textId="6C074D39" w:rsidR="005275EC" w:rsidRDefault="0068258F" w:rsidP="007976D1">
      <w:pPr>
        <w:spacing w:before="120" w:after="120" w:line="360" w:lineRule="auto"/>
        <w:jc w:val="both"/>
      </w:pPr>
      <w:r>
        <w:rPr>
          <w:rFonts w:ascii="Arial" w:hAnsi="Arial"/>
          <w:sz w:val="22"/>
          <w:szCs w:val="22"/>
        </w:rPr>
        <w:t xml:space="preserve">Higher churn rates were also observed among customers using </w:t>
      </w:r>
      <w:proofErr w:type="spellStart"/>
      <w:r>
        <w:rPr>
          <w:rFonts w:ascii="Arial" w:hAnsi="Arial"/>
          <w:sz w:val="22"/>
          <w:szCs w:val="22"/>
        </w:rPr>
        <w:t>fibre</w:t>
      </w:r>
      <w:proofErr w:type="spellEnd"/>
      <w:r>
        <w:rPr>
          <w:rFonts w:ascii="Arial" w:hAnsi="Arial"/>
          <w:sz w:val="22"/>
          <w:szCs w:val="22"/>
        </w:rPr>
        <w:t xml:space="preserve"> optic internet services and electronic </w:t>
      </w:r>
      <w:proofErr w:type="spellStart"/>
      <w:r>
        <w:rPr>
          <w:rFonts w:ascii="Arial" w:hAnsi="Arial"/>
          <w:sz w:val="22"/>
          <w:szCs w:val="22"/>
        </w:rPr>
        <w:t>cheque</w:t>
      </w:r>
      <w:proofErr w:type="spellEnd"/>
      <w:r>
        <w:rPr>
          <w:rFonts w:ascii="Arial" w:hAnsi="Arial"/>
          <w:sz w:val="22"/>
          <w:szCs w:val="22"/>
        </w:rPr>
        <w:t xml:space="preserve"> payment methods, while shorter customer tenure was associated with a greater likelihood of service cancellation. These observations are consistent with findings reported in previous customer churn studies [7], [8]. Consequently, the exploratory analysis not only improved </w:t>
      </w:r>
      <w:r>
        <w:rPr>
          <w:rFonts w:ascii="Arial" w:hAnsi="Arial"/>
          <w:sz w:val="22"/>
          <w:szCs w:val="22"/>
        </w:rPr>
        <w:lastRenderedPageBreak/>
        <w:t>understanding of the dataset but also identified the variables most likely to influence predictive modelling.</w:t>
      </w:r>
    </w:p>
    <w:p w14:paraId="04C59FA0" w14:textId="4E05908C" w:rsidR="74606C50" w:rsidRDefault="74606C50" w:rsidP="74606C50">
      <w:pPr>
        <w:spacing w:before="120" w:after="120" w:line="360" w:lineRule="auto"/>
        <w:jc w:val="both"/>
        <w:rPr>
          <w:rFonts w:ascii="Arial" w:hAnsi="Arial"/>
          <w:sz w:val="22"/>
          <w:szCs w:val="22"/>
        </w:rPr>
      </w:pPr>
    </w:p>
    <w:p w14:paraId="6BD28E44" w14:textId="4E0F4896" w:rsidR="005275EC" w:rsidRDefault="0068258F" w:rsidP="007976D1">
      <w:pPr>
        <w:pStyle w:val="Heading2"/>
        <w:jc w:val="both"/>
        <w:rPr>
          <w:sz w:val="28"/>
          <w:szCs w:val="28"/>
        </w:rPr>
      </w:pPr>
      <w:bookmarkStart w:id="5" w:name="_Toc236382641"/>
      <w:r>
        <w:rPr>
          <w:sz w:val="28"/>
          <w:szCs w:val="28"/>
        </w:rPr>
        <w:t>2.3 Data pre-processing and post-processing</w:t>
      </w:r>
      <w:bookmarkEnd w:id="5"/>
    </w:p>
    <w:p w14:paraId="151368A0" w14:textId="77777777" w:rsidR="00477757" w:rsidRPr="00477757" w:rsidRDefault="00477757" w:rsidP="007976D1">
      <w:pPr>
        <w:spacing w:before="120" w:after="120" w:line="360" w:lineRule="auto"/>
        <w:jc w:val="both"/>
        <w:rPr>
          <w:rFonts w:ascii="Arial" w:hAnsi="Arial"/>
          <w:sz w:val="22"/>
          <w:szCs w:val="22"/>
        </w:rPr>
      </w:pPr>
      <w:r w:rsidRPr="00477757">
        <w:rPr>
          <w:rFonts w:ascii="Arial" w:hAnsi="Arial"/>
          <w:sz w:val="22"/>
          <w:szCs w:val="22"/>
        </w:rPr>
        <w:t>Data pre-processing is a critical stage of the data mining process because the quality of the input data directly influences the reliability of predictive models [2]. Real-world datasets often contain missing values, redundant attributes, and inconsistencies that can reduce predictive performance if left unaddressed. The objective of this stage was to prepare a clean, consistent, and representative dataset for analysis.</w:t>
      </w:r>
    </w:p>
    <w:p w14:paraId="24A180FE" w14:textId="77777777" w:rsidR="00477757" w:rsidRPr="00477757" w:rsidRDefault="00477757" w:rsidP="007976D1">
      <w:pPr>
        <w:spacing w:before="120" w:after="120" w:line="360" w:lineRule="auto"/>
        <w:jc w:val="both"/>
        <w:rPr>
          <w:rFonts w:ascii="Arial" w:hAnsi="Arial"/>
          <w:sz w:val="22"/>
          <w:szCs w:val="22"/>
        </w:rPr>
      </w:pPr>
      <w:r w:rsidRPr="00477757">
        <w:rPr>
          <w:rFonts w:ascii="Arial" w:hAnsi="Arial"/>
          <w:sz w:val="22"/>
          <w:szCs w:val="22"/>
        </w:rPr>
        <w:t xml:space="preserve">The dataset was first examined for missing values and data quality issues. Inspection identified 11 incomplete records with missing values in the </w:t>
      </w:r>
      <w:proofErr w:type="spellStart"/>
      <w:r w:rsidRPr="00477757">
        <w:rPr>
          <w:rFonts w:ascii="Arial" w:hAnsi="Arial"/>
          <w:sz w:val="22"/>
          <w:szCs w:val="22"/>
        </w:rPr>
        <w:t>TotalCharges</w:t>
      </w:r>
      <w:proofErr w:type="spellEnd"/>
      <w:r w:rsidRPr="00477757">
        <w:rPr>
          <w:rFonts w:ascii="Arial" w:hAnsi="Arial"/>
          <w:sz w:val="22"/>
          <w:szCs w:val="22"/>
        </w:rPr>
        <w:t xml:space="preserve"> attribute. As these represented less than 0.2% of the dataset, the records were removed rather than imputed to preserve the integrity of the financial data and avoid potential bias [8], [9]. Following their removal, the dataset contained 7,032 complete customer records.</w:t>
      </w:r>
    </w:p>
    <w:p w14:paraId="62DE52F5" w14:textId="6E279CA5" w:rsidR="00477757" w:rsidRPr="00477757" w:rsidRDefault="00477757" w:rsidP="007976D1">
      <w:pPr>
        <w:spacing w:before="120" w:after="120" w:line="360" w:lineRule="auto"/>
        <w:jc w:val="both"/>
        <w:rPr>
          <w:rFonts w:ascii="Arial" w:hAnsi="Arial"/>
          <w:sz w:val="22"/>
          <w:szCs w:val="22"/>
        </w:rPr>
      </w:pPr>
      <w:r w:rsidRPr="00477757">
        <w:rPr>
          <w:rFonts w:ascii="Arial" w:hAnsi="Arial"/>
          <w:sz w:val="22"/>
          <w:szCs w:val="22"/>
        </w:rPr>
        <w:t xml:space="preserve">The </w:t>
      </w:r>
      <w:proofErr w:type="spellStart"/>
      <w:r w:rsidRPr="00477757">
        <w:rPr>
          <w:rFonts w:ascii="Arial" w:hAnsi="Arial"/>
          <w:sz w:val="22"/>
          <w:szCs w:val="22"/>
        </w:rPr>
        <w:t>customerID</w:t>
      </w:r>
      <w:proofErr w:type="spellEnd"/>
      <w:r w:rsidRPr="00477757">
        <w:rPr>
          <w:rFonts w:ascii="Arial" w:hAnsi="Arial"/>
          <w:sz w:val="22"/>
          <w:szCs w:val="22"/>
        </w:rPr>
        <w:t xml:space="preserve"> attribute was excluded because it serves only as a unique identifier and provides no predictive value. Including identifier fields may increase model complexity without improving classification performance [2]. The remaining variables were verified to ensure that numerical attributes, including tenure, </w:t>
      </w:r>
      <w:proofErr w:type="spellStart"/>
      <w:r w:rsidRPr="00477757">
        <w:rPr>
          <w:rFonts w:ascii="Arial" w:hAnsi="Arial"/>
          <w:sz w:val="22"/>
          <w:szCs w:val="22"/>
        </w:rPr>
        <w:t>MonthlyCharges</w:t>
      </w:r>
      <w:proofErr w:type="spellEnd"/>
      <w:r w:rsidRPr="00477757">
        <w:rPr>
          <w:rFonts w:ascii="Arial" w:hAnsi="Arial"/>
          <w:sz w:val="22"/>
          <w:szCs w:val="22"/>
        </w:rPr>
        <w:t xml:space="preserve">, and </w:t>
      </w:r>
      <w:proofErr w:type="spellStart"/>
      <w:r w:rsidRPr="00477757">
        <w:rPr>
          <w:rFonts w:ascii="Arial" w:hAnsi="Arial"/>
          <w:sz w:val="22"/>
          <w:szCs w:val="22"/>
        </w:rPr>
        <w:t>TotalCharges</w:t>
      </w:r>
      <w:proofErr w:type="spellEnd"/>
      <w:r w:rsidRPr="00477757">
        <w:rPr>
          <w:rFonts w:ascii="Arial" w:hAnsi="Arial"/>
          <w:sz w:val="22"/>
          <w:szCs w:val="22"/>
        </w:rPr>
        <w:t xml:space="preserve">, were correctly formatted, while categorical attributes such as Contract, </w:t>
      </w:r>
      <w:proofErr w:type="spellStart"/>
      <w:r w:rsidRPr="00477757">
        <w:rPr>
          <w:rFonts w:ascii="Arial" w:hAnsi="Arial"/>
          <w:sz w:val="22"/>
          <w:szCs w:val="22"/>
        </w:rPr>
        <w:t>InternetService</w:t>
      </w:r>
      <w:proofErr w:type="spellEnd"/>
      <w:r w:rsidRPr="00477757">
        <w:rPr>
          <w:rFonts w:ascii="Arial" w:hAnsi="Arial"/>
          <w:sz w:val="22"/>
          <w:szCs w:val="22"/>
        </w:rPr>
        <w:t xml:space="preserve">, and </w:t>
      </w:r>
      <w:proofErr w:type="spellStart"/>
      <w:r w:rsidRPr="00477757">
        <w:rPr>
          <w:rFonts w:ascii="Arial" w:hAnsi="Arial"/>
          <w:sz w:val="22"/>
          <w:szCs w:val="22"/>
        </w:rPr>
        <w:t>PaymentMethod</w:t>
      </w:r>
      <w:proofErr w:type="spellEnd"/>
      <w:r w:rsidRPr="00477757">
        <w:rPr>
          <w:rFonts w:ascii="Arial" w:hAnsi="Arial"/>
          <w:sz w:val="22"/>
          <w:szCs w:val="22"/>
        </w:rPr>
        <w:t xml:space="preserve"> were checked for consistency before importing the dataset into Weka Explorer.</w:t>
      </w:r>
    </w:p>
    <w:p w14:paraId="0621742C" w14:textId="77777777" w:rsidR="00477757" w:rsidRPr="00477757" w:rsidRDefault="00477757" w:rsidP="007976D1">
      <w:pPr>
        <w:spacing w:before="120" w:after="120" w:line="360" w:lineRule="auto"/>
        <w:jc w:val="both"/>
        <w:rPr>
          <w:rFonts w:ascii="Arial" w:hAnsi="Arial"/>
          <w:sz w:val="22"/>
          <w:szCs w:val="22"/>
        </w:rPr>
      </w:pPr>
      <w:r w:rsidRPr="00477757">
        <w:rPr>
          <w:rFonts w:ascii="Arial" w:hAnsi="Arial"/>
          <w:sz w:val="22"/>
          <w:szCs w:val="22"/>
        </w:rPr>
        <w:t>Although the dataset exhibited a moderate class imbalance, with approximately 73% non-churn and 27% churn observations, no balancing technique was applied. Retaining the original class distribution provides a realistic representation of operational business data and enables model performance to be evaluated under practical conditions [9]. Model performance was assessed using multiple evaluation measures, including accuracy, precision, recall, ROC Area, and Cohen's Kappa, to provide a balanced assessment of predictive capability [10], [14].</w:t>
      </w:r>
    </w:p>
    <w:p w14:paraId="4C72766E" w14:textId="77777777" w:rsidR="00477757" w:rsidRPr="00477757" w:rsidRDefault="00477757" w:rsidP="007976D1">
      <w:pPr>
        <w:spacing w:before="120" w:after="120" w:line="360" w:lineRule="auto"/>
        <w:jc w:val="both"/>
        <w:rPr>
          <w:rFonts w:ascii="Arial" w:hAnsi="Arial"/>
          <w:sz w:val="22"/>
          <w:szCs w:val="22"/>
        </w:rPr>
      </w:pPr>
      <w:r w:rsidRPr="00477757">
        <w:rPr>
          <w:rFonts w:ascii="Arial" w:hAnsi="Arial"/>
          <w:sz w:val="22"/>
          <w:szCs w:val="22"/>
        </w:rPr>
        <w:t xml:space="preserve">All classification experiments were performed using 10-fold cross-validation, in which the dataset was divided into ten subsets. Each subset was used once for testing while the remaining subsets were used for training, with the final results obtained by averaging performance across all </w:t>
      </w:r>
      <w:r w:rsidRPr="00477757">
        <w:rPr>
          <w:rFonts w:ascii="Arial" w:hAnsi="Arial"/>
          <w:sz w:val="22"/>
          <w:szCs w:val="22"/>
        </w:rPr>
        <w:lastRenderedPageBreak/>
        <w:t>iterations [10]. Compared with a single train-test split, this approach reduces sampling bias and provides a more reliable estimate of model performance.</w:t>
      </w:r>
    </w:p>
    <w:p w14:paraId="5478BBC3" w14:textId="04DBCA14" w:rsidR="00477757" w:rsidRDefault="00477757" w:rsidP="74606C50">
      <w:pPr>
        <w:spacing w:before="120" w:after="120" w:line="360" w:lineRule="auto"/>
        <w:jc w:val="both"/>
        <w:rPr>
          <w:rFonts w:ascii="Arial" w:hAnsi="Arial"/>
          <w:sz w:val="22"/>
          <w:szCs w:val="22"/>
        </w:rPr>
      </w:pPr>
      <w:r w:rsidRPr="00477757">
        <w:rPr>
          <w:rFonts w:ascii="Arial" w:hAnsi="Arial"/>
          <w:sz w:val="22"/>
          <w:szCs w:val="22"/>
        </w:rPr>
        <w:t xml:space="preserve">Following model development, post-processing activities were undertaken to </w:t>
      </w:r>
      <w:proofErr w:type="spellStart"/>
      <w:r w:rsidRPr="00477757">
        <w:rPr>
          <w:rFonts w:ascii="Arial" w:hAnsi="Arial"/>
          <w:sz w:val="22"/>
          <w:szCs w:val="22"/>
        </w:rPr>
        <w:t>organise</w:t>
      </w:r>
      <w:proofErr w:type="spellEnd"/>
      <w:r w:rsidRPr="00477757">
        <w:rPr>
          <w:rFonts w:ascii="Arial" w:hAnsi="Arial"/>
          <w:sz w:val="22"/>
          <w:szCs w:val="22"/>
        </w:rPr>
        <w:t xml:space="preserve"> and interpret the results. Performance metrics generated by Weka, including accuracy, precision, recall, ROC Area, and Cohen's Kappa, were </w:t>
      </w:r>
      <w:proofErr w:type="spellStart"/>
      <w:r w:rsidRPr="00477757">
        <w:rPr>
          <w:rFonts w:ascii="Arial" w:hAnsi="Arial"/>
          <w:sz w:val="22"/>
          <w:szCs w:val="22"/>
        </w:rPr>
        <w:t>summarised</w:t>
      </w:r>
      <w:proofErr w:type="spellEnd"/>
      <w:r w:rsidRPr="00477757">
        <w:rPr>
          <w:rFonts w:ascii="Arial" w:hAnsi="Arial"/>
          <w:sz w:val="22"/>
          <w:szCs w:val="22"/>
        </w:rPr>
        <w:t xml:space="preserve"> in comparative tables to support objective evaluation of the five classifiers. Confusion matrices were also examined to assess each model's ability to distinguish between customers who churned and those who remained. Finally, Tableau was used to produce </w:t>
      </w:r>
      <w:proofErr w:type="spellStart"/>
      <w:r w:rsidRPr="00477757">
        <w:rPr>
          <w:rFonts w:ascii="Arial" w:hAnsi="Arial"/>
          <w:sz w:val="22"/>
          <w:szCs w:val="22"/>
        </w:rPr>
        <w:t>visualisations</w:t>
      </w:r>
      <w:proofErr w:type="spellEnd"/>
      <w:r w:rsidRPr="00477757">
        <w:rPr>
          <w:rFonts w:ascii="Arial" w:hAnsi="Arial"/>
          <w:sz w:val="22"/>
          <w:szCs w:val="22"/>
        </w:rPr>
        <w:t xml:space="preserve"> of both the exploratory analysis and comparative algorithm performance, converting the experimental results into interpretable findings that informed the comparative analysis presented in the following section.</w:t>
      </w:r>
    </w:p>
    <w:p w14:paraId="32821B8C" w14:textId="77777777" w:rsidR="00477757" w:rsidRPr="00477757" w:rsidRDefault="00477757" w:rsidP="007976D1">
      <w:pPr>
        <w:jc w:val="both"/>
      </w:pPr>
    </w:p>
    <w:p w14:paraId="2ABDFD19" w14:textId="5F1CD369" w:rsidR="005275EC" w:rsidRDefault="0068258F" w:rsidP="007976D1">
      <w:pPr>
        <w:pStyle w:val="Heading2"/>
        <w:jc w:val="both"/>
        <w:rPr>
          <w:sz w:val="28"/>
          <w:szCs w:val="28"/>
        </w:rPr>
      </w:pPr>
      <w:bookmarkStart w:id="6" w:name="_Toc236382642"/>
      <w:r>
        <w:rPr>
          <w:sz w:val="28"/>
          <w:szCs w:val="28"/>
        </w:rPr>
        <w:t>2.4 Sample Runs and Analysis Methods</w:t>
      </w:r>
      <w:bookmarkEnd w:id="6"/>
    </w:p>
    <w:p w14:paraId="2F88EAE4" w14:textId="6B6750E1" w:rsidR="005275EC" w:rsidRDefault="0068258F" w:rsidP="007976D1">
      <w:pPr>
        <w:spacing w:before="120" w:after="120" w:line="360" w:lineRule="auto"/>
        <w:jc w:val="both"/>
      </w:pPr>
      <w:r>
        <w:rPr>
          <w:rFonts w:ascii="Arial" w:hAnsi="Arial"/>
          <w:sz w:val="22"/>
          <w:szCs w:val="22"/>
        </w:rPr>
        <w:t xml:space="preserve">The prepared IBM Telco Customer Churn dataset was </w:t>
      </w:r>
      <w:proofErr w:type="spellStart"/>
      <w:r>
        <w:rPr>
          <w:rFonts w:ascii="Arial" w:hAnsi="Arial"/>
          <w:sz w:val="22"/>
          <w:szCs w:val="22"/>
        </w:rPr>
        <w:t>analysed</w:t>
      </w:r>
      <w:proofErr w:type="spellEnd"/>
      <w:r>
        <w:rPr>
          <w:rFonts w:ascii="Arial" w:hAnsi="Arial"/>
          <w:sz w:val="22"/>
          <w:szCs w:val="22"/>
        </w:rPr>
        <w:t xml:space="preserve"> using Weka Explorer, an open-source platform for implementing and evaluating machine learning algorithms [2], [13]. The overall analytical process followed in this study is illustrated in Figure 1, showing the progression from data preparation to model evaluation.</w:t>
      </w:r>
    </w:p>
    <w:p w14:paraId="2902AEC3" w14:textId="6C46D248" w:rsidR="74606C50" w:rsidRDefault="74606C50" w:rsidP="74606C50">
      <w:pPr>
        <w:spacing w:before="120" w:after="120" w:line="360" w:lineRule="auto"/>
        <w:jc w:val="both"/>
        <w:rPr>
          <w:rFonts w:ascii="Arial" w:hAnsi="Arial"/>
          <w:sz w:val="22"/>
          <w:szCs w:val="22"/>
        </w:rPr>
      </w:pPr>
    </w:p>
    <w:p w14:paraId="32A7E9F9" w14:textId="77777777" w:rsidR="005275EC" w:rsidRDefault="0068258F" w:rsidP="007976D1">
      <w:pPr>
        <w:spacing w:before="120" w:after="120" w:line="360" w:lineRule="auto"/>
        <w:jc w:val="both"/>
      </w:pPr>
      <w:r w:rsidRPr="10646146">
        <w:rPr>
          <w:b/>
          <w:bCs/>
        </w:rPr>
        <w:t>Data Preparation Workflow Figure</w:t>
      </w:r>
    </w:p>
    <w:p w14:paraId="6EC7B152" w14:textId="72C29CDB" w:rsidR="005275EC" w:rsidRDefault="20B45B77" w:rsidP="10646146">
      <w:pPr>
        <w:spacing w:before="120" w:after="120" w:line="360" w:lineRule="auto"/>
        <w:jc w:val="center"/>
      </w:pPr>
      <w:r>
        <w:rPr>
          <w:noProof/>
        </w:rPr>
        <w:drawing>
          <wp:inline distT="0" distB="0" distL="0" distR="0" wp14:anchorId="1982FFE5" wp14:editId="7D8D9545">
            <wp:extent cx="1787525" cy="2607945"/>
            <wp:effectExtent l="0" t="0" r="0" b="0"/>
            <wp:docPr id="204402649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7"/>
                    <a:stretch>
                      <a:fillRect/>
                    </a:stretch>
                  </pic:blipFill>
                  <pic:spPr bwMode="auto">
                    <a:xfrm>
                      <a:off x="0" y="0"/>
                      <a:ext cx="1787525" cy="2607945"/>
                    </a:xfrm>
                    <a:prstGeom prst="rect">
                      <a:avLst/>
                    </a:prstGeom>
                  </pic:spPr>
                </pic:pic>
              </a:graphicData>
            </a:graphic>
          </wp:inline>
        </w:drawing>
      </w:r>
    </w:p>
    <w:p w14:paraId="2D4776FF" w14:textId="77777777" w:rsidR="005275EC" w:rsidRDefault="0068258F" w:rsidP="10646146">
      <w:pPr>
        <w:spacing w:before="120" w:after="120" w:line="360" w:lineRule="auto"/>
        <w:jc w:val="center"/>
      </w:pPr>
      <w:r w:rsidRPr="10646146">
        <w:rPr>
          <w:b/>
          <w:bCs/>
          <w:sz w:val="18"/>
          <w:szCs w:val="18"/>
        </w:rPr>
        <w:t>Figure 1:</w:t>
      </w:r>
      <w:r w:rsidRPr="10646146">
        <w:rPr>
          <w:i/>
          <w:iCs/>
          <w:sz w:val="18"/>
          <w:szCs w:val="18"/>
        </w:rPr>
        <w:t xml:space="preserve"> Data Preparation Workflow</w:t>
      </w:r>
    </w:p>
    <w:p w14:paraId="29ACEEC7" w14:textId="77777777" w:rsidR="005275EC" w:rsidRDefault="005275EC" w:rsidP="007976D1">
      <w:pPr>
        <w:spacing w:before="120" w:after="120" w:line="360" w:lineRule="auto"/>
        <w:jc w:val="both"/>
        <w:rPr>
          <w:rFonts w:ascii="Arial" w:hAnsi="Arial"/>
          <w:sz w:val="22"/>
          <w:szCs w:val="22"/>
        </w:rPr>
      </w:pPr>
    </w:p>
    <w:p w14:paraId="6A510F79" w14:textId="77777777"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The Churn attribute was defined as the target class for all supervised learning experiments. </w:t>
      </w:r>
    </w:p>
    <w:p w14:paraId="513973C6" w14:textId="39E7770E" w:rsidR="005275EC" w:rsidRDefault="0068258F" w:rsidP="007976D1">
      <w:pPr>
        <w:spacing w:before="120" w:after="120" w:line="360" w:lineRule="auto"/>
        <w:jc w:val="both"/>
        <w:rPr>
          <w:rFonts w:ascii="Arial" w:hAnsi="Arial"/>
          <w:sz w:val="22"/>
          <w:szCs w:val="22"/>
        </w:rPr>
      </w:pPr>
      <w:r>
        <w:rPr>
          <w:rFonts w:ascii="Arial" w:hAnsi="Arial"/>
          <w:sz w:val="22"/>
          <w:szCs w:val="22"/>
        </w:rPr>
        <w:t>Each classifier was evaluated using 10-fold cross-validation, in which the dataset was divided into ten subsets, with nine used for training and one for testing in each iteration [12]. This approach provides a reliable estimate of predictive performance while reducing sampling bias.</w:t>
      </w:r>
    </w:p>
    <w:p w14:paraId="241B5F94" w14:textId="77777777"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Five supervised classification algorithms were evaluated. </w:t>
      </w:r>
      <w:proofErr w:type="spellStart"/>
      <w:r>
        <w:rPr>
          <w:rFonts w:ascii="Arial" w:hAnsi="Arial"/>
          <w:sz w:val="22"/>
          <w:szCs w:val="22"/>
        </w:rPr>
        <w:t>ZeroR</w:t>
      </w:r>
      <w:proofErr w:type="spellEnd"/>
      <w:r>
        <w:rPr>
          <w:rFonts w:ascii="Arial" w:hAnsi="Arial"/>
          <w:sz w:val="22"/>
          <w:szCs w:val="22"/>
        </w:rPr>
        <w:t xml:space="preserve"> served as the baseline </w:t>
      </w:r>
    </w:p>
    <w:p w14:paraId="09546827" w14:textId="6FD6ACCD"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classifier by predicting the majority class [2]. J48 Decision Tree generated interpretable decision rules [14], Logistic Regression estimated the probability of customer churn through statistical modelling [15], Random Forest combined multiple decision trees to improve prediction accuracy [16], and Naïve Bayes applied probabilistic classification based on Bayes' theorem [17]. </w:t>
      </w:r>
    </w:p>
    <w:p w14:paraId="44BCD044" w14:textId="46E66476"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In addition, </w:t>
      </w:r>
      <w:proofErr w:type="spellStart"/>
      <w:r>
        <w:rPr>
          <w:rFonts w:ascii="Arial" w:hAnsi="Arial"/>
          <w:sz w:val="22"/>
          <w:szCs w:val="22"/>
        </w:rPr>
        <w:t>SimpleKMeans</w:t>
      </w:r>
      <w:proofErr w:type="spellEnd"/>
      <w:r>
        <w:rPr>
          <w:rFonts w:ascii="Arial" w:hAnsi="Arial"/>
          <w:sz w:val="22"/>
          <w:szCs w:val="22"/>
        </w:rPr>
        <w:t xml:space="preserve"> clustering grouped customers with similar characteristics without predefined class labels, producing three distinct customer segments that support targeted retention strategies (Table 2) [18].</w:t>
      </w:r>
    </w:p>
    <w:p w14:paraId="5B4B7511" w14:textId="40F3A9F6"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Classifier performance was evaluated using accuracy, precision, recall, ROC Area and Cohen's Kappa, providing a balanced comparison of predictive capability [11]. The overall performance of the classification models is </w:t>
      </w:r>
      <w:proofErr w:type="spellStart"/>
      <w:r>
        <w:rPr>
          <w:rFonts w:ascii="Arial" w:hAnsi="Arial"/>
          <w:sz w:val="22"/>
          <w:szCs w:val="22"/>
        </w:rPr>
        <w:t>summarised</w:t>
      </w:r>
      <w:proofErr w:type="spellEnd"/>
      <w:r>
        <w:rPr>
          <w:rFonts w:ascii="Arial" w:hAnsi="Arial"/>
          <w:sz w:val="22"/>
          <w:szCs w:val="22"/>
        </w:rPr>
        <w:t xml:space="preserve"> in Table 1, while the corresponding confusion </w:t>
      </w:r>
    </w:p>
    <w:p w14:paraId="6C01013A" w14:textId="36CBBBBB" w:rsidR="005275EC" w:rsidRDefault="0068258F" w:rsidP="007976D1">
      <w:pPr>
        <w:spacing w:before="120" w:after="120" w:line="360" w:lineRule="auto"/>
        <w:jc w:val="both"/>
      </w:pPr>
      <w:r>
        <w:rPr>
          <w:rFonts w:ascii="Arial" w:hAnsi="Arial"/>
          <w:sz w:val="22"/>
          <w:szCs w:val="22"/>
        </w:rPr>
        <w:t>matrices, which provide a detailed breakdown of correct and incorrect classifications for each algorithm, are presented in Appendix A.</w:t>
      </w:r>
    </w:p>
    <w:tbl>
      <w:tblPr>
        <w:tblW w:w="3139" w:type="dxa"/>
        <w:tblLayout w:type="fixed"/>
        <w:tblCellMar>
          <w:top w:w="15" w:type="dxa"/>
          <w:left w:w="22" w:type="dxa"/>
          <w:bottom w:w="15" w:type="dxa"/>
          <w:right w:w="22" w:type="dxa"/>
        </w:tblCellMar>
        <w:tblLook w:val="0000" w:firstRow="0" w:lastRow="0" w:firstColumn="0" w:lastColumn="0" w:noHBand="0" w:noVBand="0"/>
      </w:tblPr>
      <w:tblGrid>
        <w:gridCol w:w="1395"/>
        <w:gridCol w:w="1744"/>
      </w:tblGrid>
      <w:tr w:rsidR="005275EC" w14:paraId="067AE4B9" w14:textId="77777777">
        <w:trPr>
          <w:trHeight w:val="540"/>
        </w:trPr>
        <w:tc>
          <w:tcPr>
            <w:tcW w:w="1395" w:type="dxa"/>
            <w:tcBorders>
              <w:top w:val="single" w:sz="6" w:space="0" w:color="E0E0E0"/>
              <w:left w:val="single" w:sz="6" w:space="0" w:color="E0E0E0"/>
              <w:bottom w:val="single" w:sz="6" w:space="0" w:color="E0E0E0"/>
              <w:right w:val="single" w:sz="6" w:space="0" w:color="E0E0E0"/>
            </w:tcBorders>
          </w:tcPr>
          <w:p w14:paraId="7D99105E" w14:textId="77777777" w:rsidR="005275EC" w:rsidRDefault="0068258F" w:rsidP="007976D1">
            <w:pPr>
              <w:spacing w:before="120" w:after="120" w:line="360" w:lineRule="auto"/>
              <w:jc w:val="both"/>
              <w:rPr>
                <w:sz w:val="18"/>
                <w:szCs w:val="18"/>
              </w:rPr>
            </w:pPr>
            <w:r>
              <w:rPr>
                <w:rFonts w:ascii="Arial" w:hAnsi="Arial"/>
                <w:b/>
                <w:bCs/>
                <w:sz w:val="18"/>
                <w:szCs w:val="18"/>
              </w:rPr>
              <w:t>Cluster</w:t>
            </w:r>
          </w:p>
        </w:tc>
        <w:tc>
          <w:tcPr>
            <w:tcW w:w="1743" w:type="dxa"/>
            <w:tcBorders>
              <w:top w:val="single" w:sz="6" w:space="0" w:color="E0E0E0"/>
              <w:left w:val="single" w:sz="6" w:space="0" w:color="E0E0E0"/>
              <w:bottom w:val="single" w:sz="6" w:space="0" w:color="E0E0E0"/>
              <w:right w:val="single" w:sz="6" w:space="0" w:color="E0E0E0"/>
            </w:tcBorders>
          </w:tcPr>
          <w:p w14:paraId="7415E18D" w14:textId="77777777" w:rsidR="005275EC" w:rsidRDefault="0068258F" w:rsidP="007976D1">
            <w:pPr>
              <w:spacing w:before="120" w:after="120" w:line="360" w:lineRule="auto"/>
              <w:jc w:val="both"/>
              <w:rPr>
                <w:sz w:val="18"/>
                <w:szCs w:val="18"/>
              </w:rPr>
            </w:pPr>
            <w:r>
              <w:rPr>
                <w:rFonts w:ascii="Arial" w:hAnsi="Arial"/>
                <w:b/>
                <w:bCs/>
                <w:sz w:val="18"/>
                <w:szCs w:val="18"/>
              </w:rPr>
              <w:t>Distribution</w:t>
            </w:r>
          </w:p>
        </w:tc>
      </w:tr>
      <w:tr w:rsidR="005275EC" w14:paraId="678076A6" w14:textId="77777777">
        <w:trPr>
          <w:trHeight w:val="540"/>
        </w:trPr>
        <w:tc>
          <w:tcPr>
            <w:tcW w:w="1395" w:type="dxa"/>
            <w:tcBorders>
              <w:left w:val="single" w:sz="6" w:space="0" w:color="E0E0E0"/>
              <w:bottom w:val="single" w:sz="6" w:space="0" w:color="E0E0E0"/>
              <w:right w:val="single" w:sz="6" w:space="0" w:color="E0E0E0"/>
            </w:tcBorders>
          </w:tcPr>
          <w:p w14:paraId="33A5427B" w14:textId="77777777" w:rsidR="005275EC" w:rsidRDefault="0068258F" w:rsidP="007976D1">
            <w:pPr>
              <w:jc w:val="both"/>
              <w:rPr>
                <w:sz w:val="18"/>
                <w:szCs w:val="18"/>
              </w:rPr>
            </w:pPr>
            <w:r>
              <w:rPr>
                <w:rFonts w:ascii="Arial" w:hAnsi="Arial"/>
                <w:color w:val="000000"/>
                <w:sz w:val="18"/>
                <w:szCs w:val="18"/>
              </w:rPr>
              <w:t>Cluster 1</w:t>
            </w:r>
          </w:p>
        </w:tc>
        <w:tc>
          <w:tcPr>
            <w:tcW w:w="1743" w:type="dxa"/>
            <w:tcBorders>
              <w:left w:val="single" w:sz="6" w:space="0" w:color="E0E0E0"/>
              <w:bottom w:val="single" w:sz="6" w:space="0" w:color="E0E0E0"/>
              <w:right w:val="single" w:sz="6" w:space="0" w:color="E0E0E0"/>
            </w:tcBorders>
          </w:tcPr>
          <w:p w14:paraId="65F44824" w14:textId="77777777" w:rsidR="005275EC" w:rsidRDefault="0068258F" w:rsidP="007976D1">
            <w:pPr>
              <w:jc w:val="both"/>
              <w:rPr>
                <w:sz w:val="18"/>
                <w:szCs w:val="18"/>
              </w:rPr>
            </w:pPr>
            <w:r>
              <w:rPr>
                <w:rFonts w:ascii="Arial" w:hAnsi="Arial"/>
                <w:color w:val="000000"/>
                <w:sz w:val="18"/>
                <w:szCs w:val="18"/>
              </w:rPr>
              <w:t>32%</w:t>
            </w:r>
          </w:p>
        </w:tc>
      </w:tr>
      <w:tr w:rsidR="005275EC" w14:paraId="3861A0C6" w14:textId="77777777">
        <w:trPr>
          <w:trHeight w:val="540"/>
        </w:trPr>
        <w:tc>
          <w:tcPr>
            <w:tcW w:w="1395" w:type="dxa"/>
            <w:tcBorders>
              <w:left w:val="single" w:sz="6" w:space="0" w:color="E0E0E0"/>
              <w:bottom w:val="single" w:sz="6" w:space="0" w:color="E0E0E0"/>
              <w:right w:val="single" w:sz="6" w:space="0" w:color="E0E0E0"/>
            </w:tcBorders>
          </w:tcPr>
          <w:p w14:paraId="4654BBE2" w14:textId="77777777" w:rsidR="005275EC" w:rsidRDefault="0068258F" w:rsidP="007976D1">
            <w:pPr>
              <w:jc w:val="both"/>
              <w:rPr>
                <w:sz w:val="18"/>
                <w:szCs w:val="18"/>
              </w:rPr>
            </w:pPr>
            <w:r>
              <w:rPr>
                <w:rFonts w:ascii="Arial" w:hAnsi="Arial"/>
                <w:color w:val="000000"/>
                <w:sz w:val="18"/>
                <w:szCs w:val="18"/>
              </w:rPr>
              <w:t>Cluster 2</w:t>
            </w:r>
          </w:p>
        </w:tc>
        <w:tc>
          <w:tcPr>
            <w:tcW w:w="1743" w:type="dxa"/>
            <w:tcBorders>
              <w:left w:val="single" w:sz="6" w:space="0" w:color="E0E0E0"/>
              <w:bottom w:val="single" w:sz="6" w:space="0" w:color="E0E0E0"/>
              <w:right w:val="single" w:sz="6" w:space="0" w:color="E0E0E0"/>
            </w:tcBorders>
          </w:tcPr>
          <w:p w14:paraId="3BB8B76D" w14:textId="77777777" w:rsidR="005275EC" w:rsidRDefault="0068258F" w:rsidP="007976D1">
            <w:pPr>
              <w:jc w:val="both"/>
              <w:rPr>
                <w:sz w:val="18"/>
                <w:szCs w:val="18"/>
              </w:rPr>
            </w:pPr>
            <w:r>
              <w:rPr>
                <w:rFonts w:ascii="Arial" w:hAnsi="Arial"/>
                <w:color w:val="000000"/>
                <w:sz w:val="18"/>
                <w:szCs w:val="18"/>
              </w:rPr>
              <w:t>43%</w:t>
            </w:r>
          </w:p>
        </w:tc>
      </w:tr>
      <w:tr w:rsidR="005275EC" w14:paraId="4E18A5A1" w14:textId="77777777">
        <w:trPr>
          <w:trHeight w:val="540"/>
        </w:trPr>
        <w:tc>
          <w:tcPr>
            <w:tcW w:w="1395" w:type="dxa"/>
            <w:tcBorders>
              <w:left w:val="single" w:sz="6" w:space="0" w:color="E0E0E0"/>
              <w:bottom w:val="single" w:sz="6" w:space="0" w:color="E0E0E0"/>
              <w:right w:val="single" w:sz="6" w:space="0" w:color="E0E0E0"/>
            </w:tcBorders>
          </w:tcPr>
          <w:p w14:paraId="14618D0C" w14:textId="77777777" w:rsidR="005275EC" w:rsidRDefault="0068258F" w:rsidP="007976D1">
            <w:pPr>
              <w:jc w:val="both"/>
              <w:rPr>
                <w:sz w:val="18"/>
                <w:szCs w:val="18"/>
              </w:rPr>
            </w:pPr>
            <w:r>
              <w:rPr>
                <w:rFonts w:ascii="Arial" w:hAnsi="Arial"/>
                <w:color w:val="000000"/>
                <w:sz w:val="18"/>
                <w:szCs w:val="18"/>
              </w:rPr>
              <w:t>Cluster 3</w:t>
            </w:r>
          </w:p>
        </w:tc>
        <w:tc>
          <w:tcPr>
            <w:tcW w:w="1743" w:type="dxa"/>
            <w:tcBorders>
              <w:left w:val="single" w:sz="6" w:space="0" w:color="E0E0E0"/>
              <w:bottom w:val="single" w:sz="6" w:space="0" w:color="E0E0E0"/>
              <w:right w:val="single" w:sz="6" w:space="0" w:color="E0E0E0"/>
            </w:tcBorders>
          </w:tcPr>
          <w:p w14:paraId="7D6CB2EA" w14:textId="77777777" w:rsidR="005275EC" w:rsidRDefault="0068258F" w:rsidP="007976D1">
            <w:pPr>
              <w:jc w:val="both"/>
              <w:rPr>
                <w:sz w:val="18"/>
                <w:szCs w:val="18"/>
              </w:rPr>
            </w:pPr>
            <w:r>
              <w:rPr>
                <w:rFonts w:ascii="Arial" w:hAnsi="Arial"/>
                <w:color w:val="000000"/>
                <w:sz w:val="18"/>
                <w:szCs w:val="18"/>
              </w:rPr>
              <w:t>26%</w:t>
            </w:r>
          </w:p>
        </w:tc>
      </w:tr>
    </w:tbl>
    <w:p w14:paraId="2296FD9D" w14:textId="77777777" w:rsidR="005275EC" w:rsidRDefault="0068258F" w:rsidP="007976D1">
      <w:pPr>
        <w:spacing w:before="120" w:after="120" w:line="360" w:lineRule="auto"/>
        <w:jc w:val="both"/>
      </w:pPr>
      <w:r>
        <w:rPr>
          <w:rFonts w:ascii="Arial" w:hAnsi="Arial"/>
          <w:b/>
          <w:bCs/>
          <w:sz w:val="18"/>
          <w:szCs w:val="18"/>
        </w:rPr>
        <w:t>Table 1:</w:t>
      </w:r>
      <w:r>
        <w:rPr>
          <w:rFonts w:ascii="Arial" w:hAnsi="Arial"/>
          <w:sz w:val="18"/>
          <w:szCs w:val="18"/>
        </w:rPr>
        <w:t xml:space="preserve"> </w:t>
      </w:r>
      <w:proofErr w:type="spellStart"/>
      <w:r>
        <w:rPr>
          <w:rFonts w:ascii="Arial" w:hAnsi="Arial"/>
          <w:i/>
          <w:iCs/>
          <w:sz w:val="18"/>
          <w:szCs w:val="18"/>
        </w:rPr>
        <w:t>SimpleKMeans</w:t>
      </w:r>
      <w:proofErr w:type="spellEnd"/>
      <w:r>
        <w:rPr>
          <w:rFonts w:ascii="Arial" w:hAnsi="Arial"/>
          <w:i/>
          <w:iCs/>
          <w:sz w:val="18"/>
          <w:szCs w:val="18"/>
        </w:rPr>
        <w:t xml:space="preserve"> Cluster Distribution</w:t>
      </w:r>
    </w:p>
    <w:p w14:paraId="158C27A3" w14:textId="77777777" w:rsidR="005275EC" w:rsidRDefault="005275EC" w:rsidP="007976D1">
      <w:pPr>
        <w:spacing w:before="120" w:after="120" w:line="360" w:lineRule="auto"/>
        <w:jc w:val="both"/>
        <w:rPr>
          <w:rFonts w:ascii="Arial" w:hAnsi="Arial"/>
          <w:sz w:val="22"/>
          <w:szCs w:val="22"/>
        </w:rPr>
      </w:pPr>
    </w:p>
    <w:p w14:paraId="3CD94326" w14:textId="77777777" w:rsidR="005275EC" w:rsidRDefault="005275EC" w:rsidP="007976D1">
      <w:pPr>
        <w:spacing w:before="120" w:after="120" w:line="360" w:lineRule="auto"/>
        <w:jc w:val="both"/>
        <w:rPr>
          <w:rFonts w:ascii="Arial" w:hAnsi="Arial"/>
          <w:sz w:val="22"/>
          <w:szCs w:val="22"/>
        </w:rPr>
      </w:pPr>
    </w:p>
    <w:p w14:paraId="75F1E5B6" w14:textId="77777777" w:rsidR="005275EC" w:rsidRDefault="0068258F" w:rsidP="007976D1">
      <w:pPr>
        <w:spacing w:before="120" w:after="120" w:line="360" w:lineRule="auto"/>
        <w:jc w:val="both"/>
      </w:pPr>
      <w:r>
        <w:rPr>
          <w:rFonts w:ascii="Arial" w:hAnsi="Arial"/>
          <w:sz w:val="22"/>
          <w:szCs w:val="22"/>
        </w:rPr>
        <w:t>The comparative performance of the five classification algorithms is presented in Table 2.</w:t>
      </w:r>
    </w:p>
    <w:tbl>
      <w:tblPr>
        <w:tblW w:w="8694" w:type="dxa"/>
        <w:tblInd w:w="-29" w:type="dxa"/>
        <w:tblLayout w:type="fixed"/>
        <w:tblCellMar>
          <w:top w:w="15" w:type="dxa"/>
          <w:left w:w="22" w:type="dxa"/>
          <w:bottom w:w="15" w:type="dxa"/>
          <w:right w:w="22" w:type="dxa"/>
        </w:tblCellMar>
        <w:tblLook w:val="0000" w:firstRow="0" w:lastRow="0" w:firstColumn="0" w:lastColumn="0" w:noHBand="0" w:noVBand="0"/>
      </w:tblPr>
      <w:tblGrid>
        <w:gridCol w:w="2736"/>
        <w:gridCol w:w="2051"/>
        <w:gridCol w:w="1637"/>
        <w:gridCol w:w="2270"/>
      </w:tblGrid>
      <w:tr w:rsidR="005275EC" w14:paraId="3D8F06A1" w14:textId="77777777">
        <w:trPr>
          <w:trHeight w:val="450"/>
        </w:trPr>
        <w:tc>
          <w:tcPr>
            <w:tcW w:w="2735" w:type="dxa"/>
            <w:tcBorders>
              <w:top w:val="single" w:sz="6" w:space="0" w:color="E0E0E0"/>
              <w:left w:val="single" w:sz="6" w:space="0" w:color="E0E0E0"/>
              <w:bottom w:val="single" w:sz="6" w:space="0" w:color="E0E0E0"/>
              <w:right w:val="single" w:sz="6" w:space="0" w:color="E0E0E0"/>
            </w:tcBorders>
          </w:tcPr>
          <w:p w14:paraId="5C06804F" w14:textId="77777777" w:rsidR="005275EC" w:rsidRDefault="0068258F" w:rsidP="007976D1">
            <w:pPr>
              <w:spacing w:line="360" w:lineRule="auto"/>
              <w:jc w:val="both"/>
            </w:pPr>
            <w:r>
              <w:rPr>
                <w:b/>
                <w:bCs/>
                <w:sz w:val="18"/>
                <w:szCs w:val="18"/>
              </w:rPr>
              <w:lastRenderedPageBreak/>
              <w:t>Classification Algorithm</w:t>
            </w:r>
          </w:p>
        </w:tc>
        <w:tc>
          <w:tcPr>
            <w:tcW w:w="2051" w:type="dxa"/>
            <w:tcBorders>
              <w:top w:val="single" w:sz="6" w:space="0" w:color="E0E0E0"/>
              <w:left w:val="single" w:sz="6" w:space="0" w:color="E0E0E0"/>
              <w:bottom w:val="single" w:sz="6" w:space="0" w:color="E0E0E0"/>
              <w:right w:val="single" w:sz="6" w:space="0" w:color="E0E0E0"/>
            </w:tcBorders>
          </w:tcPr>
          <w:p w14:paraId="00754705" w14:textId="77777777" w:rsidR="005275EC" w:rsidRDefault="0068258F" w:rsidP="007976D1">
            <w:pPr>
              <w:spacing w:line="360" w:lineRule="auto"/>
              <w:jc w:val="both"/>
            </w:pPr>
            <w:r>
              <w:rPr>
                <w:b/>
                <w:bCs/>
                <w:sz w:val="18"/>
                <w:szCs w:val="18"/>
              </w:rPr>
              <w:t>Accuracy (%)</w:t>
            </w:r>
          </w:p>
        </w:tc>
        <w:tc>
          <w:tcPr>
            <w:tcW w:w="1637" w:type="dxa"/>
            <w:tcBorders>
              <w:top w:val="single" w:sz="6" w:space="0" w:color="E0E0E0"/>
              <w:left w:val="single" w:sz="6" w:space="0" w:color="E0E0E0"/>
              <w:bottom w:val="single" w:sz="6" w:space="0" w:color="E0E0E0"/>
              <w:right w:val="single" w:sz="6" w:space="0" w:color="E0E0E0"/>
            </w:tcBorders>
          </w:tcPr>
          <w:p w14:paraId="2E324902" w14:textId="77777777" w:rsidR="005275EC" w:rsidRDefault="0068258F" w:rsidP="007976D1">
            <w:pPr>
              <w:spacing w:line="360" w:lineRule="auto"/>
              <w:jc w:val="both"/>
            </w:pPr>
            <w:r>
              <w:rPr>
                <w:b/>
                <w:bCs/>
                <w:sz w:val="18"/>
                <w:szCs w:val="18"/>
              </w:rPr>
              <w:t>ROC Area</w:t>
            </w:r>
          </w:p>
        </w:tc>
        <w:tc>
          <w:tcPr>
            <w:tcW w:w="2270" w:type="dxa"/>
            <w:tcBorders>
              <w:top w:val="single" w:sz="6" w:space="0" w:color="E0E0E0"/>
              <w:left w:val="single" w:sz="6" w:space="0" w:color="E0E0E0"/>
              <w:bottom w:val="single" w:sz="6" w:space="0" w:color="E0E0E0"/>
              <w:right w:val="single" w:sz="6" w:space="0" w:color="E0E0E0"/>
            </w:tcBorders>
          </w:tcPr>
          <w:p w14:paraId="5A27A26D" w14:textId="77777777" w:rsidR="005275EC" w:rsidRDefault="0068258F" w:rsidP="007976D1">
            <w:pPr>
              <w:spacing w:line="360" w:lineRule="auto"/>
              <w:jc w:val="both"/>
            </w:pPr>
            <w:r>
              <w:rPr>
                <w:b/>
                <w:bCs/>
                <w:sz w:val="18"/>
                <w:szCs w:val="18"/>
              </w:rPr>
              <w:t>Cohen's Kappa</w:t>
            </w:r>
          </w:p>
        </w:tc>
      </w:tr>
      <w:tr w:rsidR="005275EC" w14:paraId="282B9063" w14:textId="77777777">
        <w:trPr>
          <w:trHeight w:val="398"/>
        </w:trPr>
        <w:tc>
          <w:tcPr>
            <w:tcW w:w="2735" w:type="dxa"/>
            <w:tcBorders>
              <w:left w:val="single" w:sz="6" w:space="0" w:color="E0E0E0"/>
              <w:bottom w:val="single" w:sz="6" w:space="0" w:color="E0E0E0"/>
              <w:right w:val="single" w:sz="6" w:space="0" w:color="E0E0E0"/>
            </w:tcBorders>
          </w:tcPr>
          <w:p w14:paraId="32FE143F" w14:textId="77777777" w:rsidR="005275EC" w:rsidRDefault="0068258F" w:rsidP="007976D1">
            <w:pPr>
              <w:spacing w:line="360" w:lineRule="auto"/>
              <w:jc w:val="both"/>
            </w:pPr>
            <w:proofErr w:type="spellStart"/>
            <w:r>
              <w:rPr>
                <w:rFonts w:ascii="Arial" w:hAnsi="Arial"/>
                <w:color w:val="000000"/>
                <w:sz w:val="18"/>
                <w:szCs w:val="18"/>
              </w:rPr>
              <w:t>ZeroR</w:t>
            </w:r>
            <w:proofErr w:type="spellEnd"/>
          </w:p>
        </w:tc>
        <w:tc>
          <w:tcPr>
            <w:tcW w:w="2051" w:type="dxa"/>
            <w:tcBorders>
              <w:left w:val="single" w:sz="6" w:space="0" w:color="E0E0E0"/>
              <w:bottom w:val="single" w:sz="6" w:space="0" w:color="E0E0E0"/>
              <w:right w:val="single" w:sz="6" w:space="0" w:color="E0E0E0"/>
            </w:tcBorders>
          </w:tcPr>
          <w:p w14:paraId="585B92D8" w14:textId="77777777" w:rsidR="005275EC" w:rsidRDefault="0068258F" w:rsidP="007976D1">
            <w:pPr>
              <w:spacing w:line="360" w:lineRule="auto"/>
              <w:jc w:val="both"/>
            </w:pPr>
            <w:r>
              <w:rPr>
                <w:rFonts w:ascii="Arial" w:hAnsi="Arial"/>
                <w:color w:val="000000"/>
                <w:sz w:val="18"/>
                <w:szCs w:val="18"/>
              </w:rPr>
              <w:t>73.42</w:t>
            </w:r>
          </w:p>
        </w:tc>
        <w:tc>
          <w:tcPr>
            <w:tcW w:w="1637" w:type="dxa"/>
            <w:tcBorders>
              <w:left w:val="single" w:sz="6" w:space="0" w:color="E0E0E0"/>
              <w:bottom w:val="single" w:sz="6" w:space="0" w:color="E0E0E0"/>
              <w:right w:val="single" w:sz="6" w:space="0" w:color="E0E0E0"/>
            </w:tcBorders>
          </w:tcPr>
          <w:p w14:paraId="4C1D6021" w14:textId="77777777" w:rsidR="005275EC" w:rsidRDefault="0068258F" w:rsidP="007976D1">
            <w:pPr>
              <w:spacing w:line="360" w:lineRule="auto"/>
              <w:jc w:val="both"/>
            </w:pPr>
            <w:r>
              <w:rPr>
                <w:rFonts w:ascii="Arial" w:hAnsi="Arial"/>
                <w:color w:val="000000"/>
                <w:sz w:val="18"/>
                <w:szCs w:val="18"/>
              </w:rPr>
              <w:t>0.500</w:t>
            </w:r>
          </w:p>
        </w:tc>
        <w:tc>
          <w:tcPr>
            <w:tcW w:w="2270" w:type="dxa"/>
            <w:tcBorders>
              <w:left w:val="single" w:sz="6" w:space="0" w:color="E0E0E0"/>
              <w:bottom w:val="single" w:sz="6" w:space="0" w:color="E0E0E0"/>
              <w:right w:val="single" w:sz="6" w:space="0" w:color="E0E0E0"/>
            </w:tcBorders>
          </w:tcPr>
          <w:p w14:paraId="1DFDAEE7" w14:textId="77777777" w:rsidR="005275EC" w:rsidRDefault="0068258F" w:rsidP="007976D1">
            <w:pPr>
              <w:spacing w:line="360" w:lineRule="auto"/>
              <w:jc w:val="both"/>
            </w:pPr>
            <w:r>
              <w:rPr>
                <w:rFonts w:ascii="Arial" w:hAnsi="Arial"/>
                <w:color w:val="000000"/>
                <w:sz w:val="18"/>
                <w:szCs w:val="18"/>
              </w:rPr>
              <w:t>—</w:t>
            </w:r>
          </w:p>
        </w:tc>
      </w:tr>
      <w:tr w:rsidR="005275EC" w14:paraId="20ABD649" w14:textId="77777777">
        <w:trPr>
          <w:trHeight w:val="345"/>
        </w:trPr>
        <w:tc>
          <w:tcPr>
            <w:tcW w:w="2735" w:type="dxa"/>
            <w:tcBorders>
              <w:left w:val="single" w:sz="6" w:space="0" w:color="E0E0E0"/>
              <w:bottom w:val="single" w:sz="6" w:space="0" w:color="E0E0E0"/>
              <w:right w:val="single" w:sz="6" w:space="0" w:color="E0E0E0"/>
            </w:tcBorders>
          </w:tcPr>
          <w:p w14:paraId="2A4EEFD9" w14:textId="77777777" w:rsidR="005275EC" w:rsidRDefault="0068258F" w:rsidP="007976D1">
            <w:pPr>
              <w:spacing w:line="360" w:lineRule="auto"/>
              <w:jc w:val="both"/>
            </w:pPr>
            <w:r>
              <w:rPr>
                <w:rFonts w:ascii="Arial" w:hAnsi="Arial"/>
                <w:color w:val="000000"/>
                <w:sz w:val="18"/>
                <w:szCs w:val="18"/>
              </w:rPr>
              <w:t>J48</w:t>
            </w:r>
          </w:p>
        </w:tc>
        <w:tc>
          <w:tcPr>
            <w:tcW w:w="2051" w:type="dxa"/>
            <w:tcBorders>
              <w:left w:val="single" w:sz="6" w:space="0" w:color="E0E0E0"/>
              <w:bottom w:val="single" w:sz="6" w:space="0" w:color="E0E0E0"/>
              <w:right w:val="single" w:sz="6" w:space="0" w:color="E0E0E0"/>
            </w:tcBorders>
          </w:tcPr>
          <w:p w14:paraId="31540F0E" w14:textId="77777777" w:rsidR="005275EC" w:rsidRDefault="0068258F" w:rsidP="007976D1">
            <w:pPr>
              <w:spacing w:line="360" w:lineRule="auto"/>
              <w:jc w:val="both"/>
            </w:pPr>
            <w:r>
              <w:rPr>
                <w:rFonts w:ascii="Arial" w:hAnsi="Arial"/>
                <w:color w:val="000000"/>
                <w:sz w:val="18"/>
                <w:szCs w:val="18"/>
              </w:rPr>
              <w:t>78.36</w:t>
            </w:r>
          </w:p>
        </w:tc>
        <w:tc>
          <w:tcPr>
            <w:tcW w:w="1637" w:type="dxa"/>
            <w:tcBorders>
              <w:left w:val="single" w:sz="6" w:space="0" w:color="E0E0E0"/>
              <w:bottom w:val="single" w:sz="6" w:space="0" w:color="E0E0E0"/>
              <w:right w:val="single" w:sz="6" w:space="0" w:color="E0E0E0"/>
            </w:tcBorders>
          </w:tcPr>
          <w:p w14:paraId="00D260E9" w14:textId="77777777" w:rsidR="005275EC" w:rsidRDefault="0068258F" w:rsidP="007976D1">
            <w:pPr>
              <w:spacing w:line="360" w:lineRule="auto"/>
              <w:jc w:val="both"/>
            </w:pPr>
            <w:r>
              <w:rPr>
                <w:rFonts w:ascii="Arial" w:hAnsi="Arial"/>
                <w:color w:val="000000"/>
                <w:sz w:val="18"/>
                <w:szCs w:val="18"/>
              </w:rPr>
              <w:t>0.774</w:t>
            </w:r>
          </w:p>
        </w:tc>
        <w:tc>
          <w:tcPr>
            <w:tcW w:w="2270" w:type="dxa"/>
            <w:tcBorders>
              <w:left w:val="single" w:sz="6" w:space="0" w:color="E0E0E0"/>
              <w:bottom w:val="single" w:sz="6" w:space="0" w:color="E0E0E0"/>
              <w:right w:val="single" w:sz="6" w:space="0" w:color="E0E0E0"/>
            </w:tcBorders>
          </w:tcPr>
          <w:p w14:paraId="21DC6F70" w14:textId="77777777" w:rsidR="005275EC" w:rsidRDefault="0068258F" w:rsidP="007976D1">
            <w:pPr>
              <w:spacing w:line="360" w:lineRule="auto"/>
              <w:jc w:val="both"/>
            </w:pPr>
            <w:r>
              <w:rPr>
                <w:rFonts w:ascii="Arial" w:hAnsi="Arial"/>
                <w:color w:val="000000"/>
                <w:sz w:val="18"/>
                <w:szCs w:val="18"/>
              </w:rPr>
              <w:t>0.4098</w:t>
            </w:r>
          </w:p>
        </w:tc>
      </w:tr>
      <w:tr w:rsidR="005275EC" w14:paraId="4FA0C316" w14:textId="77777777">
        <w:trPr>
          <w:trHeight w:val="360"/>
        </w:trPr>
        <w:tc>
          <w:tcPr>
            <w:tcW w:w="2735" w:type="dxa"/>
            <w:tcBorders>
              <w:left w:val="single" w:sz="6" w:space="0" w:color="E0E0E0"/>
              <w:bottom w:val="single" w:sz="6" w:space="0" w:color="E0E0E0"/>
              <w:right w:val="single" w:sz="6" w:space="0" w:color="E0E0E0"/>
            </w:tcBorders>
          </w:tcPr>
          <w:p w14:paraId="7B486F24" w14:textId="77777777" w:rsidR="005275EC" w:rsidRDefault="0068258F" w:rsidP="007976D1">
            <w:pPr>
              <w:spacing w:line="360" w:lineRule="auto"/>
              <w:jc w:val="both"/>
              <w:rPr>
                <w:rFonts w:ascii="Arial" w:hAnsi="Arial"/>
                <w:sz w:val="18"/>
                <w:szCs w:val="18"/>
              </w:rPr>
            </w:pPr>
            <w:r>
              <w:rPr>
                <w:rFonts w:ascii="Arial" w:hAnsi="Arial"/>
                <w:sz w:val="18"/>
                <w:szCs w:val="18"/>
              </w:rPr>
              <w:t>Logistic Regression</w:t>
            </w:r>
          </w:p>
        </w:tc>
        <w:tc>
          <w:tcPr>
            <w:tcW w:w="2051" w:type="dxa"/>
            <w:tcBorders>
              <w:left w:val="single" w:sz="6" w:space="0" w:color="E0E0E0"/>
              <w:bottom w:val="single" w:sz="6" w:space="0" w:color="E0E0E0"/>
              <w:right w:val="single" w:sz="6" w:space="0" w:color="E0E0E0"/>
            </w:tcBorders>
          </w:tcPr>
          <w:p w14:paraId="24DCBE9D" w14:textId="77777777" w:rsidR="005275EC" w:rsidRDefault="0068258F" w:rsidP="007976D1">
            <w:pPr>
              <w:spacing w:line="360" w:lineRule="auto"/>
              <w:jc w:val="both"/>
              <w:rPr>
                <w:rFonts w:ascii="Arial" w:hAnsi="Arial"/>
                <w:sz w:val="18"/>
                <w:szCs w:val="18"/>
              </w:rPr>
            </w:pPr>
            <w:r>
              <w:rPr>
                <w:rFonts w:ascii="Arial" w:hAnsi="Arial"/>
                <w:sz w:val="18"/>
                <w:szCs w:val="18"/>
              </w:rPr>
              <w:t>80.48</w:t>
            </w:r>
          </w:p>
        </w:tc>
        <w:tc>
          <w:tcPr>
            <w:tcW w:w="1637" w:type="dxa"/>
            <w:tcBorders>
              <w:left w:val="single" w:sz="6" w:space="0" w:color="E0E0E0"/>
              <w:bottom w:val="single" w:sz="6" w:space="0" w:color="E0E0E0"/>
              <w:right w:val="single" w:sz="6" w:space="0" w:color="E0E0E0"/>
            </w:tcBorders>
          </w:tcPr>
          <w:p w14:paraId="438958F0" w14:textId="77777777" w:rsidR="005275EC" w:rsidRDefault="0068258F" w:rsidP="007976D1">
            <w:pPr>
              <w:spacing w:line="360" w:lineRule="auto"/>
              <w:jc w:val="both"/>
              <w:rPr>
                <w:rFonts w:ascii="Arial" w:hAnsi="Arial"/>
                <w:sz w:val="18"/>
                <w:szCs w:val="18"/>
              </w:rPr>
            </w:pPr>
            <w:r>
              <w:rPr>
                <w:rFonts w:ascii="Arial" w:hAnsi="Arial"/>
                <w:sz w:val="18"/>
                <w:szCs w:val="18"/>
              </w:rPr>
              <w:t>0.845</w:t>
            </w:r>
          </w:p>
        </w:tc>
        <w:tc>
          <w:tcPr>
            <w:tcW w:w="2270" w:type="dxa"/>
            <w:tcBorders>
              <w:left w:val="single" w:sz="6" w:space="0" w:color="E0E0E0"/>
              <w:bottom w:val="single" w:sz="6" w:space="0" w:color="E0E0E0"/>
              <w:right w:val="single" w:sz="6" w:space="0" w:color="E0E0E0"/>
            </w:tcBorders>
          </w:tcPr>
          <w:p w14:paraId="0725C91B" w14:textId="77777777" w:rsidR="005275EC" w:rsidRDefault="0068258F" w:rsidP="007976D1">
            <w:pPr>
              <w:spacing w:line="360" w:lineRule="auto"/>
              <w:jc w:val="both"/>
              <w:rPr>
                <w:rFonts w:ascii="Arial" w:hAnsi="Arial"/>
                <w:sz w:val="18"/>
                <w:szCs w:val="18"/>
              </w:rPr>
            </w:pPr>
            <w:r>
              <w:rPr>
                <w:rFonts w:ascii="Arial" w:hAnsi="Arial"/>
                <w:sz w:val="18"/>
                <w:szCs w:val="18"/>
              </w:rPr>
              <w:t>0.4723</w:t>
            </w:r>
          </w:p>
        </w:tc>
      </w:tr>
      <w:tr w:rsidR="005275EC" w14:paraId="11911A29" w14:textId="77777777">
        <w:trPr>
          <w:trHeight w:val="391"/>
        </w:trPr>
        <w:tc>
          <w:tcPr>
            <w:tcW w:w="2735" w:type="dxa"/>
            <w:tcBorders>
              <w:left w:val="single" w:sz="6" w:space="0" w:color="E0E0E0"/>
              <w:bottom w:val="single" w:sz="6" w:space="0" w:color="E0E0E0"/>
              <w:right w:val="single" w:sz="6" w:space="0" w:color="E0E0E0"/>
            </w:tcBorders>
          </w:tcPr>
          <w:p w14:paraId="6568F842" w14:textId="77777777" w:rsidR="005275EC" w:rsidRDefault="0068258F" w:rsidP="007976D1">
            <w:pPr>
              <w:spacing w:line="360" w:lineRule="auto"/>
              <w:jc w:val="both"/>
            </w:pPr>
            <w:r>
              <w:rPr>
                <w:rFonts w:ascii="Arial" w:hAnsi="Arial"/>
                <w:color w:val="000000"/>
                <w:sz w:val="18"/>
                <w:szCs w:val="18"/>
              </w:rPr>
              <w:t>Random Forest</w:t>
            </w:r>
          </w:p>
        </w:tc>
        <w:tc>
          <w:tcPr>
            <w:tcW w:w="2051" w:type="dxa"/>
            <w:tcBorders>
              <w:left w:val="single" w:sz="6" w:space="0" w:color="E0E0E0"/>
              <w:bottom w:val="single" w:sz="6" w:space="0" w:color="E0E0E0"/>
              <w:right w:val="single" w:sz="6" w:space="0" w:color="E0E0E0"/>
            </w:tcBorders>
          </w:tcPr>
          <w:p w14:paraId="0708F0F2" w14:textId="77777777" w:rsidR="005275EC" w:rsidRDefault="0068258F" w:rsidP="007976D1">
            <w:pPr>
              <w:spacing w:line="360" w:lineRule="auto"/>
              <w:jc w:val="both"/>
            </w:pPr>
            <w:r>
              <w:rPr>
                <w:rFonts w:ascii="Arial" w:hAnsi="Arial"/>
                <w:color w:val="000000"/>
                <w:sz w:val="18"/>
                <w:szCs w:val="18"/>
              </w:rPr>
              <w:t>78.34</w:t>
            </w:r>
          </w:p>
        </w:tc>
        <w:tc>
          <w:tcPr>
            <w:tcW w:w="1637" w:type="dxa"/>
            <w:tcBorders>
              <w:left w:val="single" w:sz="6" w:space="0" w:color="E0E0E0"/>
              <w:bottom w:val="single" w:sz="6" w:space="0" w:color="E0E0E0"/>
              <w:right w:val="single" w:sz="6" w:space="0" w:color="E0E0E0"/>
            </w:tcBorders>
          </w:tcPr>
          <w:p w14:paraId="7D1015C7" w14:textId="77777777" w:rsidR="005275EC" w:rsidRDefault="0068258F" w:rsidP="007976D1">
            <w:pPr>
              <w:spacing w:line="360" w:lineRule="auto"/>
              <w:jc w:val="both"/>
            </w:pPr>
            <w:r>
              <w:rPr>
                <w:rFonts w:ascii="Arial" w:hAnsi="Arial"/>
                <w:color w:val="000000"/>
                <w:sz w:val="18"/>
                <w:szCs w:val="18"/>
              </w:rPr>
              <w:t>0.821</w:t>
            </w:r>
          </w:p>
        </w:tc>
        <w:tc>
          <w:tcPr>
            <w:tcW w:w="2270" w:type="dxa"/>
            <w:tcBorders>
              <w:left w:val="single" w:sz="6" w:space="0" w:color="E0E0E0"/>
              <w:bottom w:val="single" w:sz="6" w:space="0" w:color="E0E0E0"/>
              <w:right w:val="single" w:sz="6" w:space="0" w:color="E0E0E0"/>
            </w:tcBorders>
          </w:tcPr>
          <w:p w14:paraId="6D207764" w14:textId="77777777" w:rsidR="005275EC" w:rsidRDefault="0068258F" w:rsidP="007976D1">
            <w:pPr>
              <w:spacing w:line="360" w:lineRule="auto"/>
              <w:jc w:val="both"/>
            </w:pPr>
            <w:r>
              <w:rPr>
                <w:rFonts w:ascii="Arial" w:hAnsi="Arial"/>
                <w:color w:val="000000"/>
                <w:sz w:val="18"/>
                <w:szCs w:val="18"/>
              </w:rPr>
              <w:t>—</w:t>
            </w:r>
          </w:p>
        </w:tc>
      </w:tr>
      <w:tr w:rsidR="005275EC" w14:paraId="360EA1F5" w14:textId="77777777">
        <w:trPr>
          <w:trHeight w:val="414"/>
        </w:trPr>
        <w:tc>
          <w:tcPr>
            <w:tcW w:w="2735" w:type="dxa"/>
            <w:tcBorders>
              <w:left w:val="single" w:sz="6" w:space="0" w:color="E0E0E0"/>
              <w:bottom w:val="single" w:sz="6" w:space="0" w:color="E0E0E0"/>
              <w:right w:val="single" w:sz="6" w:space="0" w:color="E0E0E0"/>
            </w:tcBorders>
          </w:tcPr>
          <w:p w14:paraId="06A560DA" w14:textId="77777777" w:rsidR="005275EC" w:rsidRDefault="0068258F" w:rsidP="007976D1">
            <w:pPr>
              <w:spacing w:line="360" w:lineRule="auto"/>
              <w:jc w:val="both"/>
            </w:pPr>
            <w:r>
              <w:rPr>
                <w:rFonts w:ascii="Arial" w:hAnsi="Arial"/>
                <w:color w:val="000000"/>
                <w:sz w:val="18"/>
                <w:szCs w:val="18"/>
              </w:rPr>
              <w:t>Naïve Bayes</w:t>
            </w:r>
          </w:p>
        </w:tc>
        <w:tc>
          <w:tcPr>
            <w:tcW w:w="2051" w:type="dxa"/>
            <w:tcBorders>
              <w:left w:val="single" w:sz="6" w:space="0" w:color="E0E0E0"/>
              <w:bottom w:val="single" w:sz="6" w:space="0" w:color="E0E0E0"/>
              <w:right w:val="single" w:sz="6" w:space="0" w:color="E0E0E0"/>
            </w:tcBorders>
          </w:tcPr>
          <w:p w14:paraId="11814964" w14:textId="77777777" w:rsidR="005275EC" w:rsidRDefault="0068258F" w:rsidP="007976D1">
            <w:pPr>
              <w:spacing w:line="360" w:lineRule="auto"/>
              <w:jc w:val="both"/>
            </w:pPr>
            <w:r>
              <w:rPr>
                <w:rFonts w:ascii="Arial" w:hAnsi="Arial"/>
                <w:color w:val="000000"/>
                <w:sz w:val="18"/>
                <w:szCs w:val="18"/>
              </w:rPr>
              <w:t>73.36</w:t>
            </w:r>
          </w:p>
        </w:tc>
        <w:tc>
          <w:tcPr>
            <w:tcW w:w="1637" w:type="dxa"/>
            <w:tcBorders>
              <w:left w:val="single" w:sz="6" w:space="0" w:color="E0E0E0"/>
              <w:bottom w:val="single" w:sz="6" w:space="0" w:color="E0E0E0"/>
              <w:right w:val="single" w:sz="6" w:space="0" w:color="E0E0E0"/>
            </w:tcBorders>
          </w:tcPr>
          <w:p w14:paraId="27E92BAA" w14:textId="77777777" w:rsidR="005275EC" w:rsidRDefault="0068258F" w:rsidP="007976D1">
            <w:pPr>
              <w:spacing w:line="360" w:lineRule="auto"/>
              <w:jc w:val="both"/>
            </w:pPr>
            <w:r>
              <w:rPr>
                <w:rFonts w:ascii="Arial" w:hAnsi="Arial"/>
                <w:color w:val="000000"/>
                <w:sz w:val="18"/>
                <w:szCs w:val="18"/>
              </w:rPr>
              <w:t>0.818</w:t>
            </w:r>
          </w:p>
        </w:tc>
        <w:tc>
          <w:tcPr>
            <w:tcW w:w="2270" w:type="dxa"/>
            <w:tcBorders>
              <w:left w:val="single" w:sz="6" w:space="0" w:color="E0E0E0"/>
              <w:bottom w:val="single" w:sz="6" w:space="0" w:color="E0E0E0"/>
              <w:right w:val="single" w:sz="6" w:space="0" w:color="E0E0E0"/>
            </w:tcBorders>
          </w:tcPr>
          <w:p w14:paraId="373CE449" w14:textId="77777777" w:rsidR="005275EC" w:rsidRDefault="0068258F" w:rsidP="007976D1">
            <w:pPr>
              <w:spacing w:line="360" w:lineRule="auto"/>
              <w:jc w:val="both"/>
            </w:pPr>
            <w:r>
              <w:rPr>
                <w:rFonts w:ascii="Arial" w:hAnsi="Arial"/>
                <w:color w:val="000000"/>
                <w:sz w:val="18"/>
                <w:szCs w:val="18"/>
              </w:rPr>
              <w:t>—</w:t>
            </w:r>
          </w:p>
        </w:tc>
      </w:tr>
    </w:tbl>
    <w:p w14:paraId="6A67FAE2" w14:textId="77777777" w:rsidR="005275EC" w:rsidRDefault="0068258F" w:rsidP="007976D1">
      <w:pPr>
        <w:spacing w:before="120" w:after="120" w:line="360" w:lineRule="auto"/>
        <w:jc w:val="both"/>
      </w:pPr>
      <w:r>
        <w:rPr>
          <w:rFonts w:ascii="Arial" w:hAnsi="Arial"/>
          <w:b/>
          <w:bCs/>
          <w:sz w:val="18"/>
          <w:szCs w:val="18"/>
        </w:rPr>
        <w:t xml:space="preserve">                                 Table 2: </w:t>
      </w:r>
      <w:r>
        <w:rPr>
          <w:rFonts w:ascii="Arial" w:hAnsi="Arial"/>
          <w:i/>
          <w:iCs/>
          <w:sz w:val="18"/>
          <w:szCs w:val="18"/>
        </w:rPr>
        <w:t>Comparative Performance of Classification Algorithms</w:t>
      </w:r>
    </w:p>
    <w:p w14:paraId="06411295" w14:textId="26ADC4E0"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The results indicate clear differences between the evaluated models. </w:t>
      </w:r>
      <w:proofErr w:type="spellStart"/>
      <w:r>
        <w:rPr>
          <w:rFonts w:ascii="Arial" w:hAnsi="Arial"/>
          <w:sz w:val="22"/>
          <w:szCs w:val="22"/>
        </w:rPr>
        <w:t>ZeroR</w:t>
      </w:r>
      <w:proofErr w:type="spellEnd"/>
      <w:r>
        <w:rPr>
          <w:rFonts w:ascii="Arial" w:hAnsi="Arial"/>
          <w:sz w:val="22"/>
          <w:szCs w:val="22"/>
        </w:rPr>
        <w:t xml:space="preserve"> produced the weakest performance because it predicted only the majority class. J48 improved classification while remaining easy to interpret, whereas Random Forest achieved competitive predictive performance through ensemble learning. Naïve Bayes provided acceptable discrimination despite lower overall accuracy. Logistic Regression achieved the strongest overall performance across the selected evaluation metrics, making it the most suitable model for predicting customer churn in this dataset. The Weka results were supported by Tableau </w:t>
      </w:r>
      <w:proofErr w:type="spellStart"/>
      <w:r>
        <w:rPr>
          <w:rFonts w:ascii="Arial" w:hAnsi="Arial"/>
          <w:sz w:val="22"/>
          <w:szCs w:val="22"/>
        </w:rPr>
        <w:t>visualisations</w:t>
      </w:r>
      <w:proofErr w:type="spellEnd"/>
      <w:r>
        <w:rPr>
          <w:rFonts w:ascii="Arial" w:hAnsi="Arial"/>
          <w:sz w:val="22"/>
          <w:szCs w:val="22"/>
        </w:rPr>
        <w:t xml:space="preserve">. </w:t>
      </w:r>
    </w:p>
    <w:p w14:paraId="0D3442DE" w14:textId="769495FC" w:rsidR="005275EC" w:rsidRDefault="0068258F" w:rsidP="007976D1">
      <w:pPr>
        <w:spacing w:before="120" w:after="120" w:line="360" w:lineRule="auto"/>
        <w:jc w:val="both"/>
      </w:pPr>
      <w:r w:rsidRPr="5086CEF0">
        <w:rPr>
          <w:rFonts w:ascii="Arial" w:hAnsi="Arial"/>
          <w:sz w:val="22"/>
          <w:szCs w:val="22"/>
        </w:rPr>
        <w:t>Figure 2 shows that 73.42% of customers remained with the provider, while 26.58% had churned, confirming a moderate class imbalance.</w:t>
      </w:r>
    </w:p>
    <w:p w14:paraId="755DD53B" w14:textId="472CE87D" w:rsidR="5086CEF0" w:rsidRDefault="5086CEF0" w:rsidP="5086CEF0">
      <w:pPr>
        <w:spacing w:before="120" w:after="120" w:line="360" w:lineRule="auto"/>
        <w:jc w:val="both"/>
        <w:rPr>
          <w:rFonts w:ascii="Arial" w:hAnsi="Arial"/>
          <w:sz w:val="22"/>
          <w:szCs w:val="22"/>
        </w:rPr>
      </w:pPr>
    </w:p>
    <w:p w14:paraId="28F609E1" w14:textId="370D0EAB" w:rsidR="005275EC" w:rsidRDefault="2AEEEA0A" w:rsidP="10646146">
      <w:pPr>
        <w:spacing w:before="120" w:after="120" w:line="360" w:lineRule="auto"/>
        <w:jc w:val="center"/>
        <w:rPr>
          <w:rFonts w:ascii="Arial" w:hAnsi="Arial"/>
          <w:sz w:val="22"/>
          <w:szCs w:val="22"/>
        </w:rPr>
      </w:pPr>
      <w:r>
        <w:rPr>
          <w:noProof/>
        </w:rPr>
        <w:drawing>
          <wp:inline distT="0" distB="0" distL="0" distR="0" wp14:anchorId="62F47285" wp14:editId="2070C2E9">
            <wp:extent cx="5373370" cy="2418715"/>
            <wp:effectExtent l="0" t="0" r="0" b="0"/>
            <wp:docPr id="1621778261"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pic:cNvPicPr>
                      <a:picLocks noChangeAspect="1" noChangeArrowheads="1"/>
                    </pic:cNvPicPr>
                  </pic:nvPicPr>
                  <pic:blipFill>
                    <a:blip r:embed="rId8"/>
                    <a:stretch>
                      <a:fillRect/>
                    </a:stretch>
                  </pic:blipFill>
                  <pic:spPr bwMode="auto">
                    <a:xfrm>
                      <a:off x="0" y="0"/>
                      <a:ext cx="5373370" cy="2418715"/>
                    </a:xfrm>
                    <a:prstGeom prst="rect">
                      <a:avLst/>
                    </a:prstGeom>
                  </pic:spPr>
                </pic:pic>
              </a:graphicData>
            </a:graphic>
          </wp:inline>
        </w:drawing>
      </w:r>
    </w:p>
    <w:p w14:paraId="635A2F05" w14:textId="0449825B" w:rsidR="005275EC" w:rsidRDefault="0068258F" w:rsidP="10646146">
      <w:pPr>
        <w:spacing w:before="120" w:after="120" w:line="360" w:lineRule="auto"/>
        <w:jc w:val="center"/>
      </w:pPr>
      <w:r w:rsidRPr="10646146">
        <w:rPr>
          <w:rFonts w:ascii="Arial" w:hAnsi="Arial"/>
          <w:b/>
          <w:bCs/>
          <w:sz w:val="18"/>
          <w:szCs w:val="18"/>
        </w:rPr>
        <w:t xml:space="preserve">Figure 2: </w:t>
      </w:r>
      <w:r w:rsidRPr="10646146">
        <w:rPr>
          <w:rFonts w:ascii="Arial" w:hAnsi="Arial"/>
          <w:i/>
          <w:iCs/>
          <w:sz w:val="18"/>
          <w:szCs w:val="18"/>
        </w:rPr>
        <w:t>Customer Churn Distribution.</w:t>
      </w:r>
    </w:p>
    <w:p w14:paraId="7EFF73BE" w14:textId="401F07DB" w:rsidR="1289508D" w:rsidRDefault="1289508D" w:rsidP="1289508D">
      <w:pPr>
        <w:spacing w:before="120" w:after="120" w:line="360" w:lineRule="auto"/>
        <w:jc w:val="both"/>
        <w:rPr>
          <w:rFonts w:ascii="Arial" w:hAnsi="Arial"/>
          <w:i/>
          <w:iCs/>
          <w:sz w:val="18"/>
          <w:szCs w:val="18"/>
        </w:rPr>
      </w:pPr>
    </w:p>
    <w:p w14:paraId="15CAB487" w14:textId="77777777" w:rsidR="005275EC" w:rsidRDefault="0068258F" w:rsidP="007976D1">
      <w:pPr>
        <w:spacing w:before="120" w:after="120" w:line="360" w:lineRule="auto"/>
        <w:jc w:val="both"/>
        <w:rPr>
          <w:rFonts w:ascii="Arial" w:hAnsi="Arial"/>
          <w:sz w:val="22"/>
          <w:szCs w:val="22"/>
        </w:rPr>
      </w:pPr>
      <w:r>
        <w:rPr>
          <w:rFonts w:ascii="Arial" w:hAnsi="Arial"/>
          <w:sz w:val="22"/>
          <w:szCs w:val="22"/>
        </w:rPr>
        <w:lastRenderedPageBreak/>
        <w:t xml:space="preserve">Further visual analysis identified the characteristics most strongly associated with churn. </w:t>
      </w:r>
    </w:p>
    <w:p w14:paraId="1C7C4D20" w14:textId="77777777" w:rsidR="005275EC" w:rsidRDefault="0068258F" w:rsidP="007976D1">
      <w:pPr>
        <w:spacing w:before="120" w:after="120" w:line="360" w:lineRule="auto"/>
        <w:jc w:val="both"/>
        <w:rPr>
          <w:rFonts w:ascii="Arial" w:hAnsi="Arial"/>
          <w:sz w:val="22"/>
          <w:szCs w:val="22"/>
        </w:rPr>
      </w:pPr>
      <w:r>
        <w:rPr>
          <w:rFonts w:ascii="Arial" w:hAnsi="Arial"/>
          <w:sz w:val="22"/>
          <w:szCs w:val="22"/>
        </w:rPr>
        <w:t xml:space="preserve">Customers on month-to-month contracts experienced considerably higher churn rates than </w:t>
      </w:r>
    </w:p>
    <w:p w14:paraId="67A7934C" w14:textId="77777777" w:rsidR="005275EC" w:rsidRDefault="0068258F" w:rsidP="007976D1">
      <w:pPr>
        <w:spacing w:before="120" w:after="120" w:line="360" w:lineRule="auto"/>
        <w:jc w:val="both"/>
      </w:pPr>
      <w:r>
        <w:rPr>
          <w:rFonts w:ascii="Arial" w:hAnsi="Arial"/>
          <w:sz w:val="22"/>
          <w:szCs w:val="22"/>
        </w:rPr>
        <w:t>those with longer contracts (Figure 3).</w:t>
      </w:r>
    </w:p>
    <w:p w14:paraId="22CAC02D" w14:textId="42EE1569" w:rsidR="005275EC" w:rsidRDefault="0068258F" w:rsidP="10646146">
      <w:pPr>
        <w:spacing w:before="120" w:after="120" w:line="360" w:lineRule="auto"/>
        <w:jc w:val="center"/>
        <w:rPr>
          <w:rFonts w:ascii="Arial" w:hAnsi="Arial"/>
          <w:b/>
          <w:bCs/>
          <w:sz w:val="18"/>
          <w:szCs w:val="18"/>
        </w:rPr>
      </w:pPr>
      <w:r>
        <w:rPr>
          <w:rFonts w:ascii="Arial" w:hAnsi="Arial"/>
          <w:b/>
          <w:bCs/>
          <w:sz w:val="18"/>
          <w:szCs w:val="18"/>
        </w:rPr>
        <w:t xml:space="preserve">   </w:t>
      </w:r>
      <w:r w:rsidR="1E8AF37B">
        <w:rPr>
          <w:noProof/>
        </w:rPr>
        <w:drawing>
          <wp:inline distT="0" distB="0" distL="0" distR="0" wp14:anchorId="347A9D86" wp14:editId="72F67E2A">
            <wp:extent cx="5198110" cy="3223260"/>
            <wp:effectExtent l="0" t="0" r="0" b="0"/>
            <wp:docPr id="206583359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pic:cNvPicPr>
                      <a:picLocks noChangeAspect="1" noChangeArrowheads="1"/>
                    </pic:cNvPicPr>
                  </pic:nvPicPr>
                  <pic:blipFill>
                    <a:blip r:embed="rId9"/>
                    <a:stretch>
                      <a:fillRect/>
                    </a:stretch>
                  </pic:blipFill>
                  <pic:spPr bwMode="auto">
                    <a:xfrm>
                      <a:off x="0" y="0"/>
                      <a:ext cx="5198110" cy="3223260"/>
                    </a:xfrm>
                    <a:prstGeom prst="rect">
                      <a:avLst/>
                    </a:prstGeom>
                  </pic:spPr>
                </pic:pic>
              </a:graphicData>
            </a:graphic>
          </wp:inline>
        </w:drawing>
      </w:r>
    </w:p>
    <w:p w14:paraId="27D31724" w14:textId="62B5F4AB" w:rsidR="005275EC" w:rsidRDefault="0068258F" w:rsidP="10646146">
      <w:pPr>
        <w:spacing w:before="120" w:after="120" w:line="360" w:lineRule="auto"/>
        <w:jc w:val="center"/>
        <w:rPr>
          <w:rFonts w:ascii="Arial" w:hAnsi="Arial"/>
          <w:i/>
          <w:iCs/>
          <w:sz w:val="18"/>
          <w:szCs w:val="18"/>
        </w:rPr>
      </w:pPr>
      <w:r w:rsidRPr="10646146">
        <w:rPr>
          <w:rFonts w:ascii="Arial" w:hAnsi="Arial"/>
          <w:b/>
          <w:bCs/>
          <w:sz w:val="18"/>
          <w:szCs w:val="18"/>
        </w:rPr>
        <w:t xml:space="preserve">Figure 3. </w:t>
      </w:r>
      <w:r w:rsidRPr="10646146">
        <w:rPr>
          <w:rFonts w:ascii="Arial" w:hAnsi="Arial"/>
          <w:i/>
          <w:iCs/>
          <w:sz w:val="18"/>
          <w:szCs w:val="18"/>
        </w:rPr>
        <w:t>Customer churn by contract type.</w:t>
      </w:r>
    </w:p>
    <w:p w14:paraId="0BBA1397" w14:textId="77777777" w:rsidR="008045E2" w:rsidRDefault="008045E2" w:rsidP="007976D1">
      <w:pPr>
        <w:spacing w:before="120" w:after="120" w:line="360" w:lineRule="auto"/>
        <w:jc w:val="both"/>
      </w:pPr>
    </w:p>
    <w:p w14:paraId="682B781F" w14:textId="6C6BF319" w:rsidR="005275EC" w:rsidRDefault="008045E2" w:rsidP="007976D1">
      <w:pPr>
        <w:spacing w:before="120" w:after="120" w:line="360" w:lineRule="auto"/>
        <w:jc w:val="both"/>
        <w:rPr>
          <w:rFonts w:ascii="Arial" w:hAnsi="Arial"/>
          <w:sz w:val="22"/>
          <w:szCs w:val="22"/>
        </w:rPr>
      </w:pPr>
      <w:r w:rsidRPr="10646146">
        <w:rPr>
          <w:rFonts w:ascii="Arial" w:hAnsi="Arial"/>
          <w:sz w:val="22"/>
          <w:szCs w:val="22"/>
        </w:rPr>
        <w:t>C</w:t>
      </w:r>
      <w:r w:rsidR="0068258F" w:rsidRPr="10646146">
        <w:rPr>
          <w:rFonts w:ascii="Arial" w:hAnsi="Arial"/>
          <w:sz w:val="22"/>
          <w:szCs w:val="22"/>
        </w:rPr>
        <w:t>ustomer churn by internet service type</w:t>
      </w:r>
      <w:r w:rsidRPr="10646146">
        <w:rPr>
          <w:rFonts w:ascii="Arial" w:hAnsi="Arial"/>
          <w:sz w:val="22"/>
          <w:szCs w:val="22"/>
        </w:rPr>
        <w:t xml:space="preserve"> </w:t>
      </w:r>
      <w:proofErr w:type="spellStart"/>
      <w:r w:rsidRPr="10646146">
        <w:rPr>
          <w:rFonts w:ascii="Arial" w:hAnsi="Arial"/>
          <w:sz w:val="22"/>
          <w:szCs w:val="22"/>
        </w:rPr>
        <w:t>ilustrated</w:t>
      </w:r>
      <w:proofErr w:type="spellEnd"/>
      <w:r w:rsidRPr="10646146">
        <w:rPr>
          <w:rFonts w:ascii="Arial" w:hAnsi="Arial"/>
          <w:sz w:val="22"/>
          <w:szCs w:val="22"/>
        </w:rPr>
        <w:t xml:space="preserve"> in </w:t>
      </w:r>
      <w:r w:rsidR="002360D6" w:rsidRPr="10646146">
        <w:rPr>
          <w:rFonts w:ascii="Arial" w:hAnsi="Arial"/>
          <w:sz w:val="22"/>
          <w:szCs w:val="22"/>
        </w:rPr>
        <w:t>Figure 4.</w:t>
      </w:r>
    </w:p>
    <w:p w14:paraId="66AC385E" w14:textId="75570CA7" w:rsidR="005275EC" w:rsidRDefault="0CDC2852" w:rsidP="10646146">
      <w:pPr>
        <w:spacing w:before="120" w:after="120" w:line="360" w:lineRule="auto"/>
        <w:jc w:val="center"/>
        <w:rPr>
          <w:rFonts w:ascii="Arial" w:hAnsi="Arial"/>
          <w:sz w:val="22"/>
          <w:szCs w:val="22"/>
        </w:rPr>
      </w:pPr>
      <w:r>
        <w:rPr>
          <w:noProof/>
        </w:rPr>
        <w:lastRenderedPageBreak/>
        <w:drawing>
          <wp:inline distT="0" distB="0" distL="0" distR="0" wp14:anchorId="23C3F213" wp14:editId="208B017D">
            <wp:extent cx="5608320" cy="2807335"/>
            <wp:effectExtent l="0" t="0" r="0" b="0"/>
            <wp:docPr id="2017879681"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pic:cNvPicPr>
                      <a:picLocks noChangeAspect="1" noChangeArrowheads="1"/>
                    </pic:cNvPicPr>
                  </pic:nvPicPr>
                  <pic:blipFill>
                    <a:blip r:embed="rId10"/>
                    <a:stretch>
                      <a:fillRect/>
                    </a:stretch>
                  </pic:blipFill>
                  <pic:spPr bwMode="auto">
                    <a:xfrm>
                      <a:off x="0" y="0"/>
                      <a:ext cx="5608320" cy="2807335"/>
                    </a:xfrm>
                    <a:prstGeom prst="rect">
                      <a:avLst/>
                    </a:prstGeom>
                  </pic:spPr>
                </pic:pic>
              </a:graphicData>
            </a:graphic>
          </wp:inline>
        </w:drawing>
      </w:r>
    </w:p>
    <w:p w14:paraId="3BE72711" w14:textId="21790335" w:rsidR="005275EC" w:rsidRDefault="0068258F" w:rsidP="10646146">
      <w:pPr>
        <w:spacing w:before="120" w:after="120" w:line="360" w:lineRule="auto"/>
        <w:jc w:val="center"/>
      </w:pPr>
      <w:r w:rsidRPr="10646146">
        <w:rPr>
          <w:rFonts w:ascii="Arial" w:hAnsi="Arial"/>
          <w:b/>
          <w:bCs/>
          <w:sz w:val="18"/>
          <w:szCs w:val="18"/>
        </w:rPr>
        <w:t>Figure 4:</w:t>
      </w:r>
      <w:r w:rsidRPr="10646146">
        <w:rPr>
          <w:rFonts w:ascii="Arial" w:hAnsi="Arial"/>
          <w:sz w:val="18"/>
          <w:szCs w:val="18"/>
        </w:rPr>
        <w:t xml:space="preserve"> Customer churn by internet service</w:t>
      </w:r>
    </w:p>
    <w:p w14:paraId="5F1222B3" w14:textId="30F6926E" w:rsidR="74606C50" w:rsidRDefault="74606C50" w:rsidP="74606C50">
      <w:pPr>
        <w:spacing w:before="120" w:after="120" w:line="360" w:lineRule="auto"/>
        <w:jc w:val="both"/>
        <w:rPr>
          <w:rFonts w:ascii="Arial" w:hAnsi="Arial"/>
          <w:sz w:val="18"/>
          <w:szCs w:val="18"/>
        </w:rPr>
      </w:pPr>
    </w:p>
    <w:p w14:paraId="2DD27AD6" w14:textId="77777777" w:rsidR="005275EC" w:rsidRDefault="0068258F" w:rsidP="007976D1">
      <w:pPr>
        <w:spacing w:before="120" w:after="120" w:line="360" w:lineRule="auto"/>
        <w:jc w:val="both"/>
        <w:rPr>
          <w:rFonts w:ascii="Arial" w:hAnsi="Arial"/>
          <w:sz w:val="22"/>
          <w:szCs w:val="22"/>
        </w:rPr>
      </w:pPr>
      <w:r w:rsidRPr="10646146">
        <w:rPr>
          <w:rFonts w:ascii="Arial" w:hAnsi="Arial"/>
          <w:sz w:val="22"/>
          <w:szCs w:val="22"/>
        </w:rPr>
        <w:t>Customer churn by payment method is shown in Figure 5</w:t>
      </w:r>
    </w:p>
    <w:p w14:paraId="7EBF3E67" w14:textId="5A8049D2" w:rsidR="005275EC" w:rsidRDefault="61B2E13C" w:rsidP="10646146">
      <w:pPr>
        <w:spacing w:before="120" w:after="120" w:line="360" w:lineRule="auto"/>
        <w:jc w:val="center"/>
        <w:rPr>
          <w:rFonts w:ascii="Arial" w:hAnsi="Arial"/>
          <w:sz w:val="22"/>
          <w:szCs w:val="22"/>
        </w:rPr>
      </w:pPr>
      <w:r>
        <w:rPr>
          <w:noProof/>
        </w:rPr>
        <w:drawing>
          <wp:inline distT="0" distB="0" distL="0" distR="0" wp14:anchorId="719AD1F7" wp14:editId="17A25A14">
            <wp:extent cx="5370830" cy="2792095"/>
            <wp:effectExtent l="0" t="0" r="0" b="0"/>
            <wp:docPr id="1641510168"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pic:cNvPicPr>
                      <a:picLocks noChangeAspect="1" noChangeArrowheads="1"/>
                    </pic:cNvPicPr>
                  </pic:nvPicPr>
                  <pic:blipFill>
                    <a:blip r:embed="rId11"/>
                    <a:stretch>
                      <a:fillRect/>
                    </a:stretch>
                  </pic:blipFill>
                  <pic:spPr bwMode="auto">
                    <a:xfrm>
                      <a:off x="0" y="0"/>
                      <a:ext cx="5370830" cy="2792095"/>
                    </a:xfrm>
                    <a:prstGeom prst="rect">
                      <a:avLst/>
                    </a:prstGeom>
                  </pic:spPr>
                </pic:pic>
              </a:graphicData>
            </a:graphic>
          </wp:inline>
        </w:drawing>
      </w:r>
    </w:p>
    <w:p w14:paraId="64019E6B" w14:textId="2C47A1A8" w:rsidR="005275EC" w:rsidRDefault="0068258F" w:rsidP="10646146">
      <w:pPr>
        <w:spacing w:before="120" w:after="120" w:line="360" w:lineRule="auto"/>
        <w:jc w:val="center"/>
      </w:pPr>
      <w:r w:rsidRPr="10646146">
        <w:rPr>
          <w:rFonts w:ascii="Arial" w:hAnsi="Arial"/>
          <w:b/>
          <w:bCs/>
          <w:sz w:val="18"/>
          <w:szCs w:val="18"/>
        </w:rPr>
        <w:t>Figure 5:</w:t>
      </w:r>
      <w:r w:rsidRPr="10646146">
        <w:rPr>
          <w:rFonts w:ascii="Arial" w:hAnsi="Arial"/>
          <w:sz w:val="18"/>
          <w:szCs w:val="18"/>
        </w:rPr>
        <w:t xml:space="preserve"> </w:t>
      </w:r>
      <w:r w:rsidRPr="10646146">
        <w:rPr>
          <w:rFonts w:ascii="Arial" w:hAnsi="Arial"/>
          <w:i/>
          <w:iCs/>
          <w:sz w:val="18"/>
          <w:szCs w:val="18"/>
        </w:rPr>
        <w:t>Customer churn by payment method.</w:t>
      </w:r>
    </w:p>
    <w:p w14:paraId="25034FD9" w14:textId="5346D19F" w:rsidR="19D35F69" w:rsidRDefault="19D35F69" w:rsidP="19D35F69">
      <w:pPr>
        <w:spacing w:before="120" w:after="120" w:line="360" w:lineRule="auto"/>
        <w:jc w:val="both"/>
        <w:rPr>
          <w:rFonts w:ascii="Arial" w:hAnsi="Arial"/>
          <w:i/>
          <w:iCs/>
          <w:sz w:val="18"/>
          <w:szCs w:val="18"/>
        </w:rPr>
      </w:pPr>
    </w:p>
    <w:p w14:paraId="2D274EDB" w14:textId="77777777" w:rsidR="005275EC" w:rsidRDefault="0068258F" w:rsidP="007976D1">
      <w:pPr>
        <w:spacing w:before="120" w:after="120" w:line="360" w:lineRule="auto"/>
        <w:jc w:val="both"/>
        <w:rPr>
          <w:rFonts w:ascii="Arial" w:hAnsi="Arial"/>
          <w:sz w:val="22"/>
          <w:szCs w:val="22"/>
        </w:rPr>
      </w:pPr>
      <w:r w:rsidRPr="10646146">
        <w:rPr>
          <w:rFonts w:ascii="Arial" w:hAnsi="Arial"/>
          <w:sz w:val="22"/>
          <w:szCs w:val="22"/>
        </w:rPr>
        <w:t xml:space="preserve">Finally, customers with shorter service tenure were more likely to leave the provider than long-term subscribers (Figure 6). </w:t>
      </w:r>
    </w:p>
    <w:p w14:paraId="5808F52F" w14:textId="1D1D0781" w:rsidR="005275EC" w:rsidRDefault="5DE24560" w:rsidP="10646146">
      <w:pPr>
        <w:spacing w:before="120" w:after="120" w:line="360" w:lineRule="auto"/>
        <w:jc w:val="center"/>
        <w:rPr>
          <w:i/>
          <w:iCs/>
        </w:rPr>
      </w:pPr>
      <w:r>
        <w:rPr>
          <w:noProof/>
        </w:rPr>
        <w:lastRenderedPageBreak/>
        <w:drawing>
          <wp:inline distT="0" distB="0" distL="0" distR="0" wp14:anchorId="71008540" wp14:editId="47A5F520">
            <wp:extent cx="5136515" cy="2887980"/>
            <wp:effectExtent l="0" t="0" r="0" b="0"/>
            <wp:docPr id="121009552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pic:cNvPicPr>
                      <a:picLocks noChangeAspect="1" noChangeArrowheads="1"/>
                    </pic:cNvPicPr>
                  </pic:nvPicPr>
                  <pic:blipFill>
                    <a:blip r:embed="rId12"/>
                    <a:stretch>
                      <a:fillRect/>
                    </a:stretch>
                  </pic:blipFill>
                  <pic:spPr bwMode="auto">
                    <a:xfrm>
                      <a:off x="0" y="0"/>
                      <a:ext cx="5136515" cy="2887980"/>
                    </a:xfrm>
                    <a:prstGeom prst="rect">
                      <a:avLst/>
                    </a:prstGeom>
                  </pic:spPr>
                </pic:pic>
              </a:graphicData>
            </a:graphic>
          </wp:inline>
        </w:drawing>
      </w:r>
    </w:p>
    <w:p w14:paraId="4F4E7C43" w14:textId="53BBBEE1" w:rsidR="005275EC" w:rsidRDefault="0068258F" w:rsidP="10646146">
      <w:pPr>
        <w:spacing w:before="120" w:after="120" w:line="360" w:lineRule="auto"/>
        <w:jc w:val="center"/>
        <w:rPr>
          <w:rFonts w:ascii="Arial" w:hAnsi="Arial"/>
          <w:sz w:val="22"/>
          <w:szCs w:val="22"/>
        </w:rPr>
      </w:pPr>
      <w:r w:rsidRPr="10646146">
        <w:rPr>
          <w:rFonts w:ascii="Arial" w:hAnsi="Arial"/>
          <w:b/>
          <w:bCs/>
          <w:sz w:val="18"/>
          <w:szCs w:val="18"/>
        </w:rPr>
        <w:t>Figure 6:</w:t>
      </w:r>
      <w:r w:rsidRPr="10646146">
        <w:rPr>
          <w:rFonts w:ascii="Arial" w:hAnsi="Arial"/>
          <w:sz w:val="18"/>
          <w:szCs w:val="18"/>
        </w:rPr>
        <w:t xml:space="preserve"> </w:t>
      </w:r>
      <w:r w:rsidRPr="10646146">
        <w:rPr>
          <w:rFonts w:ascii="Arial" w:hAnsi="Arial"/>
          <w:i/>
          <w:iCs/>
          <w:sz w:val="18"/>
          <w:szCs w:val="18"/>
        </w:rPr>
        <w:t>Customer churn by tenure.</w:t>
      </w:r>
    </w:p>
    <w:p w14:paraId="110206BC" w14:textId="77777777" w:rsidR="005275EC" w:rsidRDefault="0068258F" w:rsidP="007976D1">
      <w:pPr>
        <w:spacing w:before="120" w:after="120" w:line="360" w:lineRule="auto"/>
        <w:jc w:val="both"/>
      </w:pPr>
      <w:r>
        <w:rPr>
          <w:rFonts w:ascii="Arial" w:hAnsi="Arial"/>
          <w:sz w:val="22"/>
          <w:szCs w:val="22"/>
        </w:rPr>
        <w:t>These findings are consistent with the Weka classification results, reinforcing that service tenure is a key factor associated with customer churn and supporting the business recommendations presented in the following section.</w:t>
      </w:r>
    </w:p>
    <w:p w14:paraId="356BD4B8" w14:textId="1B93C6D5" w:rsidR="74606C50" w:rsidRDefault="74606C50" w:rsidP="74606C50">
      <w:pPr>
        <w:spacing w:before="120" w:after="120" w:line="360" w:lineRule="auto"/>
        <w:jc w:val="both"/>
        <w:rPr>
          <w:rFonts w:ascii="Arial" w:hAnsi="Arial"/>
          <w:sz w:val="22"/>
          <w:szCs w:val="22"/>
        </w:rPr>
      </w:pPr>
    </w:p>
    <w:p w14:paraId="15C91F75" w14:textId="77777777" w:rsidR="005275EC" w:rsidRDefault="0068258F" w:rsidP="00135F4B">
      <w:pPr>
        <w:pStyle w:val="Heading1"/>
        <w:jc w:val="both"/>
        <w:rPr>
          <w:sz w:val="32"/>
          <w:szCs w:val="32"/>
        </w:rPr>
      </w:pPr>
      <w:bookmarkStart w:id="7" w:name="_Toc236382643"/>
      <w:r>
        <w:rPr>
          <w:kern w:val="0"/>
          <w:sz w:val="32"/>
          <w:szCs w:val="32"/>
        </w:rPr>
        <w:t>3. Business Recommendations</w:t>
      </w:r>
      <w:bookmarkEnd w:id="7"/>
    </w:p>
    <w:p w14:paraId="2E77DB02" w14:textId="77777777" w:rsidR="00FA2275" w:rsidRDefault="00FA2275" w:rsidP="00A76DDA">
      <w:pPr>
        <w:spacing w:before="120" w:after="120" w:line="360" w:lineRule="auto"/>
        <w:jc w:val="both"/>
      </w:pPr>
      <w:r>
        <w:t xml:space="preserve">The comparative analysis demonstrated that data mining can support customer retention by identifying customers with a high probability of churn before they discontinue a service. Although all classification algorithms outperformed the </w:t>
      </w:r>
      <w:proofErr w:type="spellStart"/>
      <w:r>
        <w:t>ZeroR</w:t>
      </w:r>
      <w:proofErr w:type="spellEnd"/>
      <w:r>
        <w:t xml:space="preserve"> baseline, Logistic Regression achieved the strongest overall balance of predictive accuracy, reliability, and interpretability, making it the most suitable model for this dataset. However, selecting a predictive model should also consider business requirements, including interpretability, computational efficiency, and ease of implementation, rather than relying solely on predictive accuracy [1], [7].</w:t>
      </w:r>
    </w:p>
    <w:p w14:paraId="4719A11C" w14:textId="77777777" w:rsidR="00FA2275" w:rsidRDefault="00FA2275" w:rsidP="00A76DDA">
      <w:pPr>
        <w:spacing w:before="120" w:after="120" w:line="360" w:lineRule="auto"/>
        <w:jc w:val="both"/>
      </w:pPr>
      <w:r>
        <w:t xml:space="preserve">The findings suggest that </w:t>
      </w:r>
      <w:proofErr w:type="spellStart"/>
      <w:r>
        <w:t>organisations</w:t>
      </w:r>
      <w:proofErr w:type="spellEnd"/>
      <w:r>
        <w:t xml:space="preserve"> should </w:t>
      </w:r>
      <w:proofErr w:type="spellStart"/>
      <w:r>
        <w:t>prioritise</w:t>
      </w:r>
      <w:proofErr w:type="spellEnd"/>
      <w:r>
        <w:t xml:space="preserve"> customers identified as high risk for proactive retention initiatives. These may include </w:t>
      </w:r>
      <w:proofErr w:type="spellStart"/>
      <w:r>
        <w:t>personalised</w:t>
      </w:r>
      <w:proofErr w:type="spellEnd"/>
      <w:r>
        <w:t xml:space="preserve"> pricing offers, contract renewal incentives, loyalty rewards, or enhanced customer support before contracts expire. Such targeted interventions enable </w:t>
      </w:r>
      <w:proofErr w:type="spellStart"/>
      <w:r>
        <w:t>organisations</w:t>
      </w:r>
      <w:proofErr w:type="spellEnd"/>
      <w:r>
        <w:t xml:space="preserve"> to allocate retention resources more effectively while reducing </w:t>
      </w:r>
      <w:r>
        <w:lastRenderedPageBreak/>
        <w:t>the costs associated with acquiring new customers [1]. Focusing on customers who are most likely to leave can improve retention without applying costly incentives across the entire customer base.</w:t>
      </w:r>
    </w:p>
    <w:p w14:paraId="3D4690A7" w14:textId="77777777" w:rsidR="00FA2275" w:rsidRDefault="00FA2275" w:rsidP="00A76DDA">
      <w:pPr>
        <w:spacing w:before="120" w:after="120" w:line="360" w:lineRule="auto"/>
        <w:jc w:val="both"/>
      </w:pPr>
      <w:r>
        <w:t xml:space="preserve">The exploratory analysis also identified several characteristics associated with higher churn. Customers on month-to-month contracts, those with shorter service tenure, </w:t>
      </w:r>
      <w:proofErr w:type="spellStart"/>
      <w:r>
        <w:t>fibre</w:t>
      </w:r>
      <w:proofErr w:type="spellEnd"/>
      <w:r>
        <w:t xml:space="preserve"> optic internet services, and electronic </w:t>
      </w:r>
      <w:proofErr w:type="spellStart"/>
      <w:r>
        <w:t>cheque</w:t>
      </w:r>
      <w:proofErr w:type="spellEnd"/>
      <w:r>
        <w:t xml:space="preserve"> payment methods were more likely to discontinue their subscriptions. These patterns provide valuable business intelligence that can support customer relationship management [1], [6]. For example, </w:t>
      </w:r>
      <w:proofErr w:type="spellStart"/>
      <w:r>
        <w:t>organisations</w:t>
      </w:r>
      <w:proofErr w:type="spellEnd"/>
      <w:r>
        <w:t xml:space="preserve"> may encourage customers to move from short-term to longer-term contracts or introduce onboarding </w:t>
      </w:r>
      <w:proofErr w:type="spellStart"/>
      <w:r>
        <w:t>programmes</w:t>
      </w:r>
      <w:proofErr w:type="spellEnd"/>
      <w:r>
        <w:t xml:space="preserve"> that strengthen engagement during the early stages of the customer lifecycle.</w:t>
      </w:r>
    </w:p>
    <w:p w14:paraId="57283C92" w14:textId="77777777" w:rsidR="00FA2275" w:rsidRDefault="00FA2275" w:rsidP="00A76DDA">
      <w:pPr>
        <w:spacing w:before="120" w:after="120" w:line="360" w:lineRule="auto"/>
        <w:jc w:val="both"/>
      </w:pPr>
      <w:r>
        <w:t xml:space="preserve">The customer segments identified using </w:t>
      </w:r>
      <w:proofErr w:type="spellStart"/>
      <w:r>
        <w:t>SimpleKMeans</w:t>
      </w:r>
      <w:proofErr w:type="spellEnd"/>
      <w:r>
        <w:t xml:space="preserve"> clustering provide additional opportunities for targeted decision-making. Rather than applying a single retention strategy to all customers, </w:t>
      </w:r>
      <w:proofErr w:type="spellStart"/>
      <w:r>
        <w:t>organisations</w:t>
      </w:r>
      <w:proofErr w:type="spellEnd"/>
      <w:r>
        <w:t xml:space="preserve"> can tailor marketing campaigns and service improvements according to the characteristics of each customer segment. This segmented approach is likely to improve customer satisfaction while making more effective use of marketing resources [3].</w:t>
      </w:r>
    </w:p>
    <w:p w14:paraId="3DA88814" w14:textId="77777777" w:rsidR="00FA2275" w:rsidRDefault="00FA2275" w:rsidP="00A76DDA">
      <w:pPr>
        <w:spacing w:before="120" w:after="120" w:line="360" w:lineRule="auto"/>
        <w:jc w:val="both"/>
      </w:pPr>
      <w:r>
        <w:t xml:space="preserve">Predictive models should not be regarded as static solutions because customer </w:t>
      </w:r>
      <w:proofErr w:type="spellStart"/>
      <w:r>
        <w:t>behaviour</w:t>
      </w:r>
      <w:proofErr w:type="spellEnd"/>
      <w:r>
        <w:t xml:space="preserve"> changes in response to market conditions, pricing strategies, and competitor activity. </w:t>
      </w:r>
      <w:proofErr w:type="spellStart"/>
      <w:r>
        <w:t>Organisations</w:t>
      </w:r>
      <w:proofErr w:type="spellEnd"/>
      <w:r>
        <w:t xml:space="preserve"> should therefore retrain and validate predictive models regularly using updated operational data to maintain predictive performance and ensure that business decisions continue to reflect current customer </w:t>
      </w:r>
      <w:proofErr w:type="spellStart"/>
      <w:r>
        <w:t>behaviour</w:t>
      </w:r>
      <w:proofErr w:type="spellEnd"/>
      <w:r>
        <w:t xml:space="preserve"> [2], [12].</w:t>
      </w:r>
    </w:p>
    <w:p w14:paraId="4FC4692A" w14:textId="05793558" w:rsidR="005275EC" w:rsidRDefault="00FA2275" w:rsidP="00A76DDA">
      <w:pPr>
        <w:spacing w:before="120" w:after="120" w:line="360" w:lineRule="auto"/>
        <w:jc w:val="both"/>
      </w:pPr>
      <w:r>
        <w:t xml:space="preserve">Overall, the study demonstrates that combining customer churn prediction with customer segmentation provides </w:t>
      </w:r>
      <w:proofErr w:type="spellStart"/>
      <w:r>
        <w:t>organisations</w:t>
      </w:r>
      <w:proofErr w:type="spellEnd"/>
      <w:r>
        <w:t xml:space="preserve"> with practical, evidence-based insights for improving customer retention and allocating resources more effectively. The findings also highlight the importance of selecting predictive models that balance predictive performance, interpretability, and practical business application [1], [3].</w:t>
      </w:r>
    </w:p>
    <w:p w14:paraId="3D035E7A" w14:textId="77777777" w:rsidR="005275EC" w:rsidRDefault="005275EC" w:rsidP="00A76DDA">
      <w:pPr>
        <w:spacing w:before="120" w:after="120" w:line="360" w:lineRule="auto"/>
        <w:jc w:val="both"/>
        <w:rPr>
          <w:rFonts w:ascii="Arial" w:hAnsi="Arial"/>
          <w:sz w:val="22"/>
          <w:szCs w:val="22"/>
        </w:rPr>
      </w:pPr>
    </w:p>
    <w:p w14:paraId="454C4F94" w14:textId="77777777" w:rsidR="005275EC" w:rsidRDefault="0068258F" w:rsidP="00A76DDA">
      <w:pPr>
        <w:pStyle w:val="Heading1"/>
        <w:jc w:val="both"/>
        <w:rPr>
          <w:sz w:val="32"/>
          <w:szCs w:val="32"/>
        </w:rPr>
      </w:pPr>
      <w:bookmarkStart w:id="8" w:name="_Toc236382644"/>
      <w:r>
        <w:rPr>
          <w:kern w:val="0"/>
          <w:sz w:val="32"/>
          <w:szCs w:val="32"/>
        </w:rPr>
        <w:lastRenderedPageBreak/>
        <w:t>4. Reflective Commentary</w:t>
      </w:r>
      <w:bookmarkEnd w:id="8"/>
    </w:p>
    <w:p w14:paraId="7558B079" w14:textId="5F814A36" w:rsidR="005275EC" w:rsidRDefault="0068258F" w:rsidP="00A76DDA">
      <w:pPr>
        <w:spacing w:before="120" w:after="120" w:line="360" w:lineRule="auto"/>
        <w:jc w:val="both"/>
      </w:pPr>
      <w:r>
        <w:rPr>
          <w:rFonts w:ascii="Arial" w:hAnsi="Arial"/>
          <w:sz w:val="22"/>
          <w:szCs w:val="22"/>
        </w:rPr>
        <w:t xml:space="preserve">This project provided valuable practical experience of applying data mining techniques to a real-world business problem. Before undertaking the analysis, my understanding of customer churn prediction was largely theoretical. Through working with the IBM Telco Customer Churn dataset, </w:t>
      </w:r>
    </w:p>
    <w:p w14:paraId="40069F28" w14:textId="61DEA80E" w:rsidR="005275EC" w:rsidRDefault="0068258F" w:rsidP="00A76DDA">
      <w:pPr>
        <w:spacing w:before="120" w:after="120" w:line="360" w:lineRule="auto"/>
        <w:jc w:val="both"/>
      </w:pPr>
      <w:r>
        <w:rPr>
          <w:rFonts w:ascii="Arial" w:hAnsi="Arial"/>
          <w:sz w:val="22"/>
          <w:szCs w:val="22"/>
        </w:rPr>
        <w:t>I developed a greater appreciation of the importance of data preparation, model selection and performance evaluation in producing reliable analytical results. The project demonstrated that effective predictive modelling depends not only on choosing appropriate algorithms but also on ensuring that the underlying data are accurate, consistent and suitable for analysis.</w:t>
      </w:r>
    </w:p>
    <w:p w14:paraId="548AEEAF" w14:textId="3B01B12E" w:rsidR="005275EC" w:rsidRDefault="0068258F" w:rsidP="00A76DDA">
      <w:pPr>
        <w:spacing w:before="120" w:after="120" w:line="360" w:lineRule="auto"/>
        <w:jc w:val="both"/>
      </w:pPr>
      <w:r>
        <w:rPr>
          <w:rFonts w:ascii="Arial" w:hAnsi="Arial"/>
          <w:sz w:val="22"/>
          <w:szCs w:val="22"/>
        </w:rPr>
        <w:t>Using Weka Explorer allowed me to compare different machine learning algorithms and understand that predictive accuracy alone is not sufficient when selecting a model. The evaluation highlighted the importance of considering additional measures such as precision, recall, ROC Area and Cohen's Kappa, together with model suitability for practical use.</w:t>
      </w:r>
    </w:p>
    <w:p w14:paraId="550A726F" w14:textId="3C1BB255" w:rsidR="005275EC" w:rsidRDefault="0068258F" w:rsidP="00A76DDA">
      <w:pPr>
        <w:spacing w:before="120" w:after="120" w:line="360" w:lineRule="auto"/>
        <w:jc w:val="both"/>
      </w:pPr>
      <w:r>
        <w:rPr>
          <w:rFonts w:ascii="Arial" w:hAnsi="Arial"/>
          <w:sz w:val="22"/>
          <w:szCs w:val="22"/>
        </w:rPr>
        <w:t>Comparing the strengths and limitations of the classifiers reinforced the idea that different business problems may require different analytical approaches rather than a single best-performing algorithm.</w:t>
      </w:r>
    </w:p>
    <w:p w14:paraId="0CD4F4A1" w14:textId="77777777" w:rsidR="005275EC" w:rsidRDefault="0068258F" w:rsidP="00A76DDA">
      <w:pPr>
        <w:spacing w:before="120" w:after="120" w:line="360" w:lineRule="auto"/>
        <w:jc w:val="both"/>
      </w:pPr>
      <w:r>
        <w:rPr>
          <w:rFonts w:ascii="Arial" w:hAnsi="Arial"/>
          <w:sz w:val="22"/>
          <w:szCs w:val="22"/>
        </w:rPr>
        <w:t xml:space="preserve">The project also strengthened my ability to interpret technical findings within a business context. </w:t>
      </w:r>
    </w:p>
    <w:p w14:paraId="0C417B35" w14:textId="4106C7BF" w:rsidR="005275EC" w:rsidRDefault="0068258F" w:rsidP="00A76DDA">
      <w:pPr>
        <w:spacing w:before="120" w:after="120" w:line="360" w:lineRule="auto"/>
        <w:jc w:val="both"/>
      </w:pPr>
      <w:r>
        <w:rPr>
          <w:rFonts w:ascii="Arial" w:hAnsi="Arial"/>
          <w:sz w:val="22"/>
          <w:szCs w:val="22"/>
        </w:rPr>
        <w:t xml:space="preserve">Rather than viewing machine learning as an isolated technical exercise, I </w:t>
      </w:r>
      <w:proofErr w:type="spellStart"/>
      <w:r>
        <w:rPr>
          <w:rFonts w:ascii="Arial" w:hAnsi="Arial"/>
          <w:sz w:val="22"/>
          <w:szCs w:val="22"/>
        </w:rPr>
        <w:t>recognised</w:t>
      </w:r>
      <w:proofErr w:type="spellEnd"/>
      <w:r>
        <w:rPr>
          <w:rFonts w:ascii="Arial" w:hAnsi="Arial"/>
          <w:sz w:val="22"/>
          <w:szCs w:val="22"/>
        </w:rPr>
        <w:t xml:space="preserve"> how predictive analytics can support customer retention strategies, improve resource allocation and contribute to evidence-based decision-making. This broader perspective increased my understanding of the relationship between data analysis and </w:t>
      </w:r>
      <w:proofErr w:type="spellStart"/>
      <w:r>
        <w:rPr>
          <w:rFonts w:ascii="Arial" w:hAnsi="Arial"/>
          <w:sz w:val="22"/>
          <w:szCs w:val="22"/>
        </w:rPr>
        <w:t>organisational</w:t>
      </w:r>
      <w:proofErr w:type="spellEnd"/>
      <w:r>
        <w:rPr>
          <w:rFonts w:ascii="Arial" w:hAnsi="Arial"/>
          <w:sz w:val="22"/>
          <w:szCs w:val="22"/>
        </w:rPr>
        <w:t xml:space="preserve"> objectives.</w:t>
      </w:r>
    </w:p>
    <w:p w14:paraId="40BECEF1" w14:textId="2708C41A" w:rsidR="005275EC" w:rsidRDefault="0068258F" w:rsidP="00A76DDA">
      <w:pPr>
        <w:spacing w:before="120" w:after="120" w:line="360" w:lineRule="auto"/>
        <w:jc w:val="both"/>
      </w:pPr>
      <w:r>
        <w:rPr>
          <w:rFonts w:ascii="Arial" w:hAnsi="Arial"/>
          <w:sz w:val="22"/>
          <w:szCs w:val="22"/>
        </w:rPr>
        <w:t>Overall, this assignment enhanced both my technical and analytical skills while reinforcing the importance of combining sound data preparation, appropriate model evaluation and critical interpretation. These experiences have increased my confidence in applying data mining techniques to future business analytics projects and provided a strong foundation for further study in data science and machine learning.</w:t>
      </w:r>
    </w:p>
    <w:p w14:paraId="7315B8A2" w14:textId="77777777" w:rsidR="005275EC" w:rsidRDefault="005275EC" w:rsidP="00A76DDA">
      <w:pPr>
        <w:spacing w:before="120" w:after="120" w:line="360" w:lineRule="auto"/>
        <w:jc w:val="both"/>
        <w:rPr>
          <w:rFonts w:ascii="Arial" w:hAnsi="Arial"/>
          <w:sz w:val="22"/>
          <w:szCs w:val="22"/>
        </w:rPr>
      </w:pPr>
    </w:p>
    <w:p w14:paraId="23590AD3" w14:textId="11D147C4" w:rsidR="005275EC" w:rsidRDefault="0068258F" w:rsidP="00A76DDA">
      <w:pPr>
        <w:pStyle w:val="Heading1"/>
        <w:spacing w:line="360" w:lineRule="auto"/>
        <w:jc w:val="both"/>
        <w:rPr>
          <w:sz w:val="32"/>
          <w:szCs w:val="32"/>
        </w:rPr>
      </w:pPr>
      <w:bookmarkStart w:id="9" w:name="_Toc236382645"/>
      <w:r>
        <w:rPr>
          <w:sz w:val="32"/>
          <w:szCs w:val="32"/>
        </w:rPr>
        <w:t>5. Conclusion</w:t>
      </w:r>
      <w:bookmarkEnd w:id="9"/>
    </w:p>
    <w:p w14:paraId="15FE75B4" w14:textId="6DB47E31" w:rsidR="005275EC" w:rsidRDefault="0068258F" w:rsidP="00A76DDA">
      <w:pPr>
        <w:spacing w:before="120" w:after="120" w:line="360" w:lineRule="auto"/>
        <w:jc w:val="both"/>
      </w:pPr>
      <w:r>
        <w:rPr>
          <w:rFonts w:ascii="Arial" w:hAnsi="Arial"/>
          <w:sz w:val="22"/>
          <w:szCs w:val="22"/>
        </w:rPr>
        <w:t xml:space="preserve">This report examined the use of data mining techniques for customer churn prediction and customer segmentation using the IBM Telco Customer Churn dataset. After data preparation and </w:t>
      </w:r>
      <w:r>
        <w:rPr>
          <w:rFonts w:ascii="Arial" w:hAnsi="Arial"/>
          <w:sz w:val="22"/>
          <w:szCs w:val="22"/>
        </w:rPr>
        <w:lastRenderedPageBreak/>
        <w:t xml:space="preserve">exploratory analysis, five classification algorithms and the </w:t>
      </w:r>
      <w:proofErr w:type="spellStart"/>
      <w:r>
        <w:rPr>
          <w:rFonts w:ascii="Arial" w:hAnsi="Arial"/>
          <w:sz w:val="22"/>
          <w:szCs w:val="22"/>
        </w:rPr>
        <w:t>SimpleKMeans</w:t>
      </w:r>
      <w:proofErr w:type="spellEnd"/>
      <w:r>
        <w:rPr>
          <w:rFonts w:ascii="Arial" w:hAnsi="Arial"/>
          <w:sz w:val="22"/>
          <w:szCs w:val="22"/>
        </w:rPr>
        <w:t xml:space="preserve"> clustering algorithm were implemented and evaluated using Weka Explorer.</w:t>
      </w:r>
    </w:p>
    <w:p w14:paraId="5FB80BF2" w14:textId="2E8178EB" w:rsidR="005275EC" w:rsidRDefault="0068258F" w:rsidP="00A76DDA">
      <w:pPr>
        <w:spacing w:before="120" w:after="120" w:line="360" w:lineRule="auto"/>
        <w:jc w:val="both"/>
      </w:pPr>
      <w:r>
        <w:rPr>
          <w:rFonts w:ascii="Arial" w:hAnsi="Arial"/>
          <w:sz w:val="22"/>
          <w:szCs w:val="22"/>
        </w:rPr>
        <w:t xml:space="preserve">The results showed that all classification models outperformed the baseline </w:t>
      </w:r>
      <w:proofErr w:type="spellStart"/>
      <w:r>
        <w:rPr>
          <w:rFonts w:ascii="Arial" w:hAnsi="Arial"/>
          <w:sz w:val="22"/>
          <w:szCs w:val="22"/>
        </w:rPr>
        <w:t>ZeroR</w:t>
      </w:r>
      <w:proofErr w:type="spellEnd"/>
      <w:r>
        <w:rPr>
          <w:rFonts w:ascii="Arial" w:hAnsi="Arial"/>
          <w:sz w:val="22"/>
          <w:szCs w:val="22"/>
        </w:rPr>
        <w:t xml:space="preserve"> classifier, with Logistic Regression delivering the best overall balance of predictive accuracy, reliability and interpretability. </w:t>
      </w:r>
      <w:proofErr w:type="spellStart"/>
      <w:r>
        <w:rPr>
          <w:rFonts w:ascii="Arial" w:hAnsi="Arial"/>
          <w:sz w:val="22"/>
          <w:szCs w:val="22"/>
        </w:rPr>
        <w:t>SimpleKMeans</w:t>
      </w:r>
      <w:proofErr w:type="spellEnd"/>
      <w:r>
        <w:rPr>
          <w:rFonts w:ascii="Arial" w:hAnsi="Arial"/>
          <w:sz w:val="22"/>
          <w:szCs w:val="22"/>
        </w:rPr>
        <w:t xml:space="preserve"> also identified meaningful customer segments, demonstrating how clustering complements predictive modelling by supporting targeted retention and marketing strategies.</w:t>
      </w:r>
    </w:p>
    <w:p w14:paraId="7A51C034" w14:textId="43AE7A39" w:rsidR="005275EC" w:rsidRDefault="0068258F" w:rsidP="00A76DDA">
      <w:pPr>
        <w:spacing w:before="120" w:after="120" w:line="360" w:lineRule="auto"/>
        <w:jc w:val="both"/>
      </w:pPr>
      <w:r>
        <w:rPr>
          <w:rFonts w:ascii="Arial" w:hAnsi="Arial"/>
          <w:sz w:val="22"/>
          <w:szCs w:val="22"/>
        </w:rPr>
        <w:t xml:space="preserve">The findings </w:t>
      </w:r>
      <w:proofErr w:type="spellStart"/>
      <w:r>
        <w:rPr>
          <w:rFonts w:ascii="Arial" w:hAnsi="Arial"/>
          <w:sz w:val="22"/>
          <w:szCs w:val="22"/>
        </w:rPr>
        <w:t>emphasise</w:t>
      </w:r>
      <w:proofErr w:type="spellEnd"/>
      <w:r>
        <w:rPr>
          <w:rFonts w:ascii="Arial" w:hAnsi="Arial"/>
          <w:sz w:val="22"/>
          <w:szCs w:val="22"/>
        </w:rPr>
        <w:t xml:space="preserve"> that successful predictive analytics relies not only on selecting appropriate algorithms but also on high-quality data, robust evaluation methods and accurate interpretation of results. Combining classification and clustering enables service providers to identify customers at risk of churn more effectively and develop targeted retention strategies.</w:t>
      </w:r>
    </w:p>
    <w:p w14:paraId="52EAFF3A" w14:textId="77777777" w:rsidR="005A6709" w:rsidRDefault="0068258F" w:rsidP="005A6709">
      <w:pPr>
        <w:spacing w:before="120" w:after="120" w:line="360" w:lineRule="auto"/>
        <w:jc w:val="both"/>
      </w:pPr>
      <w:r w:rsidRPr="5086CEF0">
        <w:rPr>
          <w:rFonts w:ascii="Arial" w:hAnsi="Arial"/>
          <w:sz w:val="22"/>
          <w:szCs w:val="22"/>
        </w:rPr>
        <w:t>Overall, the study demonstrates the practical value of data mining for customer analytics and highlights the importance of aligning analytical techniques with organisational objectives. Future research could investigate advanced ensemble methods, deep learning and explainable artificial intelligence to further improve predictive performance and model transparency.</w:t>
      </w:r>
    </w:p>
    <w:p w14:paraId="6AD6BD5D" w14:textId="73EB61AA" w:rsidR="5086CEF0" w:rsidRDefault="5086CEF0" w:rsidP="5086CEF0">
      <w:pPr>
        <w:spacing w:before="120" w:after="120" w:line="360" w:lineRule="auto"/>
        <w:jc w:val="both"/>
        <w:rPr>
          <w:rFonts w:ascii="Arial" w:hAnsi="Arial"/>
          <w:sz w:val="22"/>
          <w:szCs w:val="22"/>
        </w:rPr>
      </w:pPr>
    </w:p>
    <w:p w14:paraId="6B531390" w14:textId="27852054" w:rsidR="5086CEF0" w:rsidRDefault="5086CEF0" w:rsidP="5086CEF0">
      <w:pPr>
        <w:spacing w:before="120" w:after="120" w:line="360" w:lineRule="auto"/>
        <w:jc w:val="both"/>
        <w:rPr>
          <w:rFonts w:ascii="Arial" w:hAnsi="Arial"/>
          <w:sz w:val="22"/>
          <w:szCs w:val="22"/>
        </w:rPr>
      </w:pPr>
    </w:p>
    <w:p w14:paraId="186CA945" w14:textId="371A8DA0" w:rsidR="5086CEF0" w:rsidRDefault="5086CEF0" w:rsidP="5086CEF0">
      <w:pPr>
        <w:spacing w:before="120" w:after="120" w:line="360" w:lineRule="auto"/>
        <w:jc w:val="both"/>
        <w:rPr>
          <w:rFonts w:ascii="Arial" w:hAnsi="Arial"/>
          <w:sz w:val="22"/>
          <w:szCs w:val="22"/>
        </w:rPr>
      </w:pPr>
    </w:p>
    <w:p w14:paraId="2E8A835B" w14:textId="26ED354B" w:rsidR="5086CEF0" w:rsidRDefault="5086CEF0" w:rsidP="5086CEF0">
      <w:pPr>
        <w:spacing w:before="120" w:after="120" w:line="360" w:lineRule="auto"/>
        <w:jc w:val="both"/>
        <w:rPr>
          <w:rFonts w:ascii="Arial" w:hAnsi="Arial"/>
          <w:sz w:val="22"/>
          <w:szCs w:val="22"/>
        </w:rPr>
      </w:pPr>
    </w:p>
    <w:p w14:paraId="03C201A8" w14:textId="48289F67" w:rsidR="5086CEF0" w:rsidRDefault="5086CEF0" w:rsidP="5086CEF0">
      <w:pPr>
        <w:spacing w:before="120" w:after="120" w:line="360" w:lineRule="auto"/>
        <w:jc w:val="both"/>
        <w:rPr>
          <w:rFonts w:ascii="Arial" w:hAnsi="Arial"/>
          <w:sz w:val="22"/>
          <w:szCs w:val="22"/>
        </w:rPr>
      </w:pPr>
    </w:p>
    <w:p w14:paraId="49C76428" w14:textId="44586465" w:rsidR="5086CEF0" w:rsidRDefault="5086CEF0" w:rsidP="5086CEF0">
      <w:pPr>
        <w:spacing w:before="120" w:after="120" w:line="360" w:lineRule="auto"/>
        <w:jc w:val="both"/>
        <w:rPr>
          <w:rFonts w:ascii="Arial" w:hAnsi="Arial"/>
          <w:sz w:val="22"/>
          <w:szCs w:val="22"/>
        </w:rPr>
      </w:pPr>
    </w:p>
    <w:p w14:paraId="2ACD210A" w14:textId="21897FBB" w:rsidR="5086CEF0" w:rsidRDefault="5086CEF0" w:rsidP="5086CEF0">
      <w:pPr>
        <w:spacing w:before="120" w:after="120" w:line="360" w:lineRule="auto"/>
        <w:jc w:val="both"/>
        <w:rPr>
          <w:rFonts w:ascii="Arial" w:hAnsi="Arial"/>
          <w:sz w:val="22"/>
          <w:szCs w:val="22"/>
        </w:rPr>
      </w:pPr>
    </w:p>
    <w:p w14:paraId="2E88C42D" w14:textId="61FD8C06" w:rsidR="5086CEF0" w:rsidRDefault="5086CEF0" w:rsidP="5086CEF0">
      <w:pPr>
        <w:spacing w:before="120" w:after="120" w:line="360" w:lineRule="auto"/>
        <w:jc w:val="both"/>
        <w:rPr>
          <w:rFonts w:ascii="Arial" w:hAnsi="Arial"/>
          <w:sz w:val="22"/>
          <w:szCs w:val="22"/>
        </w:rPr>
      </w:pPr>
    </w:p>
    <w:p w14:paraId="7731C7C2" w14:textId="105A2ED0" w:rsidR="5086CEF0" w:rsidRDefault="5086CEF0" w:rsidP="5086CEF0">
      <w:pPr>
        <w:spacing w:before="120" w:after="120" w:line="360" w:lineRule="auto"/>
        <w:jc w:val="both"/>
        <w:rPr>
          <w:rFonts w:ascii="Arial" w:hAnsi="Arial"/>
          <w:sz w:val="22"/>
          <w:szCs w:val="22"/>
        </w:rPr>
      </w:pPr>
    </w:p>
    <w:p w14:paraId="57815039" w14:textId="4F50EFF5" w:rsidR="5086CEF0" w:rsidRDefault="5086CEF0" w:rsidP="5086CEF0">
      <w:pPr>
        <w:spacing w:before="120" w:after="120" w:line="360" w:lineRule="auto"/>
        <w:jc w:val="both"/>
        <w:rPr>
          <w:rFonts w:ascii="Arial" w:hAnsi="Arial"/>
          <w:sz w:val="22"/>
          <w:szCs w:val="22"/>
        </w:rPr>
      </w:pPr>
    </w:p>
    <w:p w14:paraId="058EB947" w14:textId="111D99FB" w:rsidR="5086CEF0" w:rsidRDefault="5086CEF0" w:rsidP="5086CEF0">
      <w:pPr>
        <w:spacing w:before="120" w:after="120" w:line="360" w:lineRule="auto"/>
        <w:jc w:val="both"/>
        <w:rPr>
          <w:rFonts w:ascii="Arial" w:hAnsi="Arial"/>
          <w:sz w:val="22"/>
          <w:szCs w:val="22"/>
        </w:rPr>
      </w:pPr>
    </w:p>
    <w:p w14:paraId="2D962C7A" w14:textId="49B9D60B" w:rsidR="5086CEF0" w:rsidRDefault="5086CEF0" w:rsidP="5086CEF0">
      <w:pPr>
        <w:spacing w:before="120" w:after="120" w:line="360" w:lineRule="auto"/>
        <w:jc w:val="both"/>
        <w:rPr>
          <w:rFonts w:ascii="Arial" w:hAnsi="Arial"/>
          <w:sz w:val="22"/>
          <w:szCs w:val="22"/>
        </w:rPr>
      </w:pPr>
    </w:p>
    <w:p w14:paraId="133C4D2F" w14:textId="581E40B0" w:rsidR="5086CEF0" w:rsidRDefault="5086CEF0" w:rsidP="5086CEF0">
      <w:pPr>
        <w:spacing w:before="120" w:after="120" w:line="360" w:lineRule="auto"/>
        <w:jc w:val="both"/>
        <w:rPr>
          <w:rFonts w:ascii="Arial" w:hAnsi="Arial"/>
          <w:sz w:val="22"/>
          <w:szCs w:val="22"/>
        </w:rPr>
      </w:pPr>
    </w:p>
    <w:p w14:paraId="4612D126" w14:textId="43B7F788" w:rsidR="5086CEF0" w:rsidRDefault="5086CEF0" w:rsidP="5086CEF0">
      <w:pPr>
        <w:spacing w:before="120" w:after="120" w:line="360" w:lineRule="auto"/>
        <w:jc w:val="both"/>
        <w:rPr>
          <w:rFonts w:ascii="Arial" w:hAnsi="Arial"/>
          <w:sz w:val="22"/>
          <w:szCs w:val="22"/>
        </w:rPr>
      </w:pPr>
    </w:p>
    <w:p w14:paraId="761A9C8C" w14:textId="1038932B" w:rsidR="5086CEF0" w:rsidRDefault="5086CEF0" w:rsidP="5086CEF0">
      <w:pPr>
        <w:spacing w:before="120" w:after="120" w:line="360" w:lineRule="auto"/>
        <w:jc w:val="both"/>
        <w:rPr>
          <w:rFonts w:ascii="Arial" w:hAnsi="Arial"/>
          <w:sz w:val="22"/>
          <w:szCs w:val="22"/>
        </w:rPr>
      </w:pPr>
    </w:p>
    <w:p w14:paraId="0D31350B" w14:textId="606A03B6" w:rsidR="5086CEF0" w:rsidRDefault="5086CEF0" w:rsidP="5086CEF0">
      <w:pPr>
        <w:spacing w:before="120" w:after="120" w:line="360" w:lineRule="auto"/>
        <w:jc w:val="both"/>
        <w:rPr>
          <w:rFonts w:ascii="Arial" w:hAnsi="Arial"/>
          <w:sz w:val="22"/>
          <w:szCs w:val="22"/>
        </w:rPr>
      </w:pPr>
    </w:p>
    <w:p w14:paraId="3BECE264" w14:textId="2CD3C2F5" w:rsidR="005275EC" w:rsidRPr="005A6709" w:rsidRDefault="0068258F" w:rsidP="5086CEF0">
      <w:pPr>
        <w:pStyle w:val="Heading1"/>
        <w:rPr>
          <w:sz w:val="32"/>
          <w:szCs w:val="32"/>
        </w:rPr>
      </w:pPr>
      <w:bookmarkStart w:id="10" w:name="_Toc236382646"/>
      <w:r w:rsidRPr="5086CEF0">
        <w:rPr>
          <w:sz w:val="32"/>
          <w:szCs w:val="32"/>
        </w:rPr>
        <w:t>6. References</w:t>
      </w:r>
      <w:bookmarkEnd w:id="10"/>
    </w:p>
    <w:p w14:paraId="25805FA3" w14:textId="13070633" w:rsidR="005275EC" w:rsidRDefault="0068258F" w:rsidP="00A76DDA">
      <w:pPr>
        <w:pStyle w:val="BodyText"/>
        <w:spacing w:before="120" w:after="120" w:line="360" w:lineRule="auto"/>
        <w:jc w:val="both"/>
      </w:pPr>
      <w:r w:rsidRPr="10646146">
        <w:rPr>
          <w:rStyle w:val="Strong"/>
          <w:rFonts w:ascii="Arial" w:hAnsi="Arial"/>
          <w:b w:val="0"/>
          <w:bCs w:val="0"/>
          <w:sz w:val="22"/>
          <w:szCs w:val="22"/>
        </w:rPr>
        <w:t xml:space="preserve">[1] </w:t>
      </w:r>
      <w:r w:rsidRPr="10646146">
        <w:rPr>
          <w:rFonts w:ascii="Arial" w:hAnsi="Arial"/>
          <w:sz w:val="22"/>
          <w:szCs w:val="22"/>
        </w:rPr>
        <w:t xml:space="preserve">V. Kumar and W. Reinartz, </w:t>
      </w:r>
      <w:r w:rsidRPr="10646146">
        <w:rPr>
          <w:rStyle w:val="Emphasis"/>
          <w:rFonts w:ascii="Arial" w:hAnsi="Arial"/>
          <w:sz w:val="22"/>
          <w:szCs w:val="22"/>
        </w:rPr>
        <w:t>Customer Relationship Management: Concept, Strategy, and</w:t>
      </w:r>
      <w:r w:rsidR="7174484E" w:rsidRPr="10646146">
        <w:rPr>
          <w:rStyle w:val="Emphasis"/>
          <w:rFonts w:ascii="Arial" w:hAnsi="Arial"/>
          <w:sz w:val="22"/>
          <w:szCs w:val="22"/>
        </w:rPr>
        <w:t xml:space="preserve"> </w:t>
      </w:r>
      <w:r w:rsidRPr="10646146">
        <w:rPr>
          <w:rStyle w:val="Emphasis"/>
          <w:rFonts w:ascii="Arial" w:hAnsi="Arial"/>
          <w:sz w:val="22"/>
          <w:szCs w:val="22"/>
        </w:rPr>
        <w:t>Tools</w:t>
      </w:r>
      <w:r w:rsidRPr="10646146">
        <w:rPr>
          <w:rFonts w:ascii="Arial" w:hAnsi="Arial"/>
          <w:sz w:val="22"/>
          <w:szCs w:val="22"/>
        </w:rPr>
        <w:t>. Berlin, Germany: Springer, 2018.</w:t>
      </w:r>
    </w:p>
    <w:p w14:paraId="48E1BD04" w14:textId="77777777" w:rsidR="005275EC" w:rsidRDefault="005275EC" w:rsidP="00A76DDA">
      <w:pPr>
        <w:pStyle w:val="BodyText"/>
        <w:spacing w:before="120" w:after="120" w:line="360" w:lineRule="auto"/>
        <w:jc w:val="both"/>
        <w:rPr>
          <w:rFonts w:ascii="Arial" w:hAnsi="Arial"/>
          <w:sz w:val="22"/>
          <w:szCs w:val="22"/>
        </w:rPr>
      </w:pPr>
    </w:p>
    <w:p w14:paraId="53DE8EE4" w14:textId="110ED225" w:rsidR="005275EC" w:rsidRDefault="0068258F" w:rsidP="00A76DDA">
      <w:pPr>
        <w:pStyle w:val="BodyText"/>
        <w:spacing w:line="360" w:lineRule="auto"/>
        <w:jc w:val="both"/>
      </w:pPr>
      <w:r w:rsidRPr="10646146">
        <w:rPr>
          <w:rStyle w:val="Strong"/>
          <w:rFonts w:ascii="Arial" w:hAnsi="Arial"/>
          <w:b w:val="0"/>
          <w:bCs w:val="0"/>
          <w:sz w:val="22"/>
          <w:szCs w:val="22"/>
        </w:rPr>
        <w:t xml:space="preserve">[2] </w:t>
      </w:r>
      <w:r w:rsidRPr="10646146">
        <w:rPr>
          <w:rFonts w:ascii="Arial" w:hAnsi="Arial"/>
          <w:sz w:val="22"/>
          <w:szCs w:val="22"/>
        </w:rPr>
        <w:t xml:space="preserve">I. H. Witten, E. Frank, M. A. Hall, C. J. Pal, and M. Mayo, </w:t>
      </w:r>
      <w:r w:rsidRPr="10646146">
        <w:rPr>
          <w:rStyle w:val="Emphasis"/>
          <w:rFonts w:ascii="Arial" w:hAnsi="Arial"/>
          <w:sz w:val="22"/>
          <w:szCs w:val="22"/>
        </w:rPr>
        <w:t>Data Mining: Practical Machine</w:t>
      </w:r>
      <w:r w:rsidR="14BC19CE" w:rsidRPr="10646146">
        <w:rPr>
          <w:rStyle w:val="Emphasis"/>
          <w:rFonts w:ascii="Arial" w:hAnsi="Arial"/>
          <w:sz w:val="22"/>
          <w:szCs w:val="22"/>
        </w:rPr>
        <w:t xml:space="preserve"> </w:t>
      </w:r>
      <w:r w:rsidRPr="10646146">
        <w:rPr>
          <w:rStyle w:val="Emphasis"/>
          <w:rFonts w:ascii="Arial" w:hAnsi="Arial"/>
          <w:sz w:val="22"/>
          <w:szCs w:val="22"/>
        </w:rPr>
        <w:t>Learning Tools and Techniques</w:t>
      </w:r>
      <w:r w:rsidRPr="10646146">
        <w:rPr>
          <w:rFonts w:ascii="Arial" w:hAnsi="Arial"/>
          <w:sz w:val="22"/>
          <w:szCs w:val="22"/>
        </w:rPr>
        <w:t>, 5th ed. Cambridge, MA, USA: Morgan Kaufmann, 2025.</w:t>
      </w:r>
    </w:p>
    <w:p w14:paraId="1C1C9A98" w14:textId="77777777" w:rsidR="005275EC" w:rsidRDefault="005275EC" w:rsidP="00A76DDA">
      <w:pPr>
        <w:pStyle w:val="BodyText"/>
        <w:spacing w:line="360" w:lineRule="auto"/>
        <w:jc w:val="both"/>
        <w:rPr>
          <w:rFonts w:ascii="Arial" w:hAnsi="Arial"/>
          <w:sz w:val="22"/>
          <w:szCs w:val="22"/>
        </w:rPr>
      </w:pPr>
    </w:p>
    <w:p w14:paraId="54C8D23E" w14:textId="08B01823" w:rsidR="005275EC" w:rsidRDefault="0068258F" w:rsidP="00A76DDA">
      <w:pPr>
        <w:pStyle w:val="BodyText"/>
        <w:spacing w:line="360" w:lineRule="auto"/>
        <w:jc w:val="both"/>
      </w:pPr>
      <w:r w:rsidRPr="10646146">
        <w:rPr>
          <w:rStyle w:val="Strong"/>
          <w:rFonts w:ascii="Arial" w:hAnsi="Arial"/>
          <w:b w:val="0"/>
          <w:bCs w:val="0"/>
          <w:sz w:val="22"/>
          <w:szCs w:val="22"/>
        </w:rPr>
        <w:t xml:space="preserve">[3] </w:t>
      </w:r>
      <w:r w:rsidRPr="10646146">
        <w:rPr>
          <w:rFonts w:ascii="Arial" w:hAnsi="Arial"/>
          <w:sz w:val="22"/>
          <w:szCs w:val="22"/>
        </w:rPr>
        <w:t xml:space="preserve">J. Han, J. Pei, and H. Tong, </w:t>
      </w:r>
      <w:r w:rsidRPr="10646146">
        <w:rPr>
          <w:rStyle w:val="Emphasis"/>
          <w:rFonts w:ascii="Arial" w:hAnsi="Arial"/>
          <w:sz w:val="22"/>
          <w:szCs w:val="22"/>
        </w:rPr>
        <w:t>Data Mining: Concepts and Techniques</w:t>
      </w:r>
      <w:r w:rsidRPr="10646146">
        <w:rPr>
          <w:rFonts w:ascii="Arial" w:hAnsi="Arial"/>
          <w:sz w:val="22"/>
          <w:szCs w:val="22"/>
        </w:rPr>
        <w:t>, 4th ed. Cambridge,</w:t>
      </w:r>
      <w:r w:rsidR="64EEE20E" w:rsidRPr="10646146">
        <w:rPr>
          <w:rFonts w:ascii="Arial" w:hAnsi="Arial"/>
          <w:sz w:val="22"/>
          <w:szCs w:val="22"/>
        </w:rPr>
        <w:t xml:space="preserve"> </w:t>
      </w:r>
      <w:r w:rsidRPr="10646146">
        <w:rPr>
          <w:rFonts w:ascii="Arial" w:hAnsi="Arial"/>
          <w:sz w:val="22"/>
          <w:szCs w:val="22"/>
        </w:rPr>
        <w:t>MA, USA: Morgan Kaufmann, 2022.</w:t>
      </w:r>
    </w:p>
    <w:p w14:paraId="373688BD" w14:textId="77777777" w:rsidR="005275EC" w:rsidRDefault="005275EC" w:rsidP="00A76DDA">
      <w:pPr>
        <w:pStyle w:val="BodyText"/>
        <w:spacing w:line="360" w:lineRule="auto"/>
        <w:jc w:val="both"/>
        <w:rPr>
          <w:rFonts w:ascii="Arial" w:hAnsi="Arial"/>
          <w:sz w:val="22"/>
          <w:szCs w:val="22"/>
        </w:rPr>
      </w:pPr>
    </w:p>
    <w:p w14:paraId="422889EF" w14:textId="77777777" w:rsidR="005275EC" w:rsidRDefault="0068258F" w:rsidP="00A76DDA">
      <w:pPr>
        <w:pStyle w:val="BodyText"/>
        <w:spacing w:line="360" w:lineRule="auto"/>
        <w:jc w:val="both"/>
      </w:pPr>
      <w:r>
        <w:rPr>
          <w:rStyle w:val="Strong"/>
          <w:rFonts w:ascii="Arial" w:hAnsi="Arial"/>
          <w:b w:val="0"/>
          <w:bCs w:val="0"/>
          <w:sz w:val="22"/>
          <w:szCs w:val="22"/>
        </w:rPr>
        <w:t xml:space="preserve">[4] </w:t>
      </w:r>
      <w:r>
        <w:rPr>
          <w:rFonts w:ascii="Arial" w:hAnsi="Arial"/>
          <w:sz w:val="22"/>
          <w:szCs w:val="22"/>
        </w:rPr>
        <w:t>IBM, "Telco Customer Churn," IBM Community – Base Sample Data Sets, Jul. 11, 2019.</w:t>
      </w:r>
    </w:p>
    <w:p w14:paraId="28407669" w14:textId="77777777" w:rsidR="005275EC" w:rsidRDefault="005275EC" w:rsidP="00A76DDA">
      <w:pPr>
        <w:pStyle w:val="BodyText"/>
        <w:spacing w:line="360" w:lineRule="auto"/>
        <w:jc w:val="both"/>
        <w:rPr>
          <w:rFonts w:ascii="Arial" w:hAnsi="Arial"/>
          <w:sz w:val="22"/>
          <w:szCs w:val="22"/>
        </w:rPr>
      </w:pPr>
    </w:p>
    <w:p w14:paraId="6973F582" w14:textId="2A82FCA5" w:rsidR="005275EC" w:rsidRDefault="0068258F" w:rsidP="00A76DDA">
      <w:pPr>
        <w:pStyle w:val="BodyText"/>
        <w:spacing w:line="360" w:lineRule="auto"/>
        <w:jc w:val="both"/>
      </w:pPr>
      <w:r w:rsidRPr="10646146">
        <w:rPr>
          <w:rStyle w:val="Strong"/>
          <w:rFonts w:ascii="Arial" w:hAnsi="Arial"/>
          <w:b w:val="0"/>
          <w:bCs w:val="0"/>
          <w:sz w:val="22"/>
          <w:szCs w:val="22"/>
        </w:rPr>
        <w:t xml:space="preserve">[5] </w:t>
      </w:r>
      <w:r w:rsidRPr="10646146">
        <w:rPr>
          <w:rFonts w:ascii="Arial" w:hAnsi="Arial"/>
          <w:sz w:val="22"/>
          <w:szCs w:val="22"/>
        </w:rPr>
        <w:t xml:space="preserve">V. Kotu and B. Deshpande, </w:t>
      </w:r>
      <w:r w:rsidRPr="10646146">
        <w:rPr>
          <w:rStyle w:val="Emphasis"/>
          <w:rFonts w:ascii="Arial" w:hAnsi="Arial"/>
          <w:sz w:val="22"/>
          <w:szCs w:val="22"/>
        </w:rPr>
        <w:t>Data Science: Concepts and Practice</w:t>
      </w:r>
      <w:r w:rsidRPr="10646146">
        <w:rPr>
          <w:rFonts w:ascii="Arial" w:hAnsi="Arial"/>
          <w:sz w:val="22"/>
          <w:szCs w:val="22"/>
        </w:rPr>
        <w:t>, 2nd ed. Burlington, MA, USA: Morgan Kaufmann, 2019.</w:t>
      </w:r>
    </w:p>
    <w:p w14:paraId="209E6C2C" w14:textId="77777777" w:rsidR="005275EC" w:rsidRDefault="005275EC" w:rsidP="00A76DDA">
      <w:pPr>
        <w:pStyle w:val="BodyText"/>
        <w:spacing w:line="360" w:lineRule="auto"/>
        <w:jc w:val="both"/>
        <w:rPr>
          <w:rFonts w:ascii="Arial" w:hAnsi="Arial"/>
          <w:sz w:val="22"/>
          <w:szCs w:val="22"/>
        </w:rPr>
      </w:pPr>
    </w:p>
    <w:p w14:paraId="35759DC0" w14:textId="61002F29" w:rsidR="005275EC" w:rsidRDefault="0068258F" w:rsidP="00A76DDA">
      <w:pPr>
        <w:pStyle w:val="BodyText"/>
        <w:spacing w:line="360" w:lineRule="auto"/>
        <w:jc w:val="both"/>
      </w:pPr>
      <w:r w:rsidRPr="10646146">
        <w:rPr>
          <w:rStyle w:val="Strong"/>
          <w:rFonts w:ascii="Arial" w:hAnsi="Arial"/>
          <w:b w:val="0"/>
          <w:bCs w:val="0"/>
          <w:sz w:val="22"/>
          <w:szCs w:val="22"/>
        </w:rPr>
        <w:t xml:space="preserve">[6] </w:t>
      </w:r>
      <w:r w:rsidRPr="10646146">
        <w:rPr>
          <w:rFonts w:ascii="Arial" w:hAnsi="Arial"/>
          <w:sz w:val="22"/>
          <w:szCs w:val="22"/>
        </w:rPr>
        <w:t>W. Verbeke, D. Martens, C. Mues, and B. Baesens, "Building comprehensible customer</w:t>
      </w:r>
      <w:r w:rsidR="1B1BBECA" w:rsidRPr="10646146">
        <w:rPr>
          <w:rFonts w:ascii="Arial" w:hAnsi="Arial"/>
          <w:sz w:val="22"/>
          <w:szCs w:val="22"/>
        </w:rPr>
        <w:t xml:space="preserve"> </w:t>
      </w:r>
      <w:r w:rsidRPr="10646146">
        <w:rPr>
          <w:rFonts w:ascii="Arial" w:hAnsi="Arial"/>
          <w:sz w:val="22"/>
          <w:szCs w:val="22"/>
        </w:rPr>
        <w:t xml:space="preserve">churn prediction models with advanced rule induction techniques," </w:t>
      </w:r>
      <w:r w:rsidRPr="10646146">
        <w:rPr>
          <w:rStyle w:val="Emphasis"/>
          <w:rFonts w:ascii="Arial" w:hAnsi="Arial"/>
          <w:sz w:val="22"/>
          <w:szCs w:val="22"/>
        </w:rPr>
        <w:t>Expert Systems with</w:t>
      </w:r>
      <w:r w:rsidR="468B13AA" w:rsidRPr="10646146">
        <w:rPr>
          <w:rStyle w:val="Emphasis"/>
          <w:rFonts w:ascii="Arial" w:hAnsi="Arial"/>
          <w:sz w:val="22"/>
          <w:szCs w:val="22"/>
        </w:rPr>
        <w:t xml:space="preserve"> </w:t>
      </w:r>
      <w:r w:rsidRPr="10646146">
        <w:rPr>
          <w:rStyle w:val="Emphasis"/>
          <w:rFonts w:ascii="Arial" w:hAnsi="Arial"/>
          <w:sz w:val="22"/>
          <w:szCs w:val="22"/>
        </w:rPr>
        <w:t>Applications</w:t>
      </w:r>
      <w:r w:rsidRPr="10646146">
        <w:rPr>
          <w:rFonts w:ascii="Arial" w:hAnsi="Arial"/>
          <w:sz w:val="22"/>
          <w:szCs w:val="22"/>
        </w:rPr>
        <w:t>, vol. 38, no. 3, pp. 2354–2364, 2011.</w:t>
      </w:r>
    </w:p>
    <w:p w14:paraId="7C319781" w14:textId="77777777" w:rsidR="005275EC" w:rsidRDefault="005275EC" w:rsidP="00A76DDA">
      <w:pPr>
        <w:pStyle w:val="BodyText"/>
        <w:spacing w:line="360" w:lineRule="auto"/>
        <w:jc w:val="both"/>
        <w:rPr>
          <w:rFonts w:ascii="Arial" w:hAnsi="Arial"/>
          <w:sz w:val="22"/>
          <w:szCs w:val="22"/>
        </w:rPr>
      </w:pPr>
    </w:p>
    <w:p w14:paraId="073C175D" w14:textId="52A05FA5" w:rsidR="005275EC" w:rsidRDefault="0068258F" w:rsidP="00A76DDA">
      <w:pPr>
        <w:pStyle w:val="BodyText"/>
        <w:spacing w:line="360" w:lineRule="auto"/>
        <w:jc w:val="both"/>
      </w:pPr>
      <w:r w:rsidRPr="10646146">
        <w:rPr>
          <w:rStyle w:val="Strong"/>
          <w:rFonts w:ascii="Arial" w:hAnsi="Arial"/>
          <w:b w:val="0"/>
          <w:bCs w:val="0"/>
          <w:sz w:val="22"/>
          <w:szCs w:val="22"/>
        </w:rPr>
        <w:t xml:space="preserve">[7] </w:t>
      </w:r>
      <w:r w:rsidRPr="10646146">
        <w:rPr>
          <w:rFonts w:ascii="Arial" w:hAnsi="Arial"/>
          <w:sz w:val="22"/>
          <w:szCs w:val="22"/>
        </w:rPr>
        <w:t xml:space="preserve">A. Khattak </w:t>
      </w:r>
      <w:r w:rsidRPr="10646146">
        <w:rPr>
          <w:rStyle w:val="Emphasis"/>
          <w:rFonts w:ascii="Arial" w:hAnsi="Arial"/>
          <w:sz w:val="22"/>
          <w:szCs w:val="22"/>
        </w:rPr>
        <w:t>et al.</w:t>
      </w:r>
      <w:r w:rsidRPr="10646146">
        <w:rPr>
          <w:rFonts w:ascii="Arial" w:hAnsi="Arial"/>
          <w:sz w:val="22"/>
          <w:szCs w:val="22"/>
        </w:rPr>
        <w:t>, "Customer churn prediction using composite deep learning technique,"</w:t>
      </w:r>
      <w:r w:rsidR="5A7A96CD" w:rsidRPr="10646146">
        <w:rPr>
          <w:rFonts w:ascii="Arial" w:hAnsi="Arial"/>
          <w:sz w:val="22"/>
          <w:szCs w:val="22"/>
        </w:rPr>
        <w:t xml:space="preserve"> </w:t>
      </w:r>
      <w:r w:rsidRPr="10646146">
        <w:rPr>
          <w:rStyle w:val="Emphasis"/>
          <w:rFonts w:ascii="Arial" w:hAnsi="Arial"/>
          <w:sz w:val="22"/>
          <w:szCs w:val="22"/>
        </w:rPr>
        <w:t>Scientific Reports</w:t>
      </w:r>
      <w:r w:rsidRPr="10646146">
        <w:rPr>
          <w:rFonts w:ascii="Arial" w:hAnsi="Arial"/>
          <w:sz w:val="22"/>
          <w:szCs w:val="22"/>
        </w:rPr>
        <w:t>, vol. 13, Art. no. 17294, 2023.</w:t>
      </w:r>
    </w:p>
    <w:p w14:paraId="27591052" w14:textId="77777777" w:rsidR="005275EC" w:rsidRDefault="005275EC" w:rsidP="00A76DDA">
      <w:pPr>
        <w:pStyle w:val="BodyText"/>
        <w:spacing w:line="360" w:lineRule="auto"/>
        <w:jc w:val="both"/>
        <w:rPr>
          <w:rFonts w:ascii="Arial" w:hAnsi="Arial"/>
          <w:sz w:val="22"/>
          <w:szCs w:val="22"/>
        </w:rPr>
      </w:pPr>
    </w:p>
    <w:p w14:paraId="41B25621" w14:textId="11FC10EE" w:rsidR="005275EC" w:rsidRDefault="0068258F" w:rsidP="00A76DDA">
      <w:pPr>
        <w:pStyle w:val="BodyText"/>
        <w:spacing w:line="360" w:lineRule="auto"/>
        <w:jc w:val="both"/>
      </w:pPr>
      <w:r w:rsidRPr="10646146">
        <w:rPr>
          <w:rStyle w:val="Strong"/>
          <w:rFonts w:ascii="Arial" w:hAnsi="Arial"/>
          <w:b w:val="0"/>
          <w:bCs w:val="0"/>
          <w:sz w:val="22"/>
          <w:szCs w:val="22"/>
        </w:rPr>
        <w:lastRenderedPageBreak/>
        <w:t xml:space="preserve">[8] </w:t>
      </w:r>
      <w:r w:rsidRPr="10646146">
        <w:rPr>
          <w:rFonts w:ascii="Arial" w:hAnsi="Arial"/>
          <w:sz w:val="22"/>
          <w:szCs w:val="22"/>
        </w:rPr>
        <w:t xml:space="preserve">S. García, J. Luengo, and F. Herrera, </w:t>
      </w:r>
      <w:r w:rsidRPr="10646146">
        <w:rPr>
          <w:rStyle w:val="Emphasis"/>
          <w:rFonts w:ascii="Arial" w:hAnsi="Arial"/>
          <w:sz w:val="22"/>
          <w:szCs w:val="22"/>
        </w:rPr>
        <w:t>Data Preprocessing in Data Mining</w:t>
      </w:r>
      <w:r w:rsidRPr="10646146">
        <w:rPr>
          <w:rFonts w:ascii="Arial" w:hAnsi="Arial"/>
          <w:sz w:val="22"/>
          <w:szCs w:val="22"/>
        </w:rPr>
        <w:t>. Cham,</w:t>
      </w:r>
      <w:r w:rsidR="459BA49E" w:rsidRPr="10646146">
        <w:rPr>
          <w:rFonts w:ascii="Arial" w:hAnsi="Arial"/>
          <w:sz w:val="22"/>
          <w:szCs w:val="22"/>
        </w:rPr>
        <w:t xml:space="preserve"> </w:t>
      </w:r>
      <w:r w:rsidRPr="10646146">
        <w:rPr>
          <w:rFonts w:ascii="Arial" w:hAnsi="Arial"/>
          <w:sz w:val="22"/>
          <w:szCs w:val="22"/>
        </w:rPr>
        <w:t>Switzerland: Springer, 2015.</w:t>
      </w:r>
    </w:p>
    <w:p w14:paraId="719F0BC6" w14:textId="77777777" w:rsidR="005275EC" w:rsidRDefault="005275EC" w:rsidP="00A76DDA">
      <w:pPr>
        <w:pStyle w:val="BodyText"/>
        <w:spacing w:line="360" w:lineRule="auto"/>
        <w:jc w:val="both"/>
        <w:rPr>
          <w:rFonts w:ascii="Arial" w:hAnsi="Arial"/>
          <w:sz w:val="22"/>
          <w:szCs w:val="22"/>
        </w:rPr>
      </w:pPr>
    </w:p>
    <w:p w14:paraId="2247897D" w14:textId="20FC98C7" w:rsidR="005275EC" w:rsidRDefault="0068258F" w:rsidP="00A76DDA">
      <w:pPr>
        <w:pStyle w:val="BodyText"/>
        <w:spacing w:line="360" w:lineRule="auto"/>
        <w:jc w:val="both"/>
      </w:pPr>
      <w:r>
        <w:rPr>
          <w:rStyle w:val="Strong"/>
          <w:rFonts w:ascii="Arial" w:hAnsi="Arial"/>
          <w:b w:val="0"/>
          <w:bCs w:val="0"/>
          <w:sz w:val="22"/>
          <w:szCs w:val="22"/>
        </w:rPr>
        <w:t xml:space="preserve">[9] </w:t>
      </w:r>
      <w:r>
        <w:rPr>
          <w:rFonts w:ascii="Arial" w:hAnsi="Arial"/>
          <w:sz w:val="22"/>
          <w:szCs w:val="22"/>
        </w:rPr>
        <w:t xml:space="preserve">H. He and E. A. Garcia, "Learning from imbalanced data," </w:t>
      </w:r>
      <w:r>
        <w:rPr>
          <w:rStyle w:val="Emphasis"/>
          <w:rFonts w:ascii="Arial" w:hAnsi="Arial"/>
          <w:sz w:val="22"/>
          <w:szCs w:val="22"/>
        </w:rPr>
        <w:t>IEEE Transactions on Knowledge and Data Engineering</w:t>
      </w:r>
      <w:r>
        <w:rPr>
          <w:rFonts w:ascii="Arial" w:hAnsi="Arial"/>
          <w:sz w:val="22"/>
          <w:szCs w:val="22"/>
        </w:rPr>
        <w:t>, vol. 21, no. 9, pp. 1263–1284, 2009.</w:t>
      </w:r>
    </w:p>
    <w:p w14:paraId="2D723217" w14:textId="77777777" w:rsidR="005275EC" w:rsidRDefault="005275EC" w:rsidP="00A76DDA">
      <w:pPr>
        <w:pStyle w:val="BodyText"/>
        <w:spacing w:line="360" w:lineRule="auto"/>
        <w:jc w:val="both"/>
        <w:rPr>
          <w:rFonts w:ascii="Arial" w:hAnsi="Arial"/>
          <w:sz w:val="22"/>
          <w:szCs w:val="22"/>
        </w:rPr>
      </w:pPr>
    </w:p>
    <w:p w14:paraId="0AE3122C" w14:textId="4B7C3B15" w:rsidR="005275EC" w:rsidRDefault="0068258F" w:rsidP="00A76DDA">
      <w:pPr>
        <w:pStyle w:val="BodyText"/>
        <w:spacing w:line="360" w:lineRule="auto"/>
        <w:jc w:val="both"/>
      </w:pPr>
      <w:r>
        <w:rPr>
          <w:rStyle w:val="Strong"/>
          <w:rFonts w:ascii="Arial" w:hAnsi="Arial"/>
          <w:b w:val="0"/>
          <w:bCs w:val="0"/>
          <w:sz w:val="22"/>
          <w:szCs w:val="22"/>
        </w:rPr>
        <w:t xml:space="preserve">[10] </w:t>
      </w:r>
      <w:r>
        <w:rPr>
          <w:rFonts w:ascii="Arial" w:hAnsi="Arial"/>
          <w:sz w:val="22"/>
          <w:szCs w:val="22"/>
        </w:rPr>
        <w:t xml:space="preserve">S. Bates, T. Hastie, and R. </w:t>
      </w:r>
      <w:proofErr w:type="spellStart"/>
      <w:r>
        <w:rPr>
          <w:rFonts w:ascii="Arial" w:hAnsi="Arial"/>
          <w:sz w:val="22"/>
          <w:szCs w:val="22"/>
        </w:rPr>
        <w:t>Tibshirani</w:t>
      </w:r>
      <w:proofErr w:type="spellEnd"/>
      <w:r>
        <w:rPr>
          <w:rFonts w:ascii="Arial" w:hAnsi="Arial"/>
          <w:sz w:val="22"/>
          <w:szCs w:val="22"/>
        </w:rPr>
        <w:t xml:space="preserve">, "Cross-validation: What does it estimate and how well does it do it?," </w:t>
      </w:r>
      <w:r>
        <w:rPr>
          <w:rStyle w:val="Emphasis"/>
          <w:rFonts w:ascii="Arial" w:hAnsi="Arial"/>
          <w:sz w:val="22"/>
          <w:szCs w:val="22"/>
        </w:rPr>
        <w:t>Journal of the American Statistical Association</w:t>
      </w:r>
      <w:r>
        <w:rPr>
          <w:rFonts w:ascii="Arial" w:hAnsi="Arial"/>
          <w:sz w:val="22"/>
          <w:szCs w:val="22"/>
        </w:rPr>
        <w:t>, vol. 119, no. 546, pp. 1434–1445, 2024.</w:t>
      </w:r>
    </w:p>
    <w:p w14:paraId="443CCF2B" w14:textId="77777777" w:rsidR="005275EC" w:rsidRDefault="005275EC" w:rsidP="00A76DDA">
      <w:pPr>
        <w:pStyle w:val="BodyText"/>
        <w:spacing w:line="360" w:lineRule="auto"/>
        <w:jc w:val="both"/>
        <w:rPr>
          <w:rFonts w:ascii="Arial" w:hAnsi="Arial"/>
          <w:sz w:val="22"/>
          <w:szCs w:val="22"/>
        </w:rPr>
      </w:pPr>
    </w:p>
    <w:p w14:paraId="351F85B5" w14:textId="0198C4B9" w:rsidR="005275EC" w:rsidRDefault="0068258F" w:rsidP="00A76DDA">
      <w:pPr>
        <w:pStyle w:val="BodyText"/>
        <w:spacing w:line="360" w:lineRule="auto"/>
        <w:jc w:val="both"/>
      </w:pPr>
      <w:r>
        <w:rPr>
          <w:rStyle w:val="Strong"/>
          <w:rFonts w:ascii="Arial" w:hAnsi="Arial"/>
          <w:b w:val="0"/>
          <w:bCs w:val="0"/>
          <w:sz w:val="22"/>
          <w:szCs w:val="22"/>
        </w:rPr>
        <w:t xml:space="preserve">[11] </w:t>
      </w:r>
      <w:r>
        <w:rPr>
          <w:rFonts w:ascii="Arial" w:hAnsi="Arial"/>
          <w:sz w:val="22"/>
          <w:szCs w:val="22"/>
        </w:rPr>
        <w:t xml:space="preserve">J. R. Quinlan, </w:t>
      </w:r>
      <w:r>
        <w:rPr>
          <w:rStyle w:val="Emphasis"/>
          <w:rFonts w:ascii="Arial" w:hAnsi="Arial"/>
          <w:sz w:val="22"/>
          <w:szCs w:val="22"/>
        </w:rPr>
        <w:t>C4.5: Programs for Machine Learning</w:t>
      </w:r>
      <w:r>
        <w:rPr>
          <w:rFonts w:ascii="Arial" w:hAnsi="Arial"/>
          <w:sz w:val="22"/>
          <w:szCs w:val="22"/>
        </w:rPr>
        <w:t>. San Francisco, CA, USA: Morgan Kaufmann, 1993.</w:t>
      </w:r>
    </w:p>
    <w:p w14:paraId="155945F3" w14:textId="77777777" w:rsidR="005275EC" w:rsidRDefault="005275EC" w:rsidP="00A76DDA">
      <w:pPr>
        <w:pStyle w:val="BodyText"/>
        <w:spacing w:line="360" w:lineRule="auto"/>
        <w:jc w:val="both"/>
        <w:rPr>
          <w:rFonts w:ascii="Arial" w:hAnsi="Arial"/>
          <w:sz w:val="22"/>
          <w:szCs w:val="22"/>
        </w:rPr>
      </w:pPr>
    </w:p>
    <w:p w14:paraId="6F5CB0FE" w14:textId="452C9BB3" w:rsidR="005275EC" w:rsidRDefault="0068258F" w:rsidP="00A76DDA">
      <w:pPr>
        <w:pStyle w:val="BodyText"/>
        <w:spacing w:line="360" w:lineRule="auto"/>
        <w:jc w:val="both"/>
      </w:pPr>
      <w:r>
        <w:rPr>
          <w:rStyle w:val="Strong"/>
          <w:rFonts w:ascii="Arial" w:hAnsi="Arial"/>
          <w:b w:val="0"/>
          <w:bCs w:val="0"/>
          <w:sz w:val="22"/>
          <w:szCs w:val="22"/>
        </w:rPr>
        <w:t xml:space="preserve">[12] </w:t>
      </w:r>
      <w:r>
        <w:rPr>
          <w:rFonts w:ascii="Arial" w:hAnsi="Arial"/>
          <w:sz w:val="22"/>
          <w:szCs w:val="22"/>
        </w:rPr>
        <w:t xml:space="preserve">A. </w:t>
      </w:r>
      <w:proofErr w:type="spellStart"/>
      <w:r>
        <w:rPr>
          <w:rFonts w:ascii="Arial" w:hAnsi="Arial"/>
          <w:sz w:val="22"/>
          <w:szCs w:val="22"/>
        </w:rPr>
        <w:t>Géron</w:t>
      </w:r>
      <w:proofErr w:type="spellEnd"/>
      <w:r>
        <w:rPr>
          <w:rFonts w:ascii="Arial" w:hAnsi="Arial"/>
          <w:sz w:val="22"/>
          <w:szCs w:val="22"/>
        </w:rPr>
        <w:t xml:space="preserve">, </w:t>
      </w:r>
      <w:r>
        <w:rPr>
          <w:rStyle w:val="Emphasis"/>
          <w:rFonts w:ascii="Arial" w:hAnsi="Arial"/>
          <w:sz w:val="22"/>
          <w:szCs w:val="22"/>
        </w:rPr>
        <w:t xml:space="preserve">Hands-On Machine Learning with </w:t>
      </w:r>
      <w:proofErr w:type="spellStart"/>
      <w:r>
        <w:rPr>
          <w:rStyle w:val="Emphasis"/>
          <w:rFonts w:ascii="Arial" w:hAnsi="Arial"/>
          <w:sz w:val="22"/>
          <w:szCs w:val="22"/>
        </w:rPr>
        <w:t>Scikit</w:t>
      </w:r>
      <w:proofErr w:type="spellEnd"/>
      <w:r>
        <w:rPr>
          <w:rStyle w:val="Emphasis"/>
          <w:rFonts w:ascii="Arial" w:hAnsi="Arial"/>
          <w:sz w:val="22"/>
          <w:szCs w:val="22"/>
        </w:rPr>
        <w:t xml:space="preserve">-Learn, </w:t>
      </w:r>
      <w:proofErr w:type="spellStart"/>
      <w:r>
        <w:rPr>
          <w:rStyle w:val="Emphasis"/>
          <w:rFonts w:ascii="Arial" w:hAnsi="Arial"/>
          <w:sz w:val="22"/>
          <w:szCs w:val="22"/>
        </w:rPr>
        <w:t>Keras</w:t>
      </w:r>
      <w:proofErr w:type="spellEnd"/>
      <w:r>
        <w:rPr>
          <w:rStyle w:val="Emphasis"/>
          <w:rFonts w:ascii="Arial" w:hAnsi="Arial"/>
          <w:sz w:val="22"/>
          <w:szCs w:val="22"/>
        </w:rPr>
        <w:t xml:space="preserve"> &amp; </w:t>
      </w:r>
      <w:proofErr w:type="spellStart"/>
      <w:r>
        <w:rPr>
          <w:rStyle w:val="Emphasis"/>
          <w:rFonts w:ascii="Arial" w:hAnsi="Arial"/>
          <w:sz w:val="22"/>
          <w:szCs w:val="22"/>
        </w:rPr>
        <w:t>TensorFlow</w:t>
      </w:r>
      <w:proofErr w:type="spellEnd"/>
      <w:r>
        <w:rPr>
          <w:rFonts w:ascii="Arial" w:hAnsi="Arial"/>
          <w:sz w:val="22"/>
          <w:szCs w:val="22"/>
        </w:rPr>
        <w:t>, 3rd ed. Sebastopol, CA, USA: O'Reilly Media, 2022.</w:t>
      </w:r>
    </w:p>
    <w:p w14:paraId="51FF03FF" w14:textId="77777777" w:rsidR="005275EC" w:rsidRDefault="005275EC" w:rsidP="00A76DDA">
      <w:pPr>
        <w:pStyle w:val="BodyText"/>
        <w:spacing w:line="360" w:lineRule="auto"/>
        <w:jc w:val="both"/>
        <w:rPr>
          <w:rFonts w:ascii="Arial" w:hAnsi="Arial"/>
          <w:sz w:val="22"/>
          <w:szCs w:val="22"/>
        </w:rPr>
      </w:pPr>
    </w:p>
    <w:p w14:paraId="76596F85" w14:textId="325141A6" w:rsidR="005275EC" w:rsidRDefault="0068258F" w:rsidP="00A76DDA">
      <w:pPr>
        <w:pStyle w:val="BodyText"/>
        <w:spacing w:line="360" w:lineRule="auto"/>
        <w:jc w:val="both"/>
      </w:pPr>
      <w:r>
        <w:rPr>
          <w:rStyle w:val="Strong"/>
          <w:rFonts w:ascii="Arial" w:hAnsi="Arial"/>
          <w:b w:val="0"/>
          <w:bCs w:val="0"/>
          <w:sz w:val="22"/>
          <w:szCs w:val="22"/>
        </w:rPr>
        <w:t xml:space="preserve">[13] </w:t>
      </w:r>
      <w:r>
        <w:rPr>
          <w:rFonts w:ascii="Arial" w:hAnsi="Arial"/>
          <w:sz w:val="22"/>
          <w:szCs w:val="22"/>
        </w:rPr>
        <w:t xml:space="preserve">A. K. Jain, "Data clustering: 50 years beyond K-means," </w:t>
      </w:r>
      <w:r>
        <w:rPr>
          <w:rStyle w:val="Emphasis"/>
          <w:rFonts w:ascii="Arial" w:hAnsi="Arial"/>
          <w:sz w:val="22"/>
          <w:szCs w:val="22"/>
        </w:rPr>
        <w:t>Pattern Recognition Letters</w:t>
      </w:r>
      <w:r>
        <w:rPr>
          <w:rFonts w:ascii="Arial" w:hAnsi="Arial"/>
          <w:sz w:val="22"/>
          <w:szCs w:val="22"/>
        </w:rPr>
        <w:t>, vol. 31, no. 8, pp. 651–666, 2010.</w:t>
      </w:r>
    </w:p>
    <w:p w14:paraId="60184783" w14:textId="77777777" w:rsidR="005275EC" w:rsidRDefault="005275EC" w:rsidP="00A76DDA">
      <w:pPr>
        <w:pStyle w:val="BodyText"/>
        <w:spacing w:line="360" w:lineRule="auto"/>
        <w:jc w:val="both"/>
        <w:rPr>
          <w:rStyle w:val="Strong"/>
          <w:rFonts w:ascii="Arial" w:hAnsi="Arial"/>
          <w:b w:val="0"/>
          <w:bCs w:val="0"/>
          <w:sz w:val="22"/>
          <w:szCs w:val="22"/>
        </w:rPr>
      </w:pPr>
    </w:p>
    <w:p w14:paraId="5C94E54F" w14:textId="7D6698D9" w:rsidR="005275EC" w:rsidRDefault="0068258F" w:rsidP="00A76DDA">
      <w:pPr>
        <w:pStyle w:val="BodyText"/>
        <w:spacing w:line="360" w:lineRule="auto"/>
        <w:jc w:val="both"/>
      </w:pPr>
      <w:r>
        <w:rPr>
          <w:rStyle w:val="Strong"/>
          <w:rFonts w:ascii="Arial" w:hAnsi="Arial"/>
          <w:b w:val="0"/>
          <w:bCs w:val="0"/>
          <w:sz w:val="22"/>
          <w:szCs w:val="22"/>
        </w:rPr>
        <w:t xml:space="preserve">[14] </w:t>
      </w:r>
      <w:r>
        <w:rPr>
          <w:rFonts w:ascii="Arial" w:hAnsi="Arial"/>
          <w:sz w:val="22"/>
          <w:szCs w:val="22"/>
        </w:rPr>
        <w:t xml:space="preserve">D. M. W. Powers, "Evaluation: From Precision, Recall and F-Measure to ROC, </w:t>
      </w:r>
      <w:proofErr w:type="spellStart"/>
      <w:r>
        <w:rPr>
          <w:rFonts w:ascii="Arial" w:hAnsi="Arial"/>
          <w:sz w:val="22"/>
          <w:szCs w:val="22"/>
        </w:rPr>
        <w:t>Informedness</w:t>
      </w:r>
      <w:proofErr w:type="spellEnd"/>
      <w:r>
        <w:rPr>
          <w:rFonts w:ascii="Arial" w:hAnsi="Arial"/>
          <w:sz w:val="22"/>
          <w:szCs w:val="22"/>
        </w:rPr>
        <w:t xml:space="preserve">, </w:t>
      </w:r>
      <w:proofErr w:type="spellStart"/>
      <w:r>
        <w:rPr>
          <w:rFonts w:ascii="Arial" w:hAnsi="Arial"/>
          <w:sz w:val="22"/>
          <w:szCs w:val="22"/>
        </w:rPr>
        <w:t>Markedness</w:t>
      </w:r>
      <w:proofErr w:type="spellEnd"/>
      <w:r>
        <w:rPr>
          <w:rFonts w:ascii="Arial" w:hAnsi="Arial"/>
          <w:sz w:val="22"/>
          <w:szCs w:val="22"/>
        </w:rPr>
        <w:t xml:space="preserve"> and Correlation," </w:t>
      </w:r>
      <w:r>
        <w:rPr>
          <w:rStyle w:val="Emphasis"/>
          <w:rFonts w:ascii="Arial" w:hAnsi="Arial"/>
          <w:sz w:val="22"/>
          <w:szCs w:val="22"/>
        </w:rPr>
        <w:t xml:space="preserve">Journal of Machine </w:t>
      </w:r>
      <w:proofErr w:type="spellStart"/>
      <w:r>
        <w:rPr>
          <w:rStyle w:val="Emphasis"/>
          <w:rFonts w:ascii="Arial" w:hAnsi="Arial"/>
          <w:sz w:val="22"/>
          <w:szCs w:val="22"/>
        </w:rPr>
        <w:t>LearningTechnologies</w:t>
      </w:r>
      <w:proofErr w:type="spellEnd"/>
      <w:r>
        <w:rPr>
          <w:rFonts w:ascii="Arial" w:hAnsi="Arial"/>
          <w:sz w:val="22"/>
          <w:szCs w:val="22"/>
        </w:rPr>
        <w:t>,   vol. 2, no. 1, pp. 37–63, 2011.</w:t>
      </w:r>
    </w:p>
    <w:p w14:paraId="572DED00" w14:textId="77777777" w:rsidR="005275EC" w:rsidRDefault="005275EC" w:rsidP="00A76DDA">
      <w:pPr>
        <w:pStyle w:val="BodyText"/>
        <w:spacing w:line="360" w:lineRule="auto"/>
        <w:jc w:val="both"/>
        <w:rPr>
          <w:rFonts w:ascii="Arial" w:hAnsi="Arial"/>
          <w:sz w:val="22"/>
          <w:szCs w:val="22"/>
        </w:rPr>
      </w:pPr>
    </w:p>
    <w:p w14:paraId="0868CD80" w14:textId="634442B6" w:rsidR="005275EC" w:rsidRDefault="0068258F" w:rsidP="00A76DDA">
      <w:pPr>
        <w:pStyle w:val="BodyText"/>
        <w:spacing w:line="360" w:lineRule="auto"/>
        <w:jc w:val="both"/>
      </w:pPr>
      <w:r w:rsidRPr="10646146">
        <w:rPr>
          <w:rStyle w:val="Strong"/>
          <w:rFonts w:ascii="Arial" w:hAnsi="Arial"/>
          <w:b w:val="0"/>
          <w:bCs w:val="0"/>
          <w:sz w:val="22"/>
          <w:szCs w:val="22"/>
        </w:rPr>
        <w:t xml:space="preserve">[15] </w:t>
      </w:r>
      <w:r w:rsidRPr="10646146">
        <w:rPr>
          <w:rFonts w:ascii="Arial" w:hAnsi="Arial"/>
          <w:sz w:val="22"/>
          <w:szCs w:val="22"/>
        </w:rPr>
        <w:t xml:space="preserve">G. W. Cassales, J. J. Liu, A. Bifet, B. Pfahringer, and E. Frank, "Accelerated Weka: GPU Machine Learning with Weka Workbench," </w:t>
      </w:r>
      <w:r w:rsidRPr="10646146">
        <w:rPr>
          <w:rStyle w:val="Emphasis"/>
          <w:rFonts w:ascii="Arial" w:hAnsi="Arial"/>
          <w:sz w:val="22"/>
          <w:szCs w:val="22"/>
        </w:rPr>
        <w:t>Neurocomputing</w:t>
      </w:r>
      <w:r w:rsidRPr="10646146">
        <w:rPr>
          <w:rFonts w:ascii="Arial" w:hAnsi="Arial"/>
          <w:sz w:val="22"/>
          <w:szCs w:val="22"/>
        </w:rPr>
        <w:t>, vol. 646, Art. 130432, 2025.</w:t>
      </w:r>
      <w:r>
        <w:tab/>
      </w:r>
    </w:p>
    <w:p w14:paraId="5E08E13E" w14:textId="3F4561E8" w:rsidR="10646146" w:rsidRDefault="10646146" w:rsidP="10646146">
      <w:pPr>
        <w:pStyle w:val="BodyText"/>
        <w:spacing w:line="360" w:lineRule="auto"/>
        <w:jc w:val="both"/>
      </w:pPr>
    </w:p>
    <w:p w14:paraId="37A06252" w14:textId="5A6AE9C5" w:rsidR="005275EC" w:rsidRDefault="0068258F" w:rsidP="00A76DDA">
      <w:pPr>
        <w:pStyle w:val="Heading1"/>
        <w:jc w:val="both"/>
        <w:rPr>
          <w:sz w:val="32"/>
          <w:szCs w:val="32"/>
        </w:rPr>
      </w:pPr>
      <w:bookmarkStart w:id="11" w:name="_Toc236382647"/>
      <w:r>
        <w:rPr>
          <w:sz w:val="32"/>
          <w:szCs w:val="32"/>
        </w:rPr>
        <w:lastRenderedPageBreak/>
        <w:t>7. Appendix A</w:t>
      </w:r>
      <w:r>
        <w:tab/>
      </w:r>
      <w:r>
        <w:rPr>
          <w:sz w:val="32"/>
          <w:szCs w:val="32"/>
        </w:rPr>
        <w:t>Weka Confusion Matrices</w:t>
      </w:r>
      <w:bookmarkEnd w:id="11"/>
    </w:p>
    <w:p w14:paraId="1EE8ADD2" w14:textId="77777777" w:rsidR="005275EC" w:rsidRDefault="0068258F" w:rsidP="00A76DDA">
      <w:pPr>
        <w:spacing w:line="360" w:lineRule="auto"/>
        <w:jc w:val="both"/>
      </w:pPr>
      <w:r>
        <w:rPr>
          <w:rFonts w:ascii="Arial" w:hAnsi="Arial"/>
          <w:sz w:val="22"/>
          <w:szCs w:val="22"/>
        </w:rPr>
        <w:t>This appendix presents the confusion matrices generated by Weka Explorer for each classification algorithm evaluated in the study. These matrices provide detailed classification outcomes by showing the numbers of correctly and incorrectly classified churn and non-churn instances, supporting the comparative performance discussed in Section 1.4.</w:t>
      </w:r>
    </w:p>
    <w:p w14:paraId="5C193BD0" w14:textId="315BDD82" w:rsidR="19D35F69" w:rsidRDefault="19D35F69" w:rsidP="19D35F69">
      <w:pPr>
        <w:spacing w:line="360" w:lineRule="auto"/>
        <w:jc w:val="both"/>
        <w:rPr>
          <w:rFonts w:ascii="Arial" w:hAnsi="Arial"/>
          <w:sz w:val="22"/>
          <w:szCs w:val="22"/>
        </w:rPr>
      </w:pPr>
    </w:p>
    <w:p w14:paraId="5F611672" w14:textId="02AFCD35" w:rsidR="005275EC" w:rsidRDefault="0068258F" w:rsidP="00135F4B">
      <w:pPr>
        <w:pStyle w:val="Heading2"/>
        <w:jc w:val="both"/>
        <w:rPr>
          <w:sz w:val="28"/>
          <w:szCs w:val="28"/>
        </w:rPr>
      </w:pPr>
      <w:bookmarkStart w:id="12" w:name="_Toc236382648"/>
      <w:r>
        <w:rPr>
          <w:sz w:val="28"/>
          <w:szCs w:val="28"/>
        </w:rPr>
        <w:t xml:space="preserve">A.1 </w:t>
      </w:r>
      <w:proofErr w:type="spellStart"/>
      <w:r>
        <w:rPr>
          <w:sz w:val="28"/>
          <w:szCs w:val="28"/>
        </w:rPr>
        <w:t>ZeroR</w:t>
      </w:r>
      <w:proofErr w:type="spellEnd"/>
      <w:r>
        <w:rPr>
          <w:sz w:val="28"/>
          <w:szCs w:val="28"/>
        </w:rPr>
        <w:t xml:space="preserve"> Confusion Matrix</w:t>
      </w:r>
      <w:bookmarkEnd w:id="12"/>
    </w:p>
    <w:p w14:paraId="2AA7065B" w14:textId="77777777" w:rsidR="005275EC" w:rsidRDefault="0068258F" w:rsidP="00135F4B">
      <w:pPr>
        <w:spacing w:line="360" w:lineRule="auto"/>
        <w:jc w:val="both"/>
        <w:rPr>
          <w:rFonts w:ascii="Arial" w:hAnsi="Arial"/>
        </w:rPr>
      </w:pPr>
      <w:r>
        <w:rPr>
          <w:rFonts w:ascii="Arial" w:hAnsi="Arial"/>
          <w:sz w:val="22"/>
          <w:szCs w:val="22"/>
        </w:rPr>
        <w:t>Presents the baseline classification results, illustrating the performance achieved by predicting only the majority class.</w:t>
      </w:r>
    </w:p>
    <w:p w14:paraId="64AB9CF6" w14:textId="77777777" w:rsidR="005275EC" w:rsidRDefault="005275EC" w:rsidP="00135F4B">
      <w:pPr>
        <w:spacing w:line="360" w:lineRule="auto"/>
        <w:jc w:val="both"/>
        <w:rPr>
          <w:rFonts w:ascii="Arial" w:hAnsi="Arial"/>
          <w:sz w:val="22"/>
          <w:szCs w:val="22"/>
        </w:rPr>
      </w:pPr>
    </w:p>
    <w:p w14:paraId="064819BC" w14:textId="3012493C" w:rsidR="19D38DA7" w:rsidRDefault="19D38DA7" w:rsidP="10646146">
      <w:pPr>
        <w:spacing w:line="360" w:lineRule="auto"/>
        <w:jc w:val="center"/>
        <w:rPr>
          <w:rFonts w:ascii="Arial" w:hAnsi="Arial"/>
          <w:sz w:val="22"/>
          <w:szCs w:val="22"/>
        </w:rPr>
      </w:pPr>
      <w:r w:rsidRPr="10646146">
        <w:rPr>
          <w:rFonts w:ascii="Arial" w:hAnsi="Arial"/>
          <w:sz w:val="22"/>
          <w:szCs w:val="22"/>
        </w:rPr>
        <w:t xml:space="preserve"> </w:t>
      </w:r>
      <w:r w:rsidR="26283993">
        <w:rPr>
          <w:noProof/>
        </w:rPr>
        <w:drawing>
          <wp:inline distT="0" distB="0" distL="0" distR="0" wp14:anchorId="5A91FBD8" wp14:editId="33A1EECD">
            <wp:extent cx="3234055" cy="2330450"/>
            <wp:effectExtent l="0" t="0" r="0" b="0"/>
            <wp:docPr id="1412551571"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pic:cNvPicPr>
                      <a:picLocks noChangeAspect="1" noChangeArrowheads="1"/>
                    </pic:cNvPicPr>
                  </pic:nvPicPr>
                  <pic:blipFill>
                    <a:blip r:embed="rId13"/>
                    <a:stretch>
                      <a:fillRect/>
                    </a:stretch>
                  </pic:blipFill>
                  <pic:spPr bwMode="auto">
                    <a:xfrm>
                      <a:off x="0" y="0"/>
                      <a:ext cx="3234055" cy="2330450"/>
                    </a:xfrm>
                    <a:prstGeom prst="rect">
                      <a:avLst/>
                    </a:prstGeom>
                  </pic:spPr>
                </pic:pic>
              </a:graphicData>
            </a:graphic>
          </wp:inline>
        </w:drawing>
      </w:r>
    </w:p>
    <w:p w14:paraId="7018C68D" w14:textId="7B773386" w:rsidR="005275EC" w:rsidRDefault="0068258F" w:rsidP="10646146">
      <w:pPr>
        <w:spacing w:line="360" w:lineRule="auto"/>
        <w:jc w:val="center"/>
      </w:pPr>
      <w:r w:rsidRPr="5ED7D101">
        <w:rPr>
          <w:rFonts w:ascii="Arial" w:hAnsi="Arial"/>
          <w:b/>
          <w:bCs/>
          <w:sz w:val="18"/>
          <w:szCs w:val="18"/>
        </w:rPr>
        <w:t xml:space="preserve">Figure </w:t>
      </w:r>
      <w:r w:rsidR="47370965" w:rsidRPr="5ED7D101">
        <w:rPr>
          <w:rFonts w:ascii="Arial" w:hAnsi="Arial"/>
          <w:b/>
          <w:bCs/>
          <w:sz w:val="18"/>
          <w:szCs w:val="18"/>
        </w:rPr>
        <w:t>A</w:t>
      </w:r>
      <w:r w:rsidRPr="5ED7D101">
        <w:rPr>
          <w:rFonts w:ascii="Arial" w:hAnsi="Arial"/>
          <w:b/>
          <w:bCs/>
          <w:sz w:val="18"/>
          <w:szCs w:val="18"/>
        </w:rPr>
        <w:t xml:space="preserve">1: </w:t>
      </w:r>
      <w:r w:rsidRPr="5ED7D101">
        <w:rPr>
          <w:rFonts w:ascii="Arial" w:hAnsi="Arial"/>
          <w:i/>
          <w:iCs/>
          <w:sz w:val="18"/>
          <w:szCs w:val="18"/>
        </w:rPr>
        <w:t>ZeroR Confusion Matrix</w:t>
      </w:r>
    </w:p>
    <w:p w14:paraId="648F857A" w14:textId="1F79C10B" w:rsidR="19D35F69" w:rsidRDefault="19D35F69" w:rsidP="19D35F69">
      <w:pPr>
        <w:spacing w:line="360" w:lineRule="auto"/>
        <w:jc w:val="both"/>
        <w:rPr>
          <w:rFonts w:ascii="Arial" w:hAnsi="Arial"/>
          <w:i/>
          <w:iCs/>
          <w:sz w:val="18"/>
          <w:szCs w:val="18"/>
        </w:rPr>
      </w:pPr>
    </w:p>
    <w:p w14:paraId="01860A09" w14:textId="486F84AE" w:rsidR="005275EC" w:rsidRDefault="0068258F" w:rsidP="00135F4B">
      <w:pPr>
        <w:pStyle w:val="Heading2"/>
        <w:jc w:val="both"/>
        <w:rPr>
          <w:sz w:val="28"/>
          <w:szCs w:val="28"/>
        </w:rPr>
      </w:pPr>
      <w:bookmarkStart w:id="13" w:name="_Toc236382649"/>
      <w:r>
        <w:rPr>
          <w:sz w:val="28"/>
          <w:szCs w:val="28"/>
        </w:rPr>
        <w:t>A.2 J48 Decision Tree Confusion Matrix</w:t>
      </w:r>
      <w:bookmarkEnd w:id="13"/>
    </w:p>
    <w:p w14:paraId="0E3BA3A9" w14:textId="39CF3C45" w:rsidR="005275EC" w:rsidRDefault="0068258F" w:rsidP="00135F4B">
      <w:pPr>
        <w:spacing w:line="360" w:lineRule="auto"/>
        <w:jc w:val="both"/>
        <w:rPr>
          <w:rFonts w:ascii="Arial" w:hAnsi="Arial"/>
        </w:rPr>
      </w:pPr>
      <w:r w:rsidRPr="10646146">
        <w:rPr>
          <w:rFonts w:ascii="Arial" w:hAnsi="Arial"/>
          <w:sz w:val="22"/>
          <w:szCs w:val="22"/>
        </w:rPr>
        <w:t>Shows the classification results produced by the J48 decision tree algorithm, including correctly</w:t>
      </w:r>
      <w:r w:rsidR="1CB29F98" w:rsidRPr="10646146">
        <w:rPr>
          <w:rFonts w:ascii="Arial" w:hAnsi="Arial"/>
          <w:sz w:val="22"/>
          <w:szCs w:val="22"/>
        </w:rPr>
        <w:t xml:space="preserve"> </w:t>
      </w:r>
      <w:r w:rsidRPr="10646146">
        <w:rPr>
          <w:rFonts w:ascii="Arial" w:hAnsi="Arial"/>
          <w:sz w:val="22"/>
          <w:szCs w:val="22"/>
        </w:rPr>
        <w:t>classified instances and prediction errors.</w:t>
      </w:r>
    </w:p>
    <w:p w14:paraId="57F2A306" w14:textId="29B9D580" w:rsidR="005275EC" w:rsidRDefault="01561AEE" w:rsidP="5086CEF0">
      <w:pPr>
        <w:spacing w:line="360" w:lineRule="auto"/>
        <w:jc w:val="center"/>
        <w:rPr>
          <w:sz w:val="22"/>
          <w:szCs w:val="22"/>
        </w:rPr>
      </w:pPr>
      <w:r>
        <w:rPr>
          <w:noProof/>
        </w:rPr>
        <w:lastRenderedPageBreak/>
        <w:drawing>
          <wp:inline distT="0" distB="0" distL="0" distR="0" wp14:anchorId="1AFF3A7D" wp14:editId="7068009A">
            <wp:extent cx="3071495" cy="2338070"/>
            <wp:effectExtent l="0" t="0" r="0" b="0"/>
            <wp:docPr id="376239879"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pic:cNvPicPr>
                      <a:picLocks noChangeAspect="1" noChangeArrowheads="1"/>
                    </pic:cNvPicPr>
                  </pic:nvPicPr>
                  <pic:blipFill>
                    <a:blip r:embed="rId14"/>
                    <a:stretch>
                      <a:fillRect/>
                    </a:stretch>
                  </pic:blipFill>
                  <pic:spPr bwMode="auto">
                    <a:xfrm>
                      <a:off x="0" y="0"/>
                      <a:ext cx="3071495" cy="2338070"/>
                    </a:xfrm>
                    <a:prstGeom prst="rect">
                      <a:avLst/>
                    </a:prstGeom>
                  </pic:spPr>
                </pic:pic>
              </a:graphicData>
            </a:graphic>
          </wp:inline>
        </w:drawing>
      </w:r>
    </w:p>
    <w:p w14:paraId="1264F5BF" w14:textId="35F8ADDB" w:rsidR="005275EC" w:rsidRDefault="0068258F" w:rsidP="5086CEF0">
      <w:pPr>
        <w:spacing w:line="360" w:lineRule="auto"/>
        <w:jc w:val="center"/>
      </w:pPr>
      <w:r w:rsidRPr="5ED7D101">
        <w:rPr>
          <w:rFonts w:ascii="Arial" w:hAnsi="Arial"/>
          <w:b/>
          <w:bCs/>
          <w:sz w:val="18"/>
          <w:szCs w:val="18"/>
        </w:rPr>
        <w:t xml:space="preserve">Figure </w:t>
      </w:r>
      <w:r w:rsidR="67240916" w:rsidRPr="5ED7D101">
        <w:rPr>
          <w:rFonts w:ascii="Arial" w:hAnsi="Arial"/>
          <w:b/>
          <w:bCs/>
          <w:sz w:val="18"/>
          <w:szCs w:val="18"/>
        </w:rPr>
        <w:t>A</w:t>
      </w:r>
      <w:r w:rsidRPr="5ED7D101">
        <w:rPr>
          <w:rFonts w:ascii="Arial" w:hAnsi="Arial"/>
          <w:b/>
          <w:bCs/>
          <w:sz w:val="18"/>
          <w:szCs w:val="18"/>
        </w:rPr>
        <w:t xml:space="preserve">2: </w:t>
      </w:r>
      <w:r w:rsidRPr="5ED7D101">
        <w:rPr>
          <w:rFonts w:ascii="Arial" w:hAnsi="Arial"/>
          <w:i/>
          <w:iCs/>
          <w:sz w:val="18"/>
          <w:szCs w:val="18"/>
        </w:rPr>
        <w:t>J48 Decision Tree Confusion Matrix</w:t>
      </w:r>
    </w:p>
    <w:p w14:paraId="031BB8B7" w14:textId="79D0FEB8" w:rsidR="19D35F69" w:rsidRDefault="19D35F69" w:rsidP="19D35F69">
      <w:pPr>
        <w:spacing w:line="360" w:lineRule="auto"/>
        <w:jc w:val="both"/>
        <w:rPr>
          <w:rFonts w:ascii="Arial" w:hAnsi="Arial"/>
          <w:i/>
          <w:iCs/>
          <w:sz w:val="18"/>
          <w:szCs w:val="18"/>
        </w:rPr>
      </w:pPr>
    </w:p>
    <w:p w14:paraId="46346EB0" w14:textId="4D114A8F" w:rsidR="005275EC" w:rsidRDefault="0068258F" w:rsidP="00135F4B">
      <w:pPr>
        <w:pStyle w:val="Heading2"/>
        <w:jc w:val="both"/>
        <w:rPr>
          <w:sz w:val="28"/>
          <w:szCs w:val="28"/>
        </w:rPr>
      </w:pPr>
      <w:bookmarkStart w:id="14" w:name="_Toc236382650"/>
      <w:r>
        <w:rPr>
          <w:sz w:val="28"/>
          <w:szCs w:val="28"/>
        </w:rPr>
        <w:t>A.3 Logistic Regression Confusion Matrix</w:t>
      </w:r>
      <w:bookmarkEnd w:id="14"/>
    </w:p>
    <w:p w14:paraId="648728A8" w14:textId="77777777" w:rsidR="005275EC" w:rsidRDefault="0068258F" w:rsidP="00135F4B">
      <w:pPr>
        <w:spacing w:line="360" w:lineRule="auto"/>
        <w:jc w:val="both"/>
        <w:rPr>
          <w:rFonts w:ascii="Arial" w:hAnsi="Arial"/>
        </w:rPr>
      </w:pPr>
      <w:r>
        <w:rPr>
          <w:rFonts w:ascii="Arial" w:hAnsi="Arial"/>
          <w:sz w:val="22"/>
          <w:szCs w:val="22"/>
        </w:rPr>
        <w:t>Presents the classification outcomes for Logistic Regression, the best-performing model in this study, illustrating its ability to distinguish between churn and non-churn customers.</w:t>
      </w:r>
    </w:p>
    <w:p w14:paraId="302FA341" w14:textId="77777777" w:rsidR="005275EC" w:rsidRDefault="0068258F" w:rsidP="00135F4B">
      <w:pPr>
        <w:spacing w:line="360" w:lineRule="auto"/>
        <w:jc w:val="both"/>
        <w:rPr>
          <w:rFonts w:ascii="Arial" w:hAnsi="Arial"/>
        </w:rPr>
      </w:pPr>
      <w:r>
        <w:rPr>
          <w:rFonts w:ascii="Arial" w:hAnsi="Arial"/>
          <w:sz w:val="22"/>
          <w:szCs w:val="22"/>
        </w:rPr>
        <w:t>Figure: Logistic Regression confusion matrix.</w:t>
      </w:r>
    </w:p>
    <w:p w14:paraId="2E96AF82" w14:textId="77777777" w:rsidR="005275EC" w:rsidRDefault="005275EC" w:rsidP="00135F4B">
      <w:pPr>
        <w:spacing w:line="360" w:lineRule="auto"/>
        <w:jc w:val="both"/>
        <w:rPr>
          <w:rFonts w:ascii="Arial" w:hAnsi="Arial"/>
        </w:rPr>
      </w:pPr>
    </w:p>
    <w:p w14:paraId="4EFB3A4B" w14:textId="2AA006BC" w:rsidR="3D0A6002" w:rsidRDefault="3D0A6002" w:rsidP="5086CEF0">
      <w:pPr>
        <w:spacing w:line="360" w:lineRule="auto"/>
        <w:jc w:val="center"/>
        <w:rPr>
          <w:rFonts w:ascii="Arial" w:hAnsi="Arial"/>
        </w:rPr>
      </w:pPr>
      <w:r>
        <w:rPr>
          <w:noProof/>
        </w:rPr>
        <w:drawing>
          <wp:inline distT="0" distB="0" distL="0" distR="0" wp14:anchorId="58297FD4" wp14:editId="55BC9642">
            <wp:extent cx="3783330" cy="2682240"/>
            <wp:effectExtent l="0" t="0" r="0" b="0"/>
            <wp:docPr id="914023840"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
                    <pic:cNvPicPr>
                      <a:picLocks noChangeAspect="1" noChangeArrowheads="1"/>
                    </pic:cNvPicPr>
                  </pic:nvPicPr>
                  <pic:blipFill>
                    <a:blip r:embed="rId15"/>
                    <a:stretch>
                      <a:fillRect/>
                    </a:stretch>
                  </pic:blipFill>
                  <pic:spPr bwMode="auto">
                    <a:xfrm>
                      <a:off x="0" y="0"/>
                      <a:ext cx="3783330" cy="2682240"/>
                    </a:xfrm>
                    <a:prstGeom prst="rect">
                      <a:avLst/>
                    </a:prstGeom>
                  </pic:spPr>
                </pic:pic>
              </a:graphicData>
            </a:graphic>
          </wp:inline>
        </w:drawing>
      </w:r>
    </w:p>
    <w:p w14:paraId="72E975F4" w14:textId="735752F0" w:rsidR="005275EC" w:rsidRDefault="0068258F" w:rsidP="5086CEF0">
      <w:pPr>
        <w:spacing w:line="360" w:lineRule="auto"/>
        <w:jc w:val="center"/>
        <w:rPr>
          <w:rFonts w:ascii="Arial" w:hAnsi="Arial"/>
          <w:sz w:val="18"/>
          <w:szCs w:val="18"/>
        </w:rPr>
      </w:pPr>
      <w:r w:rsidRPr="5ED7D101">
        <w:rPr>
          <w:rFonts w:ascii="Arial" w:hAnsi="Arial"/>
          <w:b/>
          <w:bCs/>
          <w:sz w:val="18"/>
          <w:szCs w:val="18"/>
        </w:rPr>
        <w:t xml:space="preserve">Figure </w:t>
      </w:r>
      <w:r w:rsidR="306C6211" w:rsidRPr="5ED7D101">
        <w:rPr>
          <w:rFonts w:ascii="Arial" w:hAnsi="Arial"/>
          <w:b/>
          <w:bCs/>
          <w:sz w:val="18"/>
          <w:szCs w:val="18"/>
        </w:rPr>
        <w:t>A</w:t>
      </w:r>
      <w:r w:rsidRPr="5ED7D101">
        <w:rPr>
          <w:rFonts w:ascii="Arial" w:hAnsi="Arial"/>
          <w:b/>
          <w:bCs/>
          <w:sz w:val="18"/>
          <w:szCs w:val="18"/>
        </w:rPr>
        <w:t>3:</w:t>
      </w:r>
      <w:r w:rsidRPr="5ED7D101">
        <w:rPr>
          <w:rFonts w:ascii="Arial" w:hAnsi="Arial"/>
          <w:sz w:val="18"/>
          <w:szCs w:val="18"/>
        </w:rPr>
        <w:t xml:space="preserve"> </w:t>
      </w:r>
      <w:r w:rsidRPr="5ED7D101">
        <w:rPr>
          <w:rFonts w:ascii="Arial" w:hAnsi="Arial"/>
          <w:i/>
          <w:iCs/>
          <w:sz w:val="18"/>
          <w:szCs w:val="18"/>
        </w:rPr>
        <w:t>Logistic Regression Confusion Matrix</w:t>
      </w:r>
    </w:p>
    <w:p w14:paraId="015EFF44" w14:textId="77777777" w:rsidR="005275EC" w:rsidRDefault="005275EC" w:rsidP="00135F4B">
      <w:pPr>
        <w:spacing w:line="360" w:lineRule="auto"/>
        <w:jc w:val="both"/>
        <w:rPr>
          <w:rFonts w:ascii="Arial" w:hAnsi="Arial"/>
          <w:sz w:val="18"/>
          <w:szCs w:val="18"/>
        </w:rPr>
      </w:pPr>
    </w:p>
    <w:p w14:paraId="1A7D4902" w14:textId="0C15D070" w:rsidR="5086CEF0" w:rsidRDefault="5086CEF0" w:rsidP="5086CEF0">
      <w:pPr>
        <w:spacing w:line="360" w:lineRule="auto"/>
        <w:jc w:val="both"/>
        <w:rPr>
          <w:rFonts w:ascii="Arial" w:hAnsi="Arial"/>
          <w:sz w:val="18"/>
          <w:szCs w:val="18"/>
        </w:rPr>
      </w:pPr>
    </w:p>
    <w:p w14:paraId="34737D4A" w14:textId="6FD3EDB0" w:rsidR="005275EC" w:rsidRDefault="0068258F" w:rsidP="00135F4B">
      <w:pPr>
        <w:pStyle w:val="Heading2"/>
        <w:jc w:val="both"/>
        <w:rPr>
          <w:sz w:val="28"/>
          <w:szCs w:val="28"/>
        </w:rPr>
      </w:pPr>
      <w:bookmarkStart w:id="15" w:name="_Toc236382651"/>
      <w:r w:rsidRPr="5086CEF0">
        <w:rPr>
          <w:sz w:val="28"/>
          <w:szCs w:val="28"/>
        </w:rPr>
        <w:lastRenderedPageBreak/>
        <w:t>A.4 Random Forest Confusion Matrix</w:t>
      </w:r>
      <w:bookmarkEnd w:id="15"/>
    </w:p>
    <w:p w14:paraId="2007B3F7" w14:textId="2E1FD1AE" w:rsidR="5086CEF0" w:rsidRDefault="49647D6C" w:rsidP="5086CEF0">
      <w:pPr>
        <w:spacing w:line="360" w:lineRule="auto"/>
        <w:jc w:val="both"/>
        <w:rPr>
          <w:rFonts w:ascii="Arial" w:hAnsi="Arial"/>
          <w:sz w:val="18"/>
          <w:szCs w:val="18"/>
        </w:rPr>
      </w:pPr>
      <w:r w:rsidRPr="7841B142">
        <w:rPr>
          <w:rFonts w:ascii="Arial" w:hAnsi="Arial"/>
          <w:sz w:val="22"/>
          <w:szCs w:val="22"/>
        </w:rPr>
        <w:t>Shows the classification performance of the Random Forest algorithm, highlighting the distribution of correct and incorrect predictions.</w:t>
      </w:r>
    </w:p>
    <w:p w14:paraId="4638A398" w14:textId="045F885D" w:rsidR="0CBFC58F" w:rsidRDefault="0CBFC58F" w:rsidP="5086CEF0">
      <w:pPr>
        <w:spacing w:line="360" w:lineRule="auto"/>
        <w:jc w:val="center"/>
        <w:rPr>
          <w:rFonts w:ascii="Arial" w:hAnsi="Arial"/>
          <w:sz w:val="22"/>
          <w:szCs w:val="22"/>
        </w:rPr>
      </w:pPr>
      <w:r>
        <w:rPr>
          <w:noProof/>
        </w:rPr>
        <w:drawing>
          <wp:inline distT="0" distB="0" distL="0" distR="0" wp14:anchorId="608967A8" wp14:editId="40EA8DFA">
            <wp:extent cx="3570605" cy="2785745"/>
            <wp:effectExtent l="0" t="0" r="0" b="0"/>
            <wp:docPr id="1670001027"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pic:cNvPicPr>
                      <a:picLocks noChangeAspect="1" noChangeArrowheads="1"/>
                    </pic:cNvPicPr>
                  </pic:nvPicPr>
                  <pic:blipFill>
                    <a:blip r:embed="rId16"/>
                    <a:stretch>
                      <a:fillRect/>
                    </a:stretch>
                  </pic:blipFill>
                  <pic:spPr bwMode="auto">
                    <a:xfrm>
                      <a:off x="0" y="0"/>
                      <a:ext cx="3570605" cy="2785745"/>
                    </a:xfrm>
                    <a:prstGeom prst="rect">
                      <a:avLst/>
                    </a:prstGeom>
                  </pic:spPr>
                </pic:pic>
              </a:graphicData>
            </a:graphic>
          </wp:inline>
        </w:drawing>
      </w:r>
    </w:p>
    <w:p w14:paraId="5C7A147E" w14:textId="0848C024" w:rsidR="005275EC" w:rsidRDefault="0068258F" w:rsidP="5086CEF0">
      <w:pPr>
        <w:spacing w:line="360" w:lineRule="auto"/>
        <w:jc w:val="center"/>
      </w:pPr>
      <w:r w:rsidRPr="5ED7D101">
        <w:rPr>
          <w:rFonts w:ascii="Arial" w:hAnsi="Arial"/>
          <w:b/>
          <w:bCs/>
          <w:sz w:val="18"/>
          <w:szCs w:val="18"/>
        </w:rPr>
        <w:t xml:space="preserve">Figure </w:t>
      </w:r>
      <w:r w:rsidR="10F713C3" w:rsidRPr="5ED7D101">
        <w:rPr>
          <w:rFonts w:ascii="Arial" w:hAnsi="Arial"/>
          <w:b/>
          <w:bCs/>
          <w:sz w:val="18"/>
          <w:szCs w:val="18"/>
        </w:rPr>
        <w:t>A</w:t>
      </w:r>
      <w:r w:rsidRPr="5ED7D101">
        <w:rPr>
          <w:rFonts w:ascii="Arial" w:hAnsi="Arial"/>
          <w:b/>
          <w:bCs/>
          <w:sz w:val="18"/>
          <w:szCs w:val="18"/>
        </w:rPr>
        <w:t>4:</w:t>
      </w:r>
      <w:r w:rsidRPr="5ED7D101">
        <w:rPr>
          <w:rFonts w:ascii="Arial" w:hAnsi="Arial"/>
          <w:sz w:val="18"/>
          <w:szCs w:val="18"/>
        </w:rPr>
        <w:t xml:space="preserve">  </w:t>
      </w:r>
      <w:r w:rsidRPr="5ED7D101">
        <w:rPr>
          <w:rFonts w:ascii="Arial" w:hAnsi="Arial"/>
          <w:i/>
          <w:iCs/>
          <w:sz w:val="18"/>
          <w:szCs w:val="18"/>
        </w:rPr>
        <w:t>Random Forest Confusion Matrix</w:t>
      </w:r>
    </w:p>
    <w:p w14:paraId="107945F4" w14:textId="452D7621" w:rsidR="74606C50" w:rsidRDefault="74606C50" w:rsidP="7841B142">
      <w:pPr>
        <w:spacing w:line="360" w:lineRule="auto"/>
        <w:jc w:val="both"/>
        <w:rPr>
          <w:rFonts w:ascii="Arial" w:hAnsi="Arial"/>
          <w:i/>
          <w:iCs/>
          <w:sz w:val="18"/>
          <w:szCs w:val="18"/>
        </w:rPr>
      </w:pPr>
    </w:p>
    <w:p w14:paraId="16005B31" w14:textId="743DD172" w:rsidR="7841B142" w:rsidRDefault="7841B142" w:rsidP="7841B142">
      <w:pPr>
        <w:spacing w:line="360" w:lineRule="auto"/>
        <w:jc w:val="both"/>
        <w:rPr>
          <w:rFonts w:ascii="Arial" w:hAnsi="Arial"/>
          <w:i/>
          <w:iCs/>
          <w:sz w:val="18"/>
          <w:szCs w:val="18"/>
        </w:rPr>
      </w:pPr>
    </w:p>
    <w:p w14:paraId="39CE946B" w14:textId="1C230190" w:rsidR="7841B142" w:rsidRDefault="7841B142" w:rsidP="7841B142">
      <w:pPr>
        <w:spacing w:line="360" w:lineRule="auto"/>
        <w:jc w:val="both"/>
        <w:rPr>
          <w:rFonts w:ascii="Arial" w:hAnsi="Arial"/>
          <w:i/>
          <w:iCs/>
          <w:sz w:val="18"/>
          <w:szCs w:val="18"/>
        </w:rPr>
      </w:pPr>
    </w:p>
    <w:p w14:paraId="21AD5D23" w14:textId="3C303056" w:rsidR="7841B142" w:rsidRDefault="7841B142" w:rsidP="7841B142">
      <w:pPr>
        <w:spacing w:line="360" w:lineRule="auto"/>
        <w:jc w:val="both"/>
        <w:rPr>
          <w:rFonts w:ascii="Arial" w:hAnsi="Arial"/>
          <w:i/>
          <w:iCs/>
          <w:sz w:val="18"/>
          <w:szCs w:val="18"/>
        </w:rPr>
      </w:pPr>
    </w:p>
    <w:p w14:paraId="3E8F0554" w14:textId="26DDFB77" w:rsidR="7841B142" w:rsidRDefault="7841B142" w:rsidP="7841B142">
      <w:pPr>
        <w:spacing w:line="360" w:lineRule="auto"/>
        <w:jc w:val="both"/>
        <w:rPr>
          <w:rFonts w:ascii="Arial" w:hAnsi="Arial"/>
          <w:i/>
          <w:iCs/>
          <w:sz w:val="18"/>
          <w:szCs w:val="18"/>
        </w:rPr>
      </w:pPr>
    </w:p>
    <w:p w14:paraId="76EC629C" w14:textId="35D57B2D" w:rsidR="7841B142" w:rsidRDefault="7841B142" w:rsidP="7841B142">
      <w:pPr>
        <w:spacing w:line="360" w:lineRule="auto"/>
        <w:jc w:val="both"/>
        <w:rPr>
          <w:rFonts w:ascii="Arial" w:hAnsi="Arial"/>
          <w:i/>
          <w:iCs/>
          <w:sz w:val="18"/>
          <w:szCs w:val="18"/>
        </w:rPr>
      </w:pPr>
    </w:p>
    <w:p w14:paraId="6D8056A4" w14:textId="3C87AB04" w:rsidR="7841B142" w:rsidRDefault="7841B142" w:rsidP="7841B142">
      <w:pPr>
        <w:spacing w:line="360" w:lineRule="auto"/>
        <w:jc w:val="both"/>
        <w:rPr>
          <w:rFonts w:ascii="Arial" w:hAnsi="Arial"/>
          <w:i/>
          <w:iCs/>
          <w:sz w:val="18"/>
          <w:szCs w:val="18"/>
        </w:rPr>
      </w:pPr>
    </w:p>
    <w:p w14:paraId="35164E84" w14:textId="0271FF90" w:rsidR="7841B142" w:rsidRDefault="7841B142" w:rsidP="7841B142">
      <w:pPr>
        <w:spacing w:line="360" w:lineRule="auto"/>
        <w:jc w:val="both"/>
        <w:rPr>
          <w:rFonts w:ascii="Arial" w:hAnsi="Arial"/>
          <w:i/>
          <w:iCs/>
          <w:sz w:val="18"/>
          <w:szCs w:val="18"/>
        </w:rPr>
      </w:pPr>
    </w:p>
    <w:p w14:paraId="24C27622" w14:textId="4BE28ED6" w:rsidR="7841B142" w:rsidRDefault="7841B142" w:rsidP="7841B142">
      <w:pPr>
        <w:spacing w:line="360" w:lineRule="auto"/>
        <w:jc w:val="both"/>
        <w:rPr>
          <w:rFonts w:ascii="Arial" w:hAnsi="Arial"/>
          <w:i/>
          <w:iCs/>
          <w:sz w:val="18"/>
          <w:szCs w:val="18"/>
        </w:rPr>
      </w:pPr>
    </w:p>
    <w:p w14:paraId="6B0C0237" w14:textId="40841569" w:rsidR="7841B142" w:rsidRDefault="7841B142" w:rsidP="7841B142">
      <w:pPr>
        <w:spacing w:line="360" w:lineRule="auto"/>
        <w:jc w:val="both"/>
        <w:rPr>
          <w:rFonts w:ascii="Arial" w:hAnsi="Arial"/>
          <w:i/>
          <w:iCs/>
          <w:sz w:val="18"/>
          <w:szCs w:val="18"/>
        </w:rPr>
      </w:pPr>
    </w:p>
    <w:p w14:paraId="1BBE847A" w14:textId="0BD997BB" w:rsidR="7841B142" w:rsidRDefault="7841B142" w:rsidP="7841B142">
      <w:pPr>
        <w:spacing w:line="360" w:lineRule="auto"/>
        <w:jc w:val="both"/>
        <w:rPr>
          <w:rFonts w:ascii="Arial" w:hAnsi="Arial"/>
          <w:i/>
          <w:iCs/>
          <w:sz w:val="18"/>
          <w:szCs w:val="18"/>
        </w:rPr>
      </w:pPr>
    </w:p>
    <w:p w14:paraId="2A307406" w14:textId="15B4DB98" w:rsidR="7841B142" w:rsidRDefault="7841B142" w:rsidP="7841B142">
      <w:pPr>
        <w:spacing w:line="360" w:lineRule="auto"/>
        <w:jc w:val="both"/>
        <w:rPr>
          <w:rFonts w:ascii="Arial" w:hAnsi="Arial"/>
          <w:i/>
          <w:iCs/>
          <w:sz w:val="18"/>
          <w:szCs w:val="18"/>
        </w:rPr>
      </w:pPr>
    </w:p>
    <w:p w14:paraId="5E2A23F6" w14:textId="5A2BC6E4" w:rsidR="7841B142" w:rsidRDefault="7841B142" w:rsidP="7841B142">
      <w:pPr>
        <w:spacing w:line="360" w:lineRule="auto"/>
        <w:jc w:val="both"/>
        <w:rPr>
          <w:rFonts w:ascii="Arial" w:hAnsi="Arial"/>
          <w:i/>
          <w:iCs/>
          <w:sz w:val="18"/>
          <w:szCs w:val="18"/>
        </w:rPr>
      </w:pPr>
    </w:p>
    <w:p w14:paraId="0502E0A5" w14:textId="7DA3F3E9" w:rsidR="7841B142" w:rsidRDefault="7841B142" w:rsidP="7841B142">
      <w:pPr>
        <w:spacing w:line="360" w:lineRule="auto"/>
        <w:jc w:val="both"/>
        <w:rPr>
          <w:rFonts w:ascii="Arial" w:hAnsi="Arial"/>
          <w:i/>
          <w:iCs/>
          <w:sz w:val="18"/>
          <w:szCs w:val="18"/>
        </w:rPr>
      </w:pPr>
    </w:p>
    <w:p w14:paraId="0001E4A1" w14:textId="5C8CC026" w:rsidR="7841B142" w:rsidRDefault="7841B142" w:rsidP="7841B142">
      <w:pPr>
        <w:spacing w:line="360" w:lineRule="auto"/>
        <w:jc w:val="both"/>
        <w:rPr>
          <w:rFonts w:ascii="Arial" w:hAnsi="Arial"/>
          <w:i/>
          <w:iCs/>
          <w:sz w:val="18"/>
          <w:szCs w:val="18"/>
        </w:rPr>
      </w:pPr>
    </w:p>
    <w:p w14:paraId="637F2ABE" w14:textId="7611D722" w:rsidR="7841B142" w:rsidRDefault="7841B142" w:rsidP="7841B142">
      <w:pPr>
        <w:spacing w:line="360" w:lineRule="auto"/>
        <w:jc w:val="both"/>
        <w:rPr>
          <w:rFonts w:ascii="Arial" w:hAnsi="Arial"/>
          <w:i/>
          <w:iCs/>
          <w:sz w:val="18"/>
          <w:szCs w:val="18"/>
        </w:rPr>
      </w:pPr>
    </w:p>
    <w:p w14:paraId="3A9EADDF" w14:textId="158B4FA0" w:rsidR="7841B142" w:rsidRDefault="7841B142" w:rsidP="7841B142">
      <w:pPr>
        <w:spacing w:line="360" w:lineRule="auto"/>
        <w:jc w:val="both"/>
        <w:rPr>
          <w:rFonts w:ascii="Arial" w:hAnsi="Arial"/>
          <w:i/>
          <w:iCs/>
          <w:sz w:val="18"/>
          <w:szCs w:val="18"/>
        </w:rPr>
      </w:pPr>
    </w:p>
    <w:p w14:paraId="3214F261" w14:textId="2A9A788E" w:rsidR="7841B142" w:rsidRDefault="7841B142" w:rsidP="7841B142">
      <w:pPr>
        <w:spacing w:line="360" w:lineRule="auto"/>
        <w:jc w:val="both"/>
        <w:rPr>
          <w:rFonts w:ascii="Arial" w:hAnsi="Arial"/>
          <w:i/>
          <w:iCs/>
          <w:sz w:val="18"/>
          <w:szCs w:val="18"/>
        </w:rPr>
      </w:pPr>
    </w:p>
    <w:p w14:paraId="52710049" w14:textId="19F4FC64" w:rsidR="005275EC" w:rsidRDefault="0068258F" w:rsidP="00135F4B">
      <w:pPr>
        <w:pStyle w:val="Heading2"/>
        <w:jc w:val="both"/>
        <w:rPr>
          <w:sz w:val="28"/>
          <w:szCs w:val="28"/>
        </w:rPr>
      </w:pPr>
      <w:bookmarkStart w:id="16" w:name="_Toc236382652"/>
      <w:r>
        <w:rPr>
          <w:sz w:val="28"/>
          <w:szCs w:val="28"/>
        </w:rPr>
        <w:lastRenderedPageBreak/>
        <w:t>A.5 Naïve Bayes Confusion Matrix</w:t>
      </w:r>
      <w:bookmarkEnd w:id="16"/>
    </w:p>
    <w:p w14:paraId="5424DA8B" w14:textId="57AA4AC4" w:rsidR="005275EC" w:rsidRDefault="0068258F" w:rsidP="00135F4B">
      <w:pPr>
        <w:spacing w:line="360" w:lineRule="auto"/>
        <w:jc w:val="both"/>
      </w:pPr>
      <w:r w:rsidRPr="7841B142">
        <w:rPr>
          <w:rFonts w:ascii="Arial" w:hAnsi="Arial"/>
          <w:sz w:val="22"/>
          <w:szCs w:val="22"/>
        </w:rPr>
        <w:t>Presents the confusion matrix for the Naïve Bayes classifier, illustrating its prediction performance relative to the other evaluated models</w:t>
      </w:r>
      <w:r w:rsidR="391C5E61" w:rsidRPr="7841B142">
        <w:rPr>
          <w:rFonts w:ascii="Arial" w:hAnsi="Arial"/>
          <w:sz w:val="22"/>
          <w:szCs w:val="22"/>
        </w:rPr>
        <w:t xml:space="preserve"> shown in Figure </w:t>
      </w:r>
      <w:r w:rsidR="3D35A6E5" w:rsidRPr="7841B142">
        <w:rPr>
          <w:rFonts w:ascii="Arial" w:hAnsi="Arial"/>
          <w:sz w:val="22"/>
          <w:szCs w:val="22"/>
        </w:rPr>
        <w:t>A</w:t>
      </w:r>
      <w:r w:rsidR="391C5E61" w:rsidRPr="7841B142">
        <w:rPr>
          <w:rFonts w:ascii="Arial" w:hAnsi="Arial"/>
          <w:sz w:val="22"/>
          <w:szCs w:val="22"/>
        </w:rPr>
        <w:t>5</w:t>
      </w:r>
      <w:r w:rsidRPr="7841B142">
        <w:rPr>
          <w:rFonts w:ascii="Arial" w:hAnsi="Arial"/>
          <w:sz w:val="22"/>
          <w:szCs w:val="22"/>
        </w:rPr>
        <w:t>.</w:t>
      </w:r>
    </w:p>
    <w:p w14:paraId="568BD859" w14:textId="181D2025" w:rsidR="7EE49F75" w:rsidRDefault="438C1A8F" w:rsidP="7841B142">
      <w:pPr>
        <w:spacing w:line="360" w:lineRule="auto"/>
        <w:jc w:val="center"/>
        <w:rPr>
          <w:rFonts w:ascii="Carial" w:hAnsi="Carial" w:hint="eastAsia"/>
          <w:i/>
          <w:iCs/>
          <w:sz w:val="18"/>
          <w:szCs w:val="18"/>
        </w:rPr>
      </w:pPr>
      <w:r>
        <w:rPr>
          <w:noProof/>
        </w:rPr>
        <w:drawing>
          <wp:inline distT="0" distB="0" distL="0" distR="0" wp14:anchorId="53DB2806" wp14:editId="742B375C">
            <wp:extent cx="3941445" cy="3199130"/>
            <wp:effectExtent l="0" t="0" r="0" b="0"/>
            <wp:docPr id="896285802"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pic:cNvPicPr>
                      <a:picLocks noChangeAspect="1" noChangeArrowheads="1"/>
                    </pic:cNvPicPr>
                  </pic:nvPicPr>
                  <pic:blipFill>
                    <a:blip r:embed="rId17"/>
                    <a:stretch>
                      <a:fillRect/>
                    </a:stretch>
                  </pic:blipFill>
                  <pic:spPr bwMode="auto">
                    <a:xfrm>
                      <a:off x="0" y="0"/>
                      <a:ext cx="3941445" cy="3199130"/>
                    </a:xfrm>
                    <a:prstGeom prst="rect">
                      <a:avLst/>
                    </a:prstGeom>
                  </pic:spPr>
                </pic:pic>
              </a:graphicData>
            </a:graphic>
          </wp:inline>
        </w:drawing>
      </w:r>
    </w:p>
    <w:p w14:paraId="395EB8A0" w14:textId="2B86DD31" w:rsidR="005275EC" w:rsidRDefault="0068258F" w:rsidP="5086CEF0">
      <w:pPr>
        <w:spacing w:line="360" w:lineRule="auto"/>
        <w:jc w:val="center"/>
        <w:rPr>
          <w:sz w:val="18"/>
          <w:szCs w:val="18"/>
        </w:rPr>
      </w:pPr>
      <w:r w:rsidRPr="5ED7D101">
        <w:rPr>
          <w:rFonts w:ascii="Carial" w:hAnsi="Carial"/>
          <w:b/>
          <w:bCs/>
          <w:sz w:val="18"/>
          <w:szCs w:val="18"/>
        </w:rPr>
        <w:t xml:space="preserve">Figure </w:t>
      </w:r>
      <w:r w:rsidR="01313E6A" w:rsidRPr="5ED7D101">
        <w:rPr>
          <w:rFonts w:ascii="Carial" w:hAnsi="Carial"/>
          <w:b/>
          <w:bCs/>
          <w:sz w:val="18"/>
          <w:szCs w:val="18"/>
        </w:rPr>
        <w:t>A</w:t>
      </w:r>
      <w:r w:rsidRPr="5ED7D101">
        <w:rPr>
          <w:rFonts w:ascii="Carial" w:hAnsi="Carial"/>
          <w:b/>
          <w:bCs/>
          <w:sz w:val="18"/>
          <w:szCs w:val="18"/>
        </w:rPr>
        <w:t>5:</w:t>
      </w:r>
      <w:r w:rsidRPr="5ED7D101">
        <w:rPr>
          <w:rFonts w:ascii="Carial" w:hAnsi="Carial"/>
          <w:sz w:val="18"/>
          <w:szCs w:val="18"/>
        </w:rPr>
        <w:t xml:space="preserve"> </w:t>
      </w:r>
      <w:r w:rsidRPr="5ED7D101">
        <w:rPr>
          <w:rFonts w:ascii="Carial" w:hAnsi="Carial"/>
          <w:i/>
          <w:iCs/>
          <w:sz w:val="18"/>
          <w:szCs w:val="18"/>
        </w:rPr>
        <w:t>Naïve Bayes Confusion Matrix</w:t>
      </w:r>
    </w:p>
    <w:p w14:paraId="4412D1FE" w14:textId="77777777" w:rsidR="005275EC" w:rsidRDefault="005275EC" w:rsidP="00135F4B">
      <w:pPr>
        <w:spacing w:line="360" w:lineRule="auto"/>
        <w:jc w:val="both"/>
        <w:rPr>
          <w:rFonts w:ascii="Carial" w:hAnsi="Carial" w:hint="eastAsia"/>
          <w:sz w:val="22"/>
          <w:szCs w:val="22"/>
        </w:rPr>
      </w:pPr>
    </w:p>
    <w:sectPr w:rsidR="005275EC">
      <w:footerReference w:type="even" r:id="rId18"/>
      <w:footerReference w:type="default" r:id="rId19"/>
      <w:footerReference w:type="first" r:id="rId20"/>
      <w:pgSz w:w="12240" w:h="15840"/>
      <w:pgMar w:top="1440" w:right="1440" w:bottom="1999" w:left="1440" w:header="0" w:footer="14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ECBA5" w14:textId="77777777" w:rsidR="00E26B30" w:rsidRDefault="00E26B30">
      <w:r>
        <w:separator/>
      </w:r>
    </w:p>
  </w:endnote>
  <w:endnote w:type="continuationSeparator" w:id="0">
    <w:p w14:paraId="2C8DE948" w14:textId="77777777" w:rsidR="00E26B30" w:rsidRDefault="00E2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erif CJK SC">
    <w:charset w:val="80"/>
    <w:family w:val="roman"/>
    <w:pitch w:val="variable"/>
    <w:sig w:usb0="30000083" w:usb1="2BDF3C10" w:usb2="00000016" w:usb3="00000000" w:csb0="002E0107" w:csb1="00000000"/>
  </w:font>
  <w:font w:name="Noto Sans Devanagari">
    <w:panose1 w:val="020B0502040504020204"/>
    <w:charset w:val="00"/>
    <w:family w:val="swiss"/>
    <w:pitch w:val="variable"/>
    <w:sig w:usb0="80008023" w:usb1="00002046"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Symbol">
    <w:altName w:val="Arial Unicode MS"/>
    <w:charset w:val="01"/>
    <w:family w:val="roman"/>
    <w:pitch w:val="variable"/>
  </w:font>
  <w:font w:name="Aptos Display">
    <w:panose1 w:val="020B0004020202020204"/>
    <w:charset w:val="00"/>
    <w:family w:val="swiss"/>
    <w:pitch w:val="variable"/>
    <w:sig w:usb0="20000287" w:usb1="00000003" w:usb2="00000000" w:usb3="00000000" w:csb0="0000019F" w:csb1="00000000"/>
  </w:font>
  <w:font w:name="Liberation Mono">
    <w:altName w:val="Courier New"/>
    <w:charset w:val="01"/>
    <w:family w:val="roman"/>
    <w:pitch w:val="variable"/>
  </w:font>
  <w:font w:name="Liberation Sans">
    <w:altName w:val="Arial"/>
    <w:charset w:val="01"/>
    <w:family w:val="roman"/>
    <w:pitch w:val="variable"/>
  </w:font>
  <w:font w:name="Noto Sans CJK SC">
    <w:charset w:val="80"/>
    <w:family w:val="swiss"/>
    <w:pitch w:val="variable"/>
    <w:sig w:usb0="30000083" w:usb1="2BDF3C10" w:usb2="00000016" w:usb3="00000000" w:csb0="002E0107" w:csb1="00000000"/>
  </w:font>
  <w:font w:name="Carial">
    <w:altName w:val="Cambria"/>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2D138" w14:textId="77777777" w:rsidR="005275EC" w:rsidRDefault="00527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A842" w14:textId="77777777" w:rsidR="005275EC" w:rsidRDefault="0068258F">
    <w:pPr>
      <w:pStyle w:val="Footer"/>
      <w:jc w:val="right"/>
      <w:rPr>
        <w:sz w:val="18"/>
        <w:szCs w:val="18"/>
      </w:rPr>
    </w:pPr>
    <w:r>
      <w:fldChar w:fldCharType="begin"/>
    </w:r>
    <w:r>
      <w:instrText xml:space="preserve"> PAGE </w:instrText>
    </w:r>
    <w:r>
      <w:fldChar w:fldCharType="separate"/>
    </w:r>
    <w:r>
      <w:t>20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7" w:name="PageNumWizard_FOOTER_Default_Page_Style1"/>
  <w:p w14:paraId="1B81B6C6" w14:textId="77777777" w:rsidR="005275EC" w:rsidRDefault="0068258F">
    <w:pPr>
      <w:pStyle w:val="Footer"/>
      <w:jc w:val="right"/>
      <w:rPr>
        <w:sz w:val="18"/>
        <w:szCs w:val="18"/>
      </w:rPr>
    </w:pPr>
    <w:r>
      <w:fldChar w:fldCharType="begin"/>
    </w:r>
    <w:r>
      <w:instrText xml:space="preserve"> PAGE </w:instrText>
    </w:r>
    <w:r>
      <w:fldChar w:fldCharType="separate"/>
    </w:r>
    <w:r>
      <w:t>20</w:t>
    </w:r>
    <w:r>
      <w:fldChar w:fldCharType="end"/>
    </w:r>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EA412" w14:textId="77777777" w:rsidR="00E26B30" w:rsidRDefault="00E26B30">
      <w:r>
        <w:separator/>
      </w:r>
    </w:p>
  </w:footnote>
  <w:footnote w:type="continuationSeparator" w:id="0">
    <w:p w14:paraId="21EE68E2" w14:textId="77777777" w:rsidR="00E26B30" w:rsidRDefault="00E26B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revisionView w:markup="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EC"/>
    <w:rsid w:val="00001D53"/>
    <w:rsid w:val="00022F1C"/>
    <w:rsid w:val="00030236"/>
    <w:rsid w:val="00065876"/>
    <w:rsid w:val="000C591E"/>
    <w:rsid w:val="000F141D"/>
    <w:rsid w:val="00117CC2"/>
    <w:rsid w:val="00135F4B"/>
    <w:rsid w:val="0015165E"/>
    <w:rsid w:val="00153A46"/>
    <w:rsid w:val="0015699E"/>
    <w:rsid w:val="00163E9B"/>
    <w:rsid w:val="00166F46"/>
    <w:rsid w:val="00183717"/>
    <w:rsid w:val="00184E41"/>
    <w:rsid w:val="00194493"/>
    <w:rsid w:val="001D6771"/>
    <w:rsid w:val="0020718E"/>
    <w:rsid w:val="00226E59"/>
    <w:rsid w:val="00235ECB"/>
    <w:rsid w:val="002360D6"/>
    <w:rsid w:val="002428AF"/>
    <w:rsid w:val="00280F9C"/>
    <w:rsid w:val="00383ADE"/>
    <w:rsid w:val="003B50E9"/>
    <w:rsid w:val="00446F32"/>
    <w:rsid w:val="0045093B"/>
    <w:rsid w:val="004745E8"/>
    <w:rsid w:val="00477757"/>
    <w:rsid w:val="00483DE0"/>
    <w:rsid w:val="004911EE"/>
    <w:rsid w:val="004B230E"/>
    <w:rsid w:val="005275EC"/>
    <w:rsid w:val="00562630"/>
    <w:rsid w:val="005633F7"/>
    <w:rsid w:val="005733F2"/>
    <w:rsid w:val="005A6709"/>
    <w:rsid w:val="005D7CC7"/>
    <w:rsid w:val="005F2FD2"/>
    <w:rsid w:val="0068258F"/>
    <w:rsid w:val="00686FA3"/>
    <w:rsid w:val="006B31BC"/>
    <w:rsid w:val="006C6A71"/>
    <w:rsid w:val="006D3E88"/>
    <w:rsid w:val="007409D2"/>
    <w:rsid w:val="00750100"/>
    <w:rsid w:val="007714A9"/>
    <w:rsid w:val="00783A2C"/>
    <w:rsid w:val="007976D1"/>
    <w:rsid w:val="007B72F8"/>
    <w:rsid w:val="007D164E"/>
    <w:rsid w:val="00803079"/>
    <w:rsid w:val="008045E2"/>
    <w:rsid w:val="008153E1"/>
    <w:rsid w:val="00831F7C"/>
    <w:rsid w:val="00832520"/>
    <w:rsid w:val="0086387B"/>
    <w:rsid w:val="00883770"/>
    <w:rsid w:val="00886234"/>
    <w:rsid w:val="008B17EB"/>
    <w:rsid w:val="008B2086"/>
    <w:rsid w:val="00900DAA"/>
    <w:rsid w:val="009409D4"/>
    <w:rsid w:val="00996A70"/>
    <w:rsid w:val="00A017D1"/>
    <w:rsid w:val="00A02A36"/>
    <w:rsid w:val="00A3573A"/>
    <w:rsid w:val="00A35E94"/>
    <w:rsid w:val="00A45406"/>
    <w:rsid w:val="00A76DDA"/>
    <w:rsid w:val="00AC142E"/>
    <w:rsid w:val="00AE3813"/>
    <w:rsid w:val="00B024FA"/>
    <w:rsid w:val="00B16335"/>
    <w:rsid w:val="00B16BB7"/>
    <w:rsid w:val="00B70861"/>
    <w:rsid w:val="00BC08CB"/>
    <w:rsid w:val="00C3637C"/>
    <w:rsid w:val="00C84B72"/>
    <w:rsid w:val="00CA5A6A"/>
    <w:rsid w:val="00CB6329"/>
    <w:rsid w:val="00CB6F14"/>
    <w:rsid w:val="00CF0160"/>
    <w:rsid w:val="00D07DAF"/>
    <w:rsid w:val="00D156B4"/>
    <w:rsid w:val="00D26B7A"/>
    <w:rsid w:val="00D42A1C"/>
    <w:rsid w:val="00DE0131"/>
    <w:rsid w:val="00E26B30"/>
    <w:rsid w:val="00E35C66"/>
    <w:rsid w:val="00E634CC"/>
    <w:rsid w:val="00E7130D"/>
    <w:rsid w:val="00E71B90"/>
    <w:rsid w:val="00EA086D"/>
    <w:rsid w:val="00EA4D20"/>
    <w:rsid w:val="00EA7A89"/>
    <w:rsid w:val="00EE2D1C"/>
    <w:rsid w:val="00F91DB4"/>
    <w:rsid w:val="00FA2275"/>
    <w:rsid w:val="00FD3708"/>
    <w:rsid w:val="00FF3C4A"/>
    <w:rsid w:val="010A1A92"/>
    <w:rsid w:val="01313E6A"/>
    <w:rsid w:val="01561AEE"/>
    <w:rsid w:val="016EADA8"/>
    <w:rsid w:val="05D6475B"/>
    <w:rsid w:val="08628151"/>
    <w:rsid w:val="0A6E2BEA"/>
    <w:rsid w:val="0CBFC58F"/>
    <w:rsid w:val="0CDC2852"/>
    <w:rsid w:val="10646146"/>
    <w:rsid w:val="10F713C3"/>
    <w:rsid w:val="11ECFD78"/>
    <w:rsid w:val="1289508D"/>
    <w:rsid w:val="1374BE61"/>
    <w:rsid w:val="14BC19CE"/>
    <w:rsid w:val="15FB5AC1"/>
    <w:rsid w:val="163CD6FE"/>
    <w:rsid w:val="1649DAAB"/>
    <w:rsid w:val="16BB52EC"/>
    <w:rsid w:val="19D35F69"/>
    <w:rsid w:val="19D38DA7"/>
    <w:rsid w:val="1A6C0835"/>
    <w:rsid w:val="1B037D1A"/>
    <w:rsid w:val="1B1BBECA"/>
    <w:rsid w:val="1C721BBF"/>
    <w:rsid w:val="1CB29F98"/>
    <w:rsid w:val="1E8AF37B"/>
    <w:rsid w:val="1F6DB183"/>
    <w:rsid w:val="20B45B77"/>
    <w:rsid w:val="233C9C9E"/>
    <w:rsid w:val="26283993"/>
    <w:rsid w:val="289B3241"/>
    <w:rsid w:val="2AEEEA0A"/>
    <w:rsid w:val="2DFF77D9"/>
    <w:rsid w:val="2ED5951A"/>
    <w:rsid w:val="306C6211"/>
    <w:rsid w:val="323467FC"/>
    <w:rsid w:val="3396C892"/>
    <w:rsid w:val="391C5E61"/>
    <w:rsid w:val="3D0A6002"/>
    <w:rsid w:val="3D35A6E5"/>
    <w:rsid w:val="3D4C5EFA"/>
    <w:rsid w:val="3ED7E509"/>
    <w:rsid w:val="40A949E9"/>
    <w:rsid w:val="415D3261"/>
    <w:rsid w:val="438C1A8F"/>
    <w:rsid w:val="459BA49E"/>
    <w:rsid w:val="45B7D357"/>
    <w:rsid w:val="468B13AA"/>
    <w:rsid w:val="46C31C28"/>
    <w:rsid w:val="47370965"/>
    <w:rsid w:val="49647D6C"/>
    <w:rsid w:val="4B9D67FE"/>
    <w:rsid w:val="4DC349CE"/>
    <w:rsid w:val="5086CEF0"/>
    <w:rsid w:val="51C8A189"/>
    <w:rsid w:val="54AC1A0F"/>
    <w:rsid w:val="5612EE4D"/>
    <w:rsid w:val="5A7A96CD"/>
    <w:rsid w:val="5DE24560"/>
    <w:rsid w:val="5ED7D101"/>
    <w:rsid w:val="5F9354A3"/>
    <w:rsid w:val="61B2E13C"/>
    <w:rsid w:val="63516C0C"/>
    <w:rsid w:val="63CE0FA5"/>
    <w:rsid w:val="64EEE20E"/>
    <w:rsid w:val="65E24E09"/>
    <w:rsid w:val="67240916"/>
    <w:rsid w:val="693B791B"/>
    <w:rsid w:val="69513C82"/>
    <w:rsid w:val="6A75C592"/>
    <w:rsid w:val="6B294AF6"/>
    <w:rsid w:val="6E0A427B"/>
    <w:rsid w:val="704B9E82"/>
    <w:rsid w:val="711D1931"/>
    <w:rsid w:val="7174484E"/>
    <w:rsid w:val="72BE5DC8"/>
    <w:rsid w:val="72F3F351"/>
    <w:rsid w:val="7309A062"/>
    <w:rsid w:val="732556E9"/>
    <w:rsid w:val="74606C50"/>
    <w:rsid w:val="75A853F3"/>
    <w:rsid w:val="766D68F0"/>
    <w:rsid w:val="76A955CC"/>
    <w:rsid w:val="76AB2158"/>
    <w:rsid w:val="774D6D97"/>
    <w:rsid w:val="7808334F"/>
    <w:rsid w:val="7841B142"/>
    <w:rsid w:val="7A5D97E5"/>
    <w:rsid w:val="7E1221BE"/>
    <w:rsid w:val="7EE49F7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05CD5F30"/>
  <w15:docId w15:val="{081838CF-F71D-4573-AA62-900F9423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oto Serif CJK SC" w:hAnsi="Times New Roman" w:cs="Noto Sans Devanagari"/>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sz w:val="24"/>
      <w:szCs w:val="24"/>
    </w:rPr>
  </w:style>
  <w:style w:type="paragraph" w:styleId="Heading1">
    <w:name w:val="heading 1"/>
    <w:basedOn w:val="Normal"/>
    <w:next w:val="Normal"/>
    <w:link w:val="Heading1Char"/>
    <w:uiPriority w:val="9"/>
    <w:qFormat/>
    <w:pPr>
      <w:keepNext/>
      <w:keepLines/>
      <w:spacing w:before="240"/>
      <w:outlineLvl w:val="0"/>
    </w:pPr>
    <w:rPr>
      <w:rFonts w:eastAsia="Times New Roman" w:cs="Times New Roman"/>
      <w:b/>
      <w:bCs/>
      <w:color w:val="2F5496"/>
      <w:kern w:val="2"/>
      <w:sz w:val="48"/>
      <w:szCs w:val="48"/>
    </w:rPr>
  </w:style>
  <w:style w:type="paragraph" w:styleId="Heading2">
    <w:name w:val="heading 2"/>
    <w:basedOn w:val="Normal"/>
    <w:next w:val="Normal"/>
    <w:link w:val="Heading2Char"/>
    <w:uiPriority w:val="9"/>
    <w:unhideWhenUsed/>
    <w:qFormat/>
    <w:pPr>
      <w:keepNext/>
      <w:keepLines/>
      <w:spacing w:before="40"/>
      <w:outlineLvl w:val="1"/>
    </w:pPr>
    <w:rPr>
      <w:rFonts w:eastAsia="Times New Roman" w:cs="Times New Roman"/>
      <w:b/>
      <w:bCs/>
      <w:color w:val="2F5496"/>
      <w:sz w:val="36"/>
      <w:szCs w:val="36"/>
    </w:rPr>
  </w:style>
  <w:style w:type="paragraph" w:styleId="Heading3">
    <w:name w:val="heading 3"/>
    <w:basedOn w:val="Normal"/>
    <w:next w:val="Normal"/>
    <w:link w:val="Heading3Char"/>
    <w:uiPriority w:val="9"/>
    <w:semiHidden/>
    <w:unhideWhenUsed/>
    <w:qFormat/>
    <w:pPr>
      <w:keepNext/>
      <w:keepLines/>
      <w:spacing w:before="40"/>
      <w:outlineLvl w:val="2"/>
    </w:pPr>
    <w:rPr>
      <w:rFonts w:eastAsia="Times New Roman" w:cs="Times New Roman"/>
      <w:b/>
      <w:bCs/>
      <w:color w:val="1F3763"/>
      <w:sz w:val="28"/>
      <w:szCs w:val="28"/>
    </w:rPr>
  </w:style>
  <w:style w:type="paragraph" w:styleId="Heading4">
    <w:name w:val="heading 4"/>
    <w:basedOn w:val="Normal"/>
    <w:next w:val="Normal"/>
    <w:link w:val="Heading4Char"/>
    <w:uiPriority w:val="9"/>
    <w:semiHidden/>
    <w:unhideWhenUsed/>
    <w:qFormat/>
    <w:pPr>
      <w:keepNext/>
      <w:keepLines/>
      <w:spacing w:before="40"/>
      <w:outlineLvl w:val="3"/>
    </w:pPr>
    <w:rPr>
      <w:rFonts w:eastAsia="Times New Roman" w:cs="Times New Roman"/>
      <w:b/>
      <w:bCs/>
      <w:iCs/>
      <w:color w:val="2F5496"/>
    </w:rPr>
  </w:style>
  <w:style w:type="paragraph" w:styleId="Heading5">
    <w:name w:val="heading 5"/>
    <w:basedOn w:val="Normal"/>
    <w:next w:val="Normal"/>
    <w:link w:val="Heading5Char"/>
    <w:uiPriority w:val="9"/>
    <w:semiHidden/>
    <w:unhideWhenUsed/>
    <w:qFormat/>
    <w:pPr>
      <w:keepNext/>
      <w:keepLines/>
      <w:spacing w:before="40"/>
      <w:outlineLvl w:val="4"/>
    </w:pPr>
    <w:rPr>
      <w:rFonts w:eastAsia="Times New Roman" w:cs="Times New Roman"/>
      <w:b/>
      <w:bCs/>
      <w:color w:val="2F5496"/>
      <w:sz w:val="20"/>
      <w:szCs w:val="20"/>
    </w:rPr>
  </w:style>
  <w:style w:type="paragraph" w:styleId="Heading6">
    <w:name w:val="heading 6"/>
    <w:basedOn w:val="Normal"/>
    <w:next w:val="Normal"/>
    <w:link w:val="Heading6Char"/>
    <w:uiPriority w:val="9"/>
    <w:semiHidden/>
    <w:unhideWhenUsed/>
    <w:qFormat/>
    <w:pPr>
      <w:keepNext/>
      <w:keepLines/>
      <w:spacing w:before="40"/>
      <w:outlineLvl w:val="5"/>
    </w:pPr>
    <w:rPr>
      <w:rFonts w:eastAsia="Times New Roman" w:cs="Times New Roman"/>
      <w:b/>
      <w:bCs/>
      <w:color w:val="1F3763"/>
      <w:sz w:val="16"/>
      <w:szCs w:val="16"/>
    </w:rPr>
  </w:style>
  <w:style w:type="paragraph" w:styleId="Heading7">
    <w:name w:val="heading 7"/>
    <w:basedOn w:val="Normal"/>
    <w:next w:val="Normal"/>
    <w:qFormat/>
    <w:pPr>
      <w:keepNext/>
      <w:keepLines/>
      <w:spacing w:before="40"/>
      <w:ind w:left="-5" w:hanging="10"/>
      <w:outlineLvl w:val="6"/>
    </w:pPr>
    <w:rPr>
      <w:rFonts w:eastAsia="Arial" w:cs="Arial"/>
      <w:color w:val="595959" w:themeColor="dark1" w:themeTint="A6"/>
    </w:rPr>
  </w:style>
  <w:style w:type="paragraph" w:styleId="Heading8">
    <w:name w:val="heading 8"/>
    <w:basedOn w:val="Normal"/>
    <w:next w:val="Normal"/>
    <w:qFormat/>
    <w:pPr>
      <w:keepNext/>
      <w:keepLines/>
      <w:ind w:left="-5" w:hanging="10"/>
      <w:outlineLvl w:val="7"/>
    </w:pPr>
    <w:rPr>
      <w:rFonts w:eastAsia="Arial" w:cs="Arial"/>
      <w:i/>
      <w:iCs/>
      <w:color w:val="272727" w:themeColor="dark1" w:themeTint="D8"/>
    </w:rPr>
  </w:style>
  <w:style w:type="paragraph" w:styleId="Heading9">
    <w:name w:val="heading 9"/>
    <w:basedOn w:val="Normal"/>
    <w:next w:val="Normal"/>
    <w:qFormat/>
    <w:pPr>
      <w:keepNext/>
      <w:keepLines/>
      <w:ind w:left="-5" w:hanging="10"/>
      <w:outlineLvl w:val="8"/>
    </w:pPr>
    <w:rPr>
      <w:rFonts w:eastAsia="Arial" w:cs="Arial"/>
      <w:color w:val="272727" w:themeColor="dark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qFormat/>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qFormat/>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qFormat/>
    <w:rPr>
      <w:rFonts w:ascii="Calibri Light" w:eastAsia="Times New Roman" w:hAnsi="Calibri Light" w:cs="Times New Roman"/>
      <w:i/>
      <w:iCs/>
      <w:color w:val="2F5496"/>
    </w:rPr>
  </w:style>
  <w:style w:type="character" w:customStyle="1" w:styleId="Heading5Char">
    <w:name w:val="Heading 5 Char"/>
    <w:basedOn w:val="DefaultParagraphFont"/>
    <w:link w:val="Heading5"/>
    <w:qFormat/>
    <w:rPr>
      <w:rFonts w:ascii="Calibri Light" w:eastAsia="Times New Roman" w:hAnsi="Calibri Light" w:cs="Times New Roman"/>
      <w:color w:val="2F5496"/>
    </w:rPr>
  </w:style>
  <w:style w:type="character" w:customStyle="1" w:styleId="Heading6Char">
    <w:name w:val="Heading 6 Char"/>
    <w:basedOn w:val="DefaultParagraphFont"/>
    <w:link w:val="Heading6"/>
    <w:qFormat/>
    <w:rPr>
      <w:rFonts w:ascii="Calibri Light" w:eastAsia="Times New Roman" w:hAnsi="Calibri Light" w:cs="Times New Roman"/>
      <w:color w:val="1F3763"/>
    </w:rPr>
  </w:style>
  <w:style w:type="character" w:styleId="Hyperlink">
    <w:name w:val="Hyperlink"/>
    <w:uiPriority w:val="99"/>
    <w:rPr>
      <w:color w:val="000080"/>
      <w:u w:val="single"/>
    </w:rPr>
  </w:style>
  <w:style w:type="character" w:customStyle="1" w:styleId="IndexLink">
    <w:name w:val="Index Link"/>
    <w:qFormat/>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character" w:styleId="IntenseReference">
    <w:name w:val="Intense Reference"/>
    <w:basedOn w:val="DefaultParagraphFont"/>
    <w:qFormat/>
    <w:rPr>
      <w:b/>
      <w:bCs/>
      <w:smallCaps/>
      <w:color w:val="117A02" w:themeColor="accent1" w:themeShade="BF"/>
      <w:spacing w:val="5"/>
    </w:rPr>
  </w:style>
  <w:style w:type="character" w:customStyle="1" w:styleId="IntenseQuoteChar">
    <w:name w:val="Intense Quote Char"/>
    <w:basedOn w:val="DefaultParagraphFont"/>
    <w:qFormat/>
    <w:rPr>
      <w:i/>
      <w:iCs/>
      <w:color w:val="117A02" w:themeColor="accent1" w:themeShade="BF"/>
    </w:rPr>
  </w:style>
  <w:style w:type="character" w:styleId="IntenseEmphasis">
    <w:name w:val="Intense Emphasis"/>
    <w:basedOn w:val="DefaultParagraphFont"/>
    <w:qFormat/>
    <w:rPr>
      <w:i/>
      <w:iCs/>
      <w:color w:val="117A02" w:themeColor="accent1" w:themeShade="BF"/>
    </w:rPr>
  </w:style>
  <w:style w:type="character" w:customStyle="1" w:styleId="QuoteChar">
    <w:name w:val="Quote Char"/>
    <w:basedOn w:val="DefaultParagraphFont"/>
    <w:qFormat/>
    <w:rPr>
      <w:i/>
      <w:iCs/>
      <w:color w:val="404040" w:themeColor="dark1" w:themeTint="BF"/>
    </w:rPr>
  </w:style>
  <w:style w:type="character" w:customStyle="1" w:styleId="SubtitleChar">
    <w:name w:val="Subtitle Char"/>
    <w:basedOn w:val="DefaultParagraphFont"/>
    <w:qFormat/>
    <w:rPr>
      <w:rFonts w:eastAsia="Arial" w:cs="Arial"/>
      <w:color w:val="595959" w:themeColor="dark1" w:themeTint="A6"/>
      <w:spacing w:val="15"/>
      <w:sz w:val="28"/>
      <w:szCs w:val="28"/>
    </w:rPr>
  </w:style>
  <w:style w:type="character" w:customStyle="1" w:styleId="TitleChar">
    <w:name w:val="Title Char"/>
    <w:basedOn w:val="DefaultParagraphFont"/>
    <w:qFormat/>
    <w:rPr>
      <w:rFonts w:ascii="Aptos Display" w:eastAsia="Arial" w:hAnsi="Aptos Display" w:cs="Arial"/>
      <w:spacing w:val="-10"/>
      <w:sz w:val="56"/>
      <w:szCs w:val="56"/>
    </w:rPr>
  </w:style>
  <w:style w:type="character" w:customStyle="1" w:styleId="Heading9Char">
    <w:name w:val="Heading 9 Char"/>
    <w:basedOn w:val="DefaultParagraphFont"/>
    <w:qFormat/>
    <w:rPr>
      <w:rFonts w:eastAsia="Arial" w:cs="Arial"/>
      <w:color w:val="272727" w:themeColor="dark1" w:themeTint="D8"/>
    </w:rPr>
  </w:style>
  <w:style w:type="character" w:customStyle="1" w:styleId="Heading8Char">
    <w:name w:val="Heading 8 Char"/>
    <w:basedOn w:val="DefaultParagraphFont"/>
    <w:qFormat/>
    <w:rPr>
      <w:rFonts w:eastAsia="Arial" w:cs="Arial"/>
      <w:i/>
      <w:iCs/>
      <w:color w:val="272727" w:themeColor="dark1" w:themeTint="D8"/>
    </w:rPr>
  </w:style>
  <w:style w:type="character" w:customStyle="1" w:styleId="Heading7Char">
    <w:name w:val="Heading 7 Char"/>
    <w:basedOn w:val="DefaultParagraphFont"/>
    <w:qFormat/>
    <w:rPr>
      <w:rFonts w:eastAsia="Arial" w:cs="Arial"/>
      <w:color w:val="595959" w:themeColor="dark1" w:themeTint="A6"/>
    </w:rPr>
  </w:style>
  <w:style w:type="character" w:styleId="PlaceholderText">
    <w:name w:val="Placeholder Text"/>
    <w:basedOn w:val="DefaultParagraphFont"/>
    <w:qFormat/>
    <w:rPr>
      <w:color w:val="666666"/>
    </w:rPr>
  </w:style>
  <w:style w:type="character" w:styleId="FollowedHyperlink">
    <w:name w:val="FollowedHyperlink"/>
    <w:basedOn w:val="DefaultParagraphFont"/>
    <w:rPr>
      <w:color w:val="551A8B" w:themeColor="followedHyperlink"/>
      <w:u w:val="single"/>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EndnoteTextChar">
    <w:name w:val="Endnote Text Char"/>
    <w:basedOn w:val="DefaultParagraphFont"/>
    <w:qFormat/>
    <w:rPr>
      <w:sz w:val="20"/>
      <w:szCs w:val="20"/>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FootnoteTextChar">
    <w:name w:val="Footnote Text Char"/>
    <w:basedOn w:val="DefaultParagraphFont"/>
    <w:qFormat/>
    <w:rPr>
      <w:sz w:val="20"/>
      <w:szCs w:val="20"/>
    </w:rPr>
  </w:style>
  <w:style w:type="character" w:customStyle="1" w:styleId="FooterChar">
    <w:name w:val="Footer Char"/>
    <w:basedOn w:val="DefaultParagraphFont"/>
    <w:qFormat/>
  </w:style>
  <w:style w:type="character" w:customStyle="1" w:styleId="HeaderChar">
    <w:name w:val="Header Char"/>
    <w:basedOn w:val="DefaultParagraphFont"/>
    <w:qFormat/>
  </w:style>
  <w:style w:type="character" w:styleId="BookTitle">
    <w:name w:val="Book Title"/>
    <w:basedOn w:val="DefaultParagraphFont"/>
    <w:qFormat/>
    <w:rPr>
      <w:b/>
      <w:bCs/>
      <w:i/>
      <w:iCs/>
      <w:spacing w:val="5"/>
    </w:rPr>
  </w:style>
  <w:style w:type="character" w:styleId="SubtleReference">
    <w:name w:val="Subtle Reference"/>
    <w:basedOn w:val="DefaultParagraphFont"/>
    <w:qFormat/>
    <w:rPr>
      <w:smallCaps/>
      <w:color w:val="5A5A5A" w:themeColor="dark1" w:themeTint="A5"/>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SubtleEmphasis">
    <w:name w:val="Subtle Emphasis"/>
    <w:basedOn w:val="DefaultParagraphFont"/>
    <w:qFormat/>
    <w:rPr>
      <w:i/>
      <w:iCs/>
      <w:color w:val="404040" w:themeColor="dark1" w:themeTint="BF"/>
    </w:rPr>
  </w:style>
  <w:style w:type="character" w:customStyle="1" w:styleId="SourceText">
    <w:name w:val="Source Text"/>
    <w:qFormat/>
    <w:rPr>
      <w:rFonts w:ascii="Liberation Mono" w:eastAsia="Liberation Mono" w:hAnsi="Liberation Mono" w:cs="Liberation Mono"/>
    </w:rPr>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IndexHeading">
    <w:name w:val="index heading"/>
    <w:basedOn w:val="Heading"/>
    <w:pPr>
      <w:suppressLineNumbers/>
    </w:pPr>
    <w:rPr>
      <w:b/>
      <w:bCs/>
      <w:sz w:val="32"/>
      <w:szCs w:val="32"/>
    </w:rPr>
  </w:style>
  <w:style w:type="paragraph" w:styleId="TOCHeading">
    <w:name w:val="TOC Heading"/>
    <w:basedOn w:val="IndexHeading"/>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3"/>
      </w:tabs>
      <w:ind w:left="567"/>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styleId="IntenseQuote">
    <w:name w:val="Intense Quote"/>
    <w:basedOn w:val="Normal"/>
    <w:next w:val="Normal"/>
    <w:qFormat/>
    <w:pPr>
      <w:pBdr>
        <w:top w:val="single" w:sz="4" w:space="10" w:color="0F4761"/>
        <w:bottom w:val="single" w:sz="4" w:space="10" w:color="0F4761"/>
      </w:pBdr>
      <w:spacing w:before="360" w:after="360"/>
      <w:ind w:left="864" w:right="864"/>
      <w:jc w:val="center"/>
    </w:pPr>
    <w:rPr>
      <w:i/>
      <w:iCs/>
      <w:color w:val="117A02" w:themeColor="accent1" w:themeShade="BF"/>
    </w:rPr>
  </w:style>
  <w:style w:type="paragraph" w:styleId="ListParagraph">
    <w:name w:val="List Paragraph"/>
    <w:basedOn w:val="Normal"/>
    <w:qFormat/>
    <w:pPr>
      <w:spacing w:after="4"/>
      <w:ind w:left="720"/>
      <w:contextualSpacing/>
    </w:pPr>
  </w:style>
  <w:style w:type="paragraph" w:styleId="Quote">
    <w:name w:val="Quote"/>
    <w:basedOn w:val="Normal"/>
    <w:next w:val="Normal"/>
    <w:qFormat/>
    <w:pPr>
      <w:spacing w:before="160" w:after="4"/>
      <w:jc w:val="center"/>
    </w:pPr>
    <w:rPr>
      <w:i/>
      <w:iCs/>
      <w:color w:val="404040" w:themeColor="dark1" w:themeTint="BF"/>
    </w:rPr>
  </w:style>
  <w:style w:type="paragraph" w:styleId="Subtitle">
    <w:name w:val="Subtitle"/>
    <w:basedOn w:val="Normal"/>
    <w:next w:val="Normal"/>
    <w:uiPriority w:val="11"/>
    <w:qFormat/>
    <w:pPr>
      <w:ind w:left="10" w:hanging="10"/>
    </w:pPr>
    <w:rPr>
      <w:rFonts w:eastAsia="Arial" w:cs="Arial"/>
      <w:color w:val="595959" w:themeColor="dark1" w:themeTint="A6"/>
      <w:spacing w:val="15"/>
      <w:sz w:val="28"/>
      <w:szCs w:val="28"/>
    </w:rPr>
  </w:style>
  <w:style w:type="paragraph" w:styleId="Title">
    <w:name w:val="Title"/>
    <w:basedOn w:val="Normal"/>
    <w:next w:val="Normal"/>
    <w:uiPriority w:val="10"/>
    <w:qFormat/>
    <w:pPr>
      <w:spacing w:after="80"/>
      <w:contextualSpacing/>
    </w:pPr>
    <w:rPr>
      <w:rFonts w:ascii="Aptos Display" w:eastAsia="Arial" w:hAnsi="Aptos Display" w:cs="Arial"/>
      <w:spacing w:val="-10"/>
      <w:sz w:val="56"/>
      <w:szCs w:val="56"/>
    </w:rPr>
  </w:style>
  <w:style w:type="paragraph" w:styleId="TableofFigures">
    <w:name w:val="table of figures"/>
    <w:basedOn w:val="Normal"/>
    <w:next w:val="Normal"/>
  </w:style>
  <w:style w:type="paragraph" w:styleId="TOC9">
    <w:name w:val="toc 9"/>
    <w:basedOn w:val="Normal"/>
    <w:next w:val="Normal"/>
    <w:pPr>
      <w:spacing w:after="100"/>
      <w:ind w:left="1760"/>
    </w:pPr>
  </w:style>
  <w:style w:type="paragraph" w:styleId="TOC8">
    <w:name w:val="toc 8"/>
    <w:basedOn w:val="Normal"/>
    <w:next w:val="Normal"/>
    <w:pPr>
      <w:spacing w:after="100"/>
      <w:ind w:left="1540"/>
    </w:pPr>
  </w:style>
  <w:style w:type="paragraph" w:styleId="TOC7">
    <w:name w:val="toc 7"/>
    <w:basedOn w:val="Normal"/>
    <w:next w:val="Normal"/>
    <w:pPr>
      <w:spacing w:after="100"/>
      <w:ind w:left="1320"/>
    </w:pPr>
  </w:style>
  <w:style w:type="paragraph" w:styleId="TOC6">
    <w:name w:val="toc 6"/>
    <w:basedOn w:val="Normal"/>
    <w:next w:val="Normal"/>
    <w:pPr>
      <w:spacing w:after="100"/>
      <w:ind w:left="1100"/>
    </w:pPr>
  </w:style>
  <w:style w:type="paragraph" w:styleId="TOC5">
    <w:name w:val="toc 5"/>
    <w:basedOn w:val="Normal"/>
    <w:next w:val="Normal"/>
    <w:pPr>
      <w:spacing w:after="100"/>
      <w:ind w:left="880"/>
    </w:pPr>
  </w:style>
  <w:style w:type="paragraph" w:styleId="TOC4">
    <w:name w:val="toc 4"/>
    <w:basedOn w:val="Normal"/>
    <w:next w:val="Normal"/>
    <w:pPr>
      <w:spacing w:after="100"/>
      <w:ind w:left="660"/>
    </w:pPr>
  </w:style>
  <w:style w:type="paragraph" w:styleId="EndnoteText">
    <w:name w:val="endnote text"/>
    <w:basedOn w:val="Normal"/>
    <w:rPr>
      <w:sz w:val="20"/>
      <w:szCs w:val="20"/>
    </w:rPr>
  </w:style>
  <w:style w:type="paragraph" w:styleId="FootnoteText">
    <w:name w:val="footnote text"/>
    <w:basedOn w:val="Normal"/>
    <w:rPr>
      <w:sz w:val="20"/>
      <w:szCs w:val="20"/>
    </w:rPr>
  </w:style>
  <w:style w:type="paragraph" w:customStyle="1" w:styleId="HeaderandFooter">
    <w:name w:val="Header and Footer"/>
    <w:basedOn w:val="Normal"/>
    <w:qFormat/>
    <w:pPr>
      <w:suppressLineNumbers/>
      <w:tabs>
        <w:tab w:val="center" w:pos="4680"/>
        <w:tab w:val="right" w:pos="9360"/>
      </w:tabs>
    </w:pPr>
  </w:style>
  <w:style w:type="paragraph" w:styleId="Footer">
    <w:name w:val="footer"/>
    <w:basedOn w:val="Normal"/>
    <w:pPr>
      <w:tabs>
        <w:tab w:val="center" w:pos="4844"/>
        <w:tab w:val="right" w:pos="9689"/>
      </w:tabs>
    </w:pPr>
  </w:style>
  <w:style w:type="paragraph" w:styleId="Header">
    <w:name w:val="header"/>
    <w:basedOn w:val="Normal"/>
    <w:pPr>
      <w:tabs>
        <w:tab w:val="center" w:pos="4844"/>
        <w:tab w:val="right" w:pos="9689"/>
      </w:tabs>
    </w:pPr>
  </w:style>
  <w:style w:type="paragraph" w:styleId="NoSpacing">
    <w:name w:val="No Spacing"/>
    <w:basedOn w:val="Normal"/>
    <w:qFormat/>
  </w:style>
  <w:style w:type="paragraph" w:customStyle="1" w:styleId="FrameContents">
    <w:name w:val="Frame Contents"/>
    <w:basedOn w:val="Normal"/>
    <w:qFormat/>
  </w:style>
  <w:style w:type="numbering" w:customStyle="1" w:styleId="Numbering123">
    <w:name w:val="Numbering 123"/>
    <w:qFormat/>
  </w:style>
  <w:style w:type="numbering" w:customStyle="1" w:styleId="Numberingabc">
    <w:name w:val="Numbering abc"/>
    <w:qFormat/>
  </w:style>
  <w:style w:type="numbering" w:customStyle="1" w:styleId="NumberingIVX">
    <w:name w:val="Numbering IVX"/>
    <w:qFormat/>
  </w:style>
  <w:style w:type="numbering" w:customStyle="1" w:styleId="Bullet">
    <w:name w:val="Bullet •"/>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3774</Words>
  <Characters>21516</Characters>
  <Application>Microsoft Office Word</Application>
  <DocSecurity>0</DocSecurity>
  <Lines>179</Lines>
  <Paragraphs>50</Paragraphs>
  <ScaleCrop>false</ScaleCrop>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Datamining_Assignment2</dc:title>
  <dc:subject/>
  <dc:creator/>
  <cp:keywords/>
  <dc:description/>
  <cp:lastModifiedBy>John Meki</cp:lastModifiedBy>
  <cp:revision>15</cp:revision>
  <dcterms:created xsi:type="dcterms:W3CDTF">2026-07-31T16:30:00Z</dcterms:created>
  <dcterms:modified xsi:type="dcterms:W3CDTF">2026-07-31T16:30:00Z</dcterms:modified>
  <dc:language>en-GB</dc:language>
</cp:coreProperties>
</file>