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78"/>
        <w:gridCol w:w="2782"/>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3CC5B49A" w:rsidR="00D012E7" w:rsidRPr="00D012E7" w:rsidRDefault="00E226FB" w:rsidP="00D4485A">
            <w:pPr>
              <w:pStyle w:val="BodyText"/>
              <w:jc w:val="both"/>
              <w:rPr>
                <w:rFonts w:cs="Arial"/>
                <w:b/>
                <w:bCs/>
                <w:sz w:val="22"/>
                <w:szCs w:val="22"/>
              </w:rPr>
            </w:pPr>
            <w:r>
              <w:rPr>
                <w:rFonts w:cs="Arial"/>
                <w:b/>
                <w:bCs/>
                <w:sz w:val="22"/>
                <w:szCs w:val="22"/>
              </w:rPr>
              <w:t>Ellis Thomas Arrowsmith</w:t>
            </w:r>
          </w:p>
        </w:tc>
        <w:tc>
          <w:tcPr>
            <w:tcW w:w="2835" w:type="dxa"/>
          </w:tcPr>
          <w:p w14:paraId="475608BE"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085B16F5" w:rsidR="00E226FB" w:rsidRPr="00946F49" w:rsidRDefault="00E226FB" w:rsidP="00D4485A">
            <w:pPr>
              <w:jc w:val="both"/>
              <w:rPr>
                <w:rFonts w:cs="Arial"/>
                <w:sz w:val="22"/>
                <w:szCs w:val="22"/>
              </w:rPr>
            </w:pPr>
            <w:r>
              <w:rPr>
                <w:rFonts w:cs="Arial"/>
                <w:b/>
                <w:bCs/>
                <w:sz w:val="22"/>
                <w:szCs w:val="22"/>
              </w:rPr>
              <w:t>1922407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AFEBF86"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3A06277C" w14:textId="77777777" w:rsidR="00781C37" w:rsidRDefault="00781C37" w:rsidP="00D4485A">
            <w:pPr>
              <w:jc w:val="both"/>
              <w:rPr>
                <w:rFonts w:cs="Arial"/>
                <w:b/>
                <w:bCs/>
                <w:sz w:val="22"/>
                <w:szCs w:val="22"/>
              </w:rPr>
            </w:pPr>
          </w:p>
          <w:p w14:paraId="09B432ED" w14:textId="687CF152" w:rsidR="00781C37" w:rsidRDefault="00781C37" w:rsidP="00781C37">
            <w:pPr>
              <w:rPr>
                <w:b/>
                <w:bCs/>
              </w:rPr>
            </w:pPr>
            <w:r w:rsidRPr="00856D4A">
              <w:rPr>
                <w:b/>
                <w:bCs/>
              </w:rPr>
              <w:t xml:space="preserve">Policing Mental Health – </w:t>
            </w:r>
            <w:r>
              <w:rPr>
                <w:b/>
                <w:bCs/>
              </w:rPr>
              <w:t>A critical analysis of the police involvement in Mental Health calls within Swansea and Neath Port Talbot. Is it appropriate for police to be the first point of contact for persons hav</w:t>
            </w:r>
            <w:r w:rsidR="00DA7257">
              <w:rPr>
                <w:b/>
                <w:bCs/>
              </w:rPr>
              <w:t>ing</w:t>
            </w:r>
            <w:r>
              <w:rPr>
                <w:b/>
                <w:bCs/>
              </w:rPr>
              <w:t xml:space="preserve"> a mental health episode where no crime is involved?   </w:t>
            </w:r>
          </w:p>
          <w:p w14:paraId="4F79AB79" w14:textId="77777777" w:rsidR="00781C37" w:rsidRDefault="00781C37"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6F92614" w14:textId="77777777" w:rsidR="00781C37" w:rsidRDefault="00781C37" w:rsidP="00781C37">
            <w:r>
              <w:t xml:space="preserve">In recent years, Police forces in both England and Wales have found themselves in an unprecedented predicament. The police have found themselves having to deal with and respond to incidents involving an increased number of persons who suffer with mental health issues or are themselves in a state of mental health crisis. Police have found themselves devoting several hours to someone who has found themselves in mental health crisis who needs either medical care or a mental health assessment. </w:t>
            </w:r>
          </w:p>
          <w:p w14:paraId="5F36A634" w14:textId="77777777" w:rsidR="00781C37" w:rsidRDefault="00781C37" w:rsidP="00781C37"/>
          <w:p w14:paraId="4E930A08" w14:textId="77777777" w:rsidR="00781C37" w:rsidRDefault="00781C37" w:rsidP="00781C37">
            <w:r>
              <w:t>The demand placed on police in recent years has found police officers across England and Wales spending a lot of their policing time responding to and spending several hours with persons who are suffering from mental health issues. The mental health related calls that police are dealing with, according to West Midlands Police spoke of police officers spending up to 40% of their time dealing with mental health related call and incidents (West Midlands Police, 2020.)</w:t>
            </w:r>
          </w:p>
          <w:p w14:paraId="79F4B962" w14:textId="77777777" w:rsidR="00781C37" w:rsidRDefault="00781C37" w:rsidP="00781C37"/>
          <w:p w14:paraId="3C78D4B2" w14:textId="212002BA" w:rsidR="00781C37" w:rsidRDefault="00781C37" w:rsidP="00781C37">
            <w:r>
              <w:t xml:space="preserve">The research that I intend to carry out is in relation to how much of officer’s time within Swansea and Neath Port Talbot is spent dealing with non-crime related mental health and how the effect of budget cuts and reduced staffing has affected the ability for police to pre-emptively detect crime. With up to 40% of police officers time being spent dealing with mental health, this does not leave an overly adequate amount of time to deal with crime. When broken down over and average set of six shifts this equates to a maximum of 21.6 hours being spent dealing with mental health calls and not proactively detecting crime. This leaves 32.4 hours where officers are potentially </w:t>
            </w:r>
            <w:r>
              <w:lastRenderedPageBreak/>
              <w:t xml:space="preserve">able to deal with crime effectively however, this time does not include shifts of unsocial hours where victims of crime are less likely to be willing to speak.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44722440" w14:textId="77777777" w:rsidR="00781C37" w:rsidRDefault="00781C37" w:rsidP="00781C37">
            <w:pPr>
              <w:pStyle w:val="ListParagraph"/>
              <w:numPr>
                <w:ilvl w:val="0"/>
                <w:numId w:val="41"/>
              </w:numPr>
            </w:pPr>
            <w:r>
              <w:t xml:space="preserve">To ascertain how over a specified period, the demand on police to deal with mental health has changed whether this has increased </w:t>
            </w:r>
            <w:proofErr w:type="spellStart"/>
            <w:r>
              <w:t>of</w:t>
            </w:r>
            <w:proofErr w:type="spellEnd"/>
            <w:r>
              <w:t xml:space="preserve"> decreased. </w:t>
            </w:r>
          </w:p>
          <w:p w14:paraId="69E5939F" w14:textId="77777777" w:rsidR="00781C37" w:rsidRDefault="00781C37" w:rsidP="00781C37">
            <w:pPr>
              <w:pStyle w:val="ListParagraph"/>
              <w:numPr>
                <w:ilvl w:val="0"/>
                <w:numId w:val="41"/>
              </w:numPr>
            </w:pPr>
            <w:r>
              <w:t xml:space="preserve">To analyse the publics views on who would be best to deal with mental health. </w:t>
            </w:r>
          </w:p>
          <w:p w14:paraId="275D3BF1" w14:textId="77777777" w:rsidR="00781C37" w:rsidRDefault="00781C37" w:rsidP="00781C37">
            <w:pPr>
              <w:pStyle w:val="ListParagraph"/>
              <w:numPr>
                <w:ilvl w:val="0"/>
                <w:numId w:val="41"/>
              </w:numPr>
            </w:pPr>
            <w:r>
              <w:t xml:space="preserve">To evaluate the appropriateness of police officers training with regards to dealing with mental health as opposed to that of a mental health professional. </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1ED7CCB" w14:textId="77777777" w:rsidR="00781C37" w:rsidRDefault="00781C37" w:rsidP="00781C37">
            <w:r>
              <w:t xml:space="preserve">Some of the key literature that in will be using as part of this dissertation project with be from HMICFRS (Her Majesty’s Inspectorate of Constabulary and Fire and Rescue Service). This body is responsible for the reviewing of every police force in England and Wales and regularly carry’s out inspections of policies and procedures carried out by either and individual force, or joint collaborations on national issues facing the current policing climate. </w:t>
            </w:r>
          </w:p>
          <w:p w14:paraId="1ED95E7A" w14:textId="77777777" w:rsidR="00781C37" w:rsidRDefault="00781C37" w:rsidP="00781C37"/>
          <w:p w14:paraId="140A22EC" w14:textId="77777777" w:rsidR="00781C37" w:rsidRDefault="00781C37" w:rsidP="00781C37">
            <w:r>
              <w:t xml:space="preserve">HMICFRS released a review of Policing and Mental Health (2018). This report is said to set out the findings of how collectively effective the 43 police forces who partook in the inspection were at protecting and supporting persons with mental health problems. The summary of the main findings for this report are that the police service is stepping in to fill in for mental health services in the three following scenarios the most: </w:t>
            </w:r>
          </w:p>
          <w:p w14:paraId="63EA7ED7" w14:textId="77777777" w:rsidR="00781C37" w:rsidRDefault="00781C37" w:rsidP="00781C37">
            <w:pPr>
              <w:pStyle w:val="ListParagraph"/>
              <w:numPr>
                <w:ilvl w:val="0"/>
                <w:numId w:val="40"/>
              </w:numPr>
            </w:pPr>
            <w:r>
              <w:t>Police being utilised to take someone to hospital as there is no ambulance available.</w:t>
            </w:r>
          </w:p>
          <w:p w14:paraId="3610E668" w14:textId="77777777" w:rsidR="00781C37" w:rsidRDefault="00781C37" w:rsidP="00781C37">
            <w:pPr>
              <w:pStyle w:val="ListParagraph"/>
              <w:numPr>
                <w:ilvl w:val="0"/>
                <w:numId w:val="40"/>
              </w:numPr>
            </w:pPr>
            <w:r>
              <w:t xml:space="preserve">Police having to wait with someone experiencing mental health problems in hospital until a safe place is found. </w:t>
            </w:r>
          </w:p>
          <w:p w14:paraId="4163F7A0" w14:textId="77777777" w:rsidR="00781C37" w:rsidRDefault="00781C37" w:rsidP="00781C37">
            <w:pPr>
              <w:pStyle w:val="ListParagraph"/>
              <w:numPr>
                <w:ilvl w:val="0"/>
                <w:numId w:val="40"/>
              </w:numPr>
            </w:pPr>
            <w:r>
              <w:t xml:space="preserve">Conducting welfare checks on a person where there is a concern for their safety. </w:t>
            </w:r>
          </w:p>
          <w:p w14:paraId="331F98C8" w14:textId="77777777" w:rsidR="00781C37" w:rsidRDefault="00781C37" w:rsidP="00781C37"/>
          <w:p w14:paraId="5E34FA76" w14:textId="77777777" w:rsidR="00781C37" w:rsidRDefault="00781C37" w:rsidP="00781C37">
            <w:r>
              <w:t>Another piece of literature published mentioned above by West Midlands Police in 2020 has provided predictions for the volume of demand from mental health related police incidents. The piece also goes on to say that low level mental health is dealt with in day-to-day policing and is encountered by most officers. Whilst this report may be tailored towards West Midlands Police, aspects of the report can be interpretated as being relevant to most if not all police forces in England and Wales.</w:t>
            </w:r>
          </w:p>
          <w:p w14:paraId="3179577C" w14:textId="77777777" w:rsidR="00781C37" w:rsidRDefault="00781C37" w:rsidP="00781C37"/>
          <w:p w14:paraId="171E08FD" w14:textId="77777777" w:rsidR="00781C37" w:rsidRDefault="00781C37" w:rsidP="00781C37">
            <w:r>
              <w:t xml:space="preserve"> </w:t>
            </w:r>
          </w:p>
          <w:p w14:paraId="764B9CB0" w14:textId="77777777" w:rsidR="00781C37" w:rsidRDefault="00781C37" w:rsidP="00781C37">
            <w:r>
              <w:t xml:space="preserve">I will also look to review some aspects of training that police provide in order to prepare officers to deal with mental health incidents and compare this to the level of training that staff within the NHS receive as non-specialist member of the NHS.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07889DA1" w14:textId="77777777" w:rsidR="00781C37" w:rsidRDefault="00781C37" w:rsidP="00781C37">
            <w:r>
              <w:lastRenderedPageBreak/>
              <w:t xml:space="preserve">I intend to provide both police officers and members of the public tailored questionaries to find out their both opinion on mental health and the police and from a policing point of view, how much mental health they deal with. Whilst this information of opinion, I also intend to request information from South Wales Police in relation to mental health calls received by them and whether there was a crime element to the call or if this was purely mental health related. </w:t>
            </w:r>
          </w:p>
          <w:p w14:paraId="1F13EEF3" w14:textId="77777777" w:rsidR="00781C37" w:rsidRDefault="00781C37" w:rsidP="00781C37"/>
          <w:p w14:paraId="5AC2A25D" w14:textId="77777777" w:rsidR="00781C37" w:rsidRPr="00856D4A" w:rsidRDefault="00781C37" w:rsidP="00781C37">
            <w:r>
              <w:t xml:space="preserve">Adopting this research method, would be appropriate to carry out in order to gain both public opinion as well as statistical data from South Wales Police in relation to this. This will allow for both </w:t>
            </w:r>
            <w:r w:rsidRPr="00856D4A">
              <w:t>quantitative</w:t>
            </w:r>
            <w:r>
              <w:t xml:space="preserve"> and qualitative data to allow for the comparison and integration of these results.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2D584C5A" w14:textId="77777777" w:rsidR="00781C37" w:rsidRDefault="00781C37" w:rsidP="00781C37">
            <w:r>
              <w:t xml:space="preserve">I intend to provide both police officers and members of the public tailored questionaries to find out their both opinion on mental health and the police and from a policing point of view, how much mental health they deal with. Whilst this information of opinion, I also intend to request information from South Wales Police in relation to mental health calls received by them and whether there was a crime element to the call or if this was purely mental health related. </w:t>
            </w:r>
          </w:p>
          <w:p w14:paraId="2F75D5D7" w14:textId="77777777" w:rsidR="00781C37" w:rsidRDefault="00781C37" w:rsidP="00781C37"/>
          <w:p w14:paraId="569954F9" w14:textId="77777777" w:rsidR="00781C37" w:rsidRPr="00856D4A" w:rsidRDefault="00781C37" w:rsidP="00781C37">
            <w:r>
              <w:t xml:space="preserve">Adopting this research method, would be appropriate to carry out in order to gain both public opinion as well as statistical data from South Wales Police in relation to this. This will allow for both </w:t>
            </w:r>
            <w:r w:rsidRPr="00856D4A">
              <w:t>quantitative</w:t>
            </w:r>
            <w:r>
              <w:t xml:space="preserve"> and qualitative data to allow for the comparison and integration of these results.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DCEA4DF" w14:textId="62FC6DB2" w:rsidR="00781C37" w:rsidRDefault="00781C37" w:rsidP="00781C37">
            <w:r>
              <w:t>At this time, I do not believe there are any ethical issues that will come of this research, however</w:t>
            </w:r>
            <w:r w:rsidR="00DA7257">
              <w:t>,</w:t>
            </w:r>
            <w:r>
              <w:t xml:space="preserve"> </w:t>
            </w:r>
            <w:r w:rsidR="00DA7257">
              <w:t>b</w:t>
            </w:r>
            <w:r>
              <w:t xml:space="preserve">eing a serving police officer, the opportunity to display opinion and unintentional bias. I will limit </w:t>
            </w:r>
            <w:r w:rsidR="00DA7257">
              <w:t xml:space="preserve">and prevent </w:t>
            </w:r>
            <w:r>
              <w:t xml:space="preserve">this as much as possible by engaging with my project supervisor and ensuring an investigative mindset is adopted to fully explore all options. </w:t>
            </w:r>
          </w:p>
          <w:p w14:paraId="23C9DF8B" w14:textId="1291AB92" w:rsidR="00781C37" w:rsidRDefault="00781C37" w:rsidP="00781C37"/>
          <w:p w14:paraId="3A8D2F69" w14:textId="52CFED47" w:rsidR="00D4485A" w:rsidRPr="00D4485A" w:rsidRDefault="00D4485A" w:rsidP="00DA7257">
            <w:pPr>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FD5757A" w14:textId="41DCD0D9" w:rsidR="00781C37" w:rsidRDefault="00781C37" w:rsidP="00781C37">
            <w:r>
              <w:t xml:space="preserve">As this project is time restricted, time management and effective planning and working is key to ensuring its success and to ensure that as much information can be sought from research in a timely and effective space of time. </w:t>
            </w:r>
          </w:p>
          <w:p w14:paraId="0682D9A9" w14:textId="77777777" w:rsidR="00781C37" w:rsidRDefault="00781C37" w:rsidP="00781C37"/>
          <w:tbl>
            <w:tblPr>
              <w:tblW w:w="9519" w:type="dxa"/>
              <w:tblLook w:val="04A0" w:firstRow="1" w:lastRow="0" w:firstColumn="1" w:lastColumn="0" w:noHBand="0" w:noVBand="1"/>
            </w:tblPr>
            <w:tblGrid>
              <w:gridCol w:w="1071"/>
              <w:gridCol w:w="2219"/>
              <w:gridCol w:w="568"/>
              <w:gridCol w:w="712"/>
              <w:gridCol w:w="782"/>
              <w:gridCol w:w="667"/>
              <w:gridCol w:w="726"/>
              <w:gridCol w:w="701"/>
              <w:gridCol w:w="640"/>
              <w:gridCol w:w="685"/>
              <w:gridCol w:w="748"/>
            </w:tblGrid>
            <w:tr w:rsidR="00781C37" w:rsidRPr="00856D4A" w14:paraId="79F1E1CF" w14:textId="77777777" w:rsidTr="00E4300E">
              <w:trPr>
                <w:trHeight w:val="272"/>
              </w:trPr>
              <w:tc>
                <w:tcPr>
                  <w:tcW w:w="1071" w:type="dxa"/>
                  <w:tcBorders>
                    <w:top w:val="single" w:sz="8" w:space="0" w:color="auto"/>
                    <w:left w:val="single" w:sz="8" w:space="0" w:color="auto"/>
                    <w:bottom w:val="single" w:sz="8" w:space="0" w:color="auto"/>
                    <w:right w:val="single" w:sz="8" w:space="0" w:color="auto"/>
                  </w:tcBorders>
                  <w:shd w:val="clear" w:color="000000" w:fill="B4C6E7"/>
                  <w:vAlign w:val="center"/>
                  <w:hideMark/>
                </w:tcPr>
                <w:p w14:paraId="64E4E2D6"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No</w:t>
                  </w:r>
                </w:p>
              </w:tc>
              <w:tc>
                <w:tcPr>
                  <w:tcW w:w="2219" w:type="dxa"/>
                  <w:vMerge w:val="restart"/>
                  <w:tcBorders>
                    <w:top w:val="single" w:sz="8" w:space="0" w:color="auto"/>
                    <w:left w:val="single" w:sz="8" w:space="0" w:color="auto"/>
                    <w:bottom w:val="single" w:sz="8" w:space="0" w:color="000000"/>
                    <w:right w:val="single" w:sz="8" w:space="0" w:color="auto"/>
                  </w:tcBorders>
                  <w:shd w:val="clear" w:color="000000" w:fill="B4C6E7"/>
                  <w:vAlign w:val="center"/>
                  <w:hideMark/>
                </w:tcPr>
                <w:p w14:paraId="3BDF1FA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Dissertation Project.</w:t>
                  </w:r>
                </w:p>
              </w:tc>
              <w:tc>
                <w:tcPr>
                  <w:tcW w:w="6228" w:type="dxa"/>
                  <w:gridSpan w:val="9"/>
                  <w:tcBorders>
                    <w:top w:val="single" w:sz="8" w:space="0" w:color="auto"/>
                    <w:left w:val="nil"/>
                    <w:bottom w:val="single" w:sz="8" w:space="0" w:color="auto"/>
                    <w:right w:val="single" w:sz="8" w:space="0" w:color="000000"/>
                  </w:tcBorders>
                  <w:shd w:val="clear" w:color="000000" w:fill="B4C6E7"/>
                  <w:vAlign w:val="center"/>
                  <w:hideMark/>
                </w:tcPr>
                <w:p w14:paraId="79CE49CB" w14:textId="77777777" w:rsidR="00781C37" w:rsidRPr="00856D4A" w:rsidRDefault="00781C37" w:rsidP="00781C37">
                  <w:pPr>
                    <w:jc w:val="center"/>
                    <w:rPr>
                      <w:rFonts w:ascii="Calibri" w:hAnsi="Calibri" w:cs="Calibri"/>
                      <w:color w:val="000000"/>
                      <w:lang w:eastAsia="en-GB"/>
                    </w:rPr>
                  </w:pPr>
                  <w:r w:rsidRPr="00856D4A">
                    <w:rPr>
                      <w:rFonts w:ascii="Calibri" w:hAnsi="Calibri" w:cs="Calibri"/>
                      <w:color w:val="000000"/>
                      <w:lang w:eastAsia="en-GB"/>
                    </w:rPr>
                    <w:t>2022 - 2023</w:t>
                  </w:r>
                </w:p>
              </w:tc>
            </w:tr>
            <w:tr w:rsidR="00781C37" w:rsidRPr="00856D4A" w14:paraId="522B6875" w14:textId="77777777" w:rsidTr="00E4300E">
              <w:trPr>
                <w:trHeight w:val="272"/>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4F70C626"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vMerge/>
                  <w:tcBorders>
                    <w:top w:val="single" w:sz="8" w:space="0" w:color="auto"/>
                    <w:left w:val="single" w:sz="8" w:space="0" w:color="auto"/>
                    <w:bottom w:val="single" w:sz="8" w:space="0" w:color="000000"/>
                    <w:right w:val="single" w:sz="8" w:space="0" w:color="auto"/>
                  </w:tcBorders>
                  <w:vAlign w:val="center"/>
                  <w:hideMark/>
                </w:tcPr>
                <w:p w14:paraId="346E74B3" w14:textId="77777777" w:rsidR="00781C37" w:rsidRPr="00856D4A" w:rsidRDefault="00781C37" w:rsidP="00781C37">
                  <w:pPr>
                    <w:rPr>
                      <w:rFonts w:ascii="Calibri" w:hAnsi="Calibri" w:cs="Calibri"/>
                      <w:color w:val="000000"/>
                      <w:lang w:eastAsia="en-GB"/>
                    </w:rPr>
                  </w:pPr>
                </w:p>
              </w:tc>
              <w:tc>
                <w:tcPr>
                  <w:tcW w:w="568" w:type="dxa"/>
                  <w:tcBorders>
                    <w:top w:val="nil"/>
                    <w:left w:val="nil"/>
                    <w:bottom w:val="single" w:sz="8" w:space="0" w:color="auto"/>
                    <w:right w:val="single" w:sz="8" w:space="0" w:color="auto"/>
                  </w:tcBorders>
                  <w:shd w:val="clear" w:color="000000" w:fill="B4C6E7"/>
                  <w:vAlign w:val="center"/>
                  <w:hideMark/>
                </w:tcPr>
                <w:p w14:paraId="0C7FC92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Jul</w:t>
                  </w:r>
                </w:p>
              </w:tc>
              <w:tc>
                <w:tcPr>
                  <w:tcW w:w="712" w:type="dxa"/>
                  <w:tcBorders>
                    <w:top w:val="nil"/>
                    <w:left w:val="nil"/>
                    <w:bottom w:val="single" w:sz="8" w:space="0" w:color="auto"/>
                    <w:right w:val="single" w:sz="8" w:space="0" w:color="auto"/>
                  </w:tcBorders>
                  <w:shd w:val="clear" w:color="000000" w:fill="B4C6E7"/>
                  <w:vAlign w:val="center"/>
                  <w:hideMark/>
                </w:tcPr>
                <w:p w14:paraId="1D5493A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Aug</w:t>
                  </w:r>
                </w:p>
              </w:tc>
              <w:tc>
                <w:tcPr>
                  <w:tcW w:w="782" w:type="dxa"/>
                  <w:tcBorders>
                    <w:top w:val="nil"/>
                    <w:left w:val="nil"/>
                    <w:bottom w:val="single" w:sz="8" w:space="0" w:color="auto"/>
                    <w:right w:val="single" w:sz="8" w:space="0" w:color="auto"/>
                  </w:tcBorders>
                  <w:shd w:val="clear" w:color="000000" w:fill="B4C6E7"/>
                  <w:vAlign w:val="center"/>
                  <w:hideMark/>
                </w:tcPr>
                <w:p w14:paraId="50B0D67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Sept</w:t>
                  </w:r>
                </w:p>
              </w:tc>
              <w:tc>
                <w:tcPr>
                  <w:tcW w:w="667" w:type="dxa"/>
                  <w:tcBorders>
                    <w:top w:val="nil"/>
                    <w:left w:val="nil"/>
                    <w:bottom w:val="single" w:sz="8" w:space="0" w:color="auto"/>
                    <w:right w:val="single" w:sz="8" w:space="0" w:color="auto"/>
                  </w:tcBorders>
                  <w:shd w:val="clear" w:color="000000" w:fill="B4C6E7"/>
                  <w:vAlign w:val="center"/>
                  <w:hideMark/>
                </w:tcPr>
                <w:p w14:paraId="2B1F7B0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Oct</w:t>
                  </w:r>
                </w:p>
              </w:tc>
              <w:tc>
                <w:tcPr>
                  <w:tcW w:w="726" w:type="dxa"/>
                  <w:tcBorders>
                    <w:top w:val="nil"/>
                    <w:left w:val="nil"/>
                    <w:bottom w:val="single" w:sz="8" w:space="0" w:color="auto"/>
                    <w:right w:val="single" w:sz="8" w:space="0" w:color="auto"/>
                  </w:tcBorders>
                  <w:shd w:val="clear" w:color="000000" w:fill="B4C6E7"/>
                  <w:vAlign w:val="center"/>
                  <w:hideMark/>
                </w:tcPr>
                <w:p w14:paraId="71C07EE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Nov</w:t>
                  </w:r>
                </w:p>
              </w:tc>
              <w:tc>
                <w:tcPr>
                  <w:tcW w:w="701" w:type="dxa"/>
                  <w:tcBorders>
                    <w:top w:val="nil"/>
                    <w:left w:val="nil"/>
                    <w:bottom w:val="single" w:sz="8" w:space="0" w:color="auto"/>
                    <w:right w:val="single" w:sz="8" w:space="0" w:color="auto"/>
                  </w:tcBorders>
                  <w:shd w:val="clear" w:color="000000" w:fill="B4C6E7"/>
                  <w:vAlign w:val="center"/>
                  <w:hideMark/>
                </w:tcPr>
                <w:p w14:paraId="00D26F2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Dec</w:t>
                  </w:r>
                </w:p>
              </w:tc>
              <w:tc>
                <w:tcPr>
                  <w:tcW w:w="640" w:type="dxa"/>
                  <w:tcBorders>
                    <w:top w:val="nil"/>
                    <w:left w:val="nil"/>
                    <w:bottom w:val="single" w:sz="8" w:space="0" w:color="auto"/>
                    <w:right w:val="single" w:sz="8" w:space="0" w:color="auto"/>
                  </w:tcBorders>
                  <w:shd w:val="clear" w:color="000000" w:fill="B4C6E7"/>
                  <w:vAlign w:val="center"/>
                  <w:hideMark/>
                </w:tcPr>
                <w:p w14:paraId="23FF7E1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Jan</w:t>
                  </w:r>
                </w:p>
              </w:tc>
              <w:tc>
                <w:tcPr>
                  <w:tcW w:w="685" w:type="dxa"/>
                  <w:tcBorders>
                    <w:top w:val="nil"/>
                    <w:left w:val="nil"/>
                    <w:bottom w:val="single" w:sz="8" w:space="0" w:color="auto"/>
                    <w:right w:val="single" w:sz="8" w:space="0" w:color="auto"/>
                  </w:tcBorders>
                  <w:shd w:val="clear" w:color="000000" w:fill="B4C6E7"/>
                  <w:vAlign w:val="center"/>
                  <w:hideMark/>
                </w:tcPr>
                <w:p w14:paraId="1B951E6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Feb</w:t>
                  </w:r>
                </w:p>
              </w:tc>
              <w:tc>
                <w:tcPr>
                  <w:tcW w:w="743" w:type="dxa"/>
                  <w:tcBorders>
                    <w:top w:val="nil"/>
                    <w:left w:val="nil"/>
                    <w:bottom w:val="single" w:sz="8" w:space="0" w:color="auto"/>
                    <w:right w:val="single" w:sz="8" w:space="0" w:color="auto"/>
                  </w:tcBorders>
                  <w:shd w:val="clear" w:color="000000" w:fill="B4C6E7"/>
                  <w:vAlign w:val="center"/>
                  <w:hideMark/>
                </w:tcPr>
                <w:p w14:paraId="42BC7042"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Mar</w:t>
                  </w:r>
                </w:p>
              </w:tc>
            </w:tr>
            <w:tr w:rsidR="00781C37" w:rsidRPr="00856D4A" w14:paraId="21440FDB" w14:textId="77777777" w:rsidTr="00E4300E">
              <w:trPr>
                <w:trHeight w:val="257"/>
              </w:trPr>
              <w:tc>
                <w:tcPr>
                  <w:tcW w:w="9519" w:type="dxa"/>
                  <w:gridSpan w:val="11"/>
                  <w:tcBorders>
                    <w:top w:val="single" w:sz="8" w:space="0" w:color="auto"/>
                    <w:left w:val="single" w:sz="8" w:space="0" w:color="auto"/>
                    <w:bottom w:val="single" w:sz="8" w:space="0" w:color="auto"/>
                    <w:right w:val="single" w:sz="8" w:space="0" w:color="000000"/>
                  </w:tcBorders>
                  <w:shd w:val="clear" w:color="000000" w:fill="B4C6E7"/>
                  <w:vAlign w:val="center"/>
                  <w:hideMark/>
                </w:tcPr>
                <w:p w14:paraId="665335C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3BBEAF58" w14:textId="77777777" w:rsidTr="00E4300E">
              <w:trPr>
                <w:trHeight w:val="272"/>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4B210D3D" w14:textId="77777777" w:rsidR="00781C37" w:rsidRPr="00856D4A" w:rsidRDefault="00781C37" w:rsidP="00781C37">
                  <w:pPr>
                    <w:jc w:val="right"/>
                    <w:rPr>
                      <w:rFonts w:ascii="Calibri" w:hAnsi="Calibri" w:cs="Calibri"/>
                      <w:color w:val="000000"/>
                      <w:lang w:eastAsia="en-GB"/>
                    </w:rPr>
                  </w:pPr>
                  <w:r w:rsidRPr="00856D4A">
                    <w:rPr>
                      <w:rFonts w:ascii="Calibri" w:hAnsi="Calibri" w:cs="Calibri"/>
                      <w:color w:val="000000"/>
                      <w:lang w:eastAsia="en-GB"/>
                    </w:rPr>
                    <w:t>1</w:t>
                  </w:r>
                </w:p>
              </w:tc>
              <w:tc>
                <w:tcPr>
                  <w:tcW w:w="2219" w:type="dxa"/>
                  <w:tcBorders>
                    <w:top w:val="nil"/>
                    <w:left w:val="nil"/>
                    <w:bottom w:val="single" w:sz="8" w:space="0" w:color="auto"/>
                    <w:right w:val="single" w:sz="8" w:space="0" w:color="auto"/>
                  </w:tcBorders>
                  <w:shd w:val="clear" w:color="000000" w:fill="B4C6E7"/>
                  <w:vAlign w:val="center"/>
                  <w:hideMark/>
                </w:tcPr>
                <w:p w14:paraId="4E05BE57" w14:textId="77777777" w:rsidR="00781C37" w:rsidRPr="00856D4A" w:rsidRDefault="00781C37" w:rsidP="00781C37">
                  <w:pPr>
                    <w:rPr>
                      <w:rFonts w:ascii="Calibri" w:hAnsi="Calibri" w:cs="Calibri"/>
                      <w:b/>
                      <w:bCs/>
                      <w:color w:val="000000"/>
                      <w:lang w:eastAsia="en-GB"/>
                    </w:rPr>
                  </w:pPr>
                  <w:r w:rsidRPr="00856D4A">
                    <w:rPr>
                      <w:rFonts w:ascii="Calibri" w:hAnsi="Calibri" w:cs="Calibri"/>
                      <w:b/>
                      <w:bCs/>
                      <w:color w:val="000000"/>
                      <w:lang w:eastAsia="en-GB"/>
                    </w:rPr>
                    <w:t xml:space="preserve">Proposal </w:t>
                  </w:r>
                </w:p>
              </w:tc>
              <w:tc>
                <w:tcPr>
                  <w:tcW w:w="568" w:type="dxa"/>
                  <w:tcBorders>
                    <w:top w:val="nil"/>
                    <w:left w:val="nil"/>
                    <w:bottom w:val="single" w:sz="8" w:space="0" w:color="auto"/>
                    <w:right w:val="single" w:sz="8" w:space="0" w:color="auto"/>
                  </w:tcBorders>
                  <w:shd w:val="clear" w:color="000000" w:fill="B4C6E7"/>
                  <w:vAlign w:val="center"/>
                  <w:hideMark/>
                </w:tcPr>
                <w:p w14:paraId="4D63FFFF"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1060C52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6B78827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093227DD"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642FFCE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2006564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2E27CCC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47E723D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0955CDA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3DA412F7" w14:textId="77777777" w:rsidTr="00E4300E">
              <w:trPr>
                <w:trHeight w:val="788"/>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1D59A79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137F704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Outline research, objective and methodology aims.</w:t>
                  </w:r>
                </w:p>
              </w:tc>
              <w:tc>
                <w:tcPr>
                  <w:tcW w:w="568" w:type="dxa"/>
                  <w:tcBorders>
                    <w:top w:val="nil"/>
                    <w:left w:val="nil"/>
                    <w:bottom w:val="single" w:sz="8" w:space="0" w:color="auto"/>
                    <w:right w:val="single" w:sz="8" w:space="0" w:color="auto"/>
                  </w:tcBorders>
                  <w:shd w:val="clear" w:color="000000" w:fill="FF0000"/>
                  <w:vAlign w:val="center"/>
                  <w:hideMark/>
                </w:tcPr>
                <w:p w14:paraId="1B020EA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FF0000"/>
                  <w:vAlign w:val="center"/>
                  <w:hideMark/>
                </w:tcPr>
                <w:p w14:paraId="38F920D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486DC1D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35B1C72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00329EB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30FF305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48ED4D7F"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52C2E09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192F10CC"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54E2C379" w14:textId="77777777" w:rsidTr="00E4300E">
              <w:trPr>
                <w:trHeight w:val="257"/>
              </w:trPr>
              <w:tc>
                <w:tcPr>
                  <w:tcW w:w="9519" w:type="dxa"/>
                  <w:gridSpan w:val="11"/>
                  <w:tcBorders>
                    <w:top w:val="single" w:sz="8" w:space="0" w:color="auto"/>
                    <w:left w:val="single" w:sz="8" w:space="0" w:color="auto"/>
                    <w:bottom w:val="single" w:sz="8" w:space="0" w:color="auto"/>
                    <w:right w:val="single" w:sz="8" w:space="0" w:color="000000"/>
                  </w:tcBorders>
                  <w:shd w:val="clear" w:color="000000" w:fill="B4C6E7"/>
                  <w:vAlign w:val="center"/>
                  <w:hideMark/>
                </w:tcPr>
                <w:p w14:paraId="5A7851B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lastRenderedPageBreak/>
                    <w:t> </w:t>
                  </w:r>
                </w:p>
              </w:tc>
            </w:tr>
            <w:tr w:rsidR="00781C37" w:rsidRPr="00856D4A" w14:paraId="054B3709" w14:textId="77777777" w:rsidTr="00E4300E">
              <w:trPr>
                <w:trHeight w:val="272"/>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1A71E070" w14:textId="77777777" w:rsidR="00781C37" w:rsidRPr="00856D4A" w:rsidRDefault="00781C37" w:rsidP="00781C37">
                  <w:pPr>
                    <w:jc w:val="right"/>
                    <w:rPr>
                      <w:rFonts w:ascii="Calibri" w:hAnsi="Calibri" w:cs="Calibri"/>
                      <w:color w:val="000000"/>
                      <w:lang w:eastAsia="en-GB"/>
                    </w:rPr>
                  </w:pPr>
                  <w:r w:rsidRPr="00856D4A">
                    <w:rPr>
                      <w:rFonts w:ascii="Calibri" w:hAnsi="Calibri" w:cs="Calibri"/>
                      <w:color w:val="000000"/>
                      <w:lang w:eastAsia="en-GB"/>
                    </w:rPr>
                    <w:t>2</w:t>
                  </w:r>
                </w:p>
              </w:tc>
              <w:tc>
                <w:tcPr>
                  <w:tcW w:w="2219" w:type="dxa"/>
                  <w:tcBorders>
                    <w:top w:val="nil"/>
                    <w:left w:val="nil"/>
                    <w:bottom w:val="single" w:sz="8" w:space="0" w:color="auto"/>
                    <w:right w:val="single" w:sz="8" w:space="0" w:color="auto"/>
                  </w:tcBorders>
                  <w:shd w:val="clear" w:color="000000" w:fill="B4C6E7"/>
                  <w:vAlign w:val="center"/>
                  <w:hideMark/>
                </w:tcPr>
                <w:p w14:paraId="1DBBD63F" w14:textId="77777777" w:rsidR="00781C37" w:rsidRPr="00856D4A" w:rsidRDefault="00781C37" w:rsidP="00781C37">
                  <w:pPr>
                    <w:rPr>
                      <w:rFonts w:ascii="Calibri" w:hAnsi="Calibri" w:cs="Calibri"/>
                      <w:b/>
                      <w:bCs/>
                      <w:color w:val="000000"/>
                      <w:lang w:eastAsia="en-GB"/>
                    </w:rPr>
                  </w:pPr>
                  <w:r w:rsidRPr="00856D4A">
                    <w:rPr>
                      <w:rFonts w:ascii="Calibri" w:hAnsi="Calibri" w:cs="Calibri"/>
                      <w:b/>
                      <w:bCs/>
                      <w:color w:val="000000"/>
                      <w:lang w:eastAsia="en-GB"/>
                    </w:rPr>
                    <w:t xml:space="preserve">Literature review </w:t>
                  </w:r>
                </w:p>
              </w:tc>
              <w:tc>
                <w:tcPr>
                  <w:tcW w:w="568" w:type="dxa"/>
                  <w:tcBorders>
                    <w:top w:val="nil"/>
                    <w:left w:val="nil"/>
                    <w:bottom w:val="single" w:sz="8" w:space="0" w:color="auto"/>
                    <w:right w:val="single" w:sz="8" w:space="0" w:color="auto"/>
                  </w:tcBorders>
                  <w:shd w:val="clear" w:color="000000" w:fill="B4C6E7"/>
                  <w:vAlign w:val="center"/>
                  <w:hideMark/>
                </w:tcPr>
                <w:p w14:paraId="4A16F32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6D7ABE7C"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18EA986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nil"/>
                    <w:right w:val="single" w:sz="8" w:space="0" w:color="auto"/>
                  </w:tcBorders>
                  <w:shd w:val="clear" w:color="000000" w:fill="B4C6E7"/>
                  <w:vAlign w:val="center"/>
                  <w:hideMark/>
                </w:tcPr>
                <w:p w14:paraId="7AE57CE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50F5DA26"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02BEC60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6BC0262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4583982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6472058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37226A93" w14:textId="77777777" w:rsidTr="00E4300E">
              <w:trPr>
                <w:trHeight w:val="272"/>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318AF4B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3ADADCE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Carry out Research</w:t>
                  </w:r>
                </w:p>
              </w:tc>
              <w:tc>
                <w:tcPr>
                  <w:tcW w:w="568" w:type="dxa"/>
                  <w:tcBorders>
                    <w:top w:val="nil"/>
                    <w:left w:val="nil"/>
                    <w:bottom w:val="single" w:sz="8" w:space="0" w:color="auto"/>
                    <w:right w:val="single" w:sz="8" w:space="0" w:color="auto"/>
                  </w:tcBorders>
                  <w:shd w:val="clear" w:color="000000" w:fill="B4C6E7"/>
                  <w:vAlign w:val="center"/>
                  <w:hideMark/>
                </w:tcPr>
                <w:p w14:paraId="7959949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7CA706D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FFC000"/>
                  <w:vAlign w:val="center"/>
                  <w:hideMark/>
                </w:tcPr>
                <w:p w14:paraId="2EBDCB0F"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single" w:sz="8" w:space="0" w:color="auto"/>
                    <w:left w:val="nil"/>
                    <w:bottom w:val="single" w:sz="8" w:space="0" w:color="auto"/>
                    <w:right w:val="single" w:sz="8" w:space="0" w:color="auto"/>
                  </w:tcBorders>
                  <w:shd w:val="clear" w:color="000000" w:fill="FFC000"/>
                  <w:vAlign w:val="center"/>
                  <w:hideMark/>
                </w:tcPr>
                <w:p w14:paraId="4223C26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FFC000"/>
                  <w:vAlign w:val="center"/>
                  <w:hideMark/>
                </w:tcPr>
                <w:p w14:paraId="70E6065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438D38E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1BCCC9E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1A6AE13D"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114FA2B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7B289F7A" w14:textId="77777777" w:rsidTr="00E4300E">
              <w:trPr>
                <w:trHeight w:val="1045"/>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3E5F5B4D"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6B3E60E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Create questionnaire and provide to participants.</w:t>
                  </w:r>
                </w:p>
              </w:tc>
              <w:tc>
                <w:tcPr>
                  <w:tcW w:w="568" w:type="dxa"/>
                  <w:tcBorders>
                    <w:top w:val="nil"/>
                    <w:left w:val="nil"/>
                    <w:bottom w:val="single" w:sz="8" w:space="0" w:color="auto"/>
                    <w:right w:val="single" w:sz="8" w:space="0" w:color="auto"/>
                  </w:tcBorders>
                  <w:shd w:val="clear" w:color="000000" w:fill="B4C6E7"/>
                  <w:vAlign w:val="center"/>
                  <w:hideMark/>
                </w:tcPr>
                <w:p w14:paraId="5318662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6A13666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FFC000"/>
                  <w:vAlign w:val="center"/>
                  <w:hideMark/>
                </w:tcPr>
                <w:p w14:paraId="054BF91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FFC000"/>
                  <w:vAlign w:val="center"/>
                  <w:hideMark/>
                </w:tcPr>
                <w:p w14:paraId="4E9F1336"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FFC000"/>
                  <w:vAlign w:val="center"/>
                  <w:hideMark/>
                </w:tcPr>
                <w:p w14:paraId="47B0D92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6686B10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58419AC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67DAAFB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4B93AB8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694B1E76" w14:textId="77777777" w:rsidTr="00E4300E">
              <w:trPr>
                <w:trHeight w:val="257"/>
              </w:trPr>
              <w:tc>
                <w:tcPr>
                  <w:tcW w:w="9519" w:type="dxa"/>
                  <w:gridSpan w:val="11"/>
                  <w:tcBorders>
                    <w:top w:val="single" w:sz="8" w:space="0" w:color="auto"/>
                    <w:left w:val="single" w:sz="8" w:space="0" w:color="auto"/>
                    <w:bottom w:val="single" w:sz="8" w:space="0" w:color="auto"/>
                    <w:right w:val="single" w:sz="8" w:space="0" w:color="000000"/>
                  </w:tcBorders>
                  <w:shd w:val="clear" w:color="000000" w:fill="B4C6E7"/>
                  <w:vAlign w:val="center"/>
                  <w:hideMark/>
                </w:tcPr>
                <w:p w14:paraId="607AFD0F"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3B12A087" w14:textId="77777777" w:rsidTr="00E4300E">
              <w:trPr>
                <w:trHeight w:val="788"/>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01DC71EF" w14:textId="77777777" w:rsidR="00781C37" w:rsidRPr="00856D4A" w:rsidRDefault="00781C37" w:rsidP="00781C37">
                  <w:pPr>
                    <w:jc w:val="right"/>
                    <w:rPr>
                      <w:rFonts w:ascii="Calibri" w:hAnsi="Calibri" w:cs="Calibri"/>
                      <w:color w:val="000000"/>
                      <w:lang w:eastAsia="en-GB"/>
                    </w:rPr>
                  </w:pPr>
                  <w:r w:rsidRPr="00856D4A">
                    <w:rPr>
                      <w:rFonts w:ascii="Calibri" w:hAnsi="Calibri" w:cs="Calibri"/>
                      <w:color w:val="000000"/>
                      <w:lang w:eastAsia="en-GB"/>
                    </w:rPr>
                    <w:t>3</w:t>
                  </w:r>
                </w:p>
              </w:tc>
              <w:tc>
                <w:tcPr>
                  <w:tcW w:w="2219" w:type="dxa"/>
                  <w:tcBorders>
                    <w:top w:val="nil"/>
                    <w:left w:val="nil"/>
                    <w:bottom w:val="single" w:sz="8" w:space="0" w:color="auto"/>
                    <w:right w:val="single" w:sz="8" w:space="0" w:color="auto"/>
                  </w:tcBorders>
                  <w:shd w:val="clear" w:color="000000" w:fill="B4C6E7"/>
                  <w:vAlign w:val="center"/>
                  <w:hideMark/>
                </w:tcPr>
                <w:p w14:paraId="010B81DE" w14:textId="77777777" w:rsidR="00781C37" w:rsidRPr="00856D4A" w:rsidRDefault="00781C37" w:rsidP="00781C37">
                  <w:pPr>
                    <w:rPr>
                      <w:rFonts w:ascii="Calibri" w:hAnsi="Calibri" w:cs="Calibri"/>
                      <w:b/>
                      <w:bCs/>
                      <w:color w:val="000000"/>
                      <w:lang w:eastAsia="en-GB"/>
                    </w:rPr>
                  </w:pPr>
                  <w:r w:rsidRPr="00856D4A">
                    <w:rPr>
                      <w:rFonts w:ascii="Calibri" w:hAnsi="Calibri" w:cs="Calibri"/>
                      <w:b/>
                      <w:bCs/>
                      <w:color w:val="000000"/>
                      <w:lang w:eastAsia="en-GB"/>
                    </w:rPr>
                    <w:t xml:space="preserve">Summary of findings and analysis. </w:t>
                  </w:r>
                </w:p>
              </w:tc>
              <w:tc>
                <w:tcPr>
                  <w:tcW w:w="568" w:type="dxa"/>
                  <w:tcBorders>
                    <w:top w:val="nil"/>
                    <w:left w:val="nil"/>
                    <w:bottom w:val="single" w:sz="8" w:space="0" w:color="auto"/>
                    <w:right w:val="single" w:sz="8" w:space="0" w:color="auto"/>
                  </w:tcBorders>
                  <w:shd w:val="clear" w:color="000000" w:fill="B4C6E7"/>
                  <w:vAlign w:val="center"/>
                  <w:hideMark/>
                </w:tcPr>
                <w:p w14:paraId="3181E34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5EF95CD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1F6BEF2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0AC16B3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393A75C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12C5C6A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48631A0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1CEAA08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701D9CB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591FA283" w14:textId="77777777" w:rsidTr="00E4300E">
              <w:trPr>
                <w:trHeight w:val="788"/>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54A538C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61800D0C"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Analyse questionnaire results</w:t>
                  </w:r>
                </w:p>
              </w:tc>
              <w:tc>
                <w:tcPr>
                  <w:tcW w:w="568" w:type="dxa"/>
                  <w:tcBorders>
                    <w:top w:val="nil"/>
                    <w:left w:val="nil"/>
                    <w:bottom w:val="single" w:sz="8" w:space="0" w:color="auto"/>
                    <w:right w:val="single" w:sz="8" w:space="0" w:color="auto"/>
                  </w:tcBorders>
                  <w:shd w:val="clear" w:color="000000" w:fill="B4C6E7"/>
                  <w:vAlign w:val="center"/>
                  <w:hideMark/>
                </w:tcPr>
                <w:p w14:paraId="08816EA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687E1E8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4967286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1585795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3C8DDA5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FFFF00"/>
                  <w:vAlign w:val="center"/>
                  <w:hideMark/>
                </w:tcPr>
                <w:p w14:paraId="28FE61F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FFFF00"/>
                  <w:vAlign w:val="center"/>
                  <w:hideMark/>
                </w:tcPr>
                <w:p w14:paraId="4200640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240ADFC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503695D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24CAB195" w14:textId="77777777" w:rsidTr="00E4300E">
              <w:trPr>
                <w:trHeight w:val="530"/>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2DAA5F0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7C0C1E1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Review for any gaps in research</w:t>
                  </w:r>
                </w:p>
              </w:tc>
              <w:tc>
                <w:tcPr>
                  <w:tcW w:w="568" w:type="dxa"/>
                  <w:tcBorders>
                    <w:top w:val="nil"/>
                    <w:left w:val="nil"/>
                    <w:bottom w:val="single" w:sz="8" w:space="0" w:color="auto"/>
                    <w:right w:val="single" w:sz="8" w:space="0" w:color="auto"/>
                  </w:tcBorders>
                  <w:shd w:val="clear" w:color="000000" w:fill="B4C6E7"/>
                  <w:vAlign w:val="center"/>
                  <w:hideMark/>
                </w:tcPr>
                <w:p w14:paraId="77EAC83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0510F0C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75F1DEAD"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5AF891A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0CF78DD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1009BF2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FFFF00"/>
                  <w:vAlign w:val="center"/>
                  <w:hideMark/>
                </w:tcPr>
                <w:p w14:paraId="60F74F0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0A9E9B4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01B8ACD2"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0060DB31" w14:textId="77777777" w:rsidTr="00E4300E">
              <w:trPr>
                <w:trHeight w:val="788"/>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0F0B6AF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44124072"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Collate and analyse feedback and draw conclusion.</w:t>
                  </w:r>
                </w:p>
              </w:tc>
              <w:tc>
                <w:tcPr>
                  <w:tcW w:w="568" w:type="dxa"/>
                  <w:tcBorders>
                    <w:top w:val="nil"/>
                    <w:left w:val="nil"/>
                    <w:bottom w:val="single" w:sz="8" w:space="0" w:color="auto"/>
                    <w:right w:val="single" w:sz="8" w:space="0" w:color="auto"/>
                  </w:tcBorders>
                  <w:shd w:val="clear" w:color="000000" w:fill="B4C6E7"/>
                  <w:vAlign w:val="center"/>
                  <w:hideMark/>
                </w:tcPr>
                <w:p w14:paraId="0B3F254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1086537D"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0C3DA07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334144E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69FD25B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2F9BADA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FFFF00"/>
                  <w:vAlign w:val="center"/>
                  <w:hideMark/>
                </w:tcPr>
                <w:p w14:paraId="0260A10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500F45F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74FBF13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1DB0E7FC" w14:textId="77777777" w:rsidTr="00E4300E">
              <w:trPr>
                <w:trHeight w:val="257"/>
              </w:trPr>
              <w:tc>
                <w:tcPr>
                  <w:tcW w:w="9519" w:type="dxa"/>
                  <w:gridSpan w:val="11"/>
                  <w:tcBorders>
                    <w:top w:val="single" w:sz="8" w:space="0" w:color="auto"/>
                    <w:left w:val="single" w:sz="8" w:space="0" w:color="auto"/>
                    <w:bottom w:val="single" w:sz="8" w:space="0" w:color="auto"/>
                    <w:right w:val="single" w:sz="8" w:space="0" w:color="000000"/>
                  </w:tcBorders>
                  <w:shd w:val="clear" w:color="000000" w:fill="B4C6E7"/>
                  <w:vAlign w:val="center"/>
                  <w:hideMark/>
                </w:tcPr>
                <w:p w14:paraId="1EC599F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240E1ADA" w14:textId="77777777" w:rsidTr="00E4300E">
              <w:trPr>
                <w:trHeight w:val="530"/>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26C08072" w14:textId="77777777" w:rsidR="00781C37" w:rsidRPr="00856D4A" w:rsidRDefault="00781C37" w:rsidP="00781C37">
                  <w:pPr>
                    <w:jc w:val="right"/>
                    <w:rPr>
                      <w:rFonts w:ascii="Calibri" w:hAnsi="Calibri" w:cs="Calibri"/>
                      <w:color w:val="000000"/>
                      <w:lang w:eastAsia="en-GB"/>
                    </w:rPr>
                  </w:pPr>
                  <w:r w:rsidRPr="00856D4A">
                    <w:rPr>
                      <w:rFonts w:ascii="Calibri" w:hAnsi="Calibri" w:cs="Calibri"/>
                      <w:color w:val="000000"/>
                      <w:lang w:eastAsia="en-GB"/>
                    </w:rPr>
                    <w:t>4</w:t>
                  </w:r>
                </w:p>
              </w:tc>
              <w:tc>
                <w:tcPr>
                  <w:tcW w:w="2219" w:type="dxa"/>
                  <w:tcBorders>
                    <w:top w:val="nil"/>
                    <w:left w:val="nil"/>
                    <w:bottom w:val="single" w:sz="8" w:space="0" w:color="auto"/>
                    <w:right w:val="single" w:sz="8" w:space="0" w:color="auto"/>
                  </w:tcBorders>
                  <w:shd w:val="clear" w:color="000000" w:fill="B4C6E7"/>
                  <w:vAlign w:val="center"/>
                  <w:hideMark/>
                </w:tcPr>
                <w:p w14:paraId="420C5D58" w14:textId="77777777" w:rsidR="00781C37" w:rsidRPr="00856D4A" w:rsidRDefault="00781C37" w:rsidP="00781C37">
                  <w:pPr>
                    <w:rPr>
                      <w:rFonts w:ascii="Calibri" w:hAnsi="Calibri" w:cs="Calibri"/>
                      <w:b/>
                      <w:bCs/>
                      <w:color w:val="000000"/>
                      <w:lang w:eastAsia="en-GB"/>
                    </w:rPr>
                  </w:pPr>
                  <w:r w:rsidRPr="00856D4A">
                    <w:rPr>
                      <w:rFonts w:ascii="Calibri" w:hAnsi="Calibri" w:cs="Calibri"/>
                      <w:b/>
                      <w:bCs/>
                      <w:color w:val="000000"/>
                      <w:lang w:eastAsia="en-GB"/>
                    </w:rPr>
                    <w:t xml:space="preserve">Submission Preparation </w:t>
                  </w:r>
                </w:p>
              </w:tc>
              <w:tc>
                <w:tcPr>
                  <w:tcW w:w="568" w:type="dxa"/>
                  <w:tcBorders>
                    <w:top w:val="nil"/>
                    <w:left w:val="nil"/>
                    <w:bottom w:val="single" w:sz="8" w:space="0" w:color="auto"/>
                    <w:right w:val="single" w:sz="8" w:space="0" w:color="auto"/>
                  </w:tcBorders>
                  <w:shd w:val="clear" w:color="000000" w:fill="B4C6E7"/>
                  <w:vAlign w:val="center"/>
                  <w:hideMark/>
                </w:tcPr>
                <w:p w14:paraId="6F65E13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327D080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01AA4F9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7DBAF85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08D50D5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706CFCB2"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202726D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B4C6E7"/>
                  <w:vAlign w:val="center"/>
                  <w:hideMark/>
                </w:tcPr>
                <w:p w14:paraId="1908ADA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B4C6E7"/>
                  <w:vAlign w:val="center"/>
                  <w:hideMark/>
                </w:tcPr>
                <w:p w14:paraId="7CFA294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7BE2EC7B" w14:textId="77777777" w:rsidTr="00E4300E">
              <w:trPr>
                <w:trHeight w:val="530"/>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4C28EE7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595234AF"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xml:space="preserve">Review with project supervisor. </w:t>
                  </w:r>
                </w:p>
              </w:tc>
              <w:tc>
                <w:tcPr>
                  <w:tcW w:w="568" w:type="dxa"/>
                  <w:tcBorders>
                    <w:top w:val="nil"/>
                    <w:left w:val="nil"/>
                    <w:bottom w:val="single" w:sz="8" w:space="0" w:color="auto"/>
                    <w:right w:val="single" w:sz="8" w:space="0" w:color="auto"/>
                  </w:tcBorders>
                  <w:shd w:val="clear" w:color="000000" w:fill="B4C6E7"/>
                  <w:vAlign w:val="center"/>
                  <w:hideMark/>
                </w:tcPr>
                <w:p w14:paraId="41BC0068"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64685FA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132AB3FC"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6847790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18F9E68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460D36E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0400642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92D050"/>
                  <w:vAlign w:val="center"/>
                  <w:hideMark/>
                </w:tcPr>
                <w:p w14:paraId="1E0E3DE0"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92D050"/>
                  <w:vAlign w:val="center"/>
                  <w:hideMark/>
                </w:tcPr>
                <w:p w14:paraId="236885D4"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02D5BA2A" w14:textId="77777777" w:rsidTr="00E4300E">
              <w:trPr>
                <w:trHeight w:val="530"/>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4B971C0D"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7F1BF1D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xml:space="preserve">Proof reading and editing. </w:t>
                  </w:r>
                </w:p>
              </w:tc>
              <w:tc>
                <w:tcPr>
                  <w:tcW w:w="568" w:type="dxa"/>
                  <w:tcBorders>
                    <w:top w:val="nil"/>
                    <w:left w:val="nil"/>
                    <w:bottom w:val="single" w:sz="8" w:space="0" w:color="auto"/>
                    <w:right w:val="single" w:sz="8" w:space="0" w:color="auto"/>
                  </w:tcBorders>
                  <w:shd w:val="clear" w:color="000000" w:fill="B4C6E7"/>
                  <w:vAlign w:val="center"/>
                  <w:hideMark/>
                </w:tcPr>
                <w:p w14:paraId="6E18C99F"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47FBCBC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21C5643E"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2CA354EC"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10FDB6A2"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7054109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640E0D82"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92D050"/>
                  <w:vAlign w:val="center"/>
                  <w:hideMark/>
                </w:tcPr>
                <w:p w14:paraId="0A29102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92D050"/>
                  <w:vAlign w:val="center"/>
                  <w:hideMark/>
                </w:tcPr>
                <w:p w14:paraId="645DF03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r w:rsidR="00781C37" w:rsidRPr="00856D4A" w14:paraId="6C93A4C9" w14:textId="77777777" w:rsidTr="00E4300E">
              <w:trPr>
                <w:trHeight w:val="272"/>
              </w:trPr>
              <w:tc>
                <w:tcPr>
                  <w:tcW w:w="1071" w:type="dxa"/>
                  <w:tcBorders>
                    <w:top w:val="nil"/>
                    <w:left w:val="single" w:sz="8" w:space="0" w:color="auto"/>
                    <w:bottom w:val="single" w:sz="8" w:space="0" w:color="auto"/>
                    <w:right w:val="single" w:sz="8" w:space="0" w:color="auto"/>
                  </w:tcBorders>
                  <w:shd w:val="clear" w:color="000000" w:fill="B4C6E7"/>
                  <w:vAlign w:val="center"/>
                  <w:hideMark/>
                </w:tcPr>
                <w:p w14:paraId="5C538F9C"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2219" w:type="dxa"/>
                  <w:tcBorders>
                    <w:top w:val="nil"/>
                    <w:left w:val="nil"/>
                    <w:bottom w:val="single" w:sz="8" w:space="0" w:color="auto"/>
                    <w:right w:val="single" w:sz="8" w:space="0" w:color="auto"/>
                  </w:tcBorders>
                  <w:shd w:val="clear" w:color="000000" w:fill="B4C6E7"/>
                  <w:vAlign w:val="center"/>
                  <w:hideMark/>
                </w:tcPr>
                <w:p w14:paraId="0CB92FEA"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xml:space="preserve">Submission. </w:t>
                  </w:r>
                </w:p>
              </w:tc>
              <w:tc>
                <w:tcPr>
                  <w:tcW w:w="568" w:type="dxa"/>
                  <w:tcBorders>
                    <w:top w:val="nil"/>
                    <w:left w:val="nil"/>
                    <w:bottom w:val="single" w:sz="8" w:space="0" w:color="auto"/>
                    <w:right w:val="single" w:sz="8" w:space="0" w:color="auto"/>
                  </w:tcBorders>
                  <w:shd w:val="clear" w:color="000000" w:fill="B4C6E7"/>
                  <w:vAlign w:val="center"/>
                  <w:hideMark/>
                </w:tcPr>
                <w:p w14:paraId="376FDF21"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12" w:type="dxa"/>
                  <w:tcBorders>
                    <w:top w:val="nil"/>
                    <w:left w:val="nil"/>
                    <w:bottom w:val="single" w:sz="8" w:space="0" w:color="auto"/>
                    <w:right w:val="single" w:sz="8" w:space="0" w:color="auto"/>
                  </w:tcBorders>
                  <w:shd w:val="clear" w:color="000000" w:fill="B4C6E7"/>
                  <w:vAlign w:val="center"/>
                  <w:hideMark/>
                </w:tcPr>
                <w:p w14:paraId="59CFB487"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82" w:type="dxa"/>
                  <w:tcBorders>
                    <w:top w:val="nil"/>
                    <w:left w:val="nil"/>
                    <w:bottom w:val="single" w:sz="8" w:space="0" w:color="auto"/>
                    <w:right w:val="single" w:sz="8" w:space="0" w:color="auto"/>
                  </w:tcBorders>
                  <w:shd w:val="clear" w:color="000000" w:fill="B4C6E7"/>
                  <w:vAlign w:val="center"/>
                  <w:hideMark/>
                </w:tcPr>
                <w:p w14:paraId="104D7A16"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67" w:type="dxa"/>
                  <w:tcBorders>
                    <w:top w:val="nil"/>
                    <w:left w:val="nil"/>
                    <w:bottom w:val="single" w:sz="8" w:space="0" w:color="auto"/>
                    <w:right w:val="single" w:sz="8" w:space="0" w:color="auto"/>
                  </w:tcBorders>
                  <w:shd w:val="clear" w:color="000000" w:fill="B4C6E7"/>
                  <w:vAlign w:val="center"/>
                  <w:hideMark/>
                </w:tcPr>
                <w:p w14:paraId="075145B5"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26" w:type="dxa"/>
                  <w:tcBorders>
                    <w:top w:val="nil"/>
                    <w:left w:val="nil"/>
                    <w:bottom w:val="single" w:sz="8" w:space="0" w:color="auto"/>
                    <w:right w:val="single" w:sz="8" w:space="0" w:color="auto"/>
                  </w:tcBorders>
                  <w:shd w:val="clear" w:color="000000" w:fill="B4C6E7"/>
                  <w:vAlign w:val="center"/>
                  <w:hideMark/>
                </w:tcPr>
                <w:p w14:paraId="53EBEE92"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01" w:type="dxa"/>
                  <w:tcBorders>
                    <w:top w:val="nil"/>
                    <w:left w:val="nil"/>
                    <w:bottom w:val="single" w:sz="8" w:space="0" w:color="auto"/>
                    <w:right w:val="single" w:sz="8" w:space="0" w:color="auto"/>
                  </w:tcBorders>
                  <w:shd w:val="clear" w:color="000000" w:fill="B4C6E7"/>
                  <w:vAlign w:val="center"/>
                  <w:hideMark/>
                </w:tcPr>
                <w:p w14:paraId="1D2C2B43"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40" w:type="dxa"/>
                  <w:tcBorders>
                    <w:top w:val="nil"/>
                    <w:left w:val="nil"/>
                    <w:bottom w:val="single" w:sz="8" w:space="0" w:color="auto"/>
                    <w:right w:val="single" w:sz="8" w:space="0" w:color="auto"/>
                  </w:tcBorders>
                  <w:shd w:val="clear" w:color="000000" w:fill="B4C6E7"/>
                  <w:vAlign w:val="center"/>
                  <w:hideMark/>
                </w:tcPr>
                <w:p w14:paraId="4284631C"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685" w:type="dxa"/>
                  <w:tcBorders>
                    <w:top w:val="nil"/>
                    <w:left w:val="nil"/>
                    <w:bottom w:val="single" w:sz="8" w:space="0" w:color="auto"/>
                    <w:right w:val="single" w:sz="8" w:space="0" w:color="auto"/>
                  </w:tcBorders>
                  <w:shd w:val="clear" w:color="000000" w:fill="92D050"/>
                  <w:vAlign w:val="center"/>
                  <w:hideMark/>
                </w:tcPr>
                <w:p w14:paraId="6BDB04BB"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c>
                <w:tcPr>
                  <w:tcW w:w="743" w:type="dxa"/>
                  <w:tcBorders>
                    <w:top w:val="nil"/>
                    <w:left w:val="nil"/>
                    <w:bottom w:val="single" w:sz="8" w:space="0" w:color="auto"/>
                    <w:right w:val="single" w:sz="8" w:space="0" w:color="auto"/>
                  </w:tcBorders>
                  <w:shd w:val="clear" w:color="000000" w:fill="92D050"/>
                  <w:vAlign w:val="center"/>
                  <w:hideMark/>
                </w:tcPr>
                <w:p w14:paraId="4C5178C9" w14:textId="77777777" w:rsidR="00781C37" w:rsidRPr="00856D4A" w:rsidRDefault="00781C37" w:rsidP="00781C37">
                  <w:pPr>
                    <w:rPr>
                      <w:rFonts w:ascii="Calibri" w:hAnsi="Calibri" w:cs="Calibri"/>
                      <w:color w:val="000000"/>
                      <w:lang w:eastAsia="en-GB"/>
                    </w:rPr>
                  </w:pPr>
                  <w:r w:rsidRPr="00856D4A">
                    <w:rPr>
                      <w:rFonts w:ascii="Calibri" w:hAnsi="Calibri" w:cs="Calibri"/>
                      <w:color w:val="000000"/>
                      <w:lang w:eastAsia="en-GB"/>
                    </w:rPr>
                    <w:t> </w:t>
                  </w:r>
                </w:p>
              </w:tc>
            </w:tr>
          </w:tbl>
          <w:p w14:paraId="7725B731" w14:textId="77777777" w:rsidR="00781C37" w:rsidRPr="00856D4A" w:rsidRDefault="00781C37" w:rsidP="00781C37"/>
          <w:p w14:paraId="7CF1BC85" w14:textId="77777777" w:rsidR="00781C37" w:rsidRDefault="00781C37" w:rsidP="00781C37">
            <w:r>
              <w:t xml:space="preserve">I will have continued access to UWTSD online and in person libraries to conduct effective research as well as being able to utilise online forums, journals and professional papers to provide a full and informed dissertation paper. </w:t>
            </w:r>
          </w:p>
          <w:p w14:paraId="5652837C" w14:textId="72C1C423"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3DB31B3F" w:rsidR="00D4485A" w:rsidRDefault="00D4485A" w:rsidP="00D4485A">
            <w:pPr>
              <w:jc w:val="both"/>
              <w:rPr>
                <w:rFonts w:cs="Arial"/>
                <w:b/>
                <w:bCs/>
                <w:sz w:val="22"/>
                <w:szCs w:val="22"/>
              </w:rPr>
            </w:pPr>
            <w:r w:rsidRPr="00D4485A">
              <w:rPr>
                <w:rFonts w:cs="Arial"/>
                <w:b/>
                <w:bCs/>
                <w:sz w:val="22"/>
                <w:szCs w:val="22"/>
              </w:rPr>
              <w:lastRenderedPageBreak/>
              <w:t>REFERENCE LIST:</w:t>
            </w:r>
          </w:p>
          <w:p w14:paraId="04D974EC" w14:textId="77777777" w:rsidR="00781C37" w:rsidRDefault="00781C37" w:rsidP="00781C37"/>
          <w:p w14:paraId="25672780" w14:textId="54D38E6C" w:rsidR="00781C37" w:rsidRDefault="00781C37" w:rsidP="00781C37">
            <w:r>
              <w:t xml:space="preserve">HMICFRS. (2018). </w:t>
            </w:r>
            <w:r w:rsidRPr="00856D4A">
              <w:rPr>
                <w:i/>
                <w:iCs/>
              </w:rPr>
              <w:t>Policing and Mental health: Picking up the pieces.</w:t>
            </w:r>
            <w:r>
              <w:rPr>
                <w:i/>
                <w:iCs/>
              </w:rPr>
              <w:t xml:space="preserve"> </w:t>
            </w:r>
            <w:r>
              <w:t xml:space="preserve"> Available at: </w:t>
            </w:r>
            <w:hyperlink r:id="rId12" w:history="1">
              <w:r w:rsidRPr="00E6089D">
                <w:rPr>
                  <w:rStyle w:val="Hyperlink"/>
                </w:rPr>
                <w:t>https://www.justiceinspectorates.gov.uk/hmicfrs/publications/policing-and-mental-health-picking-up-the-pieces/</w:t>
              </w:r>
            </w:hyperlink>
            <w:r>
              <w:t xml:space="preserve">. (Accessed </w:t>
            </w:r>
            <w:proofErr w:type="gramStart"/>
            <w:r>
              <w:t>on:</w:t>
            </w:r>
            <w:proofErr w:type="gramEnd"/>
            <w:r>
              <w:t xml:space="preserve"> 12</w:t>
            </w:r>
            <w:r w:rsidRPr="00856D4A">
              <w:rPr>
                <w:vertAlign w:val="superscript"/>
              </w:rPr>
              <w:t>th</w:t>
            </w:r>
            <w:r>
              <w:t xml:space="preserve"> if August 2022)</w:t>
            </w:r>
          </w:p>
          <w:p w14:paraId="530BAE2C" w14:textId="77777777" w:rsidR="00781C37" w:rsidRPr="00856D4A" w:rsidRDefault="00781C37" w:rsidP="00781C37"/>
          <w:p w14:paraId="01632D75" w14:textId="77777777" w:rsidR="00781C37" w:rsidRDefault="00781C37" w:rsidP="00781C37">
            <w:r>
              <w:t xml:space="preserve">West Midlands Police. (2020). </w:t>
            </w:r>
            <w:r>
              <w:rPr>
                <w:i/>
                <w:iCs/>
              </w:rPr>
              <w:t>Predicting the volume of Demand from Mental Health related Police Incidents.</w:t>
            </w:r>
            <w:r>
              <w:t xml:space="preserve"> Available at: </w:t>
            </w:r>
            <w:hyperlink r:id="rId13" w:history="1">
              <w:r w:rsidRPr="00E6089D">
                <w:rPr>
                  <w:rStyle w:val="Hyperlink"/>
                </w:rPr>
                <w:t>https://www.westmidlands-pcc.gov.uk/wp-content/uploads/2021/02/14122020-EC-Agenda-Item-5c-Mental-Health-Deman-Investigation.pdf?x39505#:~:text=Mental%20health%20is%20becoming%20an,health%20related%20calls%20and%20incidents</w:t>
              </w:r>
            </w:hyperlink>
            <w:r w:rsidRPr="00856D4A">
              <w:t>.</w:t>
            </w:r>
            <w:r>
              <w:t xml:space="preserve"> (Accessed on: 13</w:t>
            </w:r>
            <w:r w:rsidRPr="00856D4A">
              <w:rPr>
                <w:vertAlign w:val="superscript"/>
              </w:rPr>
              <w:t>th</w:t>
            </w:r>
            <w:r>
              <w:t xml:space="preserve"> August 2022)</w:t>
            </w:r>
          </w:p>
          <w:p w14:paraId="74269233" w14:textId="77777777" w:rsidR="00D4485A" w:rsidRDefault="00D4485A" w:rsidP="00D4485A">
            <w:pPr>
              <w:jc w:val="both"/>
              <w:rPr>
                <w:rFonts w:asciiTheme="minorHAnsi" w:hAnsiTheme="minorHAnsi" w:cstheme="minorHAnsi"/>
                <w:b/>
                <w:bCs/>
                <w:sz w:val="22"/>
                <w:szCs w:val="22"/>
              </w:rPr>
            </w:pPr>
          </w:p>
        </w:tc>
      </w:tr>
    </w:tbl>
    <w:p w14:paraId="41B42046" w14:textId="094F2907" w:rsidR="00781C37" w:rsidRPr="00B61956" w:rsidRDefault="00781C37" w:rsidP="00781C37">
      <w:pPr>
        <w:pBdr>
          <w:bottom w:val="single" w:sz="4" w:space="0" w:color="auto"/>
        </w:pBdr>
        <w:jc w:val="both"/>
        <w:rPr>
          <w:rFonts w:asciiTheme="minorHAnsi" w:hAnsiTheme="minorHAnsi" w:cstheme="minorHAnsi"/>
          <w:b/>
          <w:bCs/>
          <w:sz w:val="22"/>
          <w:szCs w:val="22"/>
        </w:rPr>
      </w:pPr>
    </w:p>
    <w:sectPr w:rsidR="00781C37"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D1923" w14:textId="77777777" w:rsidR="00AE09D0" w:rsidRDefault="00AE09D0">
      <w:r>
        <w:separator/>
      </w:r>
    </w:p>
  </w:endnote>
  <w:endnote w:type="continuationSeparator" w:id="0">
    <w:p w14:paraId="618AD8CD" w14:textId="77777777" w:rsidR="00AE09D0" w:rsidRDefault="00AE0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B060402020202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1C52D" w14:textId="77777777" w:rsidR="00AE09D0" w:rsidRDefault="00AE09D0">
      <w:r>
        <w:separator/>
      </w:r>
    </w:p>
  </w:footnote>
  <w:footnote w:type="continuationSeparator" w:id="0">
    <w:p w14:paraId="4DC7B11B" w14:textId="77777777" w:rsidR="00AE09D0" w:rsidRDefault="00AE0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C7A"/>
    <w:multiLevelType w:val="hybridMultilevel"/>
    <w:tmpl w:val="3DDA4690"/>
    <w:lvl w:ilvl="0" w:tplc="187242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29C3D5C"/>
    <w:multiLevelType w:val="hybridMultilevel"/>
    <w:tmpl w:val="CD40B454"/>
    <w:lvl w:ilvl="0" w:tplc="D916DE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26465501">
    <w:abstractNumId w:val="33"/>
  </w:num>
  <w:num w:numId="2" w16cid:durableId="1228149211">
    <w:abstractNumId w:val="19"/>
  </w:num>
  <w:num w:numId="3" w16cid:durableId="1056003172">
    <w:abstractNumId w:val="15"/>
  </w:num>
  <w:num w:numId="4" w16cid:durableId="600649395">
    <w:abstractNumId w:val="3"/>
  </w:num>
  <w:num w:numId="5" w16cid:durableId="298804935">
    <w:abstractNumId w:val="9"/>
  </w:num>
  <w:num w:numId="6" w16cid:durableId="67580019">
    <w:abstractNumId w:val="22"/>
  </w:num>
  <w:num w:numId="7" w16cid:durableId="260185359">
    <w:abstractNumId w:val="40"/>
  </w:num>
  <w:num w:numId="8" w16cid:durableId="1739791865">
    <w:abstractNumId w:val="21"/>
  </w:num>
  <w:num w:numId="9" w16cid:durableId="1137525443">
    <w:abstractNumId w:val="6"/>
  </w:num>
  <w:num w:numId="10" w16cid:durableId="187065921">
    <w:abstractNumId w:val="31"/>
  </w:num>
  <w:num w:numId="11" w16cid:durableId="748698006">
    <w:abstractNumId w:val="39"/>
  </w:num>
  <w:num w:numId="12" w16cid:durableId="492916426">
    <w:abstractNumId w:val="2"/>
  </w:num>
  <w:num w:numId="13" w16cid:durableId="1979650149">
    <w:abstractNumId w:val="18"/>
  </w:num>
  <w:num w:numId="14" w16cid:durableId="270474501">
    <w:abstractNumId w:val="29"/>
  </w:num>
  <w:num w:numId="15" w16cid:durableId="770051768">
    <w:abstractNumId w:val="17"/>
  </w:num>
  <w:num w:numId="16" w16cid:durableId="1997371215">
    <w:abstractNumId w:val="26"/>
  </w:num>
  <w:num w:numId="17" w16cid:durableId="1050611650">
    <w:abstractNumId w:val="13"/>
  </w:num>
  <w:num w:numId="18" w16cid:durableId="765812070">
    <w:abstractNumId w:val="34"/>
  </w:num>
  <w:num w:numId="19" w16cid:durableId="1852376380">
    <w:abstractNumId w:val="12"/>
  </w:num>
  <w:num w:numId="20" w16cid:durableId="1712261746">
    <w:abstractNumId w:val="10"/>
  </w:num>
  <w:num w:numId="21" w16cid:durableId="2021351345">
    <w:abstractNumId w:val="25"/>
  </w:num>
  <w:num w:numId="22" w16cid:durableId="2052806043">
    <w:abstractNumId w:val="8"/>
  </w:num>
  <w:num w:numId="23" w16cid:durableId="752706553">
    <w:abstractNumId w:val="28"/>
  </w:num>
  <w:num w:numId="24" w16cid:durableId="348140004">
    <w:abstractNumId w:val="20"/>
  </w:num>
  <w:num w:numId="25" w16cid:durableId="1197500533">
    <w:abstractNumId w:val="38"/>
  </w:num>
  <w:num w:numId="26" w16cid:durableId="1802915623">
    <w:abstractNumId w:val="1"/>
  </w:num>
  <w:num w:numId="27" w16cid:durableId="1465612668">
    <w:abstractNumId w:val="27"/>
  </w:num>
  <w:num w:numId="28" w16cid:durableId="756755930">
    <w:abstractNumId w:val="5"/>
  </w:num>
  <w:num w:numId="29" w16cid:durableId="160899279">
    <w:abstractNumId w:val="23"/>
  </w:num>
  <w:num w:numId="30" w16cid:durableId="1316181886">
    <w:abstractNumId w:val="35"/>
  </w:num>
  <w:num w:numId="31" w16cid:durableId="448086432">
    <w:abstractNumId w:val="0"/>
  </w:num>
  <w:num w:numId="32" w16cid:durableId="469981703">
    <w:abstractNumId w:val="30"/>
  </w:num>
  <w:num w:numId="33" w16cid:durableId="24209413">
    <w:abstractNumId w:val="11"/>
  </w:num>
  <w:num w:numId="34" w16cid:durableId="442454477">
    <w:abstractNumId w:val="4"/>
  </w:num>
  <w:num w:numId="35" w16cid:durableId="1253970445">
    <w:abstractNumId w:val="14"/>
  </w:num>
  <w:num w:numId="36" w16cid:durableId="1367220816">
    <w:abstractNumId w:val="36"/>
  </w:num>
  <w:num w:numId="37" w16cid:durableId="1352881663">
    <w:abstractNumId w:val="16"/>
  </w:num>
  <w:num w:numId="38" w16cid:durableId="486166412">
    <w:abstractNumId w:val="37"/>
  </w:num>
  <w:num w:numId="39" w16cid:durableId="133716856">
    <w:abstractNumId w:val="24"/>
  </w:num>
  <w:num w:numId="40" w16cid:durableId="1970743130">
    <w:abstractNumId w:val="7"/>
  </w:num>
  <w:num w:numId="41" w16cid:durableId="147140692">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5FB1"/>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3654"/>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1C37"/>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09D0"/>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5B13"/>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257"/>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26FB"/>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tmidlands-pcc.gov.uk/wp-content/uploads/2021/02/14122020-EC-Agenda-Item-5c-Mental-Health-Deman-Investigation.pdf?x39505#:~:text=Mental%20health%20is%20becoming%20an,health%20related%20calls%20and%20incid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sticeinspectorates.gov.uk/hmicfrs/publications/policing-and-mental-health-picking-up-the-piec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1338</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8948</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PITTS E. (2123147)</cp:lastModifiedBy>
  <cp:revision>5</cp:revision>
  <cp:lastPrinted>2022-03-21T13:46:00Z</cp:lastPrinted>
  <dcterms:created xsi:type="dcterms:W3CDTF">2022-07-12T12:13:00Z</dcterms:created>
  <dcterms:modified xsi:type="dcterms:W3CDTF">2022-08-15T18:32:00Z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