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532A5" w14:textId="09712803" w:rsidR="00714B46" w:rsidRDefault="001100C7" w:rsidP="001100C7">
      <w:pPr>
        <w:jc w:val="center"/>
        <w:rPr>
          <w:sz w:val="24"/>
          <w:u w:val="single"/>
        </w:rPr>
      </w:pPr>
      <w:r w:rsidRPr="001100C7">
        <w:rPr>
          <w:sz w:val="24"/>
          <w:u w:val="single"/>
        </w:rPr>
        <w:t>What is the Role and Importance of Witness Testimony in Trial in Classical Athens?</w:t>
      </w:r>
    </w:p>
    <w:p w14:paraId="00F2DEF6" w14:textId="2E265B29" w:rsidR="00B16D08" w:rsidRDefault="003073AA" w:rsidP="001100C7">
      <w:r>
        <w:t>This essay will discuss the role of a witness in a Classical Athenian trial as well as the importance of a witness testimony in collecting evidence on a case.</w:t>
      </w:r>
    </w:p>
    <w:p w14:paraId="41237258" w14:textId="1DC518A4" w:rsidR="002454D9" w:rsidRDefault="00A14BF8" w:rsidP="001100C7">
      <w:pPr>
        <w:rPr>
          <w:rFonts w:cstheme="minorHAnsi"/>
        </w:rPr>
      </w:pPr>
      <w:r>
        <w:t xml:space="preserve">The role of a witness in a trial was to give evidence on a case. </w:t>
      </w:r>
      <w:r w:rsidR="00037228">
        <w:t>Th</w:t>
      </w:r>
      <w:r w:rsidR="006438DC">
        <w:t xml:space="preserve">e testimony of a witness would be </w:t>
      </w:r>
      <w:bookmarkStart w:id="0" w:name="_GoBack"/>
      <w:bookmarkEnd w:id="0"/>
      <w:r w:rsidR="006438DC">
        <w:t>used as the main evidence provided by the litigant. To appear as a witness was voluntary, meaning that if a man didn’t want to stand as a witness then he didn’t have to (</w:t>
      </w:r>
      <w:r w:rsidR="00B71C55">
        <w:t>1</w:t>
      </w:r>
      <w:r w:rsidR="006438DC">
        <w:t>). This would, however, cause issue with the litigant as they were dependent on their witnesses to support them when in trial.</w:t>
      </w:r>
      <w:r w:rsidR="0041768E">
        <w:t xml:space="preserve"> If a witness was summoned by </w:t>
      </w:r>
      <w:r w:rsidR="0016481E">
        <w:t>the</w:t>
      </w:r>
      <w:r w:rsidR="0041768E">
        <w:t xml:space="preserve"> </w:t>
      </w:r>
      <w:r w:rsidR="0016481E">
        <w:t>litigant,</w:t>
      </w:r>
      <w:r w:rsidR="0041768E">
        <w:t xml:space="preserve"> they were required to either attend the trial or to take an oath of disclaimer against the litigant</w:t>
      </w:r>
      <w:r w:rsidR="0016481E">
        <w:t xml:space="preserve"> (</w:t>
      </w:r>
      <w:r w:rsidR="00B71C55">
        <w:t>2</w:t>
      </w:r>
      <w:r w:rsidR="0016481E">
        <w:t>). A failure to do either of these would result in a one thousand drachmai fine when the litigant made their “formal summons” (</w:t>
      </w:r>
      <w:r w:rsidR="00B71C55">
        <w:t>2</w:t>
      </w:r>
      <w:r w:rsidR="0016481E">
        <w:t xml:space="preserve">). It was possible for the litigant to force a witness who had done neither of these </w:t>
      </w:r>
      <w:r w:rsidR="00B71C55">
        <w:t>options</w:t>
      </w:r>
      <w:r w:rsidR="0016481E">
        <w:t xml:space="preserve"> to speak by issu</w:t>
      </w:r>
      <w:r w:rsidR="009820E8">
        <w:t xml:space="preserve">ing a </w:t>
      </w:r>
      <w:proofErr w:type="spellStart"/>
      <w:r w:rsidR="009820E8" w:rsidRPr="009820E8">
        <w:rPr>
          <w:rFonts w:cstheme="minorHAnsi"/>
          <w:i/>
        </w:rPr>
        <w:t>δίκη</w:t>
      </w:r>
      <w:proofErr w:type="spellEnd"/>
      <w:r w:rsidR="009820E8" w:rsidRPr="009820E8">
        <w:rPr>
          <w:i/>
        </w:rPr>
        <w:t xml:space="preserve"> </w:t>
      </w:r>
      <w:r w:rsidR="009820E8" w:rsidRPr="009820E8">
        <w:rPr>
          <w:rFonts w:cstheme="minorHAnsi"/>
          <w:i/>
        </w:rPr>
        <w:t>β</w:t>
      </w:r>
      <w:proofErr w:type="spellStart"/>
      <w:r w:rsidR="009820E8" w:rsidRPr="009820E8">
        <w:rPr>
          <w:rFonts w:cstheme="minorHAnsi"/>
          <w:i/>
        </w:rPr>
        <w:t>λά</w:t>
      </w:r>
      <w:proofErr w:type="spellEnd"/>
      <w:r w:rsidR="009820E8" w:rsidRPr="009820E8">
        <w:rPr>
          <w:rFonts w:cstheme="minorHAnsi"/>
          <w:i/>
        </w:rPr>
        <w:t>βης</w:t>
      </w:r>
      <w:r w:rsidR="009820E8">
        <w:rPr>
          <w:rFonts w:cstheme="minorHAnsi"/>
        </w:rPr>
        <w:t xml:space="preserve"> (</w:t>
      </w:r>
      <w:r w:rsidR="00B71C55">
        <w:rPr>
          <w:rFonts w:cstheme="minorHAnsi"/>
        </w:rPr>
        <w:t>3</w:t>
      </w:r>
      <w:r w:rsidR="009820E8">
        <w:rPr>
          <w:rFonts w:cstheme="minorHAnsi"/>
        </w:rPr>
        <w:t>).</w:t>
      </w:r>
      <w:r w:rsidR="00B71C55">
        <w:rPr>
          <w:rFonts w:cstheme="minorHAnsi"/>
        </w:rPr>
        <w:t xml:space="preserve"> </w:t>
      </w:r>
      <w:r w:rsidR="00B37274">
        <w:rPr>
          <w:rFonts w:cstheme="minorHAnsi"/>
        </w:rPr>
        <w:t>The only circumstance where the testimony of a male witness could be spoken by someone else was if the witness had died (4). In this circumstance, the dead witness’ testimony is given by a living witness that he has given his testimony to.</w:t>
      </w:r>
    </w:p>
    <w:p w14:paraId="0E934FBE" w14:textId="16B8E847" w:rsidR="00AA231B" w:rsidRDefault="00B71C55" w:rsidP="001100C7">
      <w:r>
        <w:t xml:space="preserve">To be a witness in a case </w:t>
      </w:r>
      <w:proofErr w:type="gramStart"/>
      <w:r>
        <w:t>was seen as</w:t>
      </w:r>
      <w:proofErr w:type="gramEnd"/>
      <w:r>
        <w:t xml:space="preserve"> a privilege in Classical Athens that only free men of age were allowed (</w:t>
      </w:r>
      <w:r w:rsidR="00B37274">
        <w:t>5</w:t>
      </w:r>
      <w:r>
        <w:t>). This was due to the view that any person who wasn’t a free man of age was unable to tell the truth (</w:t>
      </w:r>
      <w:r w:rsidR="00B37274">
        <w:t>6</w:t>
      </w:r>
      <w:r>
        <w:t xml:space="preserve">). A woman </w:t>
      </w:r>
      <w:proofErr w:type="gramStart"/>
      <w:r>
        <w:t>was allowed to</w:t>
      </w:r>
      <w:proofErr w:type="gramEnd"/>
      <w:r>
        <w:t xml:space="preserve"> give evidence in a homicide case, but this was only if she had permission from the </w:t>
      </w:r>
      <w:proofErr w:type="spellStart"/>
      <w:r w:rsidRPr="00985381">
        <w:rPr>
          <w:rFonts w:cstheme="minorHAnsi"/>
          <w:i/>
        </w:rPr>
        <w:t>κύριος</w:t>
      </w:r>
      <w:proofErr w:type="spellEnd"/>
      <w:r>
        <w:rPr>
          <w:rFonts w:cstheme="minorHAnsi"/>
        </w:rPr>
        <w:t xml:space="preserve"> (</w:t>
      </w:r>
      <w:r w:rsidR="00B37274">
        <w:rPr>
          <w:rFonts w:cstheme="minorHAnsi"/>
        </w:rPr>
        <w:t>6</w:t>
      </w:r>
      <w:r>
        <w:rPr>
          <w:rFonts w:cstheme="minorHAnsi"/>
        </w:rPr>
        <w:t>). This is seen in Dem. 57. 67-68 when the speaker lists the relative who can speak for their father and mother. All relatives listed are male even when there are closer female relations to the people involved.</w:t>
      </w:r>
      <w:r w:rsidR="003E0965">
        <w:rPr>
          <w:rFonts w:cstheme="minorHAnsi"/>
        </w:rPr>
        <w:t xml:space="preserve"> </w:t>
      </w:r>
      <w:r w:rsidR="0051710D">
        <w:rPr>
          <w:rFonts w:cstheme="minorHAnsi"/>
        </w:rPr>
        <w:t xml:space="preserve">This source is useful as it </w:t>
      </w:r>
      <w:r w:rsidR="002B1D4D">
        <w:rPr>
          <w:rFonts w:cstheme="minorHAnsi"/>
        </w:rPr>
        <w:t>informs the reader to the situation of trials in Classical Athens. The reader is shown that the witnesses in courts were only ever male. As well as this it shows that all women are spoken for by men, most likely husbands or fathers.</w:t>
      </w:r>
    </w:p>
    <w:p w14:paraId="0F9B96C1" w14:textId="6944B635" w:rsidR="00AA231B" w:rsidRDefault="003C4C53" w:rsidP="001100C7">
      <w:r>
        <w:t>In a Classical Athenian trial, witnesses were very as a more reliable source of information than document (</w:t>
      </w:r>
      <w:r w:rsidR="00B37274">
        <w:t>7</w:t>
      </w:r>
      <w:r>
        <w:t>). This made witnesses important as the evidence they gave was taken</w:t>
      </w:r>
      <w:r w:rsidR="00C402C0">
        <w:t xml:space="preserve"> as the truth by the jury. </w:t>
      </w:r>
      <w:r w:rsidR="003073AA">
        <w:t xml:space="preserve">One aspect of the witness testimony is to say whether the accused did or didn’t commit the crime. If the witness claims that the accused didn’t commit the </w:t>
      </w:r>
      <w:r w:rsidR="004F1C3A">
        <w:t>crime,</w:t>
      </w:r>
      <w:r w:rsidR="003073AA">
        <w:t xml:space="preserve"> then they must sa</w:t>
      </w:r>
      <w:r w:rsidR="00C35088">
        <w:t>y who they believe to be the perpetrator (</w:t>
      </w:r>
      <w:r w:rsidR="00B37274">
        <w:t>8</w:t>
      </w:r>
      <w:r w:rsidR="00C35088">
        <w:t xml:space="preserve">). </w:t>
      </w:r>
      <w:r w:rsidR="00462DF4">
        <w:t xml:space="preserve"> In the circumstance that the witness doesn’t speak on behalf of the litigant, the jury is less likely to believe that what the litigant is saying is the truth (</w:t>
      </w:r>
      <w:r w:rsidR="00B37274">
        <w:t>9</w:t>
      </w:r>
      <w:r w:rsidR="00462DF4">
        <w:t>).</w:t>
      </w:r>
      <w:r w:rsidR="003E0965">
        <w:t xml:space="preserve"> This is </w:t>
      </w:r>
      <w:proofErr w:type="gramStart"/>
      <w:r w:rsidR="003E0965">
        <w:t>due to the fact that</w:t>
      </w:r>
      <w:proofErr w:type="gramEnd"/>
      <w:r w:rsidR="003E0965">
        <w:t xml:space="preserve"> the witness had been summoned by the litigant for support. Therefore, </w:t>
      </w:r>
      <w:r w:rsidR="0051710D">
        <w:t>if the witness spoke against the litigant then the jury was more likely to see the litigant as guilty of the crime.</w:t>
      </w:r>
    </w:p>
    <w:p w14:paraId="325AFDA7" w14:textId="6125FC90" w:rsidR="00AA231B" w:rsidRPr="00B37274" w:rsidRDefault="00AA231B" w:rsidP="001100C7">
      <w:pPr>
        <w:rPr>
          <w:u w:val="single"/>
        </w:rPr>
      </w:pPr>
      <w:r w:rsidRPr="00B37274">
        <w:rPr>
          <w:u w:val="single"/>
        </w:rPr>
        <w:t>Bibliography</w:t>
      </w:r>
    </w:p>
    <w:p w14:paraId="28017B59" w14:textId="7C3EADBB" w:rsidR="00516534" w:rsidRDefault="00516534" w:rsidP="001100C7">
      <w:r>
        <w:t xml:space="preserve">Todd, S.C. (2012) </w:t>
      </w:r>
      <w:r>
        <w:rPr>
          <w:i/>
        </w:rPr>
        <w:t>Oxford Reference</w:t>
      </w:r>
      <w:r>
        <w:rPr>
          <w:i/>
        </w:rPr>
        <w:br/>
      </w:r>
      <w:r>
        <w:t xml:space="preserve">Available at: </w:t>
      </w:r>
      <w:hyperlink r:id="rId7" w:history="1">
        <w:r w:rsidRPr="007477A5">
          <w:rPr>
            <w:rStyle w:val="Hyperlink"/>
          </w:rPr>
          <w:t>http://www.oxfordreference.com.ezproxy.uwtsd.ac.uk/view/10.1093/acref/9780199545568.001.0001/acref-9780199545568-e-2598?rskey=LBlHM0&amp;result=1</w:t>
        </w:r>
      </w:hyperlink>
      <w:r>
        <w:br/>
        <w:t>Accessed: 28/09/2018</w:t>
      </w:r>
    </w:p>
    <w:p w14:paraId="0B9BE50F" w14:textId="569845C7" w:rsidR="00B16D08" w:rsidRDefault="00B16D08" w:rsidP="001100C7">
      <w:r>
        <w:t xml:space="preserve">Harrison, A.R.W. (1971) </w:t>
      </w:r>
      <w:r>
        <w:rPr>
          <w:i/>
        </w:rPr>
        <w:t>The Law of Athens Vol. 2 Procedure</w:t>
      </w:r>
      <w:r>
        <w:t xml:space="preserve"> </w:t>
      </w:r>
      <w:r>
        <w:br/>
        <w:t>London: Oxford University Press</w:t>
      </w:r>
    </w:p>
    <w:p w14:paraId="38D10375" w14:textId="642017D1" w:rsidR="00B16D08" w:rsidRPr="00516534" w:rsidRDefault="00DB2DCE" w:rsidP="001100C7">
      <w:r>
        <w:t xml:space="preserve">Demosthenes Against </w:t>
      </w:r>
      <w:proofErr w:type="spellStart"/>
      <w:r>
        <w:t>Eubulides</w:t>
      </w:r>
      <w:proofErr w:type="spellEnd"/>
    </w:p>
    <w:sectPr w:rsidR="00B16D08" w:rsidRPr="0051653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3ABC6" w14:textId="77777777" w:rsidR="00A12116" w:rsidRDefault="00A12116" w:rsidP="000D64C9">
      <w:pPr>
        <w:spacing w:after="0" w:line="240" w:lineRule="auto"/>
      </w:pPr>
      <w:r>
        <w:separator/>
      </w:r>
    </w:p>
  </w:endnote>
  <w:endnote w:type="continuationSeparator" w:id="0">
    <w:p w14:paraId="2448837F" w14:textId="77777777" w:rsidR="00A12116" w:rsidRDefault="00A12116" w:rsidP="000D6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0305B" w14:textId="69CD0B9B" w:rsidR="006438DC" w:rsidRPr="00B37274" w:rsidRDefault="006438DC" w:rsidP="000D64C9">
    <w:pPr>
      <w:pStyle w:val="Footer"/>
      <w:numPr>
        <w:ilvl w:val="0"/>
        <w:numId w:val="1"/>
      </w:numPr>
      <w:rPr>
        <w:sz w:val="16"/>
      </w:rPr>
    </w:pPr>
    <w:r w:rsidRPr="00B37274">
      <w:rPr>
        <w:sz w:val="16"/>
      </w:rPr>
      <w:t>Harrison, 1971, p.139</w:t>
    </w:r>
  </w:p>
  <w:p w14:paraId="7A432B59" w14:textId="6DE6DA97" w:rsidR="0016481E" w:rsidRPr="00B37274" w:rsidRDefault="0016481E" w:rsidP="000D64C9">
    <w:pPr>
      <w:pStyle w:val="Footer"/>
      <w:numPr>
        <w:ilvl w:val="0"/>
        <w:numId w:val="1"/>
      </w:numPr>
      <w:rPr>
        <w:sz w:val="16"/>
      </w:rPr>
    </w:pPr>
    <w:r w:rsidRPr="00B37274">
      <w:rPr>
        <w:sz w:val="16"/>
      </w:rPr>
      <w:t>Harrison, 1971, p.140</w:t>
    </w:r>
  </w:p>
  <w:p w14:paraId="4C5CD4EE" w14:textId="19557A98" w:rsidR="009820E8" w:rsidRPr="00B37274" w:rsidRDefault="009820E8" w:rsidP="000D64C9">
    <w:pPr>
      <w:pStyle w:val="Footer"/>
      <w:numPr>
        <w:ilvl w:val="0"/>
        <w:numId w:val="1"/>
      </w:numPr>
      <w:rPr>
        <w:sz w:val="16"/>
      </w:rPr>
    </w:pPr>
    <w:r w:rsidRPr="00B37274">
      <w:rPr>
        <w:sz w:val="16"/>
      </w:rPr>
      <w:t>Harrison, 1971, p.143</w:t>
    </w:r>
  </w:p>
  <w:p w14:paraId="7F4CDC47" w14:textId="6F3E29D4" w:rsidR="00B37274" w:rsidRPr="00B37274" w:rsidRDefault="00B37274" w:rsidP="000D64C9">
    <w:pPr>
      <w:pStyle w:val="Footer"/>
      <w:numPr>
        <w:ilvl w:val="0"/>
        <w:numId w:val="1"/>
      </w:numPr>
      <w:rPr>
        <w:sz w:val="16"/>
      </w:rPr>
    </w:pPr>
    <w:r w:rsidRPr="00B37274">
      <w:rPr>
        <w:sz w:val="16"/>
      </w:rPr>
      <w:t>Harrison, 1971, p.145</w:t>
    </w:r>
  </w:p>
  <w:p w14:paraId="2455282B" w14:textId="77777777" w:rsidR="00B71C55" w:rsidRPr="00B37274" w:rsidRDefault="00B71C55" w:rsidP="00B71C55">
    <w:pPr>
      <w:pStyle w:val="Footer"/>
      <w:numPr>
        <w:ilvl w:val="0"/>
        <w:numId w:val="1"/>
      </w:numPr>
      <w:rPr>
        <w:sz w:val="16"/>
      </w:rPr>
    </w:pPr>
    <w:r w:rsidRPr="00B37274">
      <w:rPr>
        <w:sz w:val="16"/>
      </w:rPr>
      <w:t>Harrison, 1971, p.136</w:t>
    </w:r>
  </w:p>
  <w:p w14:paraId="1E7C5EFF" w14:textId="59A03690" w:rsidR="00B71C55" w:rsidRPr="00B37274" w:rsidRDefault="00B71C55" w:rsidP="00B71C55">
    <w:pPr>
      <w:pStyle w:val="Footer"/>
      <w:numPr>
        <w:ilvl w:val="0"/>
        <w:numId w:val="1"/>
      </w:numPr>
      <w:rPr>
        <w:sz w:val="16"/>
      </w:rPr>
    </w:pPr>
    <w:r w:rsidRPr="00B37274">
      <w:rPr>
        <w:sz w:val="16"/>
      </w:rPr>
      <w:t>Harrison, 1971, p.137</w:t>
    </w:r>
  </w:p>
  <w:p w14:paraId="725A239A" w14:textId="6623F319" w:rsidR="00462DF4" w:rsidRPr="00B37274" w:rsidRDefault="00462DF4" w:rsidP="00462DF4">
    <w:pPr>
      <w:pStyle w:val="Footer"/>
      <w:numPr>
        <w:ilvl w:val="0"/>
        <w:numId w:val="1"/>
      </w:numPr>
      <w:rPr>
        <w:sz w:val="16"/>
      </w:rPr>
    </w:pPr>
    <w:r w:rsidRPr="00B37274">
      <w:rPr>
        <w:sz w:val="16"/>
      </w:rPr>
      <w:t>Todd, 2012</w:t>
    </w:r>
  </w:p>
  <w:p w14:paraId="59D53637" w14:textId="0C31E83E" w:rsidR="00C35088" w:rsidRPr="00B37274" w:rsidRDefault="00C35088" w:rsidP="00B71C55">
    <w:pPr>
      <w:pStyle w:val="Footer"/>
      <w:numPr>
        <w:ilvl w:val="0"/>
        <w:numId w:val="1"/>
      </w:numPr>
      <w:rPr>
        <w:sz w:val="16"/>
      </w:rPr>
    </w:pPr>
    <w:r w:rsidRPr="00B37274">
      <w:rPr>
        <w:sz w:val="16"/>
      </w:rPr>
      <w:t xml:space="preserve">Harrison, 1971, p. </w:t>
    </w:r>
    <w:r w:rsidR="004F1C3A" w:rsidRPr="00B37274">
      <w:rPr>
        <w:sz w:val="16"/>
      </w:rPr>
      <w:t>144</w:t>
    </w:r>
  </w:p>
  <w:p w14:paraId="71A7440C" w14:textId="35D45FED" w:rsidR="00462DF4" w:rsidRPr="00B37274" w:rsidRDefault="00462DF4" w:rsidP="00B71C55">
    <w:pPr>
      <w:pStyle w:val="Footer"/>
      <w:numPr>
        <w:ilvl w:val="0"/>
        <w:numId w:val="1"/>
      </w:numPr>
      <w:rPr>
        <w:sz w:val="16"/>
      </w:rPr>
    </w:pPr>
    <w:r w:rsidRPr="00B37274">
      <w:rPr>
        <w:sz w:val="16"/>
      </w:rPr>
      <w:t>Harrison</w:t>
    </w:r>
    <w:r w:rsidR="003E0965" w:rsidRPr="00B37274">
      <w:rPr>
        <w:sz w:val="16"/>
      </w:rPr>
      <w:t>, 1971, p. 142</w:t>
    </w:r>
  </w:p>
  <w:p w14:paraId="23C48B1F" w14:textId="77777777" w:rsidR="000D64C9" w:rsidRDefault="000D6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A531F" w14:textId="77777777" w:rsidR="00A12116" w:rsidRDefault="00A12116" w:rsidP="000D64C9">
      <w:pPr>
        <w:spacing w:after="0" w:line="240" w:lineRule="auto"/>
      </w:pPr>
      <w:r>
        <w:separator/>
      </w:r>
    </w:p>
  </w:footnote>
  <w:footnote w:type="continuationSeparator" w:id="0">
    <w:p w14:paraId="64EAE963" w14:textId="77777777" w:rsidR="00A12116" w:rsidRDefault="00A12116" w:rsidP="000D64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8207AC"/>
    <w:multiLevelType w:val="hybridMultilevel"/>
    <w:tmpl w:val="BE4C1A20"/>
    <w:lvl w:ilvl="0" w:tplc="40926B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0C7"/>
    <w:rsid w:val="00037228"/>
    <w:rsid w:val="000D64C9"/>
    <w:rsid w:val="001100C7"/>
    <w:rsid w:val="0016481E"/>
    <w:rsid w:val="002454D9"/>
    <w:rsid w:val="002B1D4D"/>
    <w:rsid w:val="003073AA"/>
    <w:rsid w:val="0033030E"/>
    <w:rsid w:val="003C4C53"/>
    <w:rsid w:val="003E0965"/>
    <w:rsid w:val="0041768E"/>
    <w:rsid w:val="00462DF4"/>
    <w:rsid w:val="004F1C3A"/>
    <w:rsid w:val="00516534"/>
    <w:rsid w:val="0051710D"/>
    <w:rsid w:val="006438DC"/>
    <w:rsid w:val="00673C38"/>
    <w:rsid w:val="00732046"/>
    <w:rsid w:val="00804C43"/>
    <w:rsid w:val="009820E8"/>
    <w:rsid w:val="00985381"/>
    <w:rsid w:val="009B36E7"/>
    <w:rsid w:val="00A12116"/>
    <w:rsid w:val="00A14BF8"/>
    <w:rsid w:val="00AA231B"/>
    <w:rsid w:val="00AC1DD2"/>
    <w:rsid w:val="00B16D08"/>
    <w:rsid w:val="00B37274"/>
    <w:rsid w:val="00B600C2"/>
    <w:rsid w:val="00B71C55"/>
    <w:rsid w:val="00C35088"/>
    <w:rsid w:val="00C402C0"/>
    <w:rsid w:val="00CD6AA7"/>
    <w:rsid w:val="00DB2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325845"/>
  <w15:chartTrackingRefBased/>
  <w15:docId w15:val="{AA650E4D-2017-47B6-8710-E13CC6C50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6534"/>
    <w:rPr>
      <w:color w:val="0563C1" w:themeColor="hyperlink"/>
      <w:u w:val="single"/>
    </w:rPr>
  </w:style>
  <w:style w:type="character" w:styleId="UnresolvedMention">
    <w:name w:val="Unresolved Mention"/>
    <w:basedOn w:val="DefaultParagraphFont"/>
    <w:uiPriority w:val="99"/>
    <w:semiHidden/>
    <w:unhideWhenUsed/>
    <w:rsid w:val="00516534"/>
    <w:rPr>
      <w:color w:val="605E5C"/>
      <w:shd w:val="clear" w:color="auto" w:fill="E1DFDD"/>
    </w:rPr>
  </w:style>
  <w:style w:type="paragraph" w:styleId="Header">
    <w:name w:val="header"/>
    <w:basedOn w:val="Normal"/>
    <w:link w:val="HeaderChar"/>
    <w:uiPriority w:val="99"/>
    <w:unhideWhenUsed/>
    <w:rsid w:val="000D64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4C9"/>
  </w:style>
  <w:style w:type="paragraph" w:styleId="Footer">
    <w:name w:val="footer"/>
    <w:basedOn w:val="Normal"/>
    <w:link w:val="FooterChar"/>
    <w:uiPriority w:val="99"/>
    <w:unhideWhenUsed/>
    <w:rsid w:val="000D64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xfordreference.com.ezproxy.uwtsd.ac.uk/view/10.1093/acref/9780199545568.001.0001/acref-9780199545568-e-2598?rskey=LBlHM0&amp;result=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1</Pages>
  <Words>508</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Watts-Robinson</dc:creator>
  <cp:keywords/>
  <dc:description/>
  <cp:lastModifiedBy>Rhiannon Watts-Robinson</cp:lastModifiedBy>
  <cp:revision>1</cp:revision>
  <dcterms:created xsi:type="dcterms:W3CDTF">2018-09-30T14:49:00Z</dcterms:created>
  <dcterms:modified xsi:type="dcterms:W3CDTF">2018-09-30T20:11:00Z</dcterms:modified>
</cp:coreProperties>
</file>