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4DB4" w:rsidRPr="00FC2868" w:rsidRDefault="00FC2868" w:rsidP="00FC2868">
      <w:pPr>
        <w:spacing w:line="360" w:lineRule="auto"/>
        <w:jc w:val="both"/>
        <w:rPr>
          <w:b/>
          <w:sz w:val="24"/>
          <w:szCs w:val="24"/>
          <w:u w:val="single"/>
        </w:rPr>
      </w:pPr>
      <w:r w:rsidRPr="00FC2868">
        <w:rPr>
          <w:b/>
          <w:sz w:val="24"/>
          <w:szCs w:val="24"/>
        </w:rPr>
        <w:t xml:space="preserve">How Should Anthropologists Approach the Study and Analysis of Rituals?  </w:t>
      </w:r>
      <w:r w:rsidRPr="00FC2868">
        <w:rPr>
          <w:b/>
          <w:sz w:val="24"/>
          <w:szCs w:val="24"/>
        </w:rPr>
        <w:br/>
      </w:r>
    </w:p>
    <w:p w:rsidR="00214DB4" w:rsidRPr="00FC2868" w:rsidRDefault="00FC2868" w:rsidP="00FC2868">
      <w:pPr>
        <w:spacing w:line="360" w:lineRule="auto"/>
        <w:jc w:val="both"/>
        <w:rPr>
          <w:sz w:val="24"/>
          <w:szCs w:val="24"/>
        </w:rPr>
      </w:pPr>
      <w:r w:rsidRPr="00FC2868">
        <w:rPr>
          <w:sz w:val="24"/>
          <w:szCs w:val="24"/>
        </w:rPr>
        <w:t>This essay will discuss how anthropologists should approach the study and analysis of rituals. In order to execute a thorough and justified argument the essay will begin by providing a definition of rituals, the categories rituals can be defined within, an</w:t>
      </w:r>
      <w:r w:rsidRPr="00FC2868">
        <w:rPr>
          <w:sz w:val="24"/>
          <w:szCs w:val="24"/>
        </w:rPr>
        <w:t>d why rituals are seen a</w:t>
      </w:r>
      <w:bookmarkStart w:id="0" w:name="_GoBack"/>
      <w:bookmarkEnd w:id="0"/>
      <w:r w:rsidRPr="00FC2868">
        <w:rPr>
          <w:sz w:val="24"/>
          <w:szCs w:val="24"/>
        </w:rPr>
        <w:t>s such a difficult paradox to analyse. This will then be followed by an introduction of the methods predominantly utilised by anthropologists within their field of work. This will include an explanation and definition on ethnography</w:t>
      </w:r>
      <w:r w:rsidRPr="00FC2868">
        <w:rPr>
          <w:sz w:val="24"/>
          <w:szCs w:val="24"/>
        </w:rPr>
        <w:t>, participant observation, key informant interviewing and historical analysis. The essay will then provide a discussion in the context of how these ethnographic methods can be incorporated, why they are useful in the analysis of rituals, and the limitation</w:t>
      </w:r>
      <w:r w:rsidRPr="00FC2868">
        <w:rPr>
          <w:sz w:val="24"/>
          <w:szCs w:val="24"/>
        </w:rPr>
        <w:t>s that should be taken into consideration. The discussion on each method will also provide examples on how these methods have already been executed within ritual studies, prior to the closing of the essay with the conclusion.</w:t>
      </w:r>
    </w:p>
    <w:p w:rsidR="00FC2868" w:rsidRDefault="00FC2868" w:rsidP="00FC2868">
      <w:pPr>
        <w:spacing w:line="360" w:lineRule="auto"/>
        <w:ind w:firstLine="720"/>
        <w:jc w:val="both"/>
        <w:rPr>
          <w:sz w:val="24"/>
          <w:szCs w:val="24"/>
          <w:lang w:val="en-GB"/>
        </w:rPr>
      </w:pPr>
      <w:r w:rsidRPr="00FC2868">
        <w:rPr>
          <w:sz w:val="24"/>
          <w:szCs w:val="24"/>
        </w:rPr>
        <w:t>Due to the multiple functions</w:t>
      </w:r>
      <w:r w:rsidRPr="00FC2868">
        <w:rPr>
          <w:sz w:val="24"/>
          <w:szCs w:val="24"/>
        </w:rPr>
        <w:t xml:space="preserve"> and meanings of rituals, Bell (2009) argues that is difficult to ascertain one clear and defined definition of rituals. However, one prominent definition in the study of anthropology is “</w:t>
      </w:r>
      <w:r w:rsidRPr="00FC2868">
        <w:rPr>
          <w:i/>
          <w:sz w:val="24"/>
          <w:szCs w:val="24"/>
        </w:rPr>
        <w:t>Ritual is a culturally constructed system of symbolic system communi</w:t>
      </w:r>
      <w:r w:rsidRPr="00FC2868">
        <w:rPr>
          <w:i/>
          <w:sz w:val="24"/>
          <w:szCs w:val="24"/>
        </w:rPr>
        <w:t>cation. It is constituted of patterned and ordered sequences of words and acts”</w:t>
      </w:r>
      <w:r w:rsidRPr="00FC2868">
        <w:rPr>
          <w:sz w:val="24"/>
          <w:szCs w:val="24"/>
        </w:rPr>
        <w:t xml:space="preserve"> (Tambiah, 1979, p. 119)</w:t>
      </w:r>
      <w:r w:rsidRPr="00FC2868">
        <w:rPr>
          <w:i/>
          <w:sz w:val="24"/>
          <w:szCs w:val="24"/>
        </w:rPr>
        <w:t>.</w:t>
      </w:r>
      <w:r w:rsidRPr="00FC2868">
        <w:rPr>
          <w:sz w:val="24"/>
          <w:szCs w:val="24"/>
        </w:rPr>
        <w:t xml:space="preserve"> Catherine Bell categorises ritual activities into 6 groups based on their attributes; formalism, traditionalism, invariance, rule-governance, sacral sy</w:t>
      </w:r>
      <w:r w:rsidRPr="00FC2868">
        <w:rPr>
          <w:sz w:val="24"/>
          <w:szCs w:val="24"/>
        </w:rPr>
        <w:t>mbolism and performance. Bell goes on further to distinguish rituals by their types; rite of passage, calendrical rites, exchange and communion, rites of affliction, feasting, fasting and festivals and political rites</w:t>
      </w:r>
      <w:r>
        <w:rPr>
          <w:sz w:val="24"/>
          <w:szCs w:val="24"/>
          <w:lang w:val="en-GB"/>
        </w:rPr>
        <w:t>.</w:t>
      </w:r>
    </w:p>
    <w:p w:rsidR="00214DB4" w:rsidRPr="00FC2868" w:rsidRDefault="00FC2868" w:rsidP="00FC2868">
      <w:pPr>
        <w:spacing w:line="360" w:lineRule="auto"/>
        <w:ind w:firstLine="720"/>
        <w:jc w:val="both"/>
        <w:rPr>
          <w:sz w:val="24"/>
          <w:szCs w:val="24"/>
        </w:rPr>
      </w:pPr>
      <w:r w:rsidRPr="00FC2868">
        <w:rPr>
          <w:sz w:val="24"/>
          <w:szCs w:val="24"/>
        </w:rPr>
        <w:t>Rituals are embedded with traditio</w:t>
      </w:r>
      <w:r w:rsidRPr="00FC2868">
        <w:rPr>
          <w:sz w:val="24"/>
          <w:szCs w:val="24"/>
        </w:rPr>
        <w:t>ns, culture and unquestioned practices (Bell, 2009). When discussing rituals they are perceived to never change. However, in some cases this is deemed to be untrue,for example Baptism was previously a ritual of washing of the sin from a child, however, now</w:t>
      </w:r>
      <w:r w:rsidRPr="00FC2868">
        <w:rPr>
          <w:sz w:val="24"/>
          <w:szCs w:val="24"/>
        </w:rPr>
        <w:t xml:space="preserve"> it is seen as a celebration of life (Woodhead, 2012). Studies within rituals are currently done predominantly on oral rituals due to the fact they are perceived as rituals that have a tendency to remain the same, therefore anthropologists can rely heavily</w:t>
      </w:r>
      <w:r w:rsidRPr="00FC2868">
        <w:rPr>
          <w:sz w:val="24"/>
          <w:szCs w:val="24"/>
        </w:rPr>
        <w:t xml:space="preserve"> on historical analysis and do not require constant re-analysing (Bell, 1997). However, this isn’t always true, an example of an oral ritual society that has changed significantly in 150 years is the Tshidi, in Botswana, here Comaroff (1985) interprets and</w:t>
      </w:r>
      <w:r w:rsidRPr="00FC2868">
        <w:rPr>
          <w:sz w:val="24"/>
          <w:szCs w:val="24"/>
        </w:rPr>
        <w:t xml:space="preserve"> explains the appeal of </w:t>
      </w:r>
      <w:r w:rsidRPr="00FC2868">
        <w:rPr>
          <w:sz w:val="24"/>
          <w:szCs w:val="24"/>
        </w:rPr>
        <w:lastRenderedPageBreak/>
        <w:t xml:space="preserve">Christianity and how the Christian ideas of universal rituals and ‘moral equality before God’ appeared enchanting to those with little or no power in the Tswana (now known as Botswana) community e.g. commoners or the young and also </w:t>
      </w:r>
      <w:r w:rsidRPr="00FC2868">
        <w:rPr>
          <w:sz w:val="24"/>
          <w:szCs w:val="24"/>
        </w:rPr>
        <w:t>all women. With Christianity being brought to Tswana through missions bringing changes in ‘“consciousness”. This then develops through the 1970s with new impressions of the very same ideologies had a much larger appeal to the people living through the Apar</w:t>
      </w:r>
      <w:r w:rsidRPr="00FC2868">
        <w:rPr>
          <w:sz w:val="24"/>
          <w:szCs w:val="24"/>
        </w:rPr>
        <w:t>theid era. As discussed by Bell (1997) some rituals are changing, this makes it increasingly difficult for anthropologists to study rituals as the changes means there is a requirement for further analysis in order to gain a coherent and reliable informatio</w:t>
      </w:r>
      <w:r w:rsidRPr="00FC2868">
        <w:rPr>
          <w:sz w:val="24"/>
          <w:szCs w:val="24"/>
        </w:rPr>
        <w:t>n on rituals.</w:t>
      </w:r>
    </w:p>
    <w:p w:rsidR="00FC2868" w:rsidRDefault="00FC2868" w:rsidP="00FC2868">
      <w:pPr>
        <w:spacing w:line="360" w:lineRule="auto"/>
        <w:ind w:firstLine="720"/>
        <w:jc w:val="both"/>
        <w:rPr>
          <w:sz w:val="24"/>
          <w:szCs w:val="24"/>
        </w:rPr>
      </w:pPr>
      <w:r w:rsidRPr="00FC2868">
        <w:rPr>
          <w:sz w:val="24"/>
          <w:szCs w:val="24"/>
        </w:rPr>
        <w:t>Myerhoff (cited in MacAloon, 1984) attempted to analyse and describe rituals as all the same, however this does not provide an adequate portrayal of rituals, this is because rituals have their own exclusive dimensions and vary everywhere. For</w:t>
      </w:r>
      <w:r w:rsidRPr="00FC2868">
        <w:rPr>
          <w:sz w:val="24"/>
          <w:szCs w:val="24"/>
        </w:rPr>
        <w:t xml:space="preserve"> example, the ritual of lent is a Christian ritual, whereas Ramadan is an Islamic ritual. This is reinforced by Bell (2009) when categorising rituals into each of the 6 groups previously stated.</w:t>
      </w:r>
    </w:p>
    <w:p w:rsidR="00FC2868" w:rsidRDefault="00FC2868" w:rsidP="00FC2868">
      <w:pPr>
        <w:spacing w:line="360" w:lineRule="auto"/>
        <w:ind w:firstLine="720"/>
        <w:jc w:val="both"/>
        <w:rPr>
          <w:sz w:val="24"/>
          <w:szCs w:val="24"/>
        </w:rPr>
      </w:pPr>
      <w:r w:rsidRPr="00FC2868">
        <w:rPr>
          <w:sz w:val="24"/>
          <w:szCs w:val="24"/>
        </w:rPr>
        <w:t>Willis and Trondman have defined Ethnography as a set of qu</w:t>
      </w:r>
      <w:r w:rsidRPr="00FC2868">
        <w:rPr>
          <w:sz w:val="24"/>
          <w:szCs w:val="24"/>
        </w:rPr>
        <w:t>alitative research methods used predominantly within anthropology. Ethnographic methods incorporate direct and social contact with the participants (Willis and Trondman, 2000, p.5). The ethnographic techniques principally used within anthropology and the s</w:t>
      </w:r>
      <w:r w:rsidRPr="00FC2868">
        <w:rPr>
          <w:sz w:val="24"/>
          <w:szCs w:val="24"/>
        </w:rPr>
        <w:t>tudy of rituals are participant observation, key informant interviewing and historical analysis.</w:t>
      </w:r>
    </w:p>
    <w:p w:rsidR="00214DB4" w:rsidRPr="00FC2868" w:rsidRDefault="00FC2868" w:rsidP="00FC2868">
      <w:pPr>
        <w:spacing w:line="360" w:lineRule="auto"/>
        <w:ind w:firstLine="720"/>
        <w:jc w:val="both"/>
        <w:rPr>
          <w:sz w:val="24"/>
          <w:szCs w:val="24"/>
        </w:rPr>
      </w:pPr>
      <w:r w:rsidRPr="00FC2868">
        <w:rPr>
          <w:sz w:val="24"/>
          <w:szCs w:val="24"/>
        </w:rPr>
        <w:t xml:space="preserve">Participant observation involves anthropologists obtaining their knowledge through living with the culture under analysis and interacting within every part of </w:t>
      </w:r>
      <w:r w:rsidRPr="00FC2868">
        <w:rPr>
          <w:sz w:val="24"/>
          <w:szCs w:val="24"/>
        </w:rPr>
        <w:t xml:space="preserve">their lives (Hendry, 1999). An example of anthropologists using participant observation as a method of studying and analysing rituals is Cacciatore and Thieleman (2014) and their study and analysis of the rituals surrounding a child’s death in a Hutterite </w:t>
      </w:r>
      <w:r w:rsidRPr="00FC2868">
        <w:rPr>
          <w:sz w:val="24"/>
          <w:szCs w:val="24"/>
        </w:rPr>
        <w:t>colony whilst utilizing Fetterman (1998)’s approach of focusing on culture and religion. The methodology used for their data collection was participant observation and key informant interviewing. Their participation observation lasted for 10 days where the</w:t>
      </w:r>
      <w:r w:rsidRPr="00FC2868">
        <w:rPr>
          <w:sz w:val="24"/>
          <w:szCs w:val="24"/>
        </w:rPr>
        <w:t xml:space="preserve">y observed the preparation of the funeral and the funeral itself to determine the rituals. Based on the results of the participant observation they found that rituals are an incremental part of a child’s death. The rituals that remain a part of Hutterites </w:t>
      </w:r>
      <w:r w:rsidRPr="00FC2868">
        <w:rPr>
          <w:sz w:val="24"/>
          <w:szCs w:val="24"/>
        </w:rPr>
        <w:lastRenderedPageBreak/>
        <w:t>funerals surrounding a child's death included caring for the bodies at home and participating in traditional prayers and sermons to prepare the child for afterlife.</w:t>
      </w:r>
    </w:p>
    <w:p w:rsidR="00214DB4" w:rsidRPr="00FC2868" w:rsidRDefault="00FC2868" w:rsidP="00FC2868">
      <w:pPr>
        <w:spacing w:line="360" w:lineRule="auto"/>
        <w:jc w:val="both"/>
        <w:rPr>
          <w:sz w:val="24"/>
          <w:szCs w:val="24"/>
        </w:rPr>
      </w:pPr>
      <w:r w:rsidRPr="00FC2868">
        <w:rPr>
          <w:sz w:val="24"/>
          <w:szCs w:val="24"/>
        </w:rPr>
        <w:t xml:space="preserve">Davies (1999) suggests that the idea of Participation Observation is somewhat something of </w:t>
      </w:r>
      <w:r w:rsidRPr="00FC2868">
        <w:rPr>
          <w:sz w:val="24"/>
          <w:szCs w:val="24"/>
        </w:rPr>
        <w:t>an oxymoronic expression as someone cannot be participating in both activities at the same time. Gold (1958, cited in Davies,1999, p.72) suggests that during their fieldwork that an ethnographer can be classified as occupying one of four roles: “</w:t>
      </w:r>
      <w:r w:rsidRPr="00FC2868">
        <w:rPr>
          <w:i/>
          <w:sz w:val="24"/>
          <w:szCs w:val="24"/>
        </w:rPr>
        <w:t>complete o</w:t>
      </w:r>
      <w:r w:rsidRPr="00FC2868">
        <w:rPr>
          <w:i/>
          <w:sz w:val="24"/>
          <w:szCs w:val="24"/>
        </w:rPr>
        <w:t>bserver; observer-as-participant; participant-as-observer; or complete participant</w:t>
      </w:r>
      <w:r w:rsidRPr="00FC2868">
        <w:rPr>
          <w:sz w:val="24"/>
          <w:szCs w:val="24"/>
        </w:rPr>
        <w:t>”.These four roles are of a scale and depending on how accepted the ethnographer is by the observed depends which of the four roles they occupy. This needs to be taken into c</w:t>
      </w:r>
      <w:r w:rsidRPr="00FC2868">
        <w:rPr>
          <w:sz w:val="24"/>
          <w:szCs w:val="24"/>
        </w:rPr>
        <w:t>onsideration by anthropologists who are undertaking participant observation because the quality of the results from the observation can be affected by the level of acceptance the observer receives. As well as this, Davies (1999) also states that anthropolo</w:t>
      </w:r>
      <w:r w:rsidRPr="00FC2868">
        <w:rPr>
          <w:sz w:val="24"/>
          <w:szCs w:val="24"/>
        </w:rPr>
        <w:t>gists appear to stress too much on the amount of their participation as a manifestation of the quality of their research, however, the real indicator of positive research is down to the essence, quality and substance of the observation. It can also be argu</w:t>
      </w:r>
      <w:r w:rsidRPr="00FC2868">
        <w:rPr>
          <w:sz w:val="24"/>
          <w:szCs w:val="24"/>
        </w:rPr>
        <w:t>ed that the information collected by anthropologists during their period of participant observation cannot be an accurate representation of the culture as it is based on the anthropologists’ interpretation of the ritual rather than what is actually happeni</w:t>
      </w:r>
      <w:r w:rsidRPr="00FC2868">
        <w:rPr>
          <w:sz w:val="24"/>
          <w:szCs w:val="24"/>
        </w:rPr>
        <w:t>ng  (Johnson and Sackett, 1998, cited in Bernard, 1998).</w:t>
      </w:r>
    </w:p>
    <w:p w:rsidR="00214DB4" w:rsidRPr="00FC2868" w:rsidRDefault="00FC2868" w:rsidP="00FC2868">
      <w:pPr>
        <w:spacing w:line="360" w:lineRule="auto"/>
        <w:ind w:firstLine="720"/>
        <w:jc w:val="both"/>
        <w:rPr>
          <w:b/>
          <w:sz w:val="24"/>
          <w:szCs w:val="24"/>
          <w:u w:val="single"/>
        </w:rPr>
      </w:pPr>
      <w:r w:rsidRPr="00FC2868">
        <w:rPr>
          <w:sz w:val="24"/>
          <w:szCs w:val="24"/>
        </w:rPr>
        <w:t>Key informant interviews are the most used method of analysis in social research and in particular myths and rituals (Davies, 1997). Key informant interviewing are in-depth interviews where the parti</w:t>
      </w:r>
      <w:r w:rsidRPr="00FC2868">
        <w:rPr>
          <w:sz w:val="24"/>
          <w:szCs w:val="24"/>
        </w:rPr>
        <w:t>cipants have a vast knowledge and are members of the culture that is being analysed (USAID, 1996). Primarily these interviews are non-structured and the interviewer probes the participants for information without offering leading responses, which enables n</w:t>
      </w:r>
      <w:r w:rsidRPr="00FC2868">
        <w:rPr>
          <w:sz w:val="24"/>
          <w:szCs w:val="24"/>
        </w:rPr>
        <w:t>ew concepts to materialise (Hendry and Underdown, 2012). This is reinforced by Bernard (1995) who states that the main rule that should be followed by anthropologists whilst conducting key informant interviewing is to abstain from prompting the interviewee</w:t>
      </w:r>
      <w:r w:rsidRPr="00FC2868">
        <w:rPr>
          <w:sz w:val="24"/>
          <w:szCs w:val="24"/>
        </w:rPr>
        <w:t>s with leading questions.</w:t>
      </w:r>
    </w:p>
    <w:p w:rsidR="00214DB4" w:rsidRPr="00FC2868" w:rsidRDefault="00FC2868" w:rsidP="00FC2868">
      <w:pPr>
        <w:spacing w:line="360" w:lineRule="auto"/>
        <w:jc w:val="both"/>
        <w:rPr>
          <w:sz w:val="24"/>
          <w:szCs w:val="24"/>
        </w:rPr>
      </w:pPr>
      <w:r w:rsidRPr="00FC2868">
        <w:rPr>
          <w:sz w:val="24"/>
          <w:szCs w:val="24"/>
        </w:rPr>
        <w:t>As a method of studying and analysing rituals Davies (1997) hypothesised that key informant interviewing is significant as it assists the interviewer in acquiring knowledge that wouldn’t of been ascertained in other methods. An ex</w:t>
      </w:r>
      <w:r w:rsidRPr="00FC2868">
        <w:rPr>
          <w:sz w:val="24"/>
          <w:szCs w:val="24"/>
        </w:rPr>
        <w:t xml:space="preserve">ample of previous anthropological work that used key informant interviewing is Wellens </w:t>
      </w:r>
      <w:r w:rsidRPr="00FC2868">
        <w:rPr>
          <w:sz w:val="24"/>
          <w:szCs w:val="24"/>
        </w:rPr>
        <w:lastRenderedPageBreak/>
        <w:t>(2010). His research was conducted on the recovering of rituals in two Premi ethnic groups in Southern West China post-Mao. Wellens’ research, using the ethnographic met</w:t>
      </w:r>
      <w:r w:rsidRPr="00FC2868">
        <w:rPr>
          <w:sz w:val="24"/>
          <w:szCs w:val="24"/>
        </w:rPr>
        <w:t>hod of key informant interviewing, led to the results that highlighted both Premi ethnic groups’ attempt at reviving rituals (primarily in religion), however in two different ways. As well as using only one method of analysis for studying rituals, some sch</w:t>
      </w:r>
      <w:r w:rsidRPr="00FC2868">
        <w:rPr>
          <w:sz w:val="24"/>
          <w:szCs w:val="24"/>
        </w:rPr>
        <w:t>olars have adopted a mixed methods approach. For example as previously discussed within this essay Cacciatore and Thieleman (2014) studied the rituals surrounding children's deaths in a Hutterite colony. As well as participant observation key informant int</w:t>
      </w:r>
      <w:r w:rsidRPr="00FC2868">
        <w:rPr>
          <w:sz w:val="24"/>
          <w:szCs w:val="24"/>
        </w:rPr>
        <w:t>erviewing was used as a method of analysis. The interviews included unstructured individual interviews. The interview participants were all mothers in the colony who had experienced the death of their child. Due to the information discovered through partic</w:t>
      </w:r>
      <w:r w:rsidRPr="00FC2868">
        <w:rPr>
          <w:sz w:val="24"/>
          <w:szCs w:val="24"/>
        </w:rPr>
        <w:t>ipant observation being the analyst's perception of the ritual, key informant interviewing further strengthened the information gathered as it allows further insight and confirmation from the ritual takers themselves. However, Davies also discussed one sce</w:t>
      </w:r>
      <w:r w:rsidRPr="00FC2868">
        <w:rPr>
          <w:sz w:val="24"/>
          <w:szCs w:val="24"/>
        </w:rPr>
        <w:t>pticism that comes with key informant interviewing, which is that the knowledge acquired could also only be on certain areas that the interviewee feels is relevant and could miss out key information. Basso (1979) also argued that in certain cultures, for e</w:t>
      </w:r>
      <w:r w:rsidRPr="00FC2868">
        <w:rPr>
          <w:sz w:val="24"/>
          <w:szCs w:val="24"/>
        </w:rPr>
        <w:t xml:space="preserve">xample the Apache culture, the use of key informant interviewing is seen as intrusive which determines that the information received on their rituals would not be entirely reliable. </w:t>
      </w:r>
    </w:p>
    <w:p w:rsidR="00214DB4" w:rsidRPr="00FC2868" w:rsidRDefault="00FC2868" w:rsidP="00FC2868">
      <w:pPr>
        <w:spacing w:line="360" w:lineRule="auto"/>
        <w:jc w:val="both"/>
        <w:rPr>
          <w:sz w:val="24"/>
          <w:szCs w:val="24"/>
        </w:rPr>
      </w:pPr>
      <w:r w:rsidRPr="00FC2868">
        <w:rPr>
          <w:sz w:val="24"/>
          <w:szCs w:val="24"/>
        </w:rPr>
        <w:t xml:space="preserve">Historical analysis can be defined as a method of gaining information on </w:t>
      </w:r>
      <w:r w:rsidRPr="00FC2868">
        <w:rPr>
          <w:sz w:val="24"/>
          <w:szCs w:val="24"/>
        </w:rPr>
        <w:t>a particular social phenomena using records from past events. Historical analysis includes sources such as historical texts, newspaper reports and previous scholarly work (Wyche, Sengers and Grinter, 2006). For example Bloch (1986)’s intention through hist</w:t>
      </w:r>
      <w:r w:rsidRPr="00FC2868">
        <w:rPr>
          <w:sz w:val="24"/>
          <w:szCs w:val="24"/>
        </w:rPr>
        <w:t>orical analysis was to research rituals and social formation in the circumcision ritual of the Merina of Madagascar. In order to undertake his historical analysis effectively, Bloch (1986) researched back into 200 years of Merina history. His historical an</w:t>
      </w:r>
      <w:r w:rsidRPr="00FC2868">
        <w:rPr>
          <w:sz w:val="24"/>
          <w:szCs w:val="24"/>
        </w:rPr>
        <w:t xml:space="preserve">alysis found that the circumcision ritual itself had not changed, however, the symbolic structure had. Whilst discussing the historical analysis approach used he also discussed the advantages of this method </w:t>
      </w:r>
      <w:r w:rsidRPr="00FC2868">
        <w:rPr>
          <w:i/>
          <w:sz w:val="24"/>
          <w:szCs w:val="24"/>
        </w:rPr>
        <w:t xml:space="preserve"> “A further advantage in this approach: It enable</w:t>
      </w:r>
      <w:r w:rsidRPr="00FC2868">
        <w:rPr>
          <w:i/>
          <w:sz w:val="24"/>
          <w:szCs w:val="24"/>
        </w:rPr>
        <w:t xml:space="preserve">s us to bring together the functional and the intellectual sides of the study of ritual in that it enables us to follow the interplay between the two aspects without reducing one to the other” </w:t>
      </w:r>
      <w:r w:rsidRPr="00FC2868">
        <w:rPr>
          <w:sz w:val="24"/>
          <w:szCs w:val="24"/>
        </w:rPr>
        <w:t>(Bloch, 1986, p.11). However, Berg et al. (1986) identified wit</w:t>
      </w:r>
      <w:r w:rsidRPr="00FC2868">
        <w:rPr>
          <w:sz w:val="24"/>
          <w:szCs w:val="24"/>
        </w:rPr>
        <w:t xml:space="preserve">hin their University of Chicago Press book review that the claim by Bloch </w:t>
      </w:r>
      <w:r w:rsidRPr="00FC2868">
        <w:rPr>
          <w:sz w:val="24"/>
          <w:szCs w:val="24"/>
        </w:rPr>
        <w:lastRenderedPageBreak/>
        <w:t>of the advantage is unrealistic. They further question Bloch’s choice of analysis by stating that if a ritual is unchanged over 200 years of history then history has little to do wit</w:t>
      </w:r>
      <w:r w:rsidRPr="00FC2868">
        <w:rPr>
          <w:sz w:val="24"/>
          <w:szCs w:val="24"/>
        </w:rPr>
        <w:t>h it and other methods of analysis should be considered. This is strengthened by a previous section within this essay ‘</w:t>
      </w:r>
      <w:r w:rsidRPr="00FC2868">
        <w:rPr>
          <w:i/>
          <w:sz w:val="24"/>
          <w:szCs w:val="24"/>
        </w:rPr>
        <w:t>Difficulty of Analysing Rituals’</w:t>
      </w:r>
      <w:r w:rsidRPr="00FC2868">
        <w:rPr>
          <w:sz w:val="24"/>
          <w:szCs w:val="24"/>
        </w:rPr>
        <w:t>, due to the constant changes in rituals it is difficult to gain a reliable study and analysis of rituals</w:t>
      </w:r>
      <w:r w:rsidRPr="00FC2868">
        <w:rPr>
          <w:sz w:val="24"/>
          <w:szCs w:val="24"/>
        </w:rPr>
        <w:t xml:space="preserve"> using historical analysis as the ritual now can be different to 100 years ago. A mixed methods approach of historical analysis and another approach would make the results more reliable.</w:t>
      </w:r>
    </w:p>
    <w:p w:rsidR="00214DB4" w:rsidRPr="00FC2868" w:rsidRDefault="00FC2868" w:rsidP="00FC2868">
      <w:pPr>
        <w:spacing w:line="360" w:lineRule="auto"/>
        <w:ind w:firstLine="720"/>
        <w:jc w:val="both"/>
        <w:rPr>
          <w:sz w:val="24"/>
          <w:szCs w:val="24"/>
        </w:rPr>
      </w:pPr>
      <w:r w:rsidRPr="00FC2868">
        <w:rPr>
          <w:sz w:val="24"/>
          <w:szCs w:val="24"/>
        </w:rPr>
        <w:t xml:space="preserve">The purpose of this essay was to discuss how anthropologists should </w:t>
      </w:r>
      <w:r w:rsidRPr="00FC2868">
        <w:rPr>
          <w:sz w:val="24"/>
          <w:szCs w:val="24"/>
        </w:rPr>
        <w:t>approach the study and analysis of rituals. The essay began with an introduction to the topic of rituals and also a definition of rituals. This was followed by a discussion on the difficulty of analysing rituals. This section found research that some anthr</w:t>
      </w:r>
      <w:r w:rsidRPr="00FC2868">
        <w:rPr>
          <w:sz w:val="24"/>
          <w:szCs w:val="24"/>
        </w:rPr>
        <w:t>opologists (Myeroff, 1984) perceive all rituals to be the same, however, this is dismissed by evidence highlighting the difference between Christian and Islamic rituals and Bell (2009)’s with the categorization of rituals into 6 groups based on their attri</w:t>
      </w:r>
      <w:r w:rsidRPr="00FC2868">
        <w:rPr>
          <w:sz w:val="24"/>
          <w:szCs w:val="24"/>
        </w:rPr>
        <w:t>butes;formalism, traditionalism, invariance, rule-governance, sacral symbolism and performance. The difference in rituals therefore means they are unable to be analysed in the same way. This section also discussed research by Comaroff (1985) and Bell (1997</w:t>
      </w:r>
      <w:r w:rsidRPr="00FC2868">
        <w:rPr>
          <w:sz w:val="24"/>
          <w:szCs w:val="24"/>
        </w:rPr>
        <w:t>) that there was evidence highlighting the constant changes in rituals, this meant that previous work by anthropologists couldn’t always be deemed reliable and would need reanalysis. Once the difficulty of analysing rituals had been established the essay w</w:t>
      </w:r>
      <w:r w:rsidRPr="00FC2868">
        <w:rPr>
          <w:sz w:val="24"/>
          <w:szCs w:val="24"/>
        </w:rPr>
        <w:t>ent on to discuss ethnographic methods of analysis, the research found three methods; participant observation, key informant interviewing and historical analysis. Based on the evidence discovered through research for this essay on these methods and previou</w:t>
      </w:r>
      <w:r w:rsidRPr="00FC2868">
        <w:rPr>
          <w:sz w:val="24"/>
          <w:szCs w:val="24"/>
        </w:rPr>
        <w:t>s anthropological studies (Davies, 1997; Davies 1999; Bloch 1986) it was found that each method has its advantages and its limitations. To conclude, based on the research on rituals and the ethnographic methods of analysis that can be utilized by anthropol</w:t>
      </w:r>
      <w:r w:rsidRPr="00FC2868">
        <w:rPr>
          <w:sz w:val="24"/>
          <w:szCs w:val="24"/>
        </w:rPr>
        <w:t>ogists to study rituals, it is found that some rituals are changing and will need re-analysis in the future, it was also found that mixed methods approach would allow anthropologists to receive more reliable and concise results (Cacciatore and Thieleman, 2</w:t>
      </w:r>
      <w:r w:rsidRPr="00FC2868">
        <w:rPr>
          <w:sz w:val="24"/>
          <w:szCs w:val="24"/>
        </w:rPr>
        <w:t>014).</w:t>
      </w:r>
      <w:r w:rsidRPr="00FC2868">
        <w:rPr>
          <w:sz w:val="24"/>
          <w:szCs w:val="24"/>
        </w:rPr>
        <w:br w:type="page"/>
      </w:r>
    </w:p>
    <w:p w:rsidR="00214DB4" w:rsidRPr="00FC2868" w:rsidRDefault="00FC2868" w:rsidP="00FC2868">
      <w:pPr>
        <w:spacing w:line="480" w:lineRule="auto"/>
        <w:jc w:val="both"/>
        <w:rPr>
          <w:sz w:val="24"/>
          <w:szCs w:val="24"/>
        </w:rPr>
      </w:pPr>
      <w:r w:rsidRPr="00FC2868">
        <w:rPr>
          <w:b/>
          <w:sz w:val="24"/>
          <w:szCs w:val="24"/>
          <w:u w:val="single"/>
        </w:rPr>
        <w:lastRenderedPageBreak/>
        <w:t>Bibliography</w:t>
      </w:r>
    </w:p>
    <w:p w:rsidR="00214DB4" w:rsidRPr="00FC2868" w:rsidRDefault="00FC2868" w:rsidP="00FC2868">
      <w:pPr>
        <w:spacing w:line="480" w:lineRule="auto"/>
        <w:jc w:val="both"/>
        <w:rPr>
          <w:color w:val="222222"/>
          <w:sz w:val="24"/>
          <w:szCs w:val="24"/>
          <w:highlight w:val="white"/>
          <w:u w:val="single"/>
        </w:rPr>
      </w:pPr>
      <w:r w:rsidRPr="00FC2868">
        <w:rPr>
          <w:color w:val="222222"/>
          <w:sz w:val="24"/>
          <w:szCs w:val="24"/>
          <w:highlight w:val="white"/>
          <w:u w:val="single"/>
        </w:rPr>
        <w:t>Books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Basso, K. (1979), </w:t>
      </w:r>
      <w:r w:rsidRPr="00FC2868">
        <w:rPr>
          <w:i/>
          <w:sz w:val="24"/>
          <w:szCs w:val="24"/>
          <w:highlight w:val="white"/>
        </w:rPr>
        <w:t xml:space="preserve">Portraits of The ‘Whiteman’: Linguistic Play and Cultural Symbols Among The Western People, </w:t>
      </w:r>
      <w:r w:rsidRPr="00FC2868">
        <w:rPr>
          <w:sz w:val="24"/>
          <w:szCs w:val="24"/>
          <w:highlight w:val="white"/>
        </w:rPr>
        <w:t>Cambridge University Press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Bell, C. (1997), </w:t>
      </w:r>
      <w:r w:rsidRPr="00FC2868">
        <w:rPr>
          <w:i/>
          <w:sz w:val="24"/>
          <w:szCs w:val="24"/>
          <w:highlight w:val="white"/>
        </w:rPr>
        <w:t>Ritual: Perspectives and Dimensions</w:t>
      </w:r>
      <w:r w:rsidRPr="00FC2868">
        <w:rPr>
          <w:sz w:val="24"/>
          <w:szCs w:val="24"/>
          <w:highlight w:val="white"/>
        </w:rPr>
        <w:t>, Oxford University Press</w:t>
      </w:r>
    </w:p>
    <w:p w:rsidR="00214DB4" w:rsidRPr="00FC2868" w:rsidRDefault="00FC2868" w:rsidP="00FC2868">
      <w:pPr>
        <w:spacing w:line="480" w:lineRule="auto"/>
        <w:jc w:val="both"/>
        <w:rPr>
          <w:sz w:val="24"/>
          <w:szCs w:val="24"/>
          <w:highlight w:val="white"/>
        </w:rPr>
      </w:pPr>
      <w:r w:rsidRPr="00FC2868">
        <w:rPr>
          <w:sz w:val="24"/>
          <w:szCs w:val="24"/>
          <w:highlight w:val="white"/>
        </w:rPr>
        <w:t>Bell, C. (2009)</w:t>
      </w:r>
      <w:r w:rsidRPr="00FC2868">
        <w:rPr>
          <w:sz w:val="24"/>
          <w:szCs w:val="24"/>
          <w:highlight w:val="white"/>
        </w:rPr>
        <w:t xml:space="preserve">, </w:t>
      </w:r>
      <w:r w:rsidRPr="00FC2868">
        <w:rPr>
          <w:i/>
          <w:sz w:val="24"/>
          <w:szCs w:val="24"/>
          <w:highlight w:val="white"/>
        </w:rPr>
        <w:t xml:space="preserve">Ritual Theory, Ritual Practice, </w:t>
      </w:r>
      <w:r w:rsidRPr="00FC2868">
        <w:rPr>
          <w:sz w:val="24"/>
          <w:szCs w:val="24"/>
          <w:highlight w:val="white"/>
        </w:rPr>
        <w:t>Oxford University Press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Bernard, H. (1998), </w:t>
      </w:r>
      <w:r w:rsidRPr="00FC2868">
        <w:rPr>
          <w:i/>
          <w:sz w:val="24"/>
          <w:szCs w:val="24"/>
          <w:highlight w:val="white"/>
        </w:rPr>
        <w:t>Direct systematic Observation of Behavior: Handbook of Methods in Cultural Anthropology</w:t>
      </w:r>
      <w:r w:rsidRPr="00FC2868">
        <w:rPr>
          <w:sz w:val="24"/>
          <w:szCs w:val="24"/>
          <w:highlight w:val="white"/>
        </w:rPr>
        <w:t>, AltaMira Press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Bernard, R.(1995), </w:t>
      </w:r>
      <w:r w:rsidRPr="00FC2868">
        <w:rPr>
          <w:i/>
          <w:sz w:val="24"/>
          <w:szCs w:val="24"/>
          <w:highlight w:val="white"/>
        </w:rPr>
        <w:t>Research Methods in Anthropology: Qualitative and Quant</w:t>
      </w:r>
      <w:r w:rsidRPr="00FC2868">
        <w:rPr>
          <w:i/>
          <w:sz w:val="24"/>
          <w:szCs w:val="24"/>
          <w:highlight w:val="white"/>
        </w:rPr>
        <w:t xml:space="preserve">itative Approaches, </w:t>
      </w:r>
      <w:r w:rsidRPr="00FC2868">
        <w:rPr>
          <w:sz w:val="24"/>
          <w:szCs w:val="24"/>
          <w:highlight w:val="white"/>
        </w:rPr>
        <w:t>AltaMira Press</w:t>
      </w:r>
    </w:p>
    <w:p w:rsidR="00214DB4" w:rsidRPr="00FC2868" w:rsidRDefault="00FC2868" w:rsidP="00FC2868">
      <w:pPr>
        <w:spacing w:line="480" w:lineRule="auto"/>
        <w:jc w:val="both"/>
        <w:rPr>
          <w:sz w:val="24"/>
          <w:szCs w:val="24"/>
          <w:highlight w:val="white"/>
        </w:rPr>
      </w:pPr>
      <w:r w:rsidRPr="00FC2868">
        <w:rPr>
          <w:sz w:val="24"/>
          <w:szCs w:val="24"/>
          <w:highlight w:val="white"/>
        </w:rPr>
        <w:t>Bloch, M. (1986), “</w:t>
      </w:r>
      <w:r w:rsidRPr="00FC2868">
        <w:rPr>
          <w:i/>
          <w:sz w:val="24"/>
          <w:szCs w:val="24"/>
          <w:highlight w:val="white"/>
        </w:rPr>
        <w:t>From Blessing to Violence: History and Ideology in The Circumcision Ritual of the Merina of Madagascar</w:t>
      </w:r>
      <w:r w:rsidRPr="00FC2868">
        <w:rPr>
          <w:sz w:val="24"/>
          <w:szCs w:val="24"/>
          <w:highlight w:val="white"/>
        </w:rPr>
        <w:t>”, Cambridge University Press</w:t>
      </w:r>
    </w:p>
    <w:p w:rsidR="00214DB4" w:rsidRPr="00FC2868" w:rsidRDefault="00FC2868" w:rsidP="00FC2868">
      <w:pPr>
        <w:spacing w:line="480" w:lineRule="auto"/>
        <w:jc w:val="both"/>
        <w:rPr>
          <w:sz w:val="24"/>
          <w:szCs w:val="24"/>
          <w:highlight w:val="white"/>
        </w:rPr>
      </w:pPr>
      <w:r w:rsidRPr="00FC2868">
        <w:rPr>
          <w:sz w:val="24"/>
          <w:szCs w:val="24"/>
          <w:highlight w:val="white"/>
        </w:rPr>
        <w:t>Comaroff, J. (1985),</w:t>
      </w:r>
      <w:r w:rsidRPr="00FC2868">
        <w:rPr>
          <w:i/>
          <w:sz w:val="24"/>
          <w:szCs w:val="24"/>
          <w:highlight w:val="white"/>
        </w:rPr>
        <w:t xml:space="preserve"> Body of Power, Spirit of Resistance: The Culture </w:t>
      </w:r>
      <w:r w:rsidRPr="00FC2868">
        <w:rPr>
          <w:i/>
          <w:sz w:val="24"/>
          <w:szCs w:val="24"/>
          <w:highlight w:val="white"/>
        </w:rPr>
        <w:t>and History of South African People</w:t>
      </w:r>
      <w:r w:rsidRPr="00FC2868">
        <w:rPr>
          <w:sz w:val="24"/>
          <w:szCs w:val="24"/>
          <w:highlight w:val="white"/>
        </w:rPr>
        <w:t>, University of Chicago Press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Davies, C. (1999), </w:t>
      </w:r>
      <w:r w:rsidRPr="00FC2868">
        <w:rPr>
          <w:i/>
          <w:sz w:val="24"/>
          <w:szCs w:val="24"/>
          <w:highlight w:val="white"/>
        </w:rPr>
        <w:t xml:space="preserve">Reflexive Ethnography: A Guide To Researching Selves and Others, </w:t>
      </w:r>
      <w:r w:rsidRPr="00FC2868">
        <w:rPr>
          <w:sz w:val="24"/>
          <w:szCs w:val="24"/>
          <w:highlight w:val="white"/>
        </w:rPr>
        <w:t>Routledge</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De Coppet, D. (1992), </w:t>
      </w:r>
      <w:r w:rsidRPr="00FC2868">
        <w:rPr>
          <w:i/>
          <w:sz w:val="24"/>
          <w:szCs w:val="24"/>
          <w:highlight w:val="white"/>
        </w:rPr>
        <w:t xml:space="preserve">Understanding Rituals, </w:t>
      </w:r>
      <w:r w:rsidRPr="00FC2868">
        <w:rPr>
          <w:sz w:val="24"/>
          <w:szCs w:val="24"/>
          <w:highlight w:val="white"/>
        </w:rPr>
        <w:t>Routledge</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Dewalt, K. and Dewalt, B. (2002), </w:t>
      </w:r>
      <w:r w:rsidRPr="00FC2868">
        <w:rPr>
          <w:i/>
          <w:sz w:val="24"/>
          <w:szCs w:val="24"/>
          <w:highlight w:val="white"/>
        </w:rPr>
        <w:t xml:space="preserve">Participant Observation: A Guide For Fieldworkers, </w:t>
      </w:r>
      <w:r w:rsidRPr="00FC2868">
        <w:rPr>
          <w:sz w:val="24"/>
          <w:szCs w:val="24"/>
          <w:highlight w:val="white"/>
        </w:rPr>
        <w:t>AltaMira Press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Hendry, J. (1999) </w:t>
      </w:r>
      <w:r w:rsidRPr="00FC2868">
        <w:rPr>
          <w:i/>
          <w:sz w:val="24"/>
          <w:szCs w:val="24"/>
          <w:highlight w:val="white"/>
        </w:rPr>
        <w:t>An Introduction to Social Anthropology: Other People’s Worlds</w:t>
      </w:r>
      <w:r w:rsidRPr="00FC2868">
        <w:rPr>
          <w:sz w:val="24"/>
          <w:szCs w:val="24"/>
          <w:highlight w:val="white"/>
        </w:rPr>
        <w:t>, Macmillan Press Ltd</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Hendry, J. and Underdown, S. (2012), </w:t>
      </w:r>
      <w:r w:rsidRPr="00FC2868">
        <w:rPr>
          <w:i/>
          <w:sz w:val="24"/>
          <w:szCs w:val="24"/>
          <w:highlight w:val="white"/>
        </w:rPr>
        <w:t xml:space="preserve">Anthropology: Beginners Guides, </w:t>
      </w:r>
      <w:r w:rsidRPr="00FC2868">
        <w:rPr>
          <w:sz w:val="24"/>
          <w:szCs w:val="24"/>
          <w:highlight w:val="white"/>
        </w:rPr>
        <w:t>Oneworld Publications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Johnson, J. (1990), </w:t>
      </w:r>
      <w:r w:rsidRPr="00FC2868">
        <w:rPr>
          <w:i/>
          <w:sz w:val="24"/>
          <w:szCs w:val="24"/>
          <w:highlight w:val="white"/>
        </w:rPr>
        <w:t xml:space="preserve">Selecting Ethnographic Informants, </w:t>
      </w:r>
      <w:r w:rsidRPr="00FC2868">
        <w:rPr>
          <w:sz w:val="24"/>
          <w:szCs w:val="24"/>
          <w:highlight w:val="white"/>
        </w:rPr>
        <w:t>SAGE Publications</w:t>
      </w:r>
    </w:p>
    <w:p w:rsidR="00214DB4" w:rsidRPr="00FC2868" w:rsidRDefault="00FC2868" w:rsidP="00FC2868">
      <w:pPr>
        <w:spacing w:line="480" w:lineRule="auto"/>
        <w:jc w:val="both"/>
        <w:rPr>
          <w:sz w:val="24"/>
          <w:szCs w:val="24"/>
          <w:highlight w:val="white"/>
        </w:rPr>
      </w:pPr>
      <w:r w:rsidRPr="00FC2868">
        <w:rPr>
          <w:sz w:val="24"/>
          <w:szCs w:val="24"/>
          <w:highlight w:val="white"/>
        </w:rPr>
        <w:lastRenderedPageBreak/>
        <w:t xml:space="preserve">Layton, R. (1997), </w:t>
      </w:r>
      <w:r w:rsidRPr="00FC2868">
        <w:rPr>
          <w:i/>
          <w:sz w:val="24"/>
          <w:szCs w:val="24"/>
          <w:highlight w:val="white"/>
        </w:rPr>
        <w:t xml:space="preserve">An Introduction to Theory in Anthropology, </w:t>
      </w:r>
      <w:r w:rsidRPr="00FC2868">
        <w:rPr>
          <w:sz w:val="24"/>
          <w:szCs w:val="24"/>
          <w:highlight w:val="white"/>
        </w:rPr>
        <w:t>Cambridge University Press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MacAloon, J. (1984), </w:t>
      </w:r>
      <w:r w:rsidRPr="00FC2868">
        <w:rPr>
          <w:i/>
          <w:sz w:val="24"/>
          <w:szCs w:val="24"/>
          <w:highlight w:val="white"/>
        </w:rPr>
        <w:t>Rite, Drama, Festival, Spectacl</w:t>
      </w:r>
      <w:r w:rsidRPr="00FC2868">
        <w:rPr>
          <w:sz w:val="24"/>
          <w:szCs w:val="24"/>
          <w:highlight w:val="white"/>
        </w:rPr>
        <w:t>e, Institute for the</w:t>
      </w:r>
      <w:r w:rsidRPr="00FC2868">
        <w:rPr>
          <w:sz w:val="24"/>
          <w:szCs w:val="24"/>
          <w:highlight w:val="white"/>
        </w:rPr>
        <w:t xml:space="preserve"> Study of Human Issues</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Okely, J. and Callaway, H. (1992), </w:t>
      </w:r>
      <w:r w:rsidRPr="00FC2868">
        <w:rPr>
          <w:i/>
          <w:sz w:val="24"/>
          <w:szCs w:val="24"/>
          <w:highlight w:val="white"/>
        </w:rPr>
        <w:t xml:space="preserve">Anthropology and Autobiography, </w:t>
      </w:r>
      <w:r w:rsidRPr="00FC2868">
        <w:rPr>
          <w:sz w:val="24"/>
          <w:szCs w:val="24"/>
          <w:highlight w:val="white"/>
        </w:rPr>
        <w:t>Routledge</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Tambiah, S. (1979), </w:t>
      </w:r>
      <w:r w:rsidRPr="00FC2868">
        <w:rPr>
          <w:i/>
          <w:sz w:val="24"/>
          <w:szCs w:val="24"/>
          <w:highlight w:val="white"/>
        </w:rPr>
        <w:t xml:space="preserve">A Performative Approach to Ritual, </w:t>
      </w:r>
      <w:r w:rsidRPr="00FC2868">
        <w:rPr>
          <w:sz w:val="24"/>
          <w:szCs w:val="24"/>
          <w:highlight w:val="white"/>
        </w:rPr>
        <w:t>British Academy</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Wellens, K. (2010), </w:t>
      </w:r>
      <w:r w:rsidRPr="00FC2868">
        <w:rPr>
          <w:i/>
          <w:sz w:val="24"/>
          <w:szCs w:val="24"/>
          <w:highlight w:val="white"/>
        </w:rPr>
        <w:t>Religious Revival in The Tibetan Borderlands: The Premi of Southw</w:t>
      </w:r>
      <w:r w:rsidRPr="00FC2868">
        <w:rPr>
          <w:i/>
          <w:sz w:val="24"/>
          <w:szCs w:val="24"/>
          <w:highlight w:val="white"/>
        </w:rPr>
        <w:t>est China</w:t>
      </w:r>
      <w:r w:rsidRPr="00FC2868">
        <w:rPr>
          <w:sz w:val="24"/>
          <w:szCs w:val="24"/>
          <w:highlight w:val="white"/>
        </w:rPr>
        <w:t>, University of Washington Press</w:t>
      </w:r>
    </w:p>
    <w:p w:rsidR="00214DB4" w:rsidRPr="00FC2868" w:rsidRDefault="00214DB4" w:rsidP="00FC2868">
      <w:pPr>
        <w:spacing w:line="480" w:lineRule="auto"/>
        <w:jc w:val="both"/>
        <w:rPr>
          <w:sz w:val="24"/>
          <w:szCs w:val="24"/>
          <w:highlight w:val="white"/>
          <w:u w:val="single"/>
        </w:rPr>
      </w:pPr>
    </w:p>
    <w:p w:rsidR="00214DB4" w:rsidRPr="00FC2868" w:rsidRDefault="00FC2868" w:rsidP="00FC2868">
      <w:pPr>
        <w:spacing w:line="480" w:lineRule="auto"/>
        <w:jc w:val="both"/>
        <w:rPr>
          <w:sz w:val="24"/>
          <w:szCs w:val="24"/>
        </w:rPr>
      </w:pPr>
      <w:r w:rsidRPr="00FC2868">
        <w:rPr>
          <w:sz w:val="24"/>
          <w:szCs w:val="24"/>
          <w:highlight w:val="white"/>
          <w:u w:val="single"/>
        </w:rPr>
        <w:t>Journal Articles</w:t>
      </w:r>
    </w:p>
    <w:p w:rsidR="00214DB4" w:rsidRPr="00FC2868" w:rsidRDefault="00FC2868" w:rsidP="00FC2868">
      <w:pPr>
        <w:spacing w:line="480" w:lineRule="auto"/>
        <w:jc w:val="both"/>
        <w:rPr>
          <w:sz w:val="24"/>
          <w:szCs w:val="24"/>
          <w:highlight w:val="white"/>
        </w:rPr>
      </w:pPr>
      <w:r w:rsidRPr="00FC2868">
        <w:rPr>
          <w:sz w:val="24"/>
          <w:szCs w:val="24"/>
          <w:highlight w:val="white"/>
        </w:rPr>
        <w:t>Berg, G. Gerholm, T. Esovelomandroso, M. Heald, S. Peal, J. and Wolf, E. (1986), “Reviewed Work(s): From Blessing to Violence: History and Ideology in the Circumcision Ritual of the Merina of Mada</w:t>
      </w:r>
      <w:r w:rsidRPr="00FC2868">
        <w:rPr>
          <w:sz w:val="24"/>
          <w:szCs w:val="24"/>
          <w:highlight w:val="white"/>
        </w:rPr>
        <w:t xml:space="preserve">gascar by Maurice Bloch”, </w:t>
      </w:r>
      <w:r w:rsidRPr="00FC2868">
        <w:rPr>
          <w:i/>
          <w:sz w:val="24"/>
          <w:szCs w:val="24"/>
          <w:highlight w:val="white"/>
        </w:rPr>
        <w:t xml:space="preserve">Current Anthropology, </w:t>
      </w:r>
      <w:r w:rsidRPr="00FC2868">
        <w:rPr>
          <w:sz w:val="24"/>
          <w:szCs w:val="24"/>
          <w:highlight w:val="white"/>
        </w:rPr>
        <w:t>Vol 27 No 4, pp. 349-360</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Cacciatore, J. and Thieleman, K. (2014), “We Rise Out of The Cradle Into The Grave: An Ethnographic Exploration of Ritual, Mourning, and Death on a Hutterite Colony”, </w:t>
      </w:r>
      <w:r w:rsidRPr="00FC2868">
        <w:rPr>
          <w:i/>
          <w:sz w:val="24"/>
          <w:szCs w:val="24"/>
          <w:highlight w:val="white"/>
        </w:rPr>
        <w:t>OMEGA-Journal of</w:t>
      </w:r>
      <w:r w:rsidRPr="00FC2868">
        <w:rPr>
          <w:i/>
          <w:sz w:val="24"/>
          <w:szCs w:val="24"/>
          <w:highlight w:val="white"/>
        </w:rPr>
        <w:t xml:space="preserve"> Death and Dying</w:t>
      </w:r>
      <w:r w:rsidRPr="00FC2868">
        <w:rPr>
          <w:sz w:val="24"/>
          <w:szCs w:val="24"/>
          <w:highlight w:val="white"/>
        </w:rPr>
        <w:t>, Vol 69 No 4, pp.357-379.</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Willis, P. and Trondman, M. (2000), “Manifesto for ethnography”, </w:t>
      </w:r>
      <w:r w:rsidRPr="00FC2868">
        <w:rPr>
          <w:i/>
          <w:sz w:val="24"/>
          <w:szCs w:val="24"/>
          <w:highlight w:val="white"/>
        </w:rPr>
        <w:t xml:space="preserve">Ethnography, </w:t>
      </w:r>
      <w:r w:rsidRPr="00FC2868">
        <w:rPr>
          <w:sz w:val="24"/>
          <w:szCs w:val="24"/>
          <w:highlight w:val="white"/>
        </w:rPr>
        <w:t>Vol 1 No 1, pp. 5-16</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Wyche, S. Sengers, P. and Grinter, R. (2006), "Historical analysis: Using the Past to Design the Future", </w:t>
      </w:r>
      <w:r w:rsidRPr="00FC2868">
        <w:rPr>
          <w:i/>
          <w:sz w:val="24"/>
          <w:szCs w:val="24"/>
          <w:highlight w:val="white"/>
        </w:rPr>
        <w:t>Internat</w:t>
      </w:r>
      <w:r w:rsidRPr="00FC2868">
        <w:rPr>
          <w:i/>
          <w:sz w:val="24"/>
          <w:szCs w:val="24"/>
          <w:highlight w:val="white"/>
        </w:rPr>
        <w:t>ional Conference on Ubiquitous Computing</w:t>
      </w:r>
      <w:r w:rsidRPr="00FC2868">
        <w:rPr>
          <w:sz w:val="24"/>
          <w:szCs w:val="24"/>
          <w:highlight w:val="white"/>
        </w:rPr>
        <w:t>, pp. 35-51.</w:t>
      </w:r>
    </w:p>
    <w:p w:rsidR="00214DB4" w:rsidRPr="00FC2868" w:rsidRDefault="00214DB4" w:rsidP="00FC2868">
      <w:pPr>
        <w:spacing w:line="480" w:lineRule="auto"/>
        <w:jc w:val="both"/>
        <w:rPr>
          <w:sz w:val="24"/>
          <w:szCs w:val="24"/>
          <w:highlight w:val="white"/>
          <w:u w:val="single"/>
        </w:rPr>
      </w:pPr>
    </w:p>
    <w:p w:rsidR="00214DB4" w:rsidRPr="00FC2868" w:rsidRDefault="00FC2868" w:rsidP="00FC2868">
      <w:pPr>
        <w:spacing w:line="480" w:lineRule="auto"/>
        <w:jc w:val="both"/>
        <w:rPr>
          <w:sz w:val="24"/>
          <w:szCs w:val="24"/>
          <w:highlight w:val="white"/>
          <w:u w:val="single"/>
        </w:rPr>
      </w:pPr>
      <w:r w:rsidRPr="00FC2868">
        <w:rPr>
          <w:sz w:val="24"/>
          <w:szCs w:val="24"/>
          <w:highlight w:val="white"/>
          <w:u w:val="single"/>
        </w:rPr>
        <w:t>Websites</w:t>
      </w:r>
    </w:p>
    <w:p w:rsidR="00214DB4" w:rsidRPr="00FC2868" w:rsidRDefault="00FC2868" w:rsidP="00FC2868">
      <w:pPr>
        <w:spacing w:line="480" w:lineRule="auto"/>
        <w:jc w:val="both"/>
        <w:rPr>
          <w:sz w:val="24"/>
          <w:szCs w:val="24"/>
        </w:rPr>
      </w:pPr>
      <w:r w:rsidRPr="00FC2868">
        <w:rPr>
          <w:sz w:val="24"/>
          <w:szCs w:val="24"/>
        </w:rPr>
        <w:t xml:space="preserve">Woodhead, L. (2012), </w:t>
      </w:r>
      <w:r w:rsidRPr="00FC2868">
        <w:rPr>
          <w:i/>
          <w:sz w:val="24"/>
          <w:szCs w:val="24"/>
        </w:rPr>
        <w:t xml:space="preserve">A British Christmas Has Lost Faith in Rituals, but Not Religion. </w:t>
      </w:r>
      <w:r w:rsidRPr="00FC2868">
        <w:rPr>
          <w:sz w:val="24"/>
          <w:szCs w:val="24"/>
        </w:rPr>
        <w:t xml:space="preserve">[online] The Guardian. Available from </w:t>
      </w:r>
      <w:hyperlink r:id="rId4">
        <w:r w:rsidRPr="00FC2868">
          <w:rPr>
            <w:color w:val="1155CC"/>
            <w:sz w:val="24"/>
            <w:szCs w:val="24"/>
            <w:u w:val="single"/>
          </w:rPr>
          <w:t>https://www.theguardian.com/commentisfree/2012/dec/23/lost-faith-in-rituals-not-religion</w:t>
        </w:r>
      </w:hyperlink>
      <w:r w:rsidRPr="00FC2868">
        <w:rPr>
          <w:sz w:val="24"/>
          <w:szCs w:val="24"/>
        </w:rPr>
        <w:t xml:space="preserve"> [Accessed 13 March 2018]</w:t>
      </w:r>
    </w:p>
    <w:p w:rsidR="00214DB4" w:rsidRPr="00FC2868" w:rsidRDefault="00214DB4" w:rsidP="00FC2868">
      <w:pPr>
        <w:spacing w:line="480" w:lineRule="auto"/>
        <w:jc w:val="both"/>
        <w:rPr>
          <w:sz w:val="24"/>
          <w:szCs w:val="24"/>
          <w:highlight w:val="white"/>
        </w:rPr>
      </w:pPr>
    </w:p>
    <w:p w:rsidR="00214DB4" w:rsidRPr="00FC2868" w:rsidRDefault="00FC2868" w:rsidP="00FC2868">
      <w:pPr>
        <w:spacing w:line="480" w:lineRule="auto"/>
        <w:jc w:val="both"/>
        <w:rPr>
          <w:sz w:val="24"/>
          <w:szCs w:val="24"/>
          <w:highlight w:val="white"/>
        </w:rPr>
      </w:pPr>
      <w:r w:rsidRPr="00FC2868">
        <w:rPr>
          <w:sz w:val="24"/>
          <w:szCs w:val="24"/>
          <w:highlight w:val="white"/>
          <w:u w:val="single"/>
        </w:rPr>
        <w:t>PDF</w:t>
      </w:r>
    </w:p>
    <w:p w:rsidR="00214DB4" w:rsidRPr="00FC2868" w:rsidRDefault="00FC2868" w:rsidP="00FC2868">
      <w:pPr>
        <w:spacing w:line="480" w:lineRule="auto"/>
        <w:jc w:val="both"/>
        <w:rPr>
          <w:sz w:val="24"/>
          <w:szCs w:val="24"/>
          <w:highlight w:val="white"/>
        </w:rPr>
      </w:pPr>
      <w:r w:rsidRPr="00FC2868">
        <w:rPr>
          <w:sz w:val="24"/>
          <w:szCs w:val="24"/>
          <w:highlight w:val="white"/>
        </w:rPr>
        <w:t xml:space="preserve">USAID. (1996), </w:t>
      </w:r>
      <w:r w:rsidRPr="00FC2868">
        <w:rPr>
          <w:i/>
          <w:sz w:val="24"/>
          <w:szCs w:val="24"/>
          <w:highlight w:val="white"/>
        </w:rPr>
        <w:t xml:space="preserve">Conducting Key Informant Interviews: Performance Monitoring &amp; Evaluation Tips </w:t>
      </w:r>
      <w:r w:rsidRPr="00FC2868">
        <w:rPr>
          <w:sz w:val="24"/>
          <w:szCs w:val="24"/>
          <w:highlight w:val="white"/>
        </w:rPr>
        <w:t xml:space="preserve">[PDF] USAID. Available from: </w:t>
      </w:r>
      <w:hyperlink r:id="rId5">
        <w:r w:rsidRPr="00FC2868">
          <w:rPr>
            <w:color w:val="1155CC"/>
            <w:sz w:val="24"/>
            <w:szCs w:val="24"/>
            <w:highlight w:val="white"/>
            <w:u w:val="single"/>
          </w:rPr>
          <w:t>http://pdf.usaid.gov/pdf_docs/pnabs541.pdf</w:t>
        </w:r>
      </w:hyperlink>
      <w:r w:rsidRPr="00FC2868">
        <w:rPr>
          <w:sz w:val="24"/>
          <w:szCs w:val="24"/>
          <w:highlight w:val="white"/>
        </w:rPr>
        <w:t xml:space="preserve"> [Accessed 12 March 2018]</w:t>
      </w:r>
    </w:p>
    <w:p w:rsidR="00214DB4" w:rsidRPr="00FC2868" w:rsidRDefault="00214DB4" w:rsidP="00FC2868">
      <w:pPr>
        <w:spacing w:line="480" w:lineRule="auto"/>
        <w:jc w:val="both"/>
        <w:rPr>
          <w:color w:val="222222"/>
          <w:sz w:val="24"/>
          <w:szCs w:val="24"/>
          <w:highlight w:val="white"/>
        </w:rPr>
      </w:pPr>
    </w:p>
    <w:p w:rsidR="00214DB4" w:rsidRPr="00FC2868" w:rsidRDefault="00214DB4" w:rsidP="00FC2868">
      <w:pPr>
        <w:spacing w:line="480" w:lineRule="auto"/>
        <w:jc w:val="both"/>
        <w:rPr>
          <w:color w:val="222222"/>
          <w:sz w:val="24"/>
          <w:szCs w:val="24"/>
          <w:highlight w:val="white"/>
        </w:rPr>
      </w:pPr>
    </w:p>
    <w:p w:rsidR="00214DB4" w:rsidRDefault="00214DB4">
      <w:pPr>
        <w:spacing w:line="480" w:lineRule="auto"/>
      </w:pPr>
    </w:p>
    <w:p w:rsidR="00214DB4" w:rsidRDefault="00214DB4">
      <w:pPr>
        <w:spacing w:line="480" w:lineRule="auto"/>
      </w:pPr>
    </w:p>
    <w:p w:rsidR="00214DB4" w:rsidRDefault="00214DB4">
      <w:pPr>
        <w:spacing w:line="480" w:lineRule="auto"/>
      </w:pPr>
    </w:p>
    <w:sectPr w:rsidR="00214DB4">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B4"/>
    <w:rsid w:val="00214DB4"/>
    <w:rsid w:val="00FC2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E884"/>
  <w15:docId w15:val="{C5954190-E728-46E7-B475-55EC8131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df.usaid.gov/pdf_docs/pnabs541.pdf" TargetMode="External"/><Relationship Id="rId4" Type="http://schemas.openxmlformats.org/officeDocument/2006/relationships/hyperlink" Target="https://www.theguardian.com/commentisfree/2012/dec/23/lost-faith-in-rituals-not-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2436</Words>
  <Characters>13890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 Lennon</dc:creator>
  <cp:lastModifiedBy>Declan Lennon</cp:lastModifiedBy>
  <cp:revision>2</cp:revision>
  <dcterms:created xsi:type="dcterms:W3CDTF">2018-03-17T21:27:00Z</dcterms:created>
  <dcterms:modified xsi:type="dcterms:W3CDTF">2018-03-17T21:27:00Z</dcterms:modified>
</cp:coreProperties>
</file>