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EBD8CA" w14:textId="64437465" w:rsidR="007160C6" w:rsidRDefault="00751AA9" w:rsidP="00751AA9">
      <w:pPr>
        <w:spacing w:line="360" w:lineRule="auto"/>
        <w:rPr>
          <w:rFonts w:ascii="Times New Roman" w:eastAsia="Times New Roman" w:hAnsi="Times New Roman" w:cs="Times New Roman"/>
          <w:b/>
          <w:sz w:val="32"/>
          <w:szCs w:val="32"/>
        </w:rPr>
      </w:pPr>
      <w:r w:rsidRPr="00751AA9">
        <w:rPr>
          <w:rFonts w:ascii="Times New Roman" w:eastAsia="Times New Roman" w:hAnsi="Times New Roman" w:cs="Times New Roman"/>
          <w:b/>
          <w:noProof/>
          <w:sz w:val="32"/>
          <w:szCs w:val="32"/>
        </w:rPr>
        <mc:AlternateContent>
          <mc:Choice Requires="wps">
            <w:drawing>
              <wp:anchor distT="45720" distB="45720" distL="114300" distR="114300" simplePos="0" relativeHeight="251659264" behindDoc="0" locked="0" layoutInCell="1" allowOverlap="1" wp14:anchorId="7646B97E" wp14:editId="654FAC87">
                <wp:simplePos x="0" y="0"/>
                <wp:positionH relativeFrom="column">
                  <wp:posOffset>-312420</wp:posOffset>
                </wp:positionH>
                <wp:positionV relativeFrom="paragraph">
                  <wp:posOffset>0</wp:posOffset>
                </wp:positionV>
                <wp:extent cx="2360930" cy="1404620"/>
                <wp:effectExtent l="0" t="0" r="381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EA3E797" w14:textId="1F927FDD" w:rsidR="00751AA9" w:rsidRDefault="00751AA9">
                            <w:r w:rsidRPr="00751AA9">
                              <w:drawing>
                                <wp:inline distT="0" distB="0" distL="0" distR="0" wp14:anchorId="1B9CB809" wp14:editId="067A5EC6">
                                  <wp:extent cx="2080260" cy="1021080"/>
                                  <wp:effectExtent l="0" t="0" r="0" b="7620"/>
                                  <wp:docPr id="115155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0260" cy="1021080"/>
                                          </a:xfrm>
                                          <a:prstGeom prst="rect">
                                            <a:avLst/>
                                          </a:prstGeom>
                                          <a:noFill/>
                                          <a:ln>
                                            <a:noFill/>
                                          </a:ln>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7646B97E" id="_x0000_t202" coordsize="21600,21600" o:spt="202" path="m,l,21600r21600,l21600,xe">
                <v:stroke joinstyle="miter"/>
                <v:path gradientshapeok="t" o:connecttype="rect"/>
              </v:shapetype>
              <v:shape id="Text Box 2" o:spid="_x0000_s1026" type="#_x0000_t202" style="position:absolute;margin-left:-24.6pt;margin-top:0;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" stroked="f">
                <v:textbox style="mso-fit-shape-to-text:t">
                  <w:txbxContent>
                    <w:p w14:paraId="5EA3E797" w14:textId="1F927FDD" w:rsidR="00751AA9" w:rsidRDefault="00751AA9">
                      <w:r w:rsidRPr="00751AA9">
                        <w:drawing>
                          <wp:inline distT="0" distB="0" distL="0" distR="0" wp14:anchorId="1B9CB809" wp14:editId="067A5EC6">
                            <wp:extent cx="2080260" cy="1021080"/>
                            <wp:effectExtent l="0" t="0" r="0" b="7620"/>
                            <wp:docPr id="115155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0260" cy="1021080"/>
                                    </a:xfrm>
                                    <a:prstGeom prst="rect">
                                      <a:avLst/>
                                    </a:prstGeom>
                                    <a:noFill/>
                                    <a:ln>
                                      <a:noFill/>
                                    </a:ln>
                                  </pic:spPr>
                                </pic:pic>
                              </a:graphicData>
                            </a:graphic>
                          </wp:inline>
                        </w:drawing>
                      </w:r>
                    </w:p>
                  </w:txbxContent>
                </v:textbox>
                <w10:wrap type="square"/>
              </v:shape>
            </w:pict>
          </mc:Fallback>
        </mc:AlternateContent>
      </w:r>
    </w:p>
    <w:p w14:paraId="728D2A6B" w14:textId="258500D0" w:rsidR="00751AA9" w:rsidRDefault="00751AA9" w:rsidP="00751AA9">
      <w:pPr>
        <w:spacing w:line="360" w:lineRule="auto"/>
        <w:rPr>
          <w:rFonts w:ascii="Times New Roman" w:eastAsia="Times New Roman" w:hAnsi="Times New Roman" w:cs="Times New Roman"/>
          <w:b/>
          <w:sz w:val="32"/>
          <w:szCs w:val="32"/>
        </w:rPr>
      </w:pPr>
    </w:p>
    <w:p w14:paraId="413A5B8D" w14:textId="77777777" w:rsidR="00751AA9" w:rsidRDefault="00751AA9" w:rsidP="00751AA9">
      <w:pPr>
        <w:spacing w:line="360" w:lineRule="auto"/>
        <w:rPr>
          <w:rFonts w:ascii="Times New Roman" w:eastAsia="Times New Roman" w:hAnsi="Times New Roman" w:cs="Times New Roman"/>
          <w:b/>
          <w:sz w:val="32"/>
          <w:szCs w:val="32"/>
        </w:rPr>
      </w:pPr>
    </w:p>
    <w:p w14:paraId="3233FECA" w14:textId="77777777" w:rsidR="00751AA9" w:rsidRDefault="00751AA9" w:rsidP="00751AA9">
      <w:pPr>
        <w:spacing w:line="360" w:lineRule="auto"/>
        <w:rPr>
          <w:rFonts w:ascii="Times New Roman" w:eastAsia="Times New Roman" w:hAnsi="Times New Roman" w:cs="Times New Roman"/>
          <w:b/>
          <w:sz w:val="32"/>
          <w:szCs w:val="32"/>
        </w:rPr>
      </w:pPr>
    </w:p>
    <w:p w14:paraId="2C36F579" w14:textId="0C70800C" w:rsidR="00751AA9" w:rsidRDefault="00751AA9" w:rsidP="00751AA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Business Management</w:t>
      </w:r>
    </w:p>
    <w:p w14:paraId="1F9F9EDC" w14:textId="11924C43" w:rsidR="00751AA9" w:rsidRDefault="00751AA9" w:rsidP="00751AA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1 </w:t>
      </w:r>
    </w:p>
    <w:p w14:paraId="509281C7" w14:textId="4E0F4884" w:rsidR="00751AA9" w:rsidRDefault="00751AA9" w:rsidP="00751AA9">
      <w:pPr>
        <w:spacing w:line="360" w:lineRule="auto"/>
        <w:rPr>
          <w:rFonts w:ascii="Times New Roman" w:eastAsia="Times New Roman" w:hAnsi="Times New Roman" w:cs="Times New Roman"/>
          <w:b/>
          <w:sz w:val="32"/>
          <w:szCs w:val="32"/>
        </w:rPr>
      </w:pPr>
    </w:p>
    <w:p w14:paraId="7AA3ABEB" w14:textId="77777777" w:rsidR="00751AA9" w:rsidRDefault="00751AA9" w:rsidP="00751AA9">
      <w:pPr>
        <w:spacing w:line="360" w:lineRule="auto"/>
        <w:rPr>
          <w:rFonts w:ascii="Times New Roman" w:eastAsia="Times New Roman" w:hAnsi="Times New Roman" w:cs="Times New Roman"/>
          <w:b/>
          <w:sz w:val="32"/>
          <w:szCs w:val="32"/>
        </w:rPr>
      </w:pPr>
    </w:p>
    <w:p w14:paraId="552CFE34" w14:textId="77777777" w:rsidR="00751AA9" w:rsidRDefault="00751AA9" w:rsidP="00751AA9">
      <w:pPr>
        <w:spacing w:line="360" w:lineRule="auto"/>
        <w:rPr>
          <w:rFonts w:ascii="Times New Roman" w:eastAsia="Times New Roman" w:hAnsi="Times New Roman" w:cs="Times New Roman"/>
          <w:b/>
          <w:sz w:val="32"/>
          <w:szCs w:val="32"/>
        </w:rPr>
      </w:pPr>
    </w:p>
    <w:p w14:paraId="136F805A" w14:textId="77777777" w:rsidR="00751AA9" w:rsidRDefault="00751AA9" w:rsidP="00751AA9">
      <w:pPr>
        <w:spacing w:line="360" w:lineRule="auto"/>
        <w:rPr>
          <w:rFonts w:ascii="Times New Roman" w:eastAsia="Times New Roman" w:hAnsi="Times New Roman" w:cs="Times New Roman"/>
          <w:b/>
          <w:sz w:val="32"/>
          <w:szCs w:val="32"/>
        </w:rPr>
      </w:pPr>
    </w:p>
    <w:p w14:paraId="1F607100" w14:textId="52BBF3DF" w:rsidR="00751AA9" w:rsidRDefault="00751AA9" w:rsidP="00751AA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r w:rsidRPr="00751AA9">
        <w:rPr>
          <w:rFonts w:ascii="Times New Roman" w:eastAsia="Times New Roman" w:hAnsi="Times New Roman" w:cs="Times New Roman"/>
          <w:bCs/>
          <w:sz w:val="32"/>
          <w:szCs w:val="32"/>
        </w:rPr>
        <w:t>International Business Communications</w:t>
      </w:r>
      <w:r>
        <w:rPr>
          <w:rFonts w:ascii="Times New Roman" w:eastAsia="Times New Roman" w:hAnsi="Times New Roman" w:cs="Times New Roman"/>
          <w:b/>
          <w:sz w:val="32"/>
          <w:szCs w:val="32"/>
        </w:rPr>
        <w:t xml:space="preserve"> </w:t>
      </w:r>
    </w:p>
    <w:p w14:paraId="77EF48EB" w14:textId="63F0302C" w:rsidR="00751AA9" w:rsidRDefault="00751AA9" w:rsidP="00751AA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Code: </w:t>
      </w:r>
      <w:r w:rsidRPr="00751AA9">
        <w:rPr>
          <w:rFonts w:ascii="Times New Roman" w:eastAsia="Times New Roman" w:hAnsi="Times New Roman" w:cs="Times New Roman"/>
          <w:bCs/>
          <w:sz w:val="32"/>
          <w:szCs w:val="32"/>
        </w:rPr>
        <w:t>LCBB6001</w:t>
      </w:r>
    </w:p>
    <w:p w14:paraId="2DBEA8D3" w14:textId="2FF850E0" w:rsidR="00751AA9" w:rsidRDefault="00751AA9" w:rsidP="00751AA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r w:rsidRPr="00751AA9">
        <w:rPr>
          <w:rFonts w:ascii="Times New Roman" w:eastAsia="Times New Roman" w:hAnsi="Times New Roman" w:cs="Times New Roman"/>
          <w:bCs/>
          <w:sz w:val="32"/>
          <w:szCs w:val="32"/>
        </w:rPr>
        <w:t>Dr Alfred Mensah</w:t>
      </w:r>
      <w:r>
        <w:rPr>
          <w:rFonts w:ascii="Times New Roman" w:eastAsia="Times New Roman" w:hAnsi="Times New Roman" w:cs="Times New Roman"/>
          <w:b/>
          <w:sz w:val="32"/>
          <w:szCs w:val="32"/>
        </w:rPr>
        <w:t xml:space="preserve"> </w:t>
      </w:r>
    </w:p>
    <w:p w14:paraId="1713A77E" w14:textId="1091AB1B" w:rsidR="00751AA9" w:rsidRPr="00751AA9" w:rsidRDefault="00751AA9" w:rsidP="00751AA9">
      <w:pPr>
        <w:spacing w:line="360" w:lineRule="auto"/>
        <w:rPr>
          <w:rFonts w:ascii="Times New Roman" w:eastAsia="Times New Roman" w:hAnsi="Times New Roman" w:cs="Times New Roman"/>
          <w:bCs/>
          <w:sz w:val="32"/>
          <w:szCs w:val="32"/>
        </w:rPr>
      </w:pPr>
      <w:r>
        <w:rPr>
          <w:rFonts w:ascii="Times New Roman" w:eastAsia="Times New Roman" w:hAnsi="Times New Roman" w:cs="Times New Roman"/>
          <w:b/>
          <w:sz w:val="32"/>
          <w:szCs w:val="32"/>
        </w:rPr>
        <w:t xml:space="preserve">Name: </w:t>
      </w:r>
      <w:r>
        <w:rPr>
          <w:rFonts w:ascii="Times New Roman" w:eastAsia="Times New Roman" w:hAnsi="Times New Roman" w:cs="Times New Roman"/>
          <w:bCs/>
          <w:sz w:val="32"/>
          <w:szCs w:val="32"/>
        </w:rPr>
        <w:t xml:space="preserve">Kremena Terzieva </w:t>
      </w:r>
    </w:p>
    <w:p w14:paraId="63129EA1" w14:textId="615EC631" w:rsidR="00751AA9" w:rsidRPr="00751AA9" w:rsidRDefault="00751AA9" w:rsidP="00751AA9">
      <w:pPr>
        <w:spacing w:line="360" w:lineRule="auto"/>
        <w:rPr>
          <w:rFonts w:ascii="Times New Roman" w:eastAsia="Times New Roman" w:hAnsi="Times New Roman" w:cs="Times New Roman"/>
          <w:bCs/>
          <w:sz w:val="32"/>
          <w:szCs w:val="32"/>
        </w:rPr>
      </w:pPr>
      <w:r>
        <w:rPr>
          <w:rFonts w:ascii="Times New Roman" w:eastAsia="Times New Roman" w:hAnsi="Times New Roman" w:cs="Times New Roman"/>
          <w:b/>
          <w:sz w:val="32"/>
          <w:szCs w:val="32"/>
        </w:rPr>
        <w:t xml:space="preserve">Student ID: </w:t>
      </w:r>
      <w:r>
        <w:rPr>
          <w:rFonts w:ascii="Times New Roman" w:eastAsia="Times New Roman" w:hAnsi="Times New Roman" w:cs="Times New Roman"/>
          <w:bCs/>
          <w:sz w:val="32"/>
          <w:szCs w:val="32"/>
        </w:rPr>
        <w:t>213029</w:t>
      </w:r>
    </w:p>
    <w:p w14:paraId="63DBEF27" w14:textId="77777777" w:rsidR="00751AA9" w:rsidRDefault="00751AA9" w:rsidP="00751AA9">
      <w:pPr>
        <w:spacing w:line="360" w:lineRule="auto"/>
        <w:rPr>
          <w:rFonts w:ascii="Times New Roman" w:eastAsia="Times New Roman" w:hAnsi="Times New Roman" w:cs="Times New Roman"/>
          <w:b/>
          <w:sz w:val="32"/>
          <w:szCs w:val="32"/>
        </w:rPr>
      </w:pPr>
    </w:p>
    <w:p w14:paraId="52EEE6A9" w14:textId="77777777" w:rsidR="00751AA9" w:rsidRDefault="00751AA9" w:rsidP="00751AA9">
      <w:pPr>
        <w:spacing w:line="360" w:lineRule="auto"/>
        <w:rPr>
          <w:rFonts w:ascii="Times New Roman" w:eastAsia="Times New Roman" w:hAnsi="Times New Roman" w:cs="Times New Roman"/>
          <w:b/>
          <w:sz w:val="32"/>
          <w:szCs w:val="32"/>
        </w:rPr>
      </w:pPr>
    </w:p>
    <w:p w14:paraId="3AE01483" w14:textId="77777777" w:rsidR="00751AA9" w:rsidRDefault="00751AA9" w:rsidP="00751AA9">
      <w:pPr>
        <w:spacing w:line="360" w:lineRule="auto"/>
        <w:rPr>
          <w:rFonts w:ascii="Times New Roman" w:eastAsia="Times New Roman" w:hAnsi="Times New Roman" w:cs="Times New Roman"/>
          <w:b/>
          <w:sz w:val="32"/>
          <w:szCs w:val="32"/>
        </w:rPr>
      </w:pPr>
    </w:p>
    <w:p w14:paraId="5B3EE362" w14:textId="77777777" w:rsidR="00751AA9" w:rsidRDefault="00751AA9" w:rsidP="00751AA9">
      <w:pPr>
        <w:spacing w:line="360" w:lineRule="auto"/>
        <w:rPr>
          <w:rFonts w:ascii="Times New Roman" w:eastAsia="Times New Roman" w:hAnsi="Times New Roman" w:cs="Times New Roman"/>
          <w:b/>
          <w:sz w:val="32"/>
          <w:szCs w:val="32"/>
        </w:rPr>
      </w:pPr>
    </w:p>
    <w:p w14:paraId="7CAA7B58" w14:textId="7DA35D71" w:rsidR="00751AA9" w:rsidRDefault="00751AA9" w:rsidP="00751AA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SUBMITTED ON THE </w:t>
      </w:r>
      <w:r w:rsidR="0088350E">
        <w:rPr>
          <w:rFonts w:ascii="Times New Roman" w:eastAsia="Times New Roman" w:hAnsi="Times New Roman" w:cs="Times New Roman"/>
          <w:b/>
          <w:sz w:val="32"/>
          <w:szCs w:val="32"/>
        </w:rPr>
        <w:t>30</w:t>
      </w:r>
      <w:r w:rsidR="0088350E" w:rsidRPr="0088350E">
        <w:rPr>
          <w:rFonts w:ascii="Times New Roman" w:eastAsia="Times New Roman" w:hAnsi="Times New Roman" w:cs="Times New Roman"/>
          <w:b/>
          <w:sz w:val="32"/>
          <w:szCs w:val="32"/>
          <w:vertAlign w:val="superscript"/>
        </w:rPr>
        <w:t>TH</w:t>
      </w:r>
      <w:r w:rsidR="0088350E">
        <w:rPr>
          <w:rFonts w:ascii="Times New Roman" w:eastAsia="Times New Roman" w:hAnsi="Times New Roman" w:cs="Times New Roman"/>
          <w:b/>
          <w:sz w:val="32"/>
          <w:szCs w:val="32"/>
        </w:rPr>
        <w:t xml:space="preserve"> OF AUGUST 2024</w:t>
      </w:r>
    </w:p>
    <w:p w14:paraId="5A0D108E" w14:textId="77777777" w:rsidR="00751AA9" w:rsidRDefault="00751AA9" w:rsidP="00751AA9">
      <w:pPr>
        <w:spacing w:line="360" w:lineRule="auto"/>
        <w:rPr>
          <w:rFonts w:ascii="Times New Roman" w:eastAsia="Times New Roman" w:hAnsi="Times New Roman" w:cs="Times New Roman"/>
          <w:b/>
          <w:sz w:val="32"/>
          <w:szCs w:val="32"/>
        </w:rPr>
      </w:pPr>
    </w:p>
    <w:p w14:paraId="5329B55C" w14:textId="77777777" w:rsidR="00751AA9" w:rsidRDefault="00751AA9" w:rsidP="00751AA9">
      <w:pPr>
        <w:spacing w:line="360" w:lineRule="auto"/>
        <w:rPr>
          <w:rFonts w:ascii="Times New Roman" w:eastAsia="Times New Roman" w:hAnsi="Times New Roman" w:cs="Times New Roman"/>
          <w:b/>
          <w:sz w:val="32"/>
          <w:szCs w:val="32"/>
        </w:rPr>
      </w:pPr>
    </w:p>
    <w:p w14:paraId="2882D7C8" w14:textId="77777777" w:rsidR="00751AA9" w:rsidRDefault="00751AA9">
      <w:pPr>
        <w:spacing w:line="360" w:lineRule="auto"/>
        <w:jc w:val="both"/>
        <w:rPr>
          <w:rFonts w:ascii="Times New Roman" w:eastAsia="Times New Roman" w:hAnsi="Times New Roman" w:cs="Times New Roman"/>
          <w:b/>
          <w:sz w:val="32"/>
          <w:szCs w:val="32"/>
        </w:rPr>
      </w:pPr>
      <w:bookmarkStart w:id="0" w:name="_50qehqlwoslp" w:colFirst="0" w:colLast="0"/>
      <w:bookmarkEnd w:id="0"/>
    </w:p>
    <w:p w14:paraId="276B4093" w14:textId="7A479DEF"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International business communication is the development and sharing of information with the help of verbal and non-verbal messages in international settings. Communication is significant in international business to build trust, understanding and cooperation among the different stakeholders. It also enhances customer satisfaction by supporting the solutions to cultural norms improves collaboration, and also innovation through supporting different perspectives. It also reduces costs and risks by ensuring clear, consistent messages and complications with local complexities. Therefore, overcoming language barriers and cultural differences through basic language skills, cultural awareness, and clear language supports successful international interactions. It ensures business operations that help to run the business swiftly and effectively across borders. </w:t>
      </w:r>
    </w:p>
    <w:p w14:paraId="589902F8"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Verbal agreements are also confirmed in writing to maintain clarity and records. Hierarchies in businesses are flattening and promoting calculated risk-taking and innovation. Moreover, communication is predominantly written and also maintains professionalism even in casual interactions. Phone etiquette mainly involves stating the name and greetings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rather than a personal name. This approach understood the significance of procedural correctness and professionalism in British business relationships. </w:t>
      </w:r>
    </w:p>
    <w:p w14:paraId="0113CD72"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purpose of the essay is to develop a business report for the </w:t>
      </w:r>
      <w:proofErr w:type="spellStart"/>
      <w:r>
        <w:rPr>
          <w:rFonts w:ascii="Times New Roman" w:eastAsia="Times New Roman" w:hAnsi="Times New Roman" w:cs="Times New Roman"/>
          <w:sz w:val="24"/>
          <w:szCs w:val="24"/>
        </w:rPr>
        <w:t>Waterstonre</w:t>
      </w:r>
      <w:proofErr w:type="spellEnd"/>
      <w:r>
        <w:rPr>
          <w:rFonts w:ascii="Times New Roman" w:eastAsia="Times New Roman" w:hAnsi="Times New Roman" w:cs="Times New Roman"/>
          <w:sz w:val="24"/>
          <w:szCs w:val="24"/>
        </w:rPr>
        <w:t xml:space="preserve"> company. Waterstone company is a British book retailer that mainly operates 211 shops in the UK.  This essay provides a potential EU-based country for future business expansion. In this case, firstly, different cultural backgrounds of the country, like UK and Germany, are discussed. Moreover, cultural differences like language and possible risks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Based on this information it is recommended that the Waterstone company should expand in Germany. </w:t>
      </w:r>
    </w:p>
    <w:p w14:paraId="4CCEBFE5" w14:textId="77777777" w:rsidR="007160C6" w:rsidRDefault="003F7E1D">
      <w:pPr>
        <w:spacing w:line="360" w:lineRule="auto"/>
        <w:jc w:val="both"/>
        <w:rPr>
          <w:rFonts w:ascii="Times New Roman" w:eastAsia="Times New Roman" w:hAnsi="Times New Roman" w:cs="Times New Roman"/>
          <w:sz w:val="24"/>
          <w:szCs w:val="24"/>
        </w:rPr>
      </w:pPr>
      <w:bookmarkStart w:id="1" w:name="_tv9x4xx0x24e" w:colFirst="0" w:colLast="0"/>
      <w:bookmarkEnd w:id="1"/>
      <w:r>
        <w:rPr>
          <w:rFonts w:ascii="Times New Roman" w:eastAsia="Times New Roman" w:hAnsi="Times New Roman" w:cs="Times New Roman"/>
          <w:sz w:val="24"/>
          <w:szCs w:val="24"/>
        </w:rPr>
        <w:t xml:space="preserve">Waterstone is one of the most popular British book retailers in the UK founded in 1982 by Tim Waters One. It was </w:t>
      </w:r>
      <w:proofErr w:type="spellStart"/>
      <w:r>
        <w:rPr>
          <w:rFonts w:ascii="Times New Roman" w:eastAsia="Times New Roman" w:hAnsi="Times New Roman" w:cs="Times New Roman"/>
          <w:sz w:val="24"/>
          <w:szCs w:val="24"/>
        </w:rPr>
        <w:t>revolutionised</w:t>
      </w:r>
      <w:proofErr w:type="spellEnd"/>
      <w:r>
        <w:rPr>
          <w:rFonts w:ascii="Times New Roman" w:eastAsia="Times New Roman" w:hAnsi="Times New Roman" w:cs="Times New Roman"/>
          <w:sz w:val="24"/>
          <w:szCs w:val="24"/>
        </w:rPr>
        <w:t xml:space="preserve"> British bookselling with its literary range, author events, and iconic bookshops (Waterstone, 2024). Under CEO James Daunt, Waterstones flourish despite online competition and the rise of </w:t>
      </w:r>
      <w:proofErr w:type="spellStart"/>
      <w:r>
        <w:rPr>
          <w:rFonts w:ascii="Times New Roman" w:eastAsia="Times New Roman" w:hAnsi="Times New Roman" w:cs="Times New Roman"/>
          <w:sz w:val="24"/>
          <w:szCs w:val="24"/>
        </w:rPr>
        <w:t>eReaders</w:t>
      </w:r>
      <w:proofErr w:type="spellEnd"/>
      <w:r>
        <w:rPr>
          <w:rFonts w:ascii="Times New Roman" w:eastAsia="Times New Roman" w:hAnsi="Times New Roman" w:cs="Times New Roman"/>
          <w:sz w:val="24"/>
          <w:szCs w:val="24"/>
        </w:rPr>
        <w:t xml:space="preserve">. The company operates over 290 locations across the UK, Ireland, and Europe, continually expanding with new bookshop openings (Waterstone, 2024). Waterstones mirrors the in-store experience that showcases bookseller expertise. The Waterstones Debut Fiction Prize and Children's Book Prize also show new and established talents, whereas the Waterstones Book of the Year celebrates beloved titles (Waterstone, 2024). Besides the books, different Waterstones locations featuring Café W mainly offered sustainably sourced coffee, plush </w:t>
      </w:r>
      <w:r>
        <w:rPr>
          <w:rFonts w:ascii="Times New Roman" w:eastAsia="Times New Roman" w:hAnsi="Times New Roman" w:cs="Times New Roman"/>
          <w:sz w:val="24"/>
          <w:szCs w:val="24"/>
        </w:rPr>
        <w:lastRenderedPageBreak/>
        <w:t xml:space="preserve">toys, gifts, and a growing games range (Waterstone, 2024). The events program and literary festivals of the company bring readers closer to authors. Customers can join Waterstones Plus, a rewards program that also offers member benefits and earning opportunities. Waterstones remains a cultural hub, blending traditional bookselling with modern innovations. In 2022, the overall revenue of the Waterstone company is near about 400 </w:t>
      </w:r>
      <w:proofErr w:type="gramStart"/>
      <w:r>
        <w:rPr>
          <w:rFonts w:ascii="Times New Roman" w:eastAsia="Times New Roman" w:hAnsi="Times New Roman" w:cs="Times New Roman"/>
          <w:sz w:val="24"/>
          <w:szCs w:val="24"/>
        </w:rPr>
        <w:t>Million</w:t>
      </w:r>
      <w:proofErr w:type="gramEnd"/>
      <w:r>
        <w:rPr>
          <w:rFonts w:ascii="Times New Roman" w:eastAsia="Times New Roman" w:hAnsi="Times New Roman" w:cs="Times New Roman"/>
          <w:sz w:val="24"/>
          <w:szCs w:val="24"/>
        </w:rPr>
        <w:t xml:space="preserve"> British Pound (</w:t>
      </w:r>
      <w:proofErr w:type="spellStart"/>
      <w:r>
        <w:rPr>
          <w:rFonts w:ascii="Times New Roman" w:eastAsia="Times New Roman" w:hAnsi="Times New Roman" w:cs="Times New Roman"/>
          <w:sz w:val="24"/>
          <w:szCs w:val="24"/>
        </w:rPr>
        <w:t>Sabanoglu</w:t>
      </w:r>
      <w:proofErr w:type="spellEnd"/>
      <w:r>
        <w:rPr>
          <w:rFonts w:ascii="Times New Roman" w:eastAsia="Times New Roman" w:hAnsi="Times New Roman" w:cs="Times New Roman"/>
          <w:sz w:val="24"/>
          <w:szCs w:val="24"/>
        </w:rPr>
        <w:t xml:space="preserve">, 2023). </w:t>
      </w:r>
    </w:p>
    <w:p w14:paraId="32A48EC8" w14:textId="77777777" w:rsidR="007160C6" w:rsidRDefault="003F7E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777DC033" wp14:editId="4B2380B1">
            <wp:extent cx="4371238" cy="2819400"/>
            <wp:effectExtent l="19050" t="19050" r="10795" b="1905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4376636" cy="2822881"/>
                    </a:xfrm>
                    <a:prstGeom prst="rect">
                      <a:avLst/>
                    </a:prstGeom>
                    <a:ln w="25400">
                      <a:solidFill>
                        <a:srgbClr val="000000"/>
                      </a:solidFill>
                      <a:prstDash val="solid"/>
                    </a:ln>
                  </pic:spPr>
                </pic:pic>
              </a:graphicData>
            </a:graphic>
          </wp:inline>
        </w:drawing>
      </w:r>
    </w:p>
    <w:p w14:paraId="6E065948" w14:textId="77777777" w:rsidR="007160C6" w:rsidRDefault="003F7E1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Revenue of Waterstone</w:t>
      </w:r>
    </w:p>
    <w:p w14:paraId="049C1C11" w14:textId="77777777" w:rsidR="007160C6" w:rsidRDefault="003F7E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Sabanoglu</w:t>
      </w:r>
      <w:proofErr w:type="spellEnd"/>
      <w:r>
        <w:rPr>
          <w:rFonts w:ascii="Times New Roman" w:eastAsia="Times New Roman" w:hAnsi="Times New Roman" w:cs="Times New Roman"/>
          <w:sz w:val="24"/>
          <w:szCs w:val="24"/>
        </w:rPr>
        <w:t>, 2023)</w:t>
      </w:r>
    </w:p>
    <w:p w14:paraId="73ED63DB" w14:textId="77777777" w:rsidR="007160C6" w:rsidRDefault="003F7E1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Waterstone Financial, Inc. closed at $14.68, which reflects a 2.30% increase. The stock's 52-week range is $9.62 to $15.07, with a market cap of $288.37 million (Yahoo Finance, 2023). It has a PE ratio of 28.23 and an EPS of $0.52 (Yahoo Finance, 2023). The company declared a quarterly cash dividend of $0.15 per share, payable in 2024, to shareholders of record on July 8, 2024, resulting in a forward dividend yield of 4.09% (Yahoo Finance, 2023). The average trading volume is 45,536, while the recent volume was 28,566 (Yahoo Finance, 2023).</w:t>
      </w:r>
    </w:p>
    <w:p w14:paraId="4A4CC2F3" w14:textId="77777777" w:rsidR="00B842EB" w:rsidRDefault="00B842EB">
      <w:pPr>
        <w:spacing w:line="360" w:lineRule="auto"/>
        <w:jc w:val="both"/>
        <w:rPr>
          <w:rFonts w:ascii="Times New Roman" w:eastAsia="Times New Roman" w:hAnsi="Times New Roman" w:cs="Times New Roman"/>
          <w:sz w:val="24"/>
          <w:szCs w:val="24"/>
        </w:rPr>
      </w:pPr>
      <w:bookmarkStart w:id="2" w:name="_jf5nq9j1h94d" w:colFirst="0" w:colLast="0"/>
      <w:bookmarkEnd w:id="2"/>
    </w:p>
    <w:p w14:paraId="6BB65983" w14:textId="2A48EA2E"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Germany is Europe's largest economy and a key player in global business. In 2024, the total population of Germany is 83,249,811 (</w:t>
      </w:r>
      <w:proofErr w:type="spellStart"/>
      <w:r>
        <w:rPr>
          <w:rFonts w:ascii="Times New Roman" w:eastAsia="Times New Roman" w:hAnsi="Times New Roman" w:cs="Times New Roman"/>
          <w:sz w:val="24"/>
          <w:szCs w:val="24"/>
        </w:rPr>
        <w:t>Worldometer</w:t>
      </w:r>
      <w:proofErr w:type="spellEnd"/>
      <w:r>
        <w:rPr>
          <w:rFonts w:ascii="Times New Roman" w:eastAsia="Times New Roman" w:hAnsi="Times New Roman" w:cs="Times New Roman"/>
          <w:sz w:val="24"/>
          <w:szCs w:val="24"/>
        </w:rPr>
        <w:t>, 2023). The official language is German, and English is widely spoken in business settings.</w:t>
      </w:r>
    </w:p>
    <w:p w14:paraId="4D94F897"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Economically, Germany is the world's fourth-largest economy and the largest in the European Union,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a highly developed service sector and a strong manufacturing base, particularly in automotive and engineering. In 2023, Germany's unemployment rate reached a low </w:t>
      </w:r>
      <w:r>
        <w:rPr>
          <w:rFonts w:ascii="Times New Roman" w:eastAsia="Times New Roman" w:hAnsi="Times New Roman" w:cs="Times New Roman"/>
          <w:sz w:val="24"/>
          <w:szCs w:val="24"/>
        </w:rPr>
        <w:lastRenderedPageBreak/>
        <w:t>of 3.01%, reflecting a highly skilled and stable workforce (</w:t>
      </w:r>
      <w:proofErr w:type="spellStart"/>
      <w:proofErr w:type="gramStart"/>
      <w:r>
        <w:t>O”Neill</w:t>
      </w:r>
      <w:proofErr w:type="spellEnd"/>
      <w:proofErr w:type="gramEnd"/>
      <w:r>
        <w:t>, 2024</w:t>
      </w:r>
      <w:r>
        <w:rPr>
          <w:rFonts w:ascii="Times New Roman" w:eastAsia="Times New Roman" w:hAnsi="Times New Roman" w:cs="Times New Roman"/>
          <w:sz w:val="24"/>
          <w:szCs w:val="24"/>
        </w:rPr>
        <w:t>). In 2022, Germany's nominal GDP was 3.9 trillion euros, positioning it as the world's fourth-largest economy (Davies, 2024). With a GDP per capita nearing 50,000 U.S. dollars, Germany ranks in the top 10% of countries globally (Davies, 2024).</w:t>
      </w:r>
    </w:p>
    <w:p w14:paraId="67119863" w14:textId="77777777" w:rsidR="007160C6" w:rsidRDefault="003F7E1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drawing>
          <wp:inline distT="114300" distB="114300" distL="114300" distR="114300" wp14:anchorId="69683818" wp14:editId="0CEF5734">
            <wp:extent cx="3914517" cy="2978150"/>
            <wp:effectExtent l="19050" t="19050" r="1016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919112" cy="2981646"/>
                    </a:xfrm>
                    <a:prstGeom prst="rect">
                      <a:avLst/>
                    </a:prstGeom>
                    <a:ln w="25400">
                      <a:solidFill>
                        <a:srgbClr val="000000"/>
                      </a:solidFill>
                      <a:prstDash val="solid"/>
                    </a:ln>
                  </pic:spPr>
                </pic:pic>
              </a:graphicData>
            </a:graphic>
          </wp:inline>
        </w:drawing>
      </w:r>
    </w:p>
    <w:p w14:paraId="290FFE82" w14:textId="77777777" w:rsidR="007160C6" w:rsidRDefault="003F7E1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Unemployment Rate of Waterstone</w:t>
      </w:r>
    </w:p>
    <w:p w14:paraId="65A39452" w14:textId="77777777" w:rsidR="007160C6" w:rsidRDefault="003F7E1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O’Neill, 2024)</w:t>
      </w:r>
    </w:p>
    <w:p w14:paraId="4F7DF87D"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country is a global leader in technological advancements, particularly in research and development (R&amp;D). In 2021, public and private R&amp;D expenditures reached approximately EUR 113 billion, or 3.1% of GDP. Germany is home to renowned research institutes such as the Max-Planck-Gesellschaft and the Fraunhofer-Gesellschaft, which collaborate extensively with the private sector (GTAI,2024). In 2022, German companies filed 24,684 patent applications, underscoring their commitment to innovation. In terms of business culture, transparency and ethics are paramount (GTAI,2024). </w:t>
      </w:r>
    </w:p>
    <w:p w14:paraId="2EB2A010" w14:textId="77777777" w:rsidR="007160C6" w:rsidRDefault="003F7E1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Corruption is uncommon, and gift-giving is rare. In 2023, Germany scored 78 out of 100 on Transparency International's Corruption Perceptions Index (Trading Economics, 2023). Historically, Germany averaged 79.36 points from 1995 to 2023 (Trading Economics, 2023). German businesses value formal communication, punctuality, and high-quality work. The workforce is known for its loyalty and dedication to producing high-quality products and services. Germany’s well-regulated financial sector welcomes foreign investment, with the U.S. being a </w:t>
      </w:r>
      <w:r>
        <w:rPr>
          <w:rFonts w:ascii="Times New Roman" w:eastAsia="Times New Roman" w:hAnsi="Times New Roman" w:cs="Times New Roman"/>
          <w:sz w:val="24"/>
          <w:szCs w:val="24"/>
        </w:rPr>
        <w:lastRenderedPageBreak/>
        <w:t>significant contributor. In 2021, U.S. foreign direct investment (FDI) in Germany amounted to $170.2 billion, with key sectors including manufacturing, chemicals, information technology, and finance (International Trade, 2023).</w:t>
      </w:r>
    </w:p>
    <w:p w14:paraId="1C5E075F" w14:textId="77777777" w:rsidR="007160C6" w:rsidRDefault="007160C6">
      <w:pPr>
        <w:spacing w:line="360" w:lineRule="auto"/>
        <w:jc w:val="both"/>
        <w:rPr>
          <w:rFonts w:ascii="Times New Roman" w:eastAsia="Times New Roman" w:hAnsi="Times New Roman" w:cs="Times New Roman"/>
          <w:b/>
          <w:sz w:val="24"/>
          <w:szCs w:val="24"/>
        </w:rPr>
      </w:pPr>
      <w:bookmarkStart w:id="3" w:name="_ry9colawxanh" w:colFirst="0" w:colLast="0"/>
      <w:bookmarkEnd w:id="3"/>
    </w:p>
    <w:p w14:paraId="5E4D7A29" w14:textId="77777777" w:rsidR="007160C6" w:rsidRDefault="003F7E1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drawing>
          <wp:inline distT="114300" distB="114300" distL="114300" distR="114300" wp14:anchorId="5FF9A1AD" wp14:editId="2CCA0A95">
            <wp:extent cx="4213860" cy="2660650"/>
            <wp:effectExtent l="19050" t="19050" r="1524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214210" cy="2660871"/>
                    </a:xfrm>
                    <a:prstGeom prst="rect">
                      <a:avLst/>
                    </a:prstGeom>
                    <a:ln w="25400">
                      <a:solidFill>
                        <a:srgbClr val="000000"/>
                      </a:solidFill>
                      <a:prstDash val="solid"/>
                    </a:ln>
                  </pic:spPr>
                </pic:pic>
              </a:graphicData>
            </a:graphic>
          </wp:inline>
        </w:drawing>
      </w:r>
    </w:p>
    <w:p w14:paraId="5D546F01" w14:textId="7BB61347" w:rsidR="007160C6" w:rsidRDefault="00DE44C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w:t>
      </w:r>
      <w:r w:rsidR="003F7E1D">
        <w:rPr>
          <w:rFonts w:ascii="Times New Roman" w:eastAsia="Times New Roman" w:hAnsi="Times New Roman" w:cs="Times New Roman"/>
          <w:b/>
          <w:sz w:val="24"/>
          <w:szCs w:val="24"/>
        </w:rPr>
        <w:t>: Comparison between Germany and UK</w:t>
      </w:r>
    </w:p>
    <w:p w14:paraId="0B3359BA" w14:textId="77777777" w:rsidR="007160C6" w:rsidRDefault="003F7E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Hofstede-insights, 2024)</w:t>
      </w:r>
    </w:p>
    <w:p w14:paraId="4C05D850" w14:textId="115D520B"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Hofstede cultural model is mainly used to distinguish between different national cultures and cultural dimensions and also their impacts on business settings. According to, Hofstede's cultural model, Germany's diverse workforce, influenced by historical immigration, reflects an inclusive approach supported by the German Diversity Charter since 2006. With over 22 million immigrants and 100,000 </w:t>
      </w:r>
      <w:proofErr w:type="spellStart"/>
      <w:r>
        <w:rPr>
          <w:rFonts w:ascii="Times New Roman" w:eastAsia="Times New Roman" w:hAnsi="Times New Roman" w:cs="Times New Roman"/>
          <w:sz w:val="24"/>
          <w:szCs w:val="24"/>
        </w:rPr>
        <w:t>naturalised</w:t>
      </w:r>
      <w:proofErr w:type="spellEnd"/>
      <w:r>
        <w:rPr>
          <w:rFonts w:ascii="Times New Roman" w:eastAsia="Times New Roman" w:hAnsi="Times New Roman" w:cs="Times New Roman"/>
          <w:sz w:val="24"/>
          <w:szCs w:val="24"/>
        </w:rPr>
        <w:t xml:space="preserve"> citizens, Germany's low Power Distance (35) fosters a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participative communication style and a strong middle </w:t>
      </w:r>
      <w:r w:rsidR="00DE44CD">
        <w:rPr>
          <w:rFonts w:ascii="Times New Roman" w:eastAsia="Times New Roman" w:hAnsi="Times New Roman" w:cs="Times New Roman"/>
          <w:sz w:val="24"/>
          <w:szCs w:val="24"/>
        </w:rPr>
        <w:t>class (</w:t>
      </w:r>
      <w:r>
        <w:rPr>
          <w:rFonts w:ascii="Times New Roman" w:eastAsia="Times New Roman" w:hAnsi="Times New Roman" w:cs="Times New Roman"/>
          <w:sz w:val="24"/>
          <w:szCs w:val="24"/>
        </w:rPr>
        <w:t>Global People, 2024</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The high Individualism score (79)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self-reliance and direct communication, which are crucial for integrating diverse backgrounds and ensuring clear, honest interactions. </w:t>
      </w:r>
    </w:p>
    <w:p w14:paraId="17484131"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Germany's pragmatic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Orientation (57) supports adaptability and investment in future-oriented strategies, such as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that mainly improves accessibility for people with disabilities. However, the Restrained culture (40) limits leisure and indulgence, indicating a preference for disciplined, socially normative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Understanding these cultural dimensions is essential for effectively managing Germany's diverse workforce and ensuring successful business interactions. Despite progress, women face challenges: only 17.5% hold executive roles, though 73% of women are employed (Statista, 2023).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has improved accessibility for </w:t>
      </w:r>
      <w:r>
        <w:rPr>
          <w:rFonts w:ascii="Times New Roman" w:eastAsia="Times New Roman" w:hAnsi="Times New Roman" w:cs="Times New Roman"/>
          <w:sz w:val="24"/>
          <w:szCs w:val="24"/>
        </w:rPr>
        <w:lastRenderedPageBreak/>
        <w:t>people with disabilities, yet 40% of disabled employees report no change in opportunities (Statista, 2023). The high Uncertainty Avoidance score (65) highlights the importance of detailed, systematic planning and reliance on expertise, which is critical in navigating the regulatory environment and ensuring thorough preparation in business dealings. Potential risks include navigating the regulatory</w:t>
      </w:r>
      <w:r>
        <w:rPr>
          <w:rFonts w:ascii="Times New Roman" w:eastAsia="Times New Roman" w:hAnsi="Times New Roman" w:cs="Times New Roman"/>
          <w:b/>
          <w:i/>
          <w:sz w:val="24"/>
          <w:szCs w:val="24"/>
        </w:rPr>
        <w:t xml:space="preserve"> environment of Germany</w:t>
      </w:r>
      <w:r>
        <w:rPr>
          <w:rFonts w:ascii="Times New Roman" w:eastAsia="Times New Roman" w:hAnsi="Times New Roman" w:cs="Times New Roman"/>
          <w:sz w:val="24"/>
          <w:szCs w:val="24"/>
        </w:rPr>
        <w:t xml:space="preserve"> and adapting to its direct communication style, where clarity and detail are valued (</w:t>
      </w:r>
      <w:r>
        <w:rPr>
          <w:rFonts w:ascii="Times New Roman" w:eastAsia="Times New Roman" w:hAnsi="Times New Roman" w:cs="Times New Roman"/>
          <w:sz w:val="24"/>
          <w:szCs w:val="24"/>
          <w:highlight w:val="white"/>
        </w:rPr>
        <w:t xml:space="preserve">Jonsen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w:t>
      </w:r>
    </w:p>
    <w:p w14:paraId="49F9BD42"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UK,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a relatively low Power Distance (35), values equality and individual liberty despite historical class distinctions. With an Individualism score of 76, </w:t>
      </w:r>
      <w:proofErr w:type="spellStart"/>
      <w:r>
        <w:rPr>
          <w:rFonts w:ascii="Times New Roman" w:eastAsia="Times New Roman" w:hAnsi="Times New Roman" w:cs="Times New Roman"/>
          <w:sz w:val="24"/>
          <w:szCs w:val="24"/>
        </w:rPr>
        <w:t>Britains</w:t>
      </w:r>
      <w:proofErr w:type="spellEnd"/>
      <w:r>
        <w:rPr>
          <w:rFonts w:ascii="Times New Roman" w:eastAsia="Times New Roman" w:hAnsi="Times New Roman" w:cs="Times New Roman"/>
          <w:sz w:val="24"/>
          <w:szCs w:val="24"/>
        </w:rPr>
        <w:t xml:space="preserve"> are highly private and self-reliant, reflecting a society driven by personal achievement and competition (66) (Hofstede-insights, 2024). In the UK, most of the citizens communicate with the English language. Apart from that, Irish, Scottish, and Welsh are another common regional language in the UK (</w:t>
      </w:r>
      <w:r>
        <w:rPr>
          <w:rFonts w:ascii="Times New Roman" w:eastAsia="Times New Roman" w:hAnsi="Times New Roman" w:cs="Times New Roman"/>
          <w:sz w:val="24"/>
          <w:szCs w:val="24"/>
          <w:highlight w:val="white"/>
        </w:rPr>
        <w:t xml:space="preserve">Johnstone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In this country, the culinary tradition varies regionally. In this country, most of the citizens like to take beef, haggis, </w:t>
      </w:r>
      <w:proofErr w:type="spellStart"/>
      <w:r>
        <w:rPr>
          <w:rFonts w:ascii="Times New Roman" w:eastAsia="Times New Roman" w:hAnsi="Times New Roman" w:cs="Times New Roman"/>
          <w:sz w:val="24"/>
          <w:szCs w:val="24"/>
        </w:rPr>
        <w:t>irish</w:t>
      </w:r>
      <w:proofErr w:type="spellEnd"/>
      <w:r>
        <w:rPr>
          <w:rFonts w:ascii="Times New Roman" w:eastAsia="Times New Roman" w:hAnsi="Times New Roman" w:cs="Times New Roman"/>
          <w:sz w:val="24"/>
          <w:szCs w:val="24"/>
        </w:rPr>
        <w:t xml:space="preserve"> stew and so on. Business risks in the UK include </w:t>
      </w:r>
      <w:r>
        <w:rPr>
          <w:rFonts w:ascii="Times New Roman" w:eastAsia="Times New Roman" w:hAnsi="Times New Roman" w:cs="Times New Roman"/>
          <w:b/>
          <w:i/>
          <w:sz w:val="24"/>
          <w:szCs w:val="24"/>
        </w:rPr>
        <w:t>cyber incidents,</w:t>
      </w:r>
      <w:r>
        <w:rPr>
          <w:rFonts w:ascii="Times New Roman" w:eastAsia="Times New Roman" w:hAnsi="Times New Roman" w:cs="Times New Roman"/>
          <w:sz w:val="24"/>
          <w:szCs w:val="24"/>
        </w:rPr>
        <w:t xml:space="preserve"> which top the risk list due to evolving threats like ransomware and phishing. Business interruption, linked to supply chain disruptions, ranks second (Hofstede-insights, 2024).  </w:t>
      </w:r>
    </w:p>
    <w:p w14:paraId="0CDE5942" w14:textId="77777777" w:rsidR="007160C6" w:rsidRDefault="003F7E1D" w:rsidP="00DE44C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021B4A7B" wp14:editId="78D68EBA">
            <wp:extent cx="5441950" cy="1587500"/>
            <wp:effectExtent l="19050" t="19050" r="254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41950" cy="1587500"/>
                    </a:xfrm>
                    <a:prstGeom prst="rect">
                      <a:avLst/>
                    </a:prstGeom>
                    <a:ln w="25400">
                      <a:solidFill>
                        <a:srgbClr val="000000"/>
                      </a:solidFill>
                      <a:prstDash val="solid"/>
                    </a:ln>
                  </pic:spPr>
                </pic:pic>
              </a:graphicData>
            </a:graphic>
          </wp:inline>
        </w:drawing>
      </w:r>
    </w:p>
    <w:p w14:paraId="4912E901" w14:textId="77777777" w:rsidR="007160C6" w:rsidRDefault="003F7E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3: Number of male and female employees in UK</w:t>
      </w:r>
    </w:p>
    <w:p w14:paraId="7581B5C2" w14:textId="77777777" w:rsidR="007160C6" w:rsidRDefault="003F7E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Gov. UK, 2022)</w:t>
      </w:r>
    </w:p>
    <w:p w14:paraId="0C26D0FC"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diversity in UK employees shows that 24% of Home Office staff are from ethnic minorities, with underrepresentation in higher grades. Gender diversity is notable, with women constituting 52% of Home Office staff. Opportunities for women are evident, though their representation varies by grade, with higher numbers in junior roles and notable representation in public safety. Apart from that, in 2023, nearly 89.6% of women employees were employed compared with 83.5% of men (House of Commons Library, 2024).  </w:t>
      </w:r>
    </w:p>
    <w:p w14:paraId="5D86324C" w14:textId="77777777" w:rsidR="007160C6" w:rsidRDefault="003F7E1D">
      <w:pPr>
        <w:spacing w:line="360" w:lineRule="auto"/>
        <w:jc w:val="both"/>
        <w:rPr>
          <w:rFonts w:ascii="Times New Roman" w:eastAsia="Times New Roman" w:hAnsi="Times New Roman" w:cs="Times New Roman"/>
          <w:sz w:val="24"/>
          <w:szCs w:val="24"/>
        </w:rPr>
      </w:pPr>
      <w:bookmarkStart w:id="4" w:name="_wcdhfukoxlmg" w:colFirst="0" w:colLast="0"/>
      <w:bookmarkEnd w:id="4"/>
      <w:r>
        <w:rPr>
          <w:rFonts w:ascii="Times New Roman" w:eastAsia="Times New Roman" w:hAnsi="Times New Roman" w:cs="Times New Roman"/>
          <w:sz w:val="24"/>
          <w:szCs w:val="24"/>
        </w:rPr>
        <w:lastRenderedPageBreak/>
        <w:t xml:space="preserve">British businesses may face communication barriers due to their </w:t>
      </w:r>
      <w:r>
        <w:rPr>
          <w:rFonts w:ascii="Times New Roman" w:eastAsia="Times New Roman" w:hAnsi="Times New Roman" w:cs="Times New Roman"/>
          <w:b/>
          <w:i/>
          <w:sz w:val="24"/>
          <w:szCs w:val="24"/>
        </w:rPr>
        <w:t xml:space="preserve">high culture and indirectness. </w:t>
      </w:r>
      <w:r>
        <w:rPr>
          <w:rFonts w:ascii="Times New Roman" w:eastAsia="Times New Roman" w:hAnsi="Times New Roman" w:cs="Times New Roman"/>
          <w:sz w:val="24"/>
          <w:szCs w:val="24"/>
        </w:rPr>
        <w:t>The British understate their messages to avoid conflict and maintain politeness. It can lead to misunderstandings (</w:t>
      </w:r>
      <w:r>
        <w:rPr>
          <w:rFonts w:ascii="Times New Roman" w:eastAsia="Times New Roman" w:hAnsi="Times New Roman" w:cs="Times New Roman"/>
          <w:sz w:val="24"/>
          <w:szCs w:val="24"/>
          <w:highlight w:val="white"/>
        </w:rPr>
        <w:t xml:space="preserve">Johnstone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For example, the phrase like “I’m not keen on your idea” may be perceived as full rejection. A more explicit critique is needed. This indirect approach contrasts with the low-context, direct style of Germans (</w:t>
      </w:r>
      <w:proofErr w:type="spellStart"/>
      <w:r>
        <w:rPr>
          <w:rFonts w:ascii="Times New Roman" w:eastAsia="Times New Roman" w:hAnsi="Times New Roman" w:cs="Times New Roman"/>
          <w:sz w:val="24"/>
          <w:szCs w:val="24"/>
          <w:highlight w:val="white"/>
        </w:rPr>
        <w:t>Sindermann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Where clarity and structure are </w:t>
      </w:r>
      <w:proofErr w:type="spellStart"/>
      <w:r>
        <w:rPr>
          <w:rFonts w:ascii="Times New Roman" w:eastAsia="Times New Roman" w:hAnsi="Times New Roman" w:cs="Times New Roman"/>
          <w:sz w:val="24"/>
          <w:szCs w:val="24"/>
        </w:rPr>
        <w:t>prioritised</w:t>
      </w:r>
      <w:proofErr w:type="spellEnd"/>
      <w:r>
        <w:rPr>
          <w:rFonts w:ascii="Times New Roman" w:eastAsia="Times New Roman" w:hAnsi="Times New Roman" w:cs="Times New Roman"/>
          <w:sz w:val="24"/>
          <w:szCs w:val="24"/>
        </w:rPr>
        <w:t>, misalignments between these styles can confuse and obstacles effective communication in cross-cultural interactions.</w:t>
      </w:r>
    </w:p>
    <w:p w14:paraId="00447098"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networking is significant in business as it builds relationships and opens opportunities. Using the specific language which is understood by employees in the UK enhances trust, demonstrates </w:t>
      </w:r>
      <w:r>
        <w:rPr>
          <w:rFonts w:ascii="Times New Roman" w:eastAsia="Times New Roman" w:hAnsi="Times New Roman" w:cs="Times New Roman"/>
          <w:b/>
          <w:i/>
          <w:sz w:val="24"/>
          <w:szCs w:val="24"/>
        </w:rPr>
        <w:t>respect and facilitates clearer communication.</w:t>
      </w:r>
      <w:r>
        <w:rPr>
          <w:rFonts w:ascii="Times New Roman" w:eastAsia="Times New Roman" w:hAnsi="Times New Roman" w:cs="Times New Roman"/>
          <w:sz w:val="24"/>
          <w:szCs w:val="24"/>
        </w:rPr>
        <w:t xml:space="preserve"> This approach can lead to better business outcomes and customer satisfaction (</w:t>
      </w:r>
      <w:r>
        <w:rPr>
          <w:rFonts w:ascii="Times New Roman" w:eastAsia="Times New Roman" w:hAnsi="Times New Roman" w:cs="Times New Roman"/>
          <w:sz w:val="24"/>
          <w:szCs w:val="24"/>
          <w:highlight w:val="white"/>
        </w:rPr>
        <w:t xml:space="preserve">Halder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Therefore, when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expands their business in German, then it will be necessary to learn the German language. On the other hand, it requires resources for language skills and cultural training. The disadvantage is mainly understanding potential misunderstandings if </w:t>
      </w:r>
      <w:r>
        <w:rPr>
          <w:rFonts w:ascii="Times New Roman" w:eastAsia="Times New Roman" w:hAnsi="Times New Roman" w:cs="Times New Roman"/>
          <w:b/>
          <w:i/>
          <w:sz w:val="24"/>
          <w:szCs w:val="24"/>
        </w:rPr>
        <w:t>language proficiency</w:t>
      </w:r>
      <w:r>
        <w:rPr>
          <w:rFonts w:ascii="Times New Roman" w:eastAsia="Times New Roman" w:hAnsi="Times New Roman" w:cs="Times New Roman"/>
          <w:sz w:val="24"/>
          <w:szCs w:val="24"/>
        </w:rPr>
        <w:t xml:space="preserve"> is not high. It can impact negotiations negatively (</w:t>
      </w:r>
      <w:r>
        <w:rPr>
          <w:rFonts w:ascii="Times New Roman" w:eastAsia="Times New Roman" w:hAnsi="Times New Roman" w:cs="Times New Roman"/>
          <w:sz w:val="24"/>
          <w:szCs w:val="24"/>
          <w:highlight w:val="white"/>
        </w:rPr>
        <w:t xml:space="preserve">Tam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Moreover, balancing language use with effective cross-cultural communication strategies is necessary for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networking benefits and avoiding miscommunications.</w:t>
      </w:r>
    </w:p>
    <w:p w14:paraId="09401116" w14:textId="77777777" w:rsidR="00B842EB" w:rsidRDefault="00B842EB">
      <w:pPr>
        <w:spacing w:line="360" w:lineRule="auto"/>
        <w:jc w:val="both"/>
        <w:rPr>
          <w:rFonts w:ascii="Times New Roman" w:eastAsia="Times New Roman" w:hAnsi="Times New Roman" w:cs="Times New Roman"/>
          <w:sz w:val="24"/>
          <w:szCs w:val="24"/>
        </w:rPr>
      </w:pPr>
      <w:bookmarkStart w:id="5" w:name="_4krbluz3wgco" w:colFirst="0" w:colLast="0"/>
      <w:bookmarkEnd w:id="5"/>
    </w:p>
    <w:p w14:paraId="027C5FF9" w14:textId="7DDFAEC1"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Germans typically adopt a formal approach in business communication. This formality can be seen in using titles, last names, and structured meetings. For example, American companies sometimes face this challenge when entering the German market (</w:t>
      </w:r>
      <w:r>
        <w:rPr>
          <w:rFonts w:ascii="Times New Roman" w:eastAsia="Times New Roman" w:hAnsi="Times New Roman" w:cs="Times New Roman"/>
          <w:sz w:val="24"/>
          <w:szCs w:val="24"/>
          <w:highlight w:val="white"/>
        </w:rPr>
        <w:t xml:space="preserve">Becker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American business practices, which may be more casual and flexible, clash with the German emphasis on thorough planning and formality (</w:t>
      </w:r>
      <w:r>
        <w:rPr>
          <w:rFonts w:ascii="Times New Roman" w:eastAsia="Times New Roman" w:hAnsi="Times New Roman" w:cs="Times New Roman"/>
          <w:sz w:val="24"/>
          <w:szCs w:val="24"/>
          <w:highlight w:val="white"/>
        </w:rPr>
        <w:t xml:space="preserve">Gerlach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2021</w:t>
      </w:r>
      <w:r>
        <w:rPr>
          <w:rFonts w:ascii="Times New Roman" w:eastAsia="Times New Roman" w:hAnsi="Times New Roman" w:cs="Times New Roman"/>
          <w:sz w:val="24"/>
          <w:szCs w:val="24"/>
        </w:rPr>
        <w:t>). Due to this difference, U.S. tech firms struggled to adapt to Germany’s complications and documentation requirements.</w:t>
      </w:r>
    </w:p>
    <w:p w14:paraId="787A92C5" w14:textId="77777777" w:rsidR="007160C6" w:rsidRDefault="003F7E1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Directness and precision</w:t>
      </w:r>
    </w:p>
    <w:p w14:paraId="115D7C11"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Germans value directness and precision in communication. They like to provide straightforward feedback and expect the same in return. A foreign company accustomed to a more indirect communication style may struggle with this directness (</w:t>
      </w:r>
      <w:r>
        <w:rPr>
          <w:rFonts w:ascii="Times New Roman" w:eastAsia="Times New Roman" w:hAnsi="Times New Roman" w:cs="Times New Roman"/>
          <w:sz w:val="24"/>
          <w:szCs w:val="24"/>
          <w:highlight w:val="white"/>
        </w:rPr>
        <w:t xml:space="preserve">Ghauri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For example, a foreign marketing team might be unprepared for blunt feedback on their campaign strategies. For example, </w:t>
      </w:r>
      <w:r>
        <w:rPr>
          <w:rFonts w:ascii="Times New Roman" w:eastAsia="Times New Roman" w:hAnsi="Times New Roman" w:cs="Times New Roman"/>
          <w:b/>
          <w:i/>
          <w:sz w:val="24"/>
          <w:szCs w:val="24"/>
        </w:rPr>
        <w:t xml:space="preserve">Amazon </w:t>
      </w:r>
      <w:r>
        <w:rPr>
          <w:rFonts w:ascii="Times New Roman" w:eastAsia="Times New Roman" w:hAnsi="Times New Roman" w:cs="Times New Roman"/>
          <w:sz w:val="24"/>
          <w:szCs w:val="24"/>
        </w:rPr>
        <w:t xml:space="preserve">faced this challenge when it expanded their business in Germany. Due to its American-style business practices, particularly its resistance to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(Wingfield and Eddy, 2013). </w:t>
      </w:r>
      <w:r>
        <w:rPr>
          <w:rFonts w:ascii="Times New Roman" w:eastAsia="Times New Roman" w:hAnsi="Times New Roman" w:cs="Times New Roman"/>
          <w:sz w:val="24"/>
          <w:szCs w:val="24"/>
        </w:rPr>
        <w:lastRenderedPageBreak/>
        <w:t xml:space="preserve">This approach clashed with German norms, where strong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rights and </w:t>
      </w:r>
      <w:proofErr w:type="spellStart"/>
      <w:r>
        <w:rPr>
          <w:rFonts w:ascii="Times New Roman" w:eastAsia="Times New Roman" w:hAnsi="Times New Roman" w:cs="Times New Roman"/>
          <w:sz w:val="24"/>
          <w:szCs w:val="24"/>
        </w:rPr>
        <w:t>unionisation</w:t>
      </w:r>
      <w:proofErr w:type="spellEnd"/>
      <w:r>
        <w:rPr>
          <w:rFonts w:ascii="Times New Roman" w:eastAsia="Times New Roman" w:hAnsi="Times New Roman" w:cs="Times New Roman"/>
          <w:sz w:val="24"/>
          <w:szCs w:val="24"/>
        </w:rPr>
        <w:t xml:space="preserve"> are standard. Therefore, it highlights a disconnect with local expectations for direct dialogue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relations. </w:t>
      </w:r>
    </w:p>
    <w:p w14:paraId="0EB4087E" w14:textId="77777777" w:rsidR="00B842EB" w:rsidRDefault="00B842EB">
      <w:pPr>
        <w:spacing w:line="360" w:lineRule="auto"/>
        <w:jc w:val="both"/>
        <w:rPr>
          <w:rFonts w:ascii="Times New Roman" w:eastAsia="Times New Roman" w:hAnsi="Times New Roman" w:cs="Times New Roman"/>
          <w:b/>
          <w:i/>
          <w:sz w:val="24"/>
          <w:szCs w:val="24"/>
        </w:rPr>
      </w:pPr>
    </w:p>
    <w:p w14:paraId="61886E79" w14:textId="79DC2CEA"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Germans have a high level of uncertainty avoidance. They prefer structured environments and detailed planning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uncertainty. Foreign businesses that introduce innovative but untested methods might find resistance (</w:t>
      </w:r>
      <w:r>
        <w:rPr>
          <w:rFonts w:ascii="Times New Roman" w:eastAsia="Times New Roman" w:hAnsi="Times New Roman" w:cs="Times New Roman"/>
          <w:sz w:val="24"/>
          <w:szCs w:val="24"/>
          <w:highlight w:val="white"/>
        </w:rPr>
        <w:t xml:space="preserve">Ter </w:t>
      </w:r>
      <w:proofErr w:type="spellStart"/>
      <w:r>
        <w:rPr>
          <w:rFonts w:ascii="Times New Roman" w:eastAsia="Times New Roman" w:hAnsi="Times New Roman" w:cs="Times New Roman"/>
          <w:sz w:val="24"/>
          <w:szCs w:val="24"/>
          <w:highlight w:val="white"/>
        </w:rPr>
        <w:t>Hoeven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xml:space="preserve">). For example, some foreign startups face difficulties when trying to implement flexible business models in Germany, where established practices and extensive regulations are dominant. Companies like </w:t>
      </w:r>
      <w:r>
        <w:rPr>
          <w:rFonts w:ascii="Times New Roman" w:eastAsia="Times New Roman" w:hAnsi="Times New Roman" w:cs="Times New Roman"/>
          <w:b/>
          <w:i/>
          <w:sz w:val="24"/>
          <w:szCs w:val="24"/>
        </w:rPr>
        <w:t xml:space="preserve">Barnes &amp; Noble </w:t>
      </w:r>
      <w:r>
        <w:rPr>
          <w:rFonts w:ascii="Times New Roman" w:eastAsia="Times New Roman" w:hAnsi="Times New Roman" w:cs="Times New Roman"/>
          <w:sz w:val="24"/>
          <w:szCs w:val="24"/>
        </w:rPr>
        <w:t xml:space="preserve">encountered difficulties in Germany due to the country's preference for established practices and extensive regulations (Eama and Brosnan, 2023). The attempt of the company to introduce its Nook e-reader faced resistance from consumers and regulators who were accustomed to traditional book retailing methods. Similarly, the data protection laws in Germany create challenges for the digital initiatives of the company. </w:t>
      </w:r>
    </w:p>
    <w:p w14:paraId="14E9BB2A" w14:textId="77777777" w:rsidR="00B842EB" w:rsidRDefault="00B842EB">
      <w:pPr>
        <w:spacing w:line="360" w:lineRule="auto"/>
        <w:jc w:val="both"/>
        <w:rPr>
          <w:rFonts w:ascii="Times New Roman" w:eastAsia="Times New Roman" w:hAnsi="Times New Roman" w:cs="Times New Roman"/>
          <w:sz w:val="24"/>
          <w:szCs w:val="24"/>
        </w:rPr>
      </w:pPr>
      <w:bookmarkStart w:id="6" w:name="_ujn5wtgooocm" w:colFirst="0" w:colLast="0"/>
      <w:bookmarkEnd w:id="6"/>
    </w:p>
    <w:p w14:paraId="7BE91BA3" w14:textId="2BB68A70"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should adopt formal and direct communication styles to align with German business practices before expanding the business in Germany. The management of the company should maintain detailed agendas and precise documentation in meetings (</w:t>
      </w:r>
      <w:proofErr w:type="spellStart"/>
      <w:r>
        <w:rPr>
          <w:rFonts w:ascii="Times New Roman" w:eastAsia="Times New Roman" w:hAnsi="Times New Roman" w:cs="Times New Roman"/>
          <w:sz w:val="24"/>
          <w:szCs w:val="24"/>
          <w:highlight w:val="white"/>
        </w:rPr>
        <w:t>Kalogiannidis</w:t>
      </w:r>
      <w:proofErr w:type="spellEnd"/>
      <w:r>
        <w:rPr>
          <w:rFonts w:ascii="Times New Roman" w:eastAsia="Times New Roman" w:hAnsi="Times New Roman" w:cs="Times New Roman"/>
          <w:sz w:val="24"/>
          <w:szCs w:val="24"/>
          <w:highlight w:val="white"/>
        </w:rPr>
        <w:t>, 2020</w:t>
      </w:r>
      <w:r w:rsidR="000B761E">
        <w:rPr>
          <w:rFonts w:ascii="Times New Roman" w:eastAsia="Times New Roman" w:hAnsi="Times New Roman" w:cs="Times New Roman"/>
          <w:sz w:val="24"/>
          <w:szCs w:val="24"/>
        </w:rPr>
        <w:t>). For</w:t>
      </w:r>
      <w:r>
        <w:rPr>
          <w:rFonts w:ascii="Times New Roman" w:eastAsia="Times New Roman" w:hAnsi="Times New Roman" w:cs="Times New Roman"/>
          <w:sz w:val="24"/>
          <w:szCs w:val="24"/>
        </w:rPr>
        <w:t xml:space="preserve"> example, </w:t>
      </w:r>
      <w:r>
        <w:rPr>
          <w:rFonts w:ascii="Times New Roman" w:eastAsia="Times New Roman" w:hAnsi="Times New Roman" w:cs="Times New Roman"/>
          <w:b/>
          <w:i/>
          <w:sz w:val="24"/>
          <w:szCs w:val="24"/>
        </w:rPr>
        <w:t>Hachette Livre,</w:t>
      </w:r>
      <w:r>
        <w:rPr>
          <w:rFonts w:ascii="Times New Roman" w:eastAsia="Times New Roman" w:hAnsi="Times New Roman" w:cs="Times New Roman"/>
          <w:sz w:val="24"/>
          <w:szCs w:val="24"/>
        </w:rPr>
        <w:t xml:space="preserve"> a major French book publisher, adopted formal and direct communication strategies when expanding its operations internationally (Hachette Livre, 2024). The company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detailed documentation and structured communication in its dealings with international partners and distributors. </w:t>
      </w:r>
    </w:p>
    <w:p w14:paraId="42CED18A" w14:textId="77777777" w:rsidR="00B842EB" w:rsidRDefault="00B842EB">
      <w:pPr>
        <w:spacing w:line="360" w:lineRule="auto"/>
        <w:jc w:val="both"/>
        <w:rPr>
          <w:rFonts w:ascii="Times New Roman" w:eastAsia="Times New Roman" w:hAnsi="Times New Roman" w:cs="Times New Roman"/>
          <w:b/>
          <w:i/>
          <w:sz w:val="24"/>
          <w:szCs w:val="24"/>
        </w:rPr>
      </w:pPr>
    </w:p>
    <w:p w14:paraId="0D5A2C50" w14:textId="65BDF0E1"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should recruit German employees to bridge cultural gaps and provide information about the local market. In this case, local managers can facilitate swift interactions and ensure complications with German business norms (</w:t>
      </w:r>
      <w:proofErr w:type="spellStart"/>
      <w:r>
        <w:rPr>
          <w:rFonts w:ascii="Times New Roman" w:eastAsia="Times New Roman" w:hAnsi="Times New Roman" w:cs="Times New Roman"/>
          <w:sz w:val="24"/>
          <w:szCs w:val="24"/>
          <w:highlight w:val="white"/>
        </w:rPr>
        <w:t>Canestrino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For example, </w:t>
      </w:r>
      <w:r>
        <w:rPr>
          <w:rFonts w:ascii="Times New Roman" w:eastAsia="Times New Roman" w:hAnsi="Times New Roman" w:cs="Times New Roman"/>
          <w:b/>
          <w:i/>
          <w:sz w:val="24"/>
          <w:szCs w:val="24"/>
        </w:rPr>
        <w:t>Foyles</w:t>
      </w:r>
      <w:r>
        <w:rPr>
          <w:rFonts w:ascii="Times New Roman" w:eastAsia="Times New Roman" w:hAnsi="Times New Roman" w:cs="Times New Roman"/>
          <w:sz w:val="24"/>
          <w:szCs w:val="24"/>
        </w:rPr>
        <w:t>, a prominent UK book retailer, incorporated local hires when expanding its operations into international markets like the Middle East (</w:t>
      </w:r>
      <w:proofErr w:type="spellStart"/>
      <w:r>
        <w:rPr>
          <w:rFonts w:ascii="Times New Roman" w:eastAsia="Times New Roman" w:hAnsi="Times New Roman" w:cs="Times New Roman"/>
          <w:sz w:val="24"/>
          <w:szCs w:val="24"/>
        </w:rPr>
        <w:t>Mesure</w:t>
      </w:r>
      <w:proofErr w:type="spellEnd"/>
      <w:r>
        <w:rPr>
          <w:rFonts w:ascii="Times New Roman" w:eastAsia="Times New Roman" w:hAnsi="Times New Roman" w:cs="Times New Roman"/>
          <w:sz w:val="24"/>
          <w:szCs w:val="24"/>
        </w:rPr>
        <w:t xml:space="preserve">, 2005). They employed local managers and staff to bridge cultural gaps and understand regional market demands. This local expertise mainly allowed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adapt its product offerings and marketing strategies to better consumers. It leads to increased customer satisfaction and business growth. </w:t>
      </w:r>
    </w:p>
    <w:p w14:paraId="7EE9A2A8" w14:textId="77777777"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should establish a local legal team proficient in German laws to navigate the regulatory environment effectively. This team should focus on obtaining necessary certifications and ensuring business liability insurance requirements obedience (</w:t>
      </w:r>
      <w:r>
        <w:rPr>
          <w:rFonts w:ascii="Times New Roman" w:eastAsia="Times New Roman" w:hAnsi="Times New Roman" w:cs="Times New Roman"/>
          <w:sz w:val="24"/>
          <w:szCs w:val="24"/>
          <w:highlight w:val="white"/>
        </w:rPr>
        <w:t xml:space="preserve">Jonsen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2021</w:t>
      </w:r>
      <w:r>
        <w:rPr>
          <w:rFonts w:ascii="Times New Roman" w:eastAsia="Times New Roman" w:hAnsi="Times New Roman" w:cs="Times New Roman"/>
          <w:sz w:val="24"/>
          <w:szCs w:val="24"/>
        </w:rPr>
        <w:t xml:space="preserve">). For example, Australian book retailer </w:t>
      </w:r>
      <w:r>
        <w:rPr>
          <w:rFonts w:ascii="Times New Roman" w:eastAsia="Times New Roman" w:hAnsi="Times New Roman" w:cs="Times New Roman"/>
          <w:b/>
          <w:i/>
          <w:sz w:val="24"/>
          <w:szCs w:val="24"/>
        </w:rPr>
        <w:t>Dymocks</w:t>
      </w:r>
      <w:r>
        <w:rPr>
          <w:rFonts w:ascii="Times New Roman" w:eastAsia="Times New Roman" w:hAnsi="Times New Roman" w:cs="Times New Roman"/>
          <w:sz w:val="24"/>
          <w:szCs w:val="24"/>
        </w:rPr>
        <w:t xml:space="preserve">, during its expansion into Asian markets like Hong Kong, established local legal teams proficient in the respective regional laws. These teams mainly focused on obtaining the required business certification. This approach allowed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effectively manage regulatory requirements and adapt to the legal frameworks of new markets. </w:t>
      </w:r>
    </w:p>
    <w:p w14:paraId="20D7CF8D" w14:textId="77777777" w:rsidR="007160C6" w:rsidRDefault="003F7E1D">
      <w:pPr>
        <w:spacing w:line="360" w:lineRule="auto"/>
        <w:jc w:val="both"/>
        <w:rPr>
          <w:rFonts w:ascii="Times New Roman" w:eastAsia="Times New Roman" w:hAnsi="Times New Roman" w:cs="Times New Roman"/>
          <w:sz w:val="24"/>
          <w:szCs w:val="24"/>
        </w:rPr>
      </w:pPr>
      <w:bookmarkStart w:id="7" w:name="_d58ozajkz7oy" w:colFirst="0" w:colLast="0"/>
      <w:bookmarkEnd w:id="7"/>
      <w:r>
        <w:rPr>
          <w:rFonts w:ascii="Times New Roman" w:eastAsia="Times New Roman" w:hAnsi="Times New Roman" w:cs="Times New Roman"/>
          <w:sz w:val="24"/>
          <w:szCs w:val="24"/>
        </w:rPr>
        <w:t xml:space="preserve">From the above discussion, it can be concluded that Waterstone faced challenges and opportunities when it expanded its business in Germany. British business communication is mainly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uncertainty and politeness, which contrasts with the German preference for direct communication. These differences are significant for effective cross-cultural interactions. In this case, Waterstone must adopt formal and direct communication strategies to align with German business practices. Similarly, hiring local talent and establishing a local legal team proficient in German laws will bridge cultural gaps. Moreover, it navigated the regulatory environment effectively. The different companies demonstrate the benefits of these strategies. It also demonstrates the significance of local expertise and regulatory complications to ensure a successful expansion into Germany. With careful planning and adaptation to local norms, Waterstone can hold a strong economy and skilled workforce in Germany. It ensures sustained growth and profitability in the new market.</w:t>
      </w:r>
    </w:p>
    <w:p w14:paraId="12421ACF" w14:textId="77777777" w:rsidR="007160C6"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 Waterstone, embracing these practices, formal communication, local recruitment, and regulatory </w:t>
      </w:r>
      <w:proofErr w:type="spellStart"/>
      <w:r>
        <w:rPr>
          <w:rFonts w:ascii="Times New Roman" w:eastAsia="Times New Roman" w:hAnsi="Times New Roman" w:cs="Times New Roman"/>
          <w:sz w:val="24"/>
          <w:szCs w:val="24"/>
          <w:highlight w:val="white"/>
        </w:rPr>
        <w:t>complicatio</w:t>
      </w:r>
      <w:proofErr w:type="spellEnd"/>
      <w:r>
        <w:rPr>
          <w:rFonts w:ascii="Times New Roman" w:eastAsia="Times New Roman" w:hAnsi="Times New Roman" w:cs="Times New Roman"/>
          <w:sz w:val="24"/>
          <w:szCs w:val="24"/>
          <w:highlight w:val="white"/>
        </w:rPr>
        <w:t xml:space="preserve"> will be significant for overcoming barriers. It will ensure a successful market entry. Waterstone can effectively address cultural and regulatory complications by aligning with German business practices and </w:t>
      </w:r>
      <w:proofErr w:type="spellStart"/>
      <w:r>
        <w:rPr>
          <w:rFonts w:ascii="Times New Roman" w:eastAsia="Times New Roman" w:hAnsi="Times New Roman" w:cs="Times New Roman"/>
          <w:sz w:val="24"/>
          <w:szCs w:val="24"/>
          <w:highlight w:val="white"/>
        </w:rPr>
        <w:t>utilising</w:t>
      </w:r>
      <w:proofErr w:type="spellEnd"/>
      <w:r>
        <w:rPr>
          <w:rFonts w:ascii="Times New Roman" w:eastAsia="Times New Roman" w:hAnsi="Times New Roman" w:cs="Times New Roman"/>
          <w:sz w:val="24"/>
          <w:szCs w:val="24"/>
          <w:highlight w:val="white"/>
        </w:rPr>
        <w:t xml:space="preserve"> local information. This approach supports smoother expansion and enhances ability of the company to produce in the economy and competitive book retail sector of Germany. With strategic planning and adaptation, Waterstone can achieve sustained growth and profitability in its new market.</w:t>
      </w:r>
      <w:r>
        <w:br w:type="page"/>
      </w:r>
    </w:p>
    <w:p w14:paraId="0D0B2EB9" w14:textId="77777777" w:rsidR="007160C6" w:rsidRDefault="003F7E1D">
      <w:pPr>
        <w:pStyle w:val="Heading1"/>
      </w:pPr>
      <w:bookmarkStart w:id="8" w:name="_1zvi71mbp628" w:colFirst="0" w:colLast="0"/>
      <w:bookmarkEnd w:id="8"/>
      <w:r>
        <w:lastRenderedPageBreak/>
        <w:t>References</w:t>
      </w:r>
    </w:p>
    <w:p w14:paraId="02BF2EDB"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Becker, S.O., Mergele, L. and </w:t>
      </w:r>
      <w:proofErr w:type="spellStart"/>
      <w:r>
        <w:rPr>
          <w:rFonts w:ascii="Times New Roman" w:eastAsia="Times New Roman" w:hAnsi="Times New Roman" w:cs="Times New Roman"/>
          <w:sz w:val="24"/>
          <w:szCs w:val="24"/>
          <w:highlight w:val="white"/>
        </w:rPr>
        <w:t>Woessmann</w:t>
      </w:r>
      <w:proofErr w:type="spellEnd"/>
      <w:r>
        <w:rPr>
          <w:rFonts w:ascii="Times New Roman" w:eastAsia="Times New Roman" w:hAnsi="Times New Roman" w:cs="Times New Roman"/>
          <w:sz w:val="24"/>
          <w:szCs w:val="24"/>
          <w:highlight w:val="white"/>
        </w:rPr>
        <w:t xml:space="preserve">, L., 2020. The separation and reunification of Germany: Rethinking a natural experiment interpretation of the enduring effects of communism. </w:t>
      </w:r>
      <w:r>
        <w:rPr>
          <w:rFonts w:ascii="Times New Roman" w:eastAsia="Times New Roman" w:hAnsi="Times New Roman" w:cs="Times New Roman"/>
          <w:i/>
          <w:sz w:val="24"/>
          <w:szCs w:val="24"/>
          <w:highlight w:val="white"/>
        </w:rPr>
        <w:t>Journal of Economic Perspectives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34</w:t>
      </w:r>
      <w:r>
        <w:rPr>
          <w:rFonts w:ascii="Times New Roman" w:eastAsia="Times New Roman" w:hAnsi="Times New Roman" w:cs="Times New Roman"/>
          <w:sz w:val="24"/>
          <w:szCs w:val="24"/>
          <w:highlight w:val="white"/>
        </w:rPr>
        <w:t>(2), pp.143-171.</w:t>
      </w:r>
    </w:p>
    <w:p w14:paraId="7B7546DF" w14:textId="77777777" w:rsidR="003F7E1D" w:rsidRDefault="003F7E1D">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Canestrino</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Ćwiklicki</w:t>
      </w:r>
      <w:proofErr w:type="spellEnd"/>
      <w:r>
        <w:rPr>
          <w:rFonts w:ascii="Times New Roman" w:eastAsia="Times New Roman" w:hAnsi="Times New Roman" w:cs="Times New Roman"/>
          <w:sz w:val="24"/>
          <w:szCs w:val="24"/>
          <w:highlight w:val="white"/>
        </w:rPr>
        <w:t xml:space="preserve">, M., Magliocca, P. and Pawełek, B., 2020. Understanding social entrepreneurship: A cultural perspective in business research. </w:t>
      </w:r>
      <w:r>
        <w:rPr>
          <w:rFonts w:ascii="Times New Roman" w:eastAsia="Times New Roman" w:hAnsi="Times New Roman" w:cs="Times New Roman"/>
          <w:i/>
          <w:sz w:val="24"/>
          <w:szCs w:val="24"/>
          <w:highlight w:val="white"/>
        </w:rPr>
        <w:t>Journal of Business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110</w:t>
      </w:r>
      <w:r>
        <w:rPr>
          <w:rFonts w:ascii="Times New Roman" w:eastAsia="Times New Roman" w:hAnsi="Times New Roman" w:cs="Times New Roman"/>
          <w:sz w:val="24"/>
          <w:szCs w:val="24"/>
          <w:highlight w:val="white"/>
        </w:rPr>
        <w:t>, pp.132-143.</w:t>
      </w:r>
    </w:p>
    <w:p w14:paraId="5D2CC582" w14:textId="77777777" w:rsidR="003F7E1D" w:rsidRDefault="003F7E1D">
      <w:pPr>
        <w:spacing w:line="360" w:lineRule="auto"/>
        <w:jc w:val="both"/>
        <w:rPr>
          <w:i/>
        </w:rPr>
      </w:pPr>
      <w:r>
        <w:rPr>
          <w:rFonts w:ascii="Times New Roman" w:eastAsia="Times New Roman" w:hAnsi="Times New Roman" w:cs="Times New Roman"/>
          <w:sz w:val="24"/>
          <w:szCs w:val="24"/>
        </w:rPr>
        <w:t>Davies, K. (2024)</w:t>
      </w:r>
      <w:r>
        <w:rPr>
          <w:rFonts w:ascii="Times New Roman" w:eastAsia="Times New Roman" w:hAnsi="Times New Roman" w:cs="Times New Roman"/>
          <w:i/>
          <w:sz w:val="24"/>
          <w:szCs w:val="24"/>
        </w:rPr>
        <w:t xml:space="preserve"> Germany - Statistics &amp; Facts. </w:t>
      </w:r>
      <w:r>
        <w:rPr>
          <w:rFonts w:ascii="Times New Roman" w:eastAsia="Times New Roman" w:hAnsi="Times New Roman" w:cs="Times New Roman"/>
          <w:sz w:val="24"/>
          <w:szCs w:val="24"/>
        </w:rPr>
        <w:t xml:space="preserve">Available </w:t>
      </w:r>
      <w:proofErr w:type="gramStart"/>
      <w:r>
        <w:rPr>
          <w:rFonts w:ascii="Times New Roman" w:eastAsia="Times New Roman" w:hAnsi="Times New Roman" w:cs="Times New Roman"/>
          <w:sz w:val="24"/>
          <w:szCs w:val="24"/>
        </w:rPr>
        <w:t>at:https://www.statista.com/topics/1903/germany/#:~:text=In%202022%2C%20Germany%20had%20a,top%2010%20percent%20of%20countries.(Accessed</w:t>
      </w:r>
      <w:proofErr w:type="gramEnd"/>
      <w:r>
        <w:rPr>
          <w:rFonts w:ascii="Times New Roman" w:eastAsia="Times New Roman" w:hAnsi="Times New Roman" w:cs="Times New Roman"/>
          <w:sz w:val="24"/>
          <w:szCs w:val="24"/>
        </w:rPr>
        <w:t xml:space="preserve"> on: 23 July 2024)</w:t>
      </w:r>
    </w:p>
    <w:p w14:paraId="19A1FDBF" w14:textId="77777777" w:rsidR="003F7E1D" w:rsidRDefault="003F7E1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Eama, A and Brosnan, E. (2023)</w:t>
      </w:r>
      <w:r>
        <w:rPr>
          <w:rFonts w:ascii="Times New Roman" w:eastAsia="Times New Roman" w:hAnsi="Times New Roman" w:cs="Times New Roman"/>
          <w:i/>
          <w:sz w:val="24"/>
          <w:szCs w:val="24"/>
        </w:rPr>
        <w:t xml:space="preserve"> Barnes &amp; Noble CEO discusses company's turnaround post-pandemic. </w:t>
      </w:r>
      <w:r>
        <w:rPr>
          <w:rFonts w:ascii="Times New Roman" w:eastAsia="Times New Roman" w:hAnsi="Times New Roman" w:cs="Times New Roman"/>
          <w:sz w:val="24"/>
          <w:szCs w:val="24"/>
        </w:rPr>
        <w:t xml:space="preserve">Available at: </w:t>
      </w:r>
      <w:hyperlink r:id="rId10" w:anchor=":~:text=Since%20taking%20the%20helm%2C%20Daunt,million%20Upper%20West%20Side%20makeover">
        <w:r>
          <w:rPr>
            <w:rFonts w:ascii="Times New Roman" w:eastAsia="Times New Roman" w:hAnsi="Times New Roman" w:cs="Times New Roman"/>
            <w:sz w:val="24"/>
            <w:szCs w:val="24"/>
            <w:u w:val="single"/>
          </w:rPr>
          <w:t>https://ny1.com/nyc/all-boroughs/mornings-on-1/2023/11/06/barnes-and-noble-ceo-discusses-company-s-turnaround-post-pandemic#:~:text=Since%20taking%20the%20helm%2C%20Daunt,million%20Upper%20West%20Side%20makeover</w:t>
        </w:r>
      </w:hyperlink>
      <w:r>
        <w:rPr>
          <w:rFonts w:ascii="Times New Roman" w:eastAsia="Times New Roman" w:hAnsi="Times New Roman" w:cs="Times New Roman"/>
          <w:sz w:val="24"/>
          <w:szCs w:val="24"/>
        </w:rPr>
        <w:t>. (Accessed on: 20 July 2024)</w:t>
      </w:r>
    </w:p>
    <w:p w14:paraId="769042FA"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Gerlach, P. and Eriksson, K., 2021. Measuring cultural dimensions: external validity and internal consistency of Hofstede's VSM 2013 Scales. </w:t>
      </w:r>
      <w:r>
        <w:rPr>
          <w:rFonts w:ascii="Times New Roman" w:eastAsia="Times New Roman" w:hAnsi="Times New Roman" w:cs="Times New Roman"/>
          <w:i/>
          <w:sz w:val="24"/>
          <w:szCs w:val="24"/>
          <w:highlight w:val="white"/>
        </w:rPr>
        <w:t>Frontiers in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p.662604.</w:t>
      </w:r>
    </w:p>
    <w:p w14:paraId="176672AD"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Ghauri, P., Strange, R. and Cooke, F.L., 2021. Research on international business: The new realities. </w:t>
      </w:r>
      <w:r>
        <w:rPr>
          <w:rFonts w:ascii="Times New Roman" w:eastAsia="Times New Roman" w:hAnsi="Times New Roman" w:cs="Times New Roman"/>
          <w:i/>
          <w:sz w:val="24"/>
          <w:szCs w:val="24"/>
          <w:highlight w:val="white"/>
        </w:rPr>
        <w:t>International Business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(2), p.101794.</w:t>
      </w:r>
    </w:p>
    <w:p w14:paraId="504A0215" w14:textId="77777777" w:rsidR="003F7E1D"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People, (2024), </w:t>
      </w:r>
      <w:r>
        <w:rPr>
          <w:rFonts w:ascii="Times New Roman" w:eastAsia="Times New Roman" w:hAnsi="Times New Roman" w:cs="Times New Roman"/>
          <w:i/>
          <w:sz w:val="24"/>
          <w:szCs w:val="24"/>
        </w:rPr>
        <w:t xml:space="preserve"> What is Workforce </w:t>
      </w:r>
      <w:proofErr w:type="spellStart"/>
      <w:r>
        <w:rPr>
          <w:rFonts w:ascii="Times New Roman" w:eastAsia="Times New Roman" w:hAnsi="Times New Roman" w:cs="Times New Roman"/>
          <w:i/>
          <w:sz w:val="24"/>
          <w:szCs w:val="24"/>
        </w:rPr>
        <w:t>Diversity?</w:t>
      </w:r>
      <w:r>
        <w:rPr>
          <w:rFonts w:ascii="Times New Roman" w:eastAsia="Times New Roman" w:hAnsi="Times New Roman" w:cs="Times New Roman"/>
          <w:sz w:val="24"/>
          <w:szCs w:val="24"/>
        </w:rPr>
        <w:t>Available</w:t>
      </w:r>
      <w:proofErr w:type="spellEnd"/>
      <w:r>
        <w:rPr>
          <w:rFonts w:ascii="Times New Roman" w:eastAsia="Times New Roman" w:hAnsi="Times New Roman" w:cs="Times New Roman"/>
          <w:sz w:val="24"/>
          <w:szCs w:val="24"/>
        </w:rPr>
        <w:t xml:space="preserve"> at: </w:t>
      </w:r>
      <w:hyperlink r:id="rId11">
        <w:r>
          <w:rPr>
            <w:rFonts w:ascii="Times New Roman" w:eastAsia="Times New Roman" w:hAnsi="Times New Roman" w:cs="Times New Roman"/>
            <w:sz w:val="24"/>
            <w:szCs w:val="24"/>
            <w:u w:val="single"/>
          </w:rPr>
          <w:t>https://global-ppl.com/workplace-diversity-germany-benefits-culture/</w:t>
        </w:r>
      </w:hyperlink>
      <w:r>
        <w:rPr>
          <w:rFonts w:ascii="Times New Roman" w:eastAsia="Times New Roman" w:hAnsi="Times New Roman" w:cs="Times New Roman"/>
          <w:sz w:val="24"/>
          <w:szCs w:val="24"/>
        </w:rPr>
        <w:t xml:space="preserve"> (Accessed on: 21 July 2024)</w:t>
      </w:r>
    </w:p>
    <w:p w14:paraId="423EB20D" w14:textId="77777777" w:rsidR="003F7E1D" w:rsidRDefault="003F7E1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Gov. UK, (2022</w:t>
      </w:r>
      <w:proofErr w:type="gramStart"/>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 Home</w:t>
      </w:r>
      <w:proofErr w:type="gramEnd"/>
      <w:r>
        <w:rPr>
          <w:rFonts w:ascii="Times New Roman" w:eastAsia="Times New Roman" w:hAnsi="Times New Roman" w:cs="Times New Roman"/>
          <w:i/>
          <w:sz w:val="24"/>
          <w:szCs w:val="24"/>
        </w:rPr>
        <w:t xml:space="preserve"> Office workforce diversity statistics 2021 to 2022. </w:t>
      </w:r>
      <w:r>
        <w:rPr>
          <w:rFonts w:ascii="Times New Roman" w:eastAsia="Times New Roman" w:hAnsi="Times New Roman" w:cs="Times New Roman"/>
          <w:sz w:val="24"/>
          <w:szCs w:val="24"/>
        </w:rPr>
        <w:t xml:space="preserve">Available at: </w:t>
      </w:r>
      <w:hyperlink r:id="rId12">
        <w:r>
          <w:rPr>
            <w:rFonts w:ascii="Times New Roman" w:eastAsia="Times New Roman" w:hAnsi="Times New Roman" w:cs="Times New Roman"/>
            <w:sz w:val="24"/>
            <w:szCs w:val="24"/>
            <w:u w:val="single"/>
          </w:rPr>
          <w:t>https://www.gov.uk/government/statistics/home-office-workforce-diversity-statistics-2021-to-2022/home-office-workforce-diversity-statistics-2021-to-2022</w:t>
        </w:r>
      </w:hyperlink>
      <w:r>
        <w:rPr>
          <w:rFonts w:ascii="Times New Roman" w:eastAsia="Times New Roman" w:hAnsi="Times New Roman" w:cs="Times New Roman"/>
          <w:sz w:val="24"/>
          <w:szCs w:val="24"/>
        </w:rPr>
        <w:t xml:space="preserve"> (Accessed on: 20 July 2024)</w:t>
      </w:r>
    </w:p>
    <w:p w14:paraId="7A416F11" w14:textId="77777777" w:rsidR="003F7E1D" w:rsidRDefault="003F7E1D">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GTAI, (2024)</w:t>
      </w:r>
      <w:r>
        <w:rPr>
          <w:rFonts w:ascii="Times New Roman" w:eastAsia="Times New Roman" w:hAnsi="Times New Roman" w:cs="Times New Roman"/>
          <w:i/>
          <w:sz w:val="24"/>
          <w:szCs w:val="24"/>
        </w:rPr>
        <w:t xml:space="preserve"> Innovation in Germany - Research and Development. </w:t>
      </w:r>
      <w:r>
        <w:rPr>
          <w:rFonts w:ascii="Times New Roman" w:eastAsia="Times New Roman" w:hAnsi="Times New Roman" w:cs="Times New Roman"/>
          <w:sz w:val="24"/>
          <w:szCs w:val="24"/>
        </w:rPr>
        <w:t xml:space="preserve">Available at: </w:t>
      </w:r>
      <w:hyperlink r:id="rId13">
        <w:r>
          <w:rPr>
            <w:rFonts w:ascii="Times New Roman" w:eastAsia="Times New Roman" w:hAnsi="Times New Roman" w:cs="Times New Roman"/>
            <w:sz w:val="24"/>
            <w:szCs w:val="24"/>
            <w:u w:val="single"/>
          </w:rPr>
          <w:t>https://www.gtai.de/en/invest/business-location-germany/innovation-in-germany</w:t>
        </w:r>
      </w:hyperlink>
      <w:r>
        <w:rPr>
          <w:rFonts w:ascii="Times New Roman" w:eastAsia="Times New Roman" w:hAnsi="Times New Roman" w:cs="Times New Roman"/>
          <w:sz w:val="24"/>
          <w:szCs w:val="24"/>
        </w:rPr>
        <w:t>(Accessed on: 21 July 2024)</w:t>
      </w:r>
    </w:p>
    <w:p w14:paraId="3B4ED0EB"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Hachette Livre, (2024)</w:t>
      </w:r>
      <w:r>
        <w:rPr>
          <w:rFonts w:ascii="Times New Roman" w:eastAsia="Times New Roman" w:hAnsi="Times New Roman" w:cs="Times New Roman"/>
          <w:i/>
          <w:sz w:val="24"/>
          <w:szCs w:val="24"/>
        </w:rPr>
        <w:t xml:space="preserve"> Hachette Livre a world of reading, learning and games. </w:t>
      </w:r>
      <w:r>
        <w:rPr>
          <w:rFonts w:ascii="Times New Roman" w:eastAsia="Times New Roman" w:hAnsi="Times New Roman" w:cs="Times New Roman"/>
          <w:sz w:val="24"/>
          <w:szCs w:val="24"/>
          <w:highlight w:val="white"/>
        </w:rPr>
        <w:t xml:space="preserve">Available at: </w:t>
      </w:r>
      <w:hyperlink r:id="rId14">
        <w:r>
          <w:rPr>
            <w:rFonts w:ascii="Times New Roman" w:eastAsia="Times New Roman" w:hAnsi="Times New Roman" w:cs="Times New Roman"/>
            <w:sz w:val="24"/>
            <w:szCs w:val="24"/>
            <w:highlight w:val="white"/>
            <w:u w:val="single"/>
          </w:rPr>
          <w:t>https://www.hachette.com/en/</w:t>
        </w:r>
      </w:hyperlink>
      <w:r>
        <w:rPr>
          <w:rFonts w:ascii="Times New Roman" w:eastAsia="Times New Roman" w:hAnsi="Times New Roman" w:cs="Times New Roman"/>
          <w:sz w:val="24"/>
          <w:szCs w:val="24"/>
          <w:highlight w:val="white"/>
        </w:rPr>
        <w:t xml:space="preserve"> (Accessed on: 21 July 2024)</w:t>
      </w:r>
    </w:p>
    <w:p w14:paraId="59B19705"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Halder, P., Hansen, E.N., Kangas, J. and Laukkanen, T., 2020. </w:t>
      </w:r>
      <w:proofErr w:type="gramStart"/>
      <w:r>
        <w:rPr>
          <w:rFonts w:ascii="Times New Roman" w:eastAsia="Times New Roman" w:hAnsi="Times New Roman" w:cs="Times New Roman"/>
          <w:sz w:val="24"/>
          <w:szCs w:val="24"/>
          <w:highlight w:val="white"/>
        </w:rPr>
        <w:t>How</w:t>
      </w:r>
      <w:proofErr w:type="gramEnd"/>
      <w:r>
        <w:rPr>
          <w:rFonts w:ascii="Times New Roman" w:eastAsia="Times New Roman" w:hAnsi="Times New Roman" w:cs="Times New Roman"/>
          <w:sz w:val="24"/>
          <w:szCs w:val="24"/>
          <w:highlight w:val="white"/>
        </w:rPr>
        <w:t xml:space="preserve"> national culture and ethics matter in consumers’ green consumption values. </w:t>
      </w:r>
      <w:r>
        <w:rPr>
          <w:rFonts w:ascii="Times New Roman" w:eastAsia="Times New Roman" w:hAnsi="Times New Roman" w:cs="Times New Roman"/>
          <w:i/>
          <w:sz w:val="24"/>
          <w:szCs w:val="24"/>
          <w:highlight w:val="white"/>
        </w:rPr>
        <w:t>Journal of cleaner production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265</w:t>
      </w:r>
      <w:r>
        <w:rPr>
          <w:rFonts w:ascii="Times New Roman" w:eastAsia="Times New Roman" w:hAnsi="Times New Roman" w:cs="Times New Roman"/>
          <w:sz w:val="24"/>
          <w:szCs w:val="24"/>
          <w:highlight w:val="white"/>
        </w:rPr>
        <w:t>, p.121754.</w:t>
      </w:r>
    </w:p>
    <w:p w14:paraId="0CFB77E1" w14:textId="77777777" w:rsidR="003F7E1D"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Hofstede-insights, (2024), </w:t>
      </w:r>
      <w:r>
        <w:rPr>
          <w:rFonts w:ascii="Times New Roman" w:eastAsia="Times New Roman" w:hAnsi="Times New Roman" w:cs="Times New Roman"/>
          <w:i/>
          <w:sz w:val="24"/>
          <w:szCs w:val="24"/>
        </w:rPr>
        <w:t xml:space="preserve">COUNTRY COMPARISON TOOL. </w:t>
      </w: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sz w:val="24"/>
            <w:szCs w:val="24"/>
            <w:u w:val="single"/>
          </w:rPr>
          <w:t>https://www.hofstede-insights.com/country-comparison-tool?countries=germany%2Cunited+kingdom</w:t>
        </w:r>
      </w:hyperlink>
      <w:r>
        <w:rPr>
          <w:rFonts w:ascii="Times New Roman" w:eastAsia="Times New Roman" w:hAnsi="Times New Roman" w:cs="Times New Roman"/>
          <w:sz w:val="24"/>
          <w:szCs w:val="24"/>
        </w:rPr>
        <w:t xml:space="preserve"> (Accessed on: 20 July 2024)</w:t>
      </w:r>
    </w:p>
    <w:p w14:paraId="2632BD25" w14:textId="77777777" w:rsidR="003F7E1D"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 of Commons Library, (2024)</w:t>
      </w:r>
      <w:r>
        <w:rPr>
          <w:rFonts w:ascii="Times New Roman" w:eastAsia="Times New Roman" w:hAnsi="Times New Roman" w:cs="Times New Roman"/>
          <w:i/>
          <w:sz w:val="24"/>
          <w:szCs w:val="24"/>
        </w:rPr>
        <w:t xml:space="preserve"> Women and the UK economy. </w:t>
      </w:r>
      <w:r>
        <w:rPr>
          <w:rFonts w:ascii="Times New Roman" w:eastAsia="Times New Roman" w:hAnsi="Times New Roman" w:cs="Times New Roman"/>
          <w:sz w:val="24"/>
          <w:szCs w:val="24"/>
        </w:rPr>
        <w:t xml:space="preserve">Available at: </w:t>
      </w:r>
      <w:hyperlink r:id="rId16">
        <w:r>
          <w:rPr>
            <w:rFonts w:ascii="Times New Roman" w:eastAsia="Times New Roman" w:hAnsi="Times New Roman" w:cs="Times New Roman"/>
            <w:sz w:val="24"/>
            <w:szCs w:val="24"/>
            <w:u w:val="single"/>
          </w:rPr>
          <w:t>https://researchbriefings.files.parliament.uk/documents/SN06838/SN06838.pdf</w:t>
        </w:r>
      </w:hyperlink>
      <w:r>
        <w:rPr>
          <w:rFonts w:ascii="Times New Roman" w:eastAsia="Times New Roman" w:hAnsi="Times New Roman" w:cs="Times New Roman"/>
          <w:sz w:val="24"/>
          <w:szCs w:val="24"/>
        </w:rPr>
        <w:t xml:space="preserve"> (Accessed on: 21 July 2024)</w:t>
      </w:r>
    </w:p>
    <w:p w14:paraId="038EF615" w14:textId="77777777" w:rsidR="003F7E1D"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Trade, (2023)</w:t>
      </w:r>
      <w:r>
        <w:rPr>
          <w:rFonts w:ascii="Times New Roman" w:eastAsia="Times New Roman" w:hAnsi="Times New Roman" w:cs="Times New Roman"/>
          <w:i/>
          <w:sz w:val="24"/>
          <w:szCs w:val="24"/>
        </w:rPr>
        <w:t xml:space="preserve"> Germany - Country Commercial Guide. </w:t>
      </w:r>
      <w:r>
        <w:rPr>
          <w:rFonts w:ascii="Times New Roman" w:eastAsia="Times New Roman" w:hAnsi="Times New Roman" w:cs="Times New Roman"/>
          <w:sz w:val="24"/>
          <w:szCs w:val="24"/>
        </w:rPr>
        <w:t xml:space="preserve">Available at: </w:t>
      </w:r>
      <w:hyperlink r:id="rId17" w:anchor=":~:text=Businesses%20operate%20within%20a%20well,of%20real%20and%20intellectual%20property">
        <w:r>
          <w:rPr>
            <w:rFonts w:ascii="Times New Roman" w:eastAsia="Times New Roman" w:hAnsi="Times New Roman" w:cs="Times New Roman"/>
            <w:sz w:val="24"/>
            <w:szCs w:val="24"/>
            <w:u w:val="single"/>
          </w:rPr>
          <w:t>https://www.trade.gov/country-commercial-guides/germany-investment-climate-statement#:~:text=Businesses%20operate%20within%20a%20well,of%20real%20and%20intellectual%20property</w:t>
        </w:r>
      </w:hyperlink>
      <w:r>
        <w:rPr>
          <w:rFonts w:ascii="Times New Roman" w:eastAsia="Times New Roman" w:hAnsi="Times New Roman" w:cs="Times New Roman"/>
          <w:sz w:val="24"/>
          <w:szCs w:val="24"/>
        </w:rPr>
        <w:t>. (Accessed on: 23 July 2024)</w:t>
      </w:r>
    </w:p>
    <w:p w14:paraId="1E833B9A"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Johnstone, P. and Stirling, A., 2020. Comparing nuclear trajectories in Germany and the United Kingdom: From regimes to democracies in sociotechnical transitions and discontinuities. </w:t>
      </w:r>
      <w:r>
        <w:rPr>
          <w:rFonts w:ascii="Times New Roman" w:eastAsia="Times New Roman" w:hAnsi="Times New Roman" w:cs="Times New Roman"/>
          <w:i/>
          <w:sz w:val="24"/>
          <w:szCs w:val="24"/>
          <w:highlight w:val="white"/>
        </w:rPr>
        <w:t>Energy Research &amp; Social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59</w:t>
      </w:r>
      <w:r>
        <w:rPr>
          <w:rFonts w:ascii="Times New Roman" w:eastAsia="Times New Roman" w:hAnsi="Times New Roman" w:cs="Times New Roman"/>
          <w:sz w:val="24"/>
          <w:szCs w:val="24"/>
          <w:highlight w:val="white"/>
        </w:rPr>
        <w:t>, p.101245.</w:t>
      </w:r>
    </w:p>
    <w:p w14:paraId="2B9250B9"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Johnstone, P. and Stirling, A., 2020. Comparing nuclear trajectories in Germany and the United Kingdom: From regimes to democracies in sociotechnical transitions and discontinuities. </w:t>
      </w:r>
      <w:r>
        <w:rPr>
          <w:rFonts w:ascii="Times New Roman" w:eastAsia="Times New Roman" w:hAnsi="Times New Roman" w:cs="Times New Roman"/>
          <w:i/>
          <w:sz w:val="24"/>
          <w:szCs w:val="24"/>
          <w:highlight w:val="white"/>
        </w:rPr>
        <w:t>Energy Research &amp; Social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59</w:t>
      </w:r>
      <w:r>
        <w:rPr>
          <w:rFonts w:ascii="Times New Roman" w:eastAsia="Times New Roman" w:hAnsi="Times New Roman" w:cs="Times New Roman"/>
          <w:sz w:val="24"/>
          <w:szCs w:val="24"/>
          <w:highlight w:val="white"/>
        </w:rPr>
        <w:t>, p.101245.</w:t>
      </w:r>
    </w:p>
    <w:p w14:paraId="272F9184"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Jonsen, K., Point, S., Kelan, E.K. and </w:t>
      </w:r>
      <w:proofErr w:type="spellStart"/>
      <w:r>
        <w:rPr>
          <w:rFonts w:ascii="Times New Roman" w:eastAsia="Times New Roman" w:hAnsi="Times New Roman" w:cs="Times New Roman"/>
          <w:sz w:val="24"/>
          <w:szCs w:val="24"/>
          <w:highlight w:val="white"/>
        </w:rPr>
        <w:t>Grieble</w:t>
      </w:r>
      <w:proofErr w:type="spellEnd"/>
      <w:r>
        <w:rPr>
          <w:rFonts w:ascii="Times New Roman" w:eastAsia="Times New Roman" w:hAnsi="Times New Roman" w:cs="Times New Roman"/>
          <w:sz w:val="24"/>
          <w:szCs w:val="24"/>
          <w:highlight w:val="white"/>
        </w:rPr>
        <w:t xml:space="preserve">, A., 2021. Diversity and inclusion branding: a five-country comparison of corporate websites. </w:t>
      </w:r>
      <w:r>
        <w:rPr>
          <w:rFonts w:ascii="Times New Roman" w:eastAsia="Times New Roman" w:hAnsi="Times New Roman" w:cs="Times New Roman"/>
          <w:i/>
          <w:sz w:val="24"/>
          <w:szCs w:val="24"/>
          <w:highlight w:val="white"/>
        </w:rPr>
        <w:t>The International Journal of Human Resource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32</w:t>
      </w:r>
      <w:r>
        <w:rPr>
          <w:rFonts w:ascii="Times New Roman" w:eastAsia="Times New Roman" w:hAnsi="Times New Roman" w:cs="Times New Roman"/>
          <w:sz w:val="24"/>
          <w:szCs w:val="24"/>
          <w:highlight w:val="white"/>
        </w:rPr>
        <w:t>(3), pp.616-649.</w:t>
      </w:r>
    </w:p>
    <w:p w14:paraId="66EE334B" w14:textId="77777777" w:rsidR="003F7E1D" w:rsidRDefault="003F7E1D">
      <w:pPr>
        <w:spacing w:line="360" w:lineRule="auto"/>
        <w:jc w:val="both"/>
        <w:rPr>
          <w:rFonts w:ascii="Times New Roman" w:eastAsia="Times New Roman" w:hAnsi="Times New Roman" w:cs="Times New Roman"/>
          <w:i/>
          <w:sz w:val="24"/>
          <w:szCs w:val="24"/>
          <w:highlight w:val="white"/>
        </w:rPr>
      </w:pPr>
      <w:proofErr w:type="spellStart"/>
      <w:r>
        <w:rPr>
          <w:rFonts w:ascii="Times New Roman" w:eastAsia="Times New Roman" w:hAnsi="Times New Roman" w:cs="Times New Roman"/>
          <w:sz w:val="24"/>
          <w:szCs w:val="24"/>
          <w:highlight w:val="white"/>
        </w:rPr>
        <w:t>Kalogiannidis</w:t>
      </w:r>
      <w:proofErr w:type="spellEnd"/>
      <w:r>
        <w:rPr>
          <w:rFonts w:ascii="Times New Roman" w:eastAsia="Times New Roman" w:hAnsi="Times New Roman" w:cs="Times New Roman"/>
          <w:sz w:val="24"/>
          <w:szCs w:val="24"/>
          <w:highlight w:val="white"/>
        </w:rPr>
        <w:t xml:space="preserve">, S., 2020. Impact of effective business communication on employee performance. </w:t>
      </w:r>
      <w:r>
        <w:rPr>
          <w:rFonts w:ascii="Times New Roman" w:eastAsia="Times New Roman" w:hAnsi="Times New Roman" w:cs="Times New Roman"/>
          <w:i/>
          <w:sz w:val="24"/>
          <w:szCs w:val="24"/>
          <w:highlight w:val="white"/>
        </w:rPr>
        <w:t>European Journal of Business and Management Research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5</w:t>
      </w:r>
      <w:r>
        <w:rPr>
          <w:rFonts w:ascii="Times New Roman" w:eastAsia="Times New Roman" w:hAnsi="Times New Roman" w:cs="Times New Roman"/>
          <w:sz w:val="24"/>
          <w:szCs w:val="24"/>
          <w:highlight w:val="white"/>
        </w:rPr>
        <w:t>(6).</w:t>
      </w:r>
    </w:p>
    <w:p w14:paraId="5B32A2E1" w14:textId="77777777" w:rsidR="003F7E1D" w:rsidRPr="003F7E1D" w:rsidRDefault="003F7E1D">
      <w:pPr>
        <w:spacing w:line="360" w:lineRule="auto"/>
        <w:jc w:val="both"/>
        <w:rPr>
          <w:rFonts w:ascii="Times New Roman" w:eastAsia="Times New Roman" w:hAnsi="Times New Roman" w:cs="Times New Roman"/>
          <w:sz w:val="24"/>
          <w:szCs w:val="24"/>
          <w:highlight w:val="white"/>
        </w:rPr>
      </w:pPr>
      <w:proofErr w:type="spellStart"/>
      <w:r w:rsidRPr="003F7E1D">
        <w:rPr>
          <w:rFonts w:ascii="Times New Roman" w:eastAsia="Times New Roman" w:hAnsi="Times New Roman" w:cs="Times New Roman"/>
          <w:sz w:val="24"/>
          <w:szCs w:val="24"/>
        </w:rPr>
        <w:t>Mesure</w:t>
      </w:r>
      <w:proofErr w:type="spellEnd"/>
      <w:r w:rsidRPr="003F7E1D">
        <w:rPr>
          <w:rFonts w:ascii="Times New Roman" w:eastAsia="Times New Roman" w:hAnsi="Times New Roman" w:cs="Times New Roman"/>
          <w:sz w:val="24"/>
          <w:szCs w:val="24"/>
        </w:rPr>
        <w:t>, S. (2005)</w:t>
      </w:r>
      <w:r w:rsidRPr="003F7E1D">
        <w:rPr>
          <w:rFonts w:ascii="Times New Roman" w:eastAsia="Times New Roman" w:hAnsi="Times New Roman" w:cs="Times New Roman"/>
          <w:i/>
          <w:sz w:val="24"/>
          <w:szCs w:val="24"/>
        </w:rPr>
        <w:t xml:space="preserve"> Foyles to open new London store as first step in global expansion plan. </w:t>
      </w:r>
      <w:r w:rsidRPr="003F7E1D">
        <w:rPr>
          <w:rFonts w:ascii="Times New Roman" w:eastAsia="Times New Roman" w:hAnsi="Times New Roman" w:cs="Times New Roman"/>
          <w:sz w:val="24"/>
          <w:szCs w:val="24"/>
          <w:highlight w:val="white"/>
        </w:rPr>
        <w:t xml:space="preserve">Available at: </w:t>
      </w:r>
      <w:hyperlink r:id="rId18">
        <w:r w:rsidRPr="003F7E1D">
          <w:rPr>
            <w:rFonts w:ascii="Times New Roman" w:eastAsia="Times New Roman" w:hAnsi="Times New Roman" w:cs="Times New Roman"/>
            <w:sz w:val="24"/>
            <w:szCs w:val="24"/>
            <w:highlight w:val="white"/>
            <w:u w:val="single"/>
          </w:rPr>
          <w:t>https://www.independent.co.uk/news/business/news/foyles-to-open-new-london-store-as-first-step-in-global-expansion-plan-11238.html</w:t>
        </w:r>
      </w:hyperlink>
      <w:r w:rsidRPr="003F7E1D">
        <w:rPr>
          <w:rFonts w:ascii="Times New Roman" w:eastAsia="Times New Roman" w:hAnsi="Times New Roman" w:cs="Times New Roman"/>
          <w:sz w:val="24"/>
          <w:szCs w:val="24"/>
          <w:highlight w:val="white"/>
        </w:rPr>
        <w:t xml:space="preserve"> (Accessed on: 21 July 2024)</w:t>
      </w:r>
    </w:p>
    <w:p w14:paraId="409F7B63" w14:textId="77777777" w:rsidR="003F7E1D" w:rsidRPr="003F7E1D" w:rsidRDefault="003F7E1D">
      <w:pPr>
        <w:spacing w:line="360" w:lineRule="auto"/>
        <w:jc w:val="both"/>
        <w:rPr>
          <w:rFonts w:ascii="Times New Roman" w:hAnsi="Times New Roman" w:cs="Times New Roman"/>
        </w:rPr>
      </w:pPr>
      <w:proofErr w:type="spellStart"/>
      <w:proofErr w:type="gramStart"/>
      <w:r w:rsidRPr="003F7E1D">
        <w:rPr>
          <w:rFonts w:ascii="Times New Roman" w:hAnsi="Times New Roman" w:cs="Times New Roman"/>
        </w:rPr>
        <w:t>O”Neill</w:t>
      </w:r>
      <w:proofErr w:type="spellEnd"/>
      <w:proofErr w:type="gramEnd"/>
      <w:r w:rsidRPr="003F7E1D">
        <w:rPr>
          <w:rFonts w:ascii="Times New Roman" w:hAnsi="Times New Roman" w:cs="Times New Roman"/>
        </w:rPr>
        <w:t xml:space="preserve">, (2024), </w:t>
      </w:r>
      <w:r w:rsidRPr="003F7E1D">
        <w:rPr>
          <w:rFonts w:ascii="Times New Roman" w:hAnsi="Times New Roman" w:cs="Times New Roman"/>
          <w:i/>
        </w:rPr>
        <w:t xml:space="preserve"> Germany: Unemployment rate from 2004 to 2023. </w:t>
      </w:r>
      <w:r w:rsidRPr="003F7E1D">
        <w:rPr>
          <w:rFonts w:ascii="Times New Roman" w:hAnsi="Times New Roman" w:cs="Times New Roman"/>
        </w:rPr>
        <w:t xml:space="preserve">Available at: </w:t>
      </w:r>
      <w:hyperlink r:id="rId19">
        <w:r w:rsidRPr="003F7E1D">
          <w:rPr>
            <w:rFonts w:ascii="Times New Roman" w:hAnsi="Times New Roman" w:cs="Times New Roman"/>
            <w:u w:val="single"/>
          </w:rPr>
          <w:t>https://www.statista.com/statistics/375209/unemployment-rate-in-germany/</w:t>
        </w:r>
      </w:hyperlink>
      <w:r w:rsidRPr="003F7E1D">
        <w:rPr>
          <w:rFonts w:ascii="Times New Roman" w:hAnsi="Times New Roman" w:cs="Times New Roman"/>
        </w:rPr>
        <w:t xml:space="preserve"> (Accessed on: 23 July 2024)</w:t>
      </w:r>
    </w:p>
    <w:p w14:paraId="414D6326" w14:textId="4D641679" w:rsidR="003F7E1D" w:rsidRDefault="003F7E1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Sabanoglu</w:t>
      </w:r>
      <w:proofErr w:type="spellEnd"/>
      <w:r>
        <w:rPr>
          <w:rFonts w:ascii="Times New Roman" w:eastAsia="Times New Roman" w:hAnsi="Times New Roman" w:cs="Times New Roman"/>
          <w:sz w:val="24"/>
          <w:szCs w:val="24"/>
        </w:rPr>
        <w:t>, T. (2023),</w:t>
      </w:r>
      <w:r>
        <w:rPr>
          <w:rFonts w:ascii="Times New Roman" w:eastAsia="Times New Roman" w:hAnsi="Times New Roman" w:cs="Times New Roman"/>
          <w:i/>
          <w:sz w:val="24"/>
          <w:szCs w:val="24"/>
        </w:rPr>
        <w:t xml:space="preserve"> Revenue of Waterstones Booksellers Limited in the United Kingdom (UK) from 2011 to 2022.</w:t>
      </w:r>
      <w:r>
        <w:rPr>
          <w:rFonts w:ascii="Times New Roman" w:eastAsia="Times New Roman" w:hAnsi="Times New Roman" w:cs="Times New Roman"/>
          <w:sz w:val="24"/>
          <w:szCs w:val="24"/>
        </w:rPr>
        <w:t>Available at: https://www.statista.com/statistics/1016136/waterstones-booksellers-revenue-united-kingdomuk/#:~:text=The%20company%20generated%20a%20revenue,under%20400%20million%20British%20pounds.(Accessed on: 19 July 2024)</w:t>
      </w:r>
    </w:p>
    <w:p w14:paraId="3FE858BD" w14:textId="6C1DC9CD" w:rsidR="0088350E" w:rsidRDefault="0088350E">
      <w:pPr>
        <w:spacing w:line="360" w:lineRule="auto"/>
        <w:jc w:val="both"/>
        <w:rPr>
          <w:rFonts w:ascii="Times New Roman" w:eastAsia="Times New Roman" w:hAnsi="Times New Roman" w:cs="Times New Roman"/>
          <w:sz w:val="24"/>
          <w:szCs w:val="24"/>
        </w:rPr>
      </w:pPr>
      <w:r w:rsidRPr="0088350E">
        <w:rPr>
          <w:rFonts w:ascii="Times New Roman" w:eastAsia="Times New Roman" w:hAnsi="Times New Roman" w:cs="Times New Roman"/>
          <w:sz w:val="24"/>
          <w:szCs w:val="24"/>
        </w:rPr>
        <w:lastRenderedPageBreak/>
        <w:t xml:space="preserve">Statista, (2023), </w:t>
      </w:r>
      <w:r w:rsidRPr="0088350E">
        <w:rPr>
          <w:rFonts w:ascii="Times New Roman" w:eastAsia="Times New Roman" w:hAnsi="Times New Roman" w:cs="Times New Roman"/>
          <w:i/>
          <w:iCs/>
          <w:sz w:val="24"/>
          <w:szCs w:val="24"/>
        </w:rPr>
        <w:t>Diversity in the workplace in Germany - statistics &amp; facts</w:t>
      </w:r>
      <w:r w:rsidRPr="0088350E">
        <w:rPr>
          <w:rFonts w:ascii="Times New Roman" w:eastAsia="Times New Roman" w:hAnsi="Times New Roman" w:cs="Times New Roman"/>
          <w:sz w:val="24"/>
          <w:szCs w:val="24"/>
        </w:rPr>
        <w:t>. Available at: https://www.statista.com/topics/11460/diversity-in-the-workplace-in-germany/#topicOverview (Accessed on: 21 July 2024)</w:t>
      </w:r>
    </w:p>
    <w:p w14:paraId="78381045"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Tam, K.P. and </w:t>
      </w:r>
      <w:proofErr w:type="spellStart"/>
      <w:r>
        <w:rPr>
          <w:rFonts w:ascii="Times New Roman" w:eastAsia="Times New Roman" w:hAnsi="Times New Roman" w:cs="Times New Roman"/>
          <w:sz w:val="24"/>
          <w:szCs w:val="24"/>
          <w:highlight w:val="white"/>
        </w:rPr>
        <w:t>Milfont</w:t>
      </w:r>
      <w:proofErr w:type="spellEnd"/>
      <w:r>
        <w:rPr>
          <w:rFonts w:ascii="Times New Roman" w:eastAsia="Times New Roman" w:hAnsi="Times New Roman" w:cs="Times New Roman"/>
          <w:sz w:val="24"/>
          <w:szCs w:val="24"/>
          <w:highlight w:val="white"/>
        </w:rPr>
        <w:t xml:space="preserve">, T.L., 2020. Towards cross-cultural environmental psychology: A state-of-the-art review and recommendations. </w:t>
      </w:r>
      <w:r>
        <w:rPr>
          <w:rFonts w:ascii="Times New Roman" w:eastAsia="Times New Roman" w:hAnsi="Times New Roman" w:cs="Times New Roman"/>
          <w:i/>
          <w:sz w:val="24"/>
          <w:szCs w:val="24"/>
          <w:highlight w:val="white"/>
        </w:rPr>
        <w:t>Journal of Environmental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71</w:t>
      </w:r>
      <w:r>
        <w:rPr>
          <w:rFonts w:ascii="Times New Roman" w:eastAsia="Times New Roman" w:hAnsi="Times New Roman" w:cs="Times New Roman"/>
          <w:sz w:val="24"/>
          <w:szCs w:val="24"/>
          <w:highlight w:val="white"/>
        </w:rPr>
        <w:t>, p.101474.</w:t>
      </w:r>
    </w:p>
    <w:p w14:paraId="19D53163" w14:textId="77777777" w:rsidR="003F7E1D" w:rsidRDefault="003F7E1D">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Ter </w:t>
      </w:r>
      <w:proofErr w:type="spellStart"/>
      <w:r>
        <w:rPr>
          <w:rFonts w:ascii="Times New Roman" w:eastAsia="Times New Roman" w:hAnsi="Times New Roman" w:cs="Times New Roman"/>
          <w:sz w:val="24"/>
          <w:szCs w:val="24"/>
          <w:highlight w:val="white"/>
        </w:rPr>
        <w:t>Hoeven</w:t>
      </w:r>
      <w:proofErr w:type="spellEnd"/>
      <w:r>
        <w:rPr>
          <w:rFonts w:ascii="Times New Roman" w:eastAsia="Times New Roman" w:hAnsi="Times New Roman" w:cs="Times New Roman"/>
          <w:sz w:val="24"/>
          <w:szCs w:val="24"/>
          <w:highlight w:val="white"/>
        </w:rPr>
        <w:t xml:space="preserve">, C.L. and Van </w:t>
      </w:r>
      <w:proofErr w:type="spellStart"/>
      <w:r>
        <w:rPr>
          <w:rFonts w:ascii="Times New Roman" w:eastAsia="Times New Roman" w:hAnsi="Times New Roman" w:cs="Times New Roman"/>
          <w:sz w:val="24"/>
          <w:szCs w:val="24"/>
          <w:highlight w:val="white"/>
        </w:rPr>
        <w:t>Zoonen</w:t>
      </w:r>
      <w:proofErr w:type="spellEnd"/>
      <w:r>
        <w:rPr>
          <w:rFonts w:ascii="Times New Roman" w:eastAsia="Times New Roman" w:hAnsi="Times New Roman" w:cs="Times New Roman"/>
          <w:sz w:val="24"/>
          <w:szCs w:val="24"/>
          <w:highlight w:val="white"/>
        </w:rPr>
        <w:t xml:space="preserve">, W., 2023. Helping others and feeling engaged in the context of workplace flexibility: The importance of communication control. </w:t>
      </w:r>
      <w:r>
        <w:rPr>
          <w:rFonts w:ascii="Times New Roman" w:eastAsia="Times New Roman" w:hAnsi="Times New Roman" w:cs="Times New Roman"/>
          <w:i/>
          <w:sz w:val="24"/>
          <w:szCs w:val="24"/>
          <w:highlight w:val="white"/>
        </w:rPr>
        <w:t>International journal of business communication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60</w:t>
      </w:r>
      <w:r>
        <w:rPr>
          <w:rFonts w:ascii="Times New Roman" w:eastAsia="Times New Roman" w:hAnsi="Times New Roman" w:cs="Times New Roman"/>
          <w:sz w:val="24"/>
          <w:szCs w:val="24"/>
          <w:highlight w:val="white"/>
        </w:rPr>
        <w:t>(1), pp.62-83.</w:t>
      </w:r>
    </w:p>
    <w:p w14:paraId="22D4626E" w14:textId="77777777" w:rsidR="003F7E1D"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Trading Economics, (2023),</w:t>
      </w:r>
      <w:r>
        <w:rPr>
          <w:rFonts w:ascii="Times New Roman" w:eastAsia="Times New Roman" w:hAnsi="Times New Roman" w:cs="Times New Roman"/>
          <w:i/>
          <w:sz w:val="24"/>
          <w:szCs w:val="24"/>
        </w:rPr>
        <w:t xml:space="preserve"> Germany Corruption index.</w:t>
      </w:r>
      <w:r>
        <w:rPr>
          <w:rFonts w:ascii="Times New Roman" w:eastAsia="Times New Roman" w:hAnsi="Times New Roman" w:cs="Times New Roman"/>
          <w:sz w:val="24"/>
          <w:szCs w:val="24"/>
        </w:rPr>
        <w:t xml:space="preserve"> Available at: </w:t>
      </w:r>
      <w:hyperlink r:id="rId20">
        <w:r>
          <w:rPr>
            <w:rFonts w:ascii="Times New Roman" w:eastAsia="Times New Roman" w:hAnsi="Times New Roman" w:cs="Times New Roman"/>
            <w:sz w:val="24"/>
            <w:szCs w:val="24"/>
            <w:u w:val="single"/>
          </w:rPr>
          <w:t>https://tradingeconomics.com/germany/corruption-index</w:t>
        </w:r>
      </w:hyperlink>
      <w:r>
        <w:rPr>
          <w:rFonts w:ascii="Times New Roman" w:eastAsia="Times New Roman" w:hAnsi="Times New Roman" w:cs="Times New Roman"/>
          <w:sz w:val="24"/>
          <w:szCs w:val="24"/>
        </w:rPr>
        <w:t xml:space="preserve"> (Accessed on: 21 July 2024)</w:t>
      </w:r>
    </w:p>
    <w:p w14:paraId="48D0EA08" w14:textId="77777777" w:rsidR="003F7E1D"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Waterstone, (2024)</w:t>
      </w:r>
      <w:r>
        <w:rPr>
          <w:rFonts w:ascii="Times New Roman" w:eastAsia="Times New Roman" w:hAnsi="Times New Roman" w:cs="Times New Roman"/>
          <w:i/>
          <w:sz w:val="24"/>
          <w:szCs w:val="24"/>
        </w:rPr>
        <w:t xml:space="preserve"> About Us. </w:t>
      </w:r>
      <w:r>
        <w:rPr>
          <w:rFonts w:ascii="Times New Roman" w:eastAsia="Times New Roman" w:hAnsi="Times New Roman" w:cs="Times New Roman"/>
          <w:sz w:val="24"/>
          <w:szCs w:val="24"/>
        </w:rPr>
        <w:t xml:space="preserve">Available at: </w:t>
      </w:r>
      <w:hyperlink r:id="rId21" w:anchor=":~:text=Waterstones%20began%20in%201982%20under,somewhat%20staid%20British%20bookselling%20landscape">
        <w:r>
          <w:rPr>
            <w:rFonts w:ascii="Times New Roman" w:eastAsia="Times New Roman" w:hAnsi="Times New Roman" w:cs="Times New Roman"/>
            <w:sz w:val="24"/>
            <w:szCs w:val="24"/>
            <w:u w:val="single"/>
          </w:rPr>
          <w:t>https://www.waterstones.com/help/about-us/44#:~:text=Waterstones%20began%20in%201982%20under,somewhat%20staid%20British%20bookselling%20landscape</w:t>
        </w:r>
      </w:hyperlink>
      <w:r>
        <w:rPr>
          <w:rFonts w:ascii="Times New Roman" w:eastAsia="Times New Roman" w:hAnsi="Times New Roman" w:cs="Times New Roman"/>
          <w:sz w:val="24"/>
          <w:szCs w:val="24"/>
        </w:rPr>
        <w:t>.(Accessed on: 19 July 2024)</w:t>
      </w:r>
    </w:p>
    <w:p w14:paraId="11AF071B" w14:textId="77777777" w:rsidR="003F7E1D" w:rsidRDefault="003F7E1D">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Wingfield, N and Eddy, M. (2013)</w:t>
      </w:r>
      <w:r>
        <w:rPr>
          <w:rFonts w:ascii="Times New Roman" w:eastAsia="Times New Roman" w:hAnsi="Times New Roman" w:cs="Times New Roman"/>
          <w:i/>
          <w:sz w:val="24"/>
          <w:szCs w:val="24"/>
        </w:rPr>
        <w:t xml:space="preserve"> In Germany, Union Culture Clashes </w:t>
      </w:r>
      <w:proofErr w:type="gramStart"/>
      <w:r>
        <w:rPr>
          <w:rFonts w:ascii="Times New Roman" w:eastAsia="Times New Roman" w:hAnsi="Times New Roman" w:cs="Times New Roman"/>
          <w:i/>
          <w:sz w:val="24"/>
          <w:szCs w:val="24"/>
        </w:rPr>
        <w:t>With</w:t>
      </w:r>
      <w:proofErr w:type="gramEnd"/>
      <w:r>
        <w:rPr>
          <w:rFonts w:ascii="Times New Roman" w:eastAsia="Times New Roman" w:hAnsi="Times New Roman" w:cs="Times New Roman"/>
          <w:i/>
          <w:sz w:val="24"/>
          <w:szCs w:val="24"/>
        </w:rPr>
        <w:t xml:space="preserve"> Amazon’s Labor Practices</w:t>
      </w:r>
    </w:p>
    <w:p w14:paraId="02B05441" w14:textId="111F2FF9" w:rsidR="003F7E1D" w:rsidRDefault="003F7E1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Worldometer</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 xml:space="preserve">Radar, Aviation and Airports. </w:t>
      </w:r>
      <w:r>
        <w:rPr>
          <w:rFonts w:ascii="Times New Roman" w:eastAsia="Times New Roman" w:hAnsi="Times New Roman" w:cs="Times New Roman"/>
          <w:sz w:val="24"/>
          <w:szCs w:val="24"/>
        </w:rPr>
        <w:t xml:space="preserve">Available at: </w:t>
      </w:r>
      <w:hyperlink r:id="rId22" w:anchor="google_vignette">
        <w:r>
          <w:rPr>
            <w:rFonts w:ascii="Times New Roman" w:eastAsia="Times New Roman" w:hAnsi="Times New Roman" w:cs="Times New Roman"/>
            <w:sz w:val="24"/>
            <w:szCs w:val="24"/>
            <w:u w:val="single"/>
          </w:rPr>
          <w:t>https://www.worldometers.info/world-population/germany-population/#google_vignette</w:t>
        </w:r>
      </w:hyperlink>
      <w:r>
        <w:rPr>
          <w:rFonts w:ascii="Times New Roman" w:eastAsia="Times New Roman" w:hAnsi="Times New Roman" w:cs="Times New Roman"/>
          <w:sz w:val="24"/>
          <w:szCs w:val="24"/>
        </w:rPr>
        <w:t xml:space="preserve"> (Accessed on: 19 July 2024)</w:t>
      </w:r>
    </w:p>
    <w:p w14:paraId="66E17000" w14:textId="0281BBE8" w:rsidR="007160C6" w:rsidRDefault="003F7E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Yahoo Finance, (2023)</w:t>
      </w:r>
      <w:r>
        <w:rPr>
          <w:rFonts w:ascii="Times New Roman" w:eastAsia="Times New Roman" w:hAnsi="Times New Roman" w:cs="Times New Roman"/>
          <w:i/>
          <w:sz w:val="24"/>
          <w:szCs w:val="24"/>
        </w:rPr>
        <w:t xml:space="preserve"> Waterstone Financial, Inc. (WSBF). </w:t>
      </w: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sz w:val="24"/>
            <w:szCs w:val="24"/>
            <w:u w:val="single"/>
          </w:rPr>
          <w:t>https://uk.finance.yahoo.com/quote/WSBF/?guccounter=1&amp;guce_referrer=aHR0cHM6Ly93d3cuZ29vZ2xlLmNvbS8&amp;guce_referrer_sig=AQAAAM0vbji2YrxmsvTfEljXDGAE98JB1sG_V6GjjOfe2c3ORsO-fv-x4ugz_uQ3mx8mB7aD9mT8Xdg7rusZljM6AIl_z_NH9INn3lch_I1aE7OUD6EY595vUBPEsmxE2iB6LAu4FtgTuamI16hc-ehoaGPwfID0y1bVSBJ-QkWMPoS5</w:t>
        </w:r>
      </w:hyperlink>
      <w:r>
        <w:rPr>
          <w:rFonts w:ascii="Times New Roman" w:eastAsia="Times New Roman" w:hAnsi="Times New Roman" w:cs="Times New Roman"/>
          <w:sz w:val="24"/>
          <w:szCs w:val="24"/>
        </w:rPr>
        <w:t xml:space="preserve"> (Accessed on: 19 July 2024)</w:t>
      </w:r>
    </w:p>
    <w:p w14:paraId="719296CD" w14:textId="77777777" w:rsidR="007160C6" w:rsidRDefault="007160C6">
      <w:pPr>
        <w:spacing w:line="360" w:lineRule="auto"/>
        <w:jc w:val="both"/>
        <w:rPr>
          <w:rFonts w:ascii="Times New Roman" w:eastAsia="Times New Roman" w:hAnsi="Times New Roman" w:cs="Times New Roman"/>
          <w:sz w:val="24"/>
          <w:szCs w:val="24"/>
        </w:rPr>
      </w:pPr>
    </w:p>
    <w:p w14:paraId="1FB01868" w14:textId="77777777" w:rsidR="007160C6" w:rsidRDefault="007160C6">
      <w:pPr>
        <w:spacing w:line="360" w:lineRule="auto"/>
        <w:jc w:val="both"/>
        <w:rPr>
          <w:rFonts w:ascii="Times New Roman" w:eastAsia="Times New Roman" w:hAnsi="Times New Roman" w:cs="Times New Roman"/>
          <w:sz w:val="24"/>
          <w:szCs w:val="24"/>
        </w:rPr>
      </w:pPr>
    </w:p>
    <w:p w14:paraId="41A510D8" w14:textId="77777777" w:rsidR="007160C6" w:rsidRDefault="007160C6">
      <w:pPr>
        <w:spacing w:line="360" w:lineRule="auto"/>
        <w:jc w:val="both"/>
        <w:rPr>
          <w:rFonts w:ascii="Times New Roman" w:eastAsia="Times New Roman" w:hAnsi="Times New Roman" w:cs="Times New Roman"/>
          <w:sz w:val="24"/>
          <w:szCs w:val="24"/>
        </w:rPr>
      </w:pPr>
    </w:p>
    <w:p w14:paraId="7483F7BF" w14:textId="77777777" w:rsidR="007160C6" w:rsidRDefault="007160C6">
      <w:pPr>
        <w:spacing w:line="360" w:lineRule="auto"/>
        <w:jc w:val="both"/>
        <w:rPr>
          <w:rFonts w:ascii="Times New Roman" w:eastAsia="Times New Roman" w:hAnsi="Times New Roman" w:cs="Times New Roman"/>
          <w:sz w:val="24"/>
          <w:szCs w:val="24"/>
        </w:rPr>
      </w:pPr>
    </w:p>
    <w:p w14:paraId="05C44CF5" w14:textId="77777777" w:rsidR="007160C6" w:rsidRDefault="007160C6">
      <w:pPr>
        <w:spacing w:line="360" w:lineRule="auto"/>
        <w:jc w:val="both"/>
        <w:rPr>
          <w:rFonts w:ascii="Times New Roman" w:eastAsia="Times New Roman" w:hAnsi="Times New Roman" w:cs="Times New Roman"/>
          <w:sz w:val="24"/>
          <w:szCs w:val="24"/>
        </w:rPr>
      </w:pPr>
    </w:p>
    <w:p w14:paraId="56C8FC23" w14:textId="77777777" w:rsidR="007160C6" w:rsidRDefault="007160C6">
      <w:pPr>
        <w:spacing w:line="360" w:lineRule="auto"/>
        <w:jc w:val="both"/>
        <w:rPr>
          <w:rFonts w:ascii="Times New Roman" w:eastAsia="Times New Roman" w:hAnsi="Times New Roman" w:cs="Times New Roman"/>
          <w:sz w:val="24"/>
          <w:szCs w:val="24"/>
        </w:rPr>
      </w:pPr>
    </w:p>
    <w:sectPr w:rsidR="007160C6" w:rsidSect="009A6BB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0C6"/>
    <w:rsid w:val="000B761E"/>
    <w:rsid w:val="001968C2"/>
    <w:rsid w:val="00291548"/>
    <w:rsid w:val="003F7E1D"/>
    <w:rsid w:val="007160C6"/>
    <w:rsid w:val="00742455"/>
    <w:rsid w:val="00751AA9"/>
    <w:rsid w:val="0088350E"/>
    <w:rsid w:val="00897F20"/>
    <w:rsid w:val="009A6BB3"/>
    <w:rsid w:val="00B74BDD"/>
    <w:rsid w:val="00B842EB"/>
    <w:rsid w:val="00C15CD1"/>
    <w:rsid w:val="00CD478D"/>
    <w:rsid w:val="00DE44CD"/>
    <w:rsid w:val="00E75B38"/>
    <w:rsid w:val="00F06A0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951EC"/>
  <w15:docId w15:val="{97EF4DDB-4E36-4187-AA16-DD41F48BD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Hyperlink">
    <w:name w:val="Hyperlink"/>
    <w:basedOn w:val="DefaultParagraphFont"/>
    <w:uiPriority w:val="99"/>
    <w:unhideWhenUsed/>
    <w:rsid w:val="003F7E1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gtai.de/en/invest/business-location-germany/innovation-in-germany" TargetMode="External"/><Relationship Id="rId18" Type="http://schemas.openxmlformats.org/officeDocument/2006/relationships/hyperlink" Target="https://www.independent.co.uk/news/business/news/foyles-to-open-new-london-store-as-first-step-in-global-expansion-plan-11238.html" TargetMode="External"/><Relationship Id="rId3" Type="http://schemas.openxmlformats.org/officeDocument/2006/relationships/settings" Target="settings.xml"/><Relationship Id="rId21" Type="http://schemas.openxmlformats.org/officeDocument/2006/relationships/hyperlink" Target="https://www.waterstones.com/help/about-us/44" TargetMode="External"/><Relationship Id="rId7" Type="http://schemas.openxmlformats.org/officeDocument/2006/relationships/image" Target="media/image3.png"/><Relationship Id="rId12" Type="http://schemas.openxmlformats.org/officeDocument/2006/relationships/hyperlink" Target="https://www.gov.uk/government/statistics/home-office-workforce-diversity-statistics-2021-to-2022/home-office-workforce-diversity-statistics-2021-to-2022" TargetMode="External"/><Relationship Id="rId17" Type="http://schemas.openxmlformats.org/officeDocument/2006/relationships/hyperlink" Target="https://www.trade.gov/country-commercial-guides/germany-investment-climate-stateme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researchbriefings.files.parliament.uk/documents/SN06838/SN06838.pdf" TargetMode="External"/><Relationship Id="rId20" Type="http://schemas.openxmlformats.org/officeDocument/2006/relationships/hyperlink" Target="https://tradingeconomics.com/germany/corruption-index"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global-ppl.com/workplace-diversity-germany-benefits-culture/" TargetMode="External"/><Relationship Id="rId24" Type="http://schemas.openxmlformats.org/officeDocument/2006/relationships/fontTable" Target="fontTable.xml"/><Relationship Id="rId5" Type="http://schemas.openxmlformats.org/officeDocument/2006/relationships/image" Target="media/image1.wmf"/><Relationship Id="rId15" Type="http://schemas.openxmlformats.org/officeDocument/2006/relationships/hyperlink" Target="https://www.hofstede-insights.com/country-comparison-tool?countries=germany%2Cunited+kingdom" TargetMode="External"/><Relationship Id="rId23" Type="http://schemas.openxmlformats.org/officeDocument/2006/relationships/hyperlink" Target="https://uk.finance.yahoo.com/quote/WSBF/?guccounter=1&amp;guce_referrer=aHR0cHM6Ly93d3cuZ29vZ2xlLmNvbS8&amp;guce_referrer_sig=AQAAAM0vbji2YrxmsvTfEljXDGAE98JB1sG_V6GjjOfe2c3ORsO-fv-x4ugz_uQ3mx8mB7aD9mT8Xdg7rusZljM6AIl_z_NH9INn3lch_I1aE7OUD6EY595vUBPEsmxE2iB6LAu4FtgTuamI16hc-ehoaGPwfID0y1bVSBJ-QkWMPoS5" TargetMode="External"/><Relationship Id="rId10" Type="http://schemas.openxmlformats.org/officeDocument/2006/relationships/hyperlink" Target="https://ny1.com/nyc/all-boroughs/mornings-on-1/2023/11/06/barnes-and-noble-ceo-discusses-company-s-turnaround-post-pandemic" TargetMode="External"/><Relationship Id="rId19" Type="http://schemas.openxmlformats.org/officeDocument/2006/relationships/hyperlink" Target="https://www.statista.com/statistics/375209/unemployment-rate-in-german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hachette.com/en/" TargetMode="External"/><Relationship Id="rId22" Type="http://schemas.openxmlformats.org/officeDocument/2006/relationships/hyperlink" Target="https://www.worldometers.info/world-population/germany-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B1D9E-2C1C-4F34-BAD0-AAC1875E4C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3797</Words>
  <Characters>21646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25393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17radosveta.terzieva</dc:creator>
  <cp:keywords/>
  <dc:description/>
  <cp:lastModifiedBy>17radosveta.terzieva</cp:lastModifiedBy>
  <cp:revision>2</cp:revision>
  <dcterms:created xsi:type="dcterms:W3CDTF">2024-08-30T15:04:00Z</dcterms:created>
  <dcterms:modified xsi:type="dcterms:W3CDTF">2024-08-30T15:04:00Z</dcterms:modified>
  <cp:category/>
</cp:coreProperties>
</file>