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A80B642" wp14:paraId="0A8C0029" wp14:textId="65487CB0">
      <w:pPr>
        <w:spacing w:before="139" w:beforeAutospacing="off" w:after="0" w:afterAutospacing="off" w:line="360" w:lineRule="auto"/>
        <w:ind w:left="117" w:right="0"/>
      </w:pPr>
      <w:r w:rsidRPr="5A80B642" w:rsidR="5AE42E73">
        <w:rPr>
          <w:rFonts w:ascii="Arial" w:hAnsi="Arial" w:eastAsia="Arial" w:cs="Arial"/>
          <w:b w:val="1"/>
          <w:bCs w:val="1"/>
          <w:noProof w:val="0"/>
          <w:sz w:val="22"/>
          <w:szCs w:val="22"/>
          <w:u w:val="single"/>
          <w:lang w:val="en-US"/>
        </w:rPr>
        <w:t>Name:</w:t>
      </w:r>
      <w:r w:rsidRPr="5A80B642" w:rsidR="5AE42E73">
        <w:rPr>
          <w:rFonts w:ascii="Arial" w:hAnsi="Arial" w:eastAsia="Arial" w:cs="Arial"/>
          <w:noProof w:val="0"/>
          <w:sz w:val="22"/>
          <w:szCs w:val="22"/>
          <w:lang w:val="en-US"/>
        </w:rPr>
        <w:t xml:space="preserve"> Demi-Leigh Ferncombe</w:t>
      </w:r>
      <w:r>
        <w:br/>
      </w:r>
      <w:r w:rsidRPr="5A80B642" w:rsidR="5AE42E73">
        <w:rPr>
          <w:rFonts w:ascii="Arial" w:hAnsi="Arial" w:eastAsia="Arial" w:cs="Arial"/>
          <w:noProof w:val="0"/>
          <w:sz w:val="22"/>
          <w:szCs w:val="22"/>
          <w:lang w:val="en-US"/>
        </w:rPr>
        <w:t xml:space="preserve"> </w:t>
      </w:r>
      <w:r w:rsidRPr="5A80B642" w:rsidR="5AE42E73">
        <w:rPr>
          <w:rFonts w:ascii="Arial" w:hAnsi="Arial" w:eastAsia="Arial" w:cs="Arial"/>
          <w:b w:val="1"/>
          <w:bCs w:val="1"/>
          <w:noProof w:val="0"/>
          <w:sz w:val="22"/>
          <w:szCs w:val="22"/>
          <w:u w:val="single"/>
          <w:lang w:val="en-US"/>
        </w:rPr>
        <w:t>Student number:</w:t>
      </w:r>
      <w:r w:rsidRPr="5A80B642" w:rsidR="5AE42E73">
        <w:rPr>
          <w:rFonts w:ascii="Arial" w:hAnsi="Arial" w:eastAsia="Arial" w:cs="Arial"/>
          <w:noProof w:val="0"/>
          <w:sz w:val="22"/>
          <w:szCs w:val="22"/>
          <w:lang w:val="en-US"/>
        </w:rPr>
        <w:t xml:space="preserve"> 2435928</w:t>
      </w:r>
      <w:r>
        <w:br/>
      </w:r>
      <w:r w:rsidRPr="5A80B642" w:rsidR="5AE42E73">
        <w:rPr>
          <w:rFonts w:ascii="Arial" w:hAnsi="Arial" w:eastAsia="Arial" w:cs="Arial"/>
          <w:noProof w:val="0"/>
          <w:sz w:val="22"/>
          <w:szCs w:val="22"/>
          <w:lang w:val="en-US"/>
        </w:rPr>
        <w:t xml:space="preserve"> </w:t>
      </w:r>
      <w:r w:rsidRPr="5A80B642" w:rsidR="5AE42E73">
        <w:rPr>
          <w:rFonts w:ascii="Arial" w:hAnsi="Arial" w:eastAsia="Arial" w:cs="Arial"/>
          <w:b w:val="1"/>
          <w:bCs w:val="1"/>
          <w:noProof w:val="0"/>
          <w:sz w:val="22"/>
          <w:szCs w:val="22"/>
          <w:u w:val="single"/>
          <w:lang w:val="en-US"/>
        </w:rPr>
        <w:t>Lecturer name:</w:t>
      </w:r>
      <w:r w:rsidRPr="5A80B642" w:rsidR="5AE42E73">
        <w:rPr>
          <w:rFonts w:ascii="Arial" w:hAnsi="Arial" w:eastAsia="Arial" w:cs="Arial"/>
          <w:noProof w:val="0"/>
          <w:sz w:val="22"/>
          <w:szCs w:val="22"/>
          <w:lang w:val="en-US"/>
        </w:rPr>
        <w:t xml:space="preserve"> Helen Parsons</w:t>
      </w:r>
      <w:r>
        <w:br/>
      </w:r>
      <w:r w:rsidRPr="5A80B642" w:rsidR="5AE42E73">
        <w:rPr>
          <w:rFonts w:ascii="Arial" w:hAnsi="Arial" w:eastAsia="Arial" w:cs="Arial"/>
          <w:noProof w:val="0"/>
          <w:sz w:val="22"/>
          <w:szCs w:val="22"/>
          <w:lang w:val="en-US"/>
        </w:rPr>
        <w:t xml:space="preserve"> </w:t>
      </w:r>
      <w:r w:rsidRPr="5A80B642" w:rsidR="5AE42E73">
        <w:rPr>
          <w:rFonts w:ascii="Arial" w:hAnsi="Arial" w:eastAsia="Arial" w:cs="Arial"/>
          <w:b w:val="1"/>
          <w:bCs w:val="1"/>
          <w:noProof w:val="0"/>
          <w:sz w:val="22"/>
          <w:szCs w:val="22"/>
          <w:u w:val="single"/>
          <w:lang w:val="en-US"/>
        </w:rPr>
        <w:t>Course title:</w:t>
      </w:r>
      <w:r w:rsidRPr="5A80B642" w:rsidR="5AE42E73">
        <w:rPr>
          <w:rFonts w:ascii="Arial" w:hAnsi="Arial" w:eastAsia="Arial" w:cs="Arial"/>
          <w:noProof w:val="0"/>
          <w:sz w:val="22"/>
          <w:szCs w:val="22"/>
          <w:lang w:val="en-US"/>
        </w:rPr>
        <w:t xml:space="preserve"> Psychology in Health and Social Care- LCHS4010</w:t>
      </w:r>
      <w:r>
        <w:br/>
      </w:r>
      <w:r w:rsidRPr="5A80B642" w:rsidR="5AE42E73">
        <w:rPr>
          <w:rFonts w:ascii="Arial" w:hAnsi="Arial" w:eastAsia="Arial" w:cs="Arial"/>
          <w:noProof w:val="0"/>
          <w:sz w:val="22"/>
          <w:szCs w:val="22"/>
          <w:lang w:val="en-US"/>
        </w:rPr>
        <w:t xml:space="preserve"> </w:t>
      </w:r>
      <w:r w:rsidRPr="5A80B642" w:rsidR="5AE42E73">
        <w:rPr>
          <w:rFonts w:ascii="Arial" w:hAnsi="Arial" w:eastAsia="Arial" w:cs="Arial"/>
          <w:b w:val="1"/>
          <w:bCs w:val="1"/>
          <w:noProof w:val="0"/>
          <w:sz w:val="22"/>
          <w:szCs w:val="22"/>
          <w:u w:val="single"/>
          <w:lang w:val="en-US"/>
        </w:rPr>
        <w:t xml:space="preserve">Assignment: </w:t>
      </w:r>
      <w:r w:rsidRPr="5A80B642" w:rsidR="5AE42E73">
        <w:rPr>
          <w:rFonts w:ascii="Arial" w:hAnsi="Arial" w:eastAsia="Arial" w:cs="Arial"/>
          <w:noProof w:val="0"/>
          <w:sz w:val="22"/>
          <w:szCs w:val="22"/>
          <w:lang w:val="en-US"/>
        </w:rPr>
        <w:t>Assessment 2: Bibliography &amp; report</w:t>
      </w:r>
    </w:p>
    <w:p xmlns:wp14="http://schemas.microsoft.com/office/word/2010/wordml" w:rsidP="5A80B642" wp14:paraId="0B7B3A66" wp14:textId="1D01B0F0">
      <w:pPr>
        <w:spacing w:before="139" w:beforeAutospacing="off" w:after="0" w:afterAutospacing="off" w:line="360" w:lineRule="auto"/>
      </w:pPr>
      <w:r w:rsidRPr="5A80B642" w:rsidR="5AE42E73">
        <w:rPr>
          <w:rFonts w:ascii="Arial" w:hAnsi="Arial" w:eastAsia="Arial" w:cs="Arial"/>
          <w:b w:val="1"/>
          <w:bCs w:val="1"/>
          <w:noProof w:val="0"/>
          <w:sz w:val="22"/>
          <w:szCs w:val="22"/>
          <w:u w:val="single"/>
          <w:lang w:val="en-US"/>
        </w:rPr>
        <w:t>Table of Contents</w:t>
      </w:r>
    </w:p>
    <w:p xmlns:wp14="http://schemas.microsoft.com/office/word/2010/wordml" w:rsidP="5A80B642" wp14:paraId="046532B4" wp14:textId="606669AF">
      <w:pPr>
        <w:spacing w:before="139" w:beforeAutospacing="off" w:after="0" w:afterAutospacing="off" w:line="360" w:lineRule="auto"/>
      </w:pPr>
      <w:r w:rsidRPr="5A80B642" w:rsidR="5AE42E73">
        <w:rPr>
          <w:rFonts w:ascii="Arial" w:hAnsi="Arial" w:eastAsia="Arial" w:cs="Arial"/>
          <w:noProof w:val="0"/>
          <w:sz w:val="22"/>
          <w:szCs w:val="22"/>
          <w:lang w:val="en-US"/>
        </w:rPr>
        <w:t>Part A: Annotated bibliography</w:t>
      </w:r>
      <w:r>
        <w:br/>
      </w:r>
      <w:r w:rsidRPr="5A80B642" w:rsidR="5AE42E73">
        <w:rPr>
          <w:rFonts w:ascii="Arial" w:hAnsi="Arial" w:eastAsia="Arial" w:cs="Arial"/>
          <w:noProof w:val="0"/>
          <w:sz w:val="22"/>
          <w:szCs w:val="22"/>
          <w:lang w:val="en-US"/>
        </w:rPr>
        <w:t xml:space="preserve"> 1. </w:t>
      </w:r>
      <w:r w:rsidRPr="5A80B642" w:rsidR="5AE42E73">
        <w:rPr>
          <w:rFonts w:ascii="Arial" w:hAnsi="Arial" w:eastAsia="Arial" w:cs="Arial"/>
          <w:noProof w:val="0"/>
          <w:sz w:val="22"/>
          <w:szCs w:val="22"/>
          <w:lang w:val="en-GB"/>
        </w:rPr>
        <w:t>Perry, T.E., Andersen, T.C. and Kaplan, D.B. (2015) ‘Applying Erikson’s wisdom to self-management practices of older adults’, Research on Aging, 37(3), pp. 253–274.</w:t>
      </w:r>
      <w:r>
        <w:br/>
      </w:r>
      <w:r w:rsidRPr="5A80B642" w:rsidR="5AE42E73">
        <w:rPr>
          <w:rFonts w:ascii="Arial" w:hAnsi="Arial" w:eastAsia="Arial" w:cs="Arial"/>
          <w:noProof w:val="0"/>
          <w:sz w:val="22"/>
          <w:szCs w:val="22"/>
          <w:lang w:val="en-GB"/>
        </w:rPr>
        <w:t xml:space="preserve"> 2. Westerhof, G.J., Bohlmeijer, E.T. and McAdams, D.P. (2017) ‘The relation of ego integrity and despair to personality traits and mental health’, Journal of Gerontology: Psychological Sciences, 72(3), pp. 400–407.</w:t>
      </w:r>
      <w:r>
        <w:br/>
      </w:r>
      <w:r w:rsidRPr="5A80B642" w:rsidR="5AE42E73">
        <w:rPr>
          <w:rFonts w:ascii="Arial" w:hAnsi="Arial" w:eastAsia="Arial" w:cs="Arial"/>
          <w:noProof w:val="0"/>
          <w:sz w:val="22"/>
          <w:szCs w:val="22"/>
          <w:lang w:val="en-GB"/>
        </w:rPr>
        <w:t xml:space="preserve"> 3.</w:t>
      </w:r>
      <w:r w:rsidRPr="5A80B642" w:rsidR="5AE42E73">
        <w:rPr>
          <w:rFonts w:ascii="Arial" w:hAnsi="Arial" w:eastAsia="Arial" w:cs="Arial"/>
          <w:noProof w:val="0"/>
          <w:color w:val="000000" w:themeColor="text1" w:themeTint="FF" w:themeShade="FF"/>
          <w:sz w:val="22"/>
          <w:szCs w:val="22"/>
          <w:lang w:val="en-GB"/>
        </w:rPr>
        <w:t xml:space="preserve"> </w:t>
      </w:r>
      <w:r w:rsidRPr="5A80B642" w:rsidR="5AE42E73">
        <w:rPr>
          <w:rFonts w:ascii="Arial" w:hAnsi="Arial" w:eastAsia="Arial" w:cs="Arial"/>
          <w:noProof w:val="0"/>
          <w:sz w:val="22"/>
          <w:szCs w:val="22"/>
          <w:lang w:val="en-GB"/>
        </w:rPr>
        <w:t>Van der Kaap-Deeder, J. et al. (2022) ‘The role of ego integrity and despair in older adults’ well-being’, European Journal of Ageing, 19, pp. 117–129.</w:t>
      </w:r>
      <w:r>
        <w:br/>
      </w:r>
      <w:r w:rsidRPr="5A80B642" w:rsidR="5AE42E73">
        <w:rPr>
          <w:rFonts w:ascii="Arial" w:hAnsi="Arial" w:eastAsia="Arial" w:cs="Arial"/>
          <w:noProof w:val="0"/>
          <w:sz w:val="22"/>
          <w:szCs w:val="22"/>
          <w:lang w:val="en-GB"/>
        </w:rPr>
        <w:t xml:space="preserve"> 4.</w:t>
      </w:r>
      <w:r w:rsidRPr="5A80B642" w:rsidR="5AE42E73">
        <w:rPr>
          <w:rFonts w:ascii="Arial" w:hAnsi="Arial" w:eastAsia="Arial" w:cs="Arial"/>
          <w:noProof w:val="0"/>
          <w:color w:val="000000" w:themeColor="text1" w:themeTint="FF" w:themeShade="FF"/>
          <w:sz w:val="22"/>
          <w:szCs w:val="22"/>
          <w:lang w:val="en-GB"/>
        </w:rPr>
        <w:t xml:space="preserve"> Robert J. Havighurst (1961) ‘Successful aging’, The Gerontologist, 1(1), pp. 8–13.</w:t>
      </w:r>
    </w:p>
    <w:p xmlns:wp14="http://schemas.microsoft.com/office/word/2010/wordml" w:rsidP="5A80B642" wp14:paraId="4A307302" wp14:textId="5562E05C">
      <w:pPr>
        <w:spacing w:before="139" w:beforeAutospacing="off" w:after="0" w:afterAutospacing="off" w:line="360" w:lineRule="auto"/>
      </w:pPr>
      <w:r w:rsidRPr="5A80B642" w:rsidR="5AE42E73">
        <w:rPr>
          <w:rFonts w:ascii="Arial" w:hAnsi="Arial" w:eastAsia="Arial" w:cs="Arial"/>
          <w:noProof w:val="0"/>
          <w:sz w:val="22"/>
          <w:szCs w:val="22"/>
          <w:lang w:val="en-GB"/>
        </w:rPr>
        <w:t xml:space="preserve"> </w:t>
      </w:r>
    </w:p>
    <w:p xmlns:wp14="http://schemas.microsoft.com/office/word/2010/wordml" w:rsidP="5A80B642" wp14:paraId="6BF66A0C" wp14:textId="1ED5F554">
      <w:pPr>
        <w:spacing w:before="139" w:beforeAutospacing="off" w:after="0" w:afterAutospacing="off" w:line="360" w:lineRule="auto"/>
      </w:pPr>
      <w:r w:rsidRPr="5A80B642" w:rsidR="5AE42E73">
        <w:rPr>
          <w:rFonts w:ascii="Arial" w:hAnsi="Arial" w:eastAsia="Arial" w:cs="Arial"/>
          <w:b w:val="1"/>
          <w:bCs w:val="1"/>
          <w:noProof w:val="0"/>
          <w:sz w:val="22"/>
          <w:szCs w:val="22"/>
          <w:lang w:val="en-GB"/>
        </w:rPr>
        <w:t xml:space="preserve">Part A: Annotated bibliography; </w:t>
      </w:r>
      <w:r>
        <w:br/>
      </w:r>
      <w:r w:rsidRPr="5A80B642" w:rsidR="5AE42E73">
        <w:rPr>
          <w:rFonts w:ascii="Arial" w:hAnsi="Arial" w:eastAsia="Arial" w:cs="Arial"/>
          <w:b w:val="1"/>
          <w:bCs w:val="1"/>
          <w:noProof w:val="0"/>
          <w:sz w:val="22"/>
          <w:szCs w:val="22"/>
          <w:lang w:val="en-GB"/>
        </w:rPr>
        <w:t>1. Perry, T.E., Andersen, T.C. and Kaplan, D.B. (2015) ‘Applying Erikson’s wisdom to self-management practices of older adults’, Research on Aging, 37(3), pp. 253–274.</w:t>
      </w:r>
    </w:p>
    <w:p xmlns:wp14="http://schemas.microsoft.com/office/word/2010/wordml" w:rsidP="5A80B642" wp14:paraId="28CB4505" wp14:textId="19DB5BDF">
      <w:pPr>
        <w:spacing w:before="139" w:beforeAutospacing="off" w:after="0" w:afterAutospacing="off" w:line="360" w:lineRule="auto"/>
      </w:pPr>
      <w:r w:rsidRPr="5A80B642" w:rsidR="5AE42E73">
        <w:rPr>
          <w:rFonts w:ascii="Arial" w:hAnsi="Arial" w:eastAsia="Arial" w:cs="Arial"/>
          <w:noProof w:val="0"/>
          <w:sz w:val="22"/>
          <w:szCs w:val="22"/>
          <w:lang w:val="en-GB"/>
        </w:rPr>
        <w:t>This study looks at how elderly people handle their health and well-being using Erikson’s theory of growing up and changing through life. It focuses on the later stages of Erikson’s developmental framework, particularly the attainment of ego integrity. The study states that older adults use what they’ve learned, their resilience and their established coping mechanisms to sustain independence and and how it prepares them to stay independent and take care of their own health issues. The study also emphasises   that self-management is also contingent to not only your physical health but also on your mental wellbeing, identity formation and the construction of personal meaning.</w:t>
      </w:r>
      <w:r>
        <w:br/>
      </w:r>
      <w:r w:rsidRPr="5A80B642" w:rsidR="5AE42E73">
        <w:rPr>
          <w:rFonts w:ascii="Arial" w:hAnsi="Arial" w:eastAsia="Arial" w:cs="Arial"/>
          <w:noProof w:val="0"/>
          <w:sz w:val="22"/>
          <w:szCs w:val="22"/>
          <w:lang w:val="en-GB"/>
        </w:rPr>
        <w:t xml:space="preserve"> This source demonstrates relevance to the fields of health and social care, especially within residential health and social care where the promotion of independence is very important. The findings suggest that involving residents within making decisions for themselves and within their care can positively influence overall wellbeing. Care staff can operationalise these insights by encouraging choice and demonstrating respect for individual life history. However, the study’s primary focuses on individuals with an intact self-management capability, other residents with sever cognitive impairments, it may limit them to these capabilities, although with this limitation, the study provides robust support for person-centred care approaches.</w:t>
      </w:r>
    </w:p>
    <w:p xmlns:wp14="http://schemas.microsoft.com/office/word/2010/wordml" w:rsidP="5A80B642" wp14:paraId="11C6B5BA" wp14:textId="24B51834">
      <w:pPr>
        <w:spacing w:before="139" w:beforeAutospacing="off" w:after="0" w:afterAutospacing="off" w:line="360" w:lineRule="auto"/>
      </w:pPr>
      <w:r w:rsidRPr="5A80B642" w:rsidR="5AE42E73">
        <w:rPr>
          <w:rFonts w:ascii="Arial" w:hAnsi="Arial" w:eastAsia="Arial" w:cs="Arial"/>
          <w:b w:val="1"/>
          <w:bCs w:val="1"/>
          <w:noProof w:val="0"/>
          <w:sz w:val="22"/>
          <w:szCs w:val="22"/>
          <w:lang w:val="en-GB"/>
        </w:rPr>
        <w:t>2. Westerhof, G.J., Bohlmeijer, E.T. and McAdams, D.P. (2017) ‘The relation of ego integrity and despair to personality traits and mental health’, Journal of Gerontology: Psychological Sciences, 72(3), pp. 400–407.</w:t>
      </w:r>
      <w:r>
        <w:br/>
      </w:r>
      <w:r w:rsidRPr="5A80B642" w:rsidR="5AE42E73">
        <w:rPr>
          <w:rFonts w:ascii="Arial" w:hAnsi="Arial" w:eastAsia="Arial" w:cs="Arial"/>
          <w:noProof w:val="0"/>
          <w:sz w:val="22"/>
          <w:szCs w:val="22"/>
          <w:lang w:val="en-GB"/>
        </w:rPr>
        <w:t xml:space="preserve"> This article investigates Erikson’s concept of ‘’ego integrity versus ‘’despair in old age, and how it collates to mental health outcomes. Ego integrity is defined as the acceptance about your life and finding it meaningful, whilst despair encompasses regret and feeling dissatisfied. The study discovered that people who feel a higher-level ego integrity tend to show signs of better mental wellbeing. However, those who feel despair are more likely prone to depression and anxiety. The research emphasizes how important it is to reflect on your life experience and acceptance in fostering positive ageing.</w:t>
      </w:r>
    </w:p>
    <w:p xmlns:wp14="http://schemas.microsoft.com/office/word/2010/wordml" w:rsidP="5A80B642" wp14:paraId="3DB16DDA" wp14:textId="2ECC6108">
      <w:pPr>
        <w:spacing w:before="139" w:beforeAutospacing="off" w:after="0" w:afterAutospacing="off" w:line="360" w:lineRule="auto"/>
      </w:pPr>
      <w:r w:rsidRPr="5A80B642" w:rsidR="5AE42E73">
        <w:rPr>
          <w:rFonts w:ascii="Arial" w:hAnsi="Arial" w:eastAsia="Arial" w:cs="Arial"/>
          <w:noProof w:val="0"/>
          <w:sz w:val="22"/>
          <w:szCs w:val="22"/>
          <w:lang w:val="en-GB"/>
        </w:rPr>
        <w:t>This source offers valuable insights into understanding mental health in older adults, particularly within care settings. It implies that care professionals should facilitate positive life reflection among residents, employing techniques such as reminiscence therapy or life story activities. Such interventions may mitigate depression and enhance emotional wellbeing. However, the theory may oversimplify complex emotional experiences, as the attainment of ego integrity may not be readily achievable for all individuals. Despite this potential limitation, it provides a useful framework for supporting psychological wellbeing in ageing populations.</w:t>
      </w:r>
    </w:p>
    <w:p xmlns:wp14="http://schemas.microsoft.com/office/word/2010/wordml" w:rsidP="5A80B642" wp14:paraId="1BD86E36" wp14:textId="435BDC52">
      <w:pPr>
        <w:spacing w:before="139" w:beforeAutospacing="off" w:after="0" w:afterAutospacing="off" w:line="360" w:lineRule="auto"/>
      </w:pPr>
      <w:r w:rsidRPr="5A80B642" w:rsidR="5AE42E73">
        <w:rPr>
          <w:rFonts w:ascii="Arial" w:hAnsi="Arial" w:eastAsia="Arial" w:cs="Arial"/>
          <w:b w:val="1"/>
          <w:bCs w:val="1"/>
          <w:noProof w:val="0"/>
          <w:sz w:val="22"/>
          <w:szCs w:val="22"/>
          <w:lang w:val="en-GB"/>
        </w:rPr>
        <w:t>3.</w:t>
      </w:r>
      <w:r w:rsidRPr="5A80B642" w:rsidR="5AE42E73">
        <w:rPr>
          <w:rFonts w:ascii="Arial" w:hAnsi="Arial" w:eastAsia="Arial" w:cs="Arial"/>
          <w:noProof w:val="0"/>
          <w:sz w:val="22"/>
          <w:szCs w:val="22"/>
          <w:lang w:val="en-GB"/>
        </w:rPr>
        <w:t xml:space="preserve"> </w:t>
      </w:r>
      <w:r w:rsidRPr="5A80B642" w:rsidR="5AE42E73">
        <w:rPr>
          <w:rFonts w:ascii="Arial" w:hAnsi="Arial" w:eastAsia="Arial" w:cs="Arial"/>
          <w:b w:val="1"/>
          <w:bCs w:val="1"/>
          <w:noProof w:val="0"/>
          <w:sz w:val="22"/>
          <w:szCs w:val="22"/>
          <w:lang w:val="en-GB"/>
        </w:rPr>
        <w:t>Van der Kaap-Deeder, J. et al. (2022) ‘The role of ego integrity and despair in older adults’ well-being’, European Journal of Ageing, 19, pp. 117–129.</w:t>
      </w:r>
    </w:p>
    <w:p xmlns:wp14="http://schemas.microsoft.com/office/word/2010/wordml" w:rsidP="5A80B642" wp14:paraId="239EC635" wp14:textId="7E52E733">
      <w:pPr>
        <w:spacing w:before="139" w:beforeAutospacing="off" w:after="0" w:afterAutospacing="off" w:line="360" w:lineRule="auto"/>
      </w:pPr>
      <w:r w:rsidRPr="5A80B642" w:rsidR="5AE42E73">
        <w:rPr>
          <w:rFonts w:ascii="Arial" w:hAnsi="Arial" w:eastAsia="Arial" w:cs="Arial"/>
          <w:noProof w:val="0"/>
          <w:sz w:val="22"/>
          <w:szCs w:val="22"/>
          <w:lang w:val="en-GB"/>
        </w:rPr>
        <w:t>This study extends the investigation of Erikson’s theory by examining the impact of ego integrity versus despair on the wellbeing of older adults. The findings suggest that individuals who attain ego integrity exhibit greater life satisfaction, emotional stability and resilience. Conversely, despair correlates with diminished wellbeing and increased difficulty in adapting to age-related challenges. The research underscores the enduring relevance of Eriksons theory in understanding psychological ageing and emphasizes the salience of meaning making processes in later life.</w:t>
      </w:r>
    </w:p>
    <w:p xmlns:wp14="http://schemas.microsoft.com/office/word/2010/wordml" w:rsidP="5A80B642" wp14:paraId="4E973437" wp14:textId="0EB618A3">
      <w:pPr>
        <w:spacing w:before="139" w:beforeAutospacing="off" w:after="0" w:afterAutospacing="off" w:line="360" w:lineRule="auto"/>
      </w:pPr>
      <w:r w:rsidRPr="5A80B642" w:rsidR="5AE42E73">
        <w:rPr>
          <w:rFonts w:ascii="Arial" w:hAnsi="Arial" w:eastAsia="Arial" w:cs="Arial"/>
          <w:noProof w:val="0"/>
          <w:sz w:val="22"/>
          <w:szCs w:val="22"/>
          <w:lang w:val="en-GB"/>
        </w:rPr>
        <w:t>This source offers significant implications for health and social care practice, reinforcing the imperative to address both the emotional and psychological dimensions of care, alongside physical health needs. Practitioners can operationalise these insights by fostering environments that enable residents to share their narratives and sustain a sense of identity. It is pertinent to acknowledge, however, that cultural variations may mediate individual experiences of ageing and wellbeing, an aspect not extensively explored within this study. Nonetheless, the research furnishes compelling evidence for the integration of psychological support within comprehensive care paradigms.</w:t>
      </w:r>
    </w:p>
    <w:p xmlns:wp14="http://schemas.microsoft.com/office/word/2010/wordml" w:rsidP="5A80B642" wp14:paraId="2A6596AE" wp14:textId="177BA20B">
      <w:pPr>
        <w:spacing w:before="139" w:beforeAutospacing="off" w:after="0" w:afterAutospacing="off" w:line="360" w:lineRule="auto"/>
      </w:pPr>
      <w:r w:rsidRPr="5A80B642" w:rsidR="5AE42E73">
        <w:rPr>
          <w:rFonts w:ascii="Arial" w:hAnsi="Arial" w:eastAsia="Arial" w:cs="Arial"/>
          <w:b w:val="1"/>
          <w:bCs w:val="1"/>
          <w:noProof w:val="0"/>
          <w:sz w:val="22"/>
          <w:szCs w:val="22"/>
          <w:lang w:val="en-GB"/>
        </w:rPr>
        <w:t>4. Robert J. Havighurst (1961) ‘Successful aging’, The Gerontologist, 1(1), pp. 8–13.</w:t>
      </w:r>
    </w:p>
    <w:p xmlns:wp14="http://schemas.microsoft.com/office/word/2010/wordml" w:rsidP="5A80B642" wp14:paraId="028B05C8" wp14:textId="566EC27A">
      <w:pPr>
        <w:spacing w:before="139" w:beforeAutospacing="off" w:after="0" w:afterAutospacing="off" w:line="360" w:lineRule="auto"/>
      </w:pPr>
      <w:r w:rsidRPr="5A80B642" w:rsidR="5AE42E73">
        <w:rPr>
          <w:rFonts w:ascii="Arial" w:hAnsi="Arial" w:eastAsia="Arial" w:cs="Arial"/>
          <w:noProof w:val="0"/>
          <w:sz w:val="22"/>
          <w:szCs w:val="22"/>
          <w:lang w:val="en-GB"/>
        </w:rPr>
        <w:t>Havighurst’s activity theory posits that successful aging is contingent on maintaining active engagement in various life activities. The theory emphasises the importance of consistent involvement in social, physical and intellectual activities to promote psychological well-being and life satisfaction in later years. Central to this perspective is the notion that individuals who uphold their roles, relationships, and routines are more likely to experience a positive sense of self and overall contentment. As individuals transition into older adulthood, significant life changes such as retirement or the onset of physical limitations may lead to role loss and decreased social interactions. Activity theory suggests that proactively seeking new activities and interest can mitigate amuse for engagement and purpose. Participation in meaningful activities not only foster cognitive stimulation and physical health but also contribute to a continued sense of belonging and social integration.</w:t>
      </w:r>
    </w:p>
    <w:p xmlns:wp14="http://schemas.microsoft.com/office/word/2010/wordml" w:rsidP="5A80B642" wp14:paraId="066C42F9" wp14:textId="0801C36F">
      <w:pPr>
        <w:spacing w:before="139" w:beforeAutospacing="off" w:after="0" w:afterAutospacing="off" w:line="360" w:lineRule="auto"/>
      </w:pPr>
      <w:r w:rsidRPr="5A80B642" w:rsidR="5AE42E73">
        <w:rPr>
          <w:rFonts w:ascii="Arial" w:hAnsi="Arial" w:eastAsia="Arial" w:cs="Arial"/>
          <w:noProof w:val="0"/>
          <w:sz w:val="22"/>
          <w:szCs w:val="22"/>
          <w:lang w:val="en-GB"/>
        </w:rPr>
        <w:t>In the context of health and social care, particularly within residential care settings, Activity theory offers valuable insights fir promoting the wellbeing of older adults. By facilitating access to social events, recreational pursuits and group activities, care providers can empower residents to maintain a sense of autonomy and connection to the wider community. However, it is crucial to acknowledge individual differences in physical and cognitive abilities, ensuring that activities are tailored to meet the diverse needs and preferences of everyone.</w:t>
      </w:r>
    </w:p>
    <w:p xmlns:wp14="http://schemas.microsoft.com/office/word/2010/wordml" w:rsidP="5A80B642" wp14:paraId="6F74375D" wp14:textId="5FB28583">
      <w:pPr>
        <w:spacing w:before="139" w:beforeAutospacing="off" w:after="0" w:afterAutospacing="off" w:line="360" w:lineRule="auto"/>
      </w:pPr>
      <w:r w:rsidRPr="5A80B642" w:rsidR="5AE42E73">
        <w:rPr>
          <w:rFonts w:ascii="Arial" w:hAnsi="Arial" w:eastAsia="Arial" w:cs="Arial"/>
          <w:noProof w:val="0"/>
          <w:sz w:val="22"/>
          <w:szCs w:val="22"/>
          <w:lang w:val="en-GB"/>
        </w:rPr>
        <w:t xml:space="preserve"> </w:t>
      </w:r>
    </w:p>
    <w:p xmlns:wp14="http://schemas.microsoft.com/office/word/2010/wordml" w:rsidP="5A80B642" wp14:paraId="7A632B3A" wp14:textId="01C4892D">
      <w:pPr>
        <w:spacing w:before="139" w:beforeAutospacing="off" w:after="0" w:afterAutospacing="off" w:line="360" w:lineRule="auto"/>
      </w:pPr>
      <w:r w:rsidRPr="5A80B642" w:rsidR="5AE42E73">
        <w:rPr>
          <w:rFonts w:ascii="Arial" w:hAnsi="Arial" w:eastAsia="Arial" w:cs="Arial"/>
          <w:b w:val="1"/>
          <w:bCs w:val="1"/>
          <w:noProof w:val="0"/>
          <w:sz w:val="22"/>
          <w:szCs w:val="22"/>
          <w:lang w:val="en-GB"/>
        </w:rPr>
        <w:t xml:space="preserve">Part B- Short Report: Improving psychological wellbeing in Older Adults through </w:t>
      </w:r>
      <w:r w:rsidRPr="5A80B642" w:rsidR="5AE42E73">
        <w:rPr>
          <w:rFonts w:ascii="Arial" w:hAnsi="Arial" w:eastAsia="Arial" w:cs="Arial"/>
          <w:b w:val="1"/>
          <w:bCs w:val="1"/>
          <w:noProof w:val="0"/>
          <w:color w:val="000000" w:themeColor="text1" w:themeTint="FF" w:themeShade="FF"/>
          <w:sz w:val="22"/>
          <w:szCs w:val="22"/>
          <w:lang w:val="en-GB"/>
        </w:rPr>
        <w:t>Havighurst Activity theory.</w:t>
      </w:r>
    </w:p>
    <w:p xmlns:wp14="http://schemas.microsoft.com/office/word/2010/wordml" w:rsidP="5A80B642" wp14:paraId="252A624C" wp14:textId="21F27300">
      <w:pPr>
        <w:spacing w:before="139" w:beforeAutospacing="off" w:after="0" w:afterAutospacing="off" w:line="360" w:lineRule="auto"/>
      </w:pPr>
      <w:r w:rsidRPr="5A80B642" w:rsidR="5AE42E73">
        <w:rPr>
          <w:rFonts w:ascii="Arial" w:hAnsi="Arial" w:eastAsia="Arial" w:cs="Arial"/>
          <w:b w:val="1"/>
          <w:bCs w:val="1"/>
          <w:noProof w:val="0"/>
          <w:sz w:val="22"/>
          <w:szCs w:val="22"/>
          <w:u w:val="single"/>
          <w:lang w:val="en-GB"/>
        </w:rPr>
        <w:t>Introduction</w:t>
      </w:r>
      <w:r>
        <w:br/>
      </w:r>
      <w:r w:rsidRPr="5A80B642" w:rsidR="5AE42E73">
        <w:rPr>
          <w:rFonts w:ascii="Arial" w:hAnsi="Arial" w:eastAsia="Arial" w:cs="Arial"/>
          <w:b w:val="1"/>
          <w:bCs w:val="1"/>
          <w:noProof w:val="0"/>
          <w:sz w:val="22"/>
          <w:szCs w:val="22"/>
          <w:lang w:val="en-GB"/>
        </w:rPr>
        <w:t xml:space="preserve"> </w:t>
      </w:r>
      <w:r w:rsidRPr="5A80B642" w:rsidR="5AE42E73">
        <w:rPr>
          <w:rFonts w:ascii="Arial" w:hAnsi="Arial" w:eastAsia="Arial" w:cs="Arial"/>
          <w:noProof w:val="0"/>
          <w:sz w:val="22"/>
          <w:szCs w:val="22"/>
          <w:lang w:val="en-GB"/>
        </w:rPr>
        <w:t>Maintaining psychological wellbeing is crucial for the overall health of older adults in residential care. Transitioning to a care setting can often lead to feelings of loneliness, loss of personal identity and diminished independence. To effectively address these challenges, health and social care professionals should employ theoretical frameworks that foster engagement and a sense of fulfilment. One such framework is Activity Theory, developed by Robert J. Havighurst. This report will explore the application of Activity theory in enhancing psychological wellbeing among older adults, provide real-world example of its practical implementation, and discuss potential challenges faced by professionals, along with strategies to mitigate these issues.</w:t>
      </w:r>
    </w:p>
    <w:p xmlns:wp14="http://schemas.microsoft.com/office/word/2010/wordml" w:rsidP="5A80B642" wp14:paraId="32C57485" wp14:textId="1212DCA5">
      <w:pPr>
        <w:spacing w:before="139" w:beforeAutospacing="off" w:after="0" w:afterAutospacing="off" w:line="360" w:lineRule="auto"/>
      </w:pPr>
      <w:r w:rsidRPr="5A80B642" w:rsidR="5AE42E73">
        <w:rPr>
          <w:rFonts w:ascii="Arial" w:hAnsi="Arial" w:eastAsia="Arial" w:cs="Arial"/>
          <w:b w:val="1"/>
          <w:bCs w:val="1"/>
          <w:noProof w:val="0"/>
          <w:color w:val="000000" w:themeColor="text1" w:themeTint="FF" w:themeShade="FF"/>
          <w:sz w:val="22"/>
          <w:szCs w:val="22"/>
          <w:u w:val="single"/>
          <w:lang w:val="en-GB"/>
        </w:rPr>
        <w:t>Havighurst Activity theory</w:t>
      </w:r>
      <w:r>
        <w:br/>
      </w:r>
      <w:r w:rsidRPr="5A80B642" w:rsidR="5AE42E73">
        <w:rPr>
          <w:rFonts w:ascii="Arial" w:hAnsi="Arial" w:eastAsia="Arial" w:cs="Arial"/>
          <w:b w:val="1"/>
          <w:bCs w:val="1"/>
          <w:noProof w:val="0"/>
          <w:color w:val="000000" w:themeColor="text1" w:themeTint="FF" w:themeShade="FF"/>
          <w:sz w:val="22"/>
          <w:szCs w:val="22"/>
          <w:u w:val="single"/>
          <w:lang w:val="en-GB"/>
        </w:rPr>
        <w:t xml:space="preserve"> </w:t>
      </w:r>
      <w:r w:rsidRPr="5A80B642" w:rsidR="5AE42E73">
        <w:rPr>
          <w:rFonts w:ascii="Arial" w:hAnsi="Arial" w:eastAsia="Arial" w:cs="Arial"/>
          <w:noProof w:val="0"/>
          <w:color w:val="000000" w:themeColor="text1" w:themeTint="FF" w:themeShade="FF"/>
          <w:sz w:val="22"/>
          <w:szCs w:val="22"/>
          <w:lang w:val="en-GB"/>
        </w:rPr>
        <w:t>Activity theory posits that successful aging is closely linked to maintaining an active lifestyle, characterized by continued engagement in social, physical and personally meaningful activities. Havighurst’s central argument suggests that sustaining established roles, relationships and hobbies contributes significantly to life satisfaction and a robust sense of self. Rather than disengaging from society, older individuals derive considerable benefits from the sustained involvement in activities that provide a sense of purpose and meaning.</w:t>
      </w:r>
    </w:p>
    <w:p xmlns:wp14="http://schemas.microsoft.com/office/word/2010/wordml" w:rsidP="5A80B642" wp14:paraId="4B6D0AC1" wp14:textId="4FE56E3F">
      <w:pPr>
        <w:spacing w:before="139" w:beforeAutospacing="off" w:after="0" w:afterAutospacing="off" w:line="360" w:lineRule="auto"/>
      </w:pPr>
      <w:r w:rsidRPr="5A80B642" w:rsidR="5AE42E73">
        <w:rPr>
          <w:rFonts w:ascii="Arial" w:hAnsi="Arial" w:eastAsia="Arial" w:cs="Arial"/>
          <w:noProof w:val="0"/>
          <w:color w:val="000000" w:themeColor="text1" w:themeTint="FF" w:themeShade="FF"/>
          <w:sz w:val="22"/>
          <w:szCs w:val="22"/>
          <w:lang w:val="en-GB"/>
        </w:rPr>
        <w:t>In the context of residential care, the application of Activity Theory can substantially improve psychological wellbeing. Encouraging residents to participate in group activities, pursue hobbies, and engage in social interactions can alleviate feelings of isolation and reduce the incidence of depression. Activities such as arts and crafts, musical engagements, or gentle exercise programs can foster a sense of connection and involvement among residents. Furthermore, supporting the continuation of previous interests or roles, such as assisting with minor tasks within the care environment, can reinforce feelings of usefulness and autonomy. Overall Activity theory underscores the importance of sustained mental and social activity in promoting emotional wellbeing in later life.</w:t>
      </w:r>
    </w:p>
    <w:p xmlns:wp14="http://schemas.microsoft.com/office/word/2010/wordml" w:rsidP="5A80B642" wp14:paraId="6E231D03" wp14:textId="5E11F4BF">
      <w:pPr>
        <w:spacing w:before="139" w:beforeAutospacing="off" w:after="0" w:afterAutospacing="off" w:line="360" w:lineRule="auto"/>
      </w:pPr>
      <w:r w:rsidRPr="5A80B642" w:rsidR="5AE42E73">
        <w:rPr>
          <w:rFonts w:ascii="Arial" w:hAnsi="Arial" w:eastAsia="Arial" w:cs="Arial"/>
          <w:b w:val="1"/>
          <w:bCs w:val="1"/>
          <w:noProof w:val="0"/>
          <w:color w:val="000000" w:themeColor="text1" w:themeTint="FF" w:themeShade="FF"/>
          <w:sz w:val="22"/>
          <w:szCs w:val="22"/>
          <w:u w:val="single"/>
          <w:lang w:val="en-GB"/>
        </w:rPr>
        <w:t>Application In practise</w:t>
      </w:r>
    </w:p>
    <w:p xmlns:wp14="http://schemas.microsoft.com/office/word/2010/wordml" w:rsidP="5A80B642" wp14:paraId="00D4991A" wp14:textId="61972659">
      <w:pPr>
        <w:spacing w:before="139" w:beforeAutospacing="off" w:after="0" w:afterAutospacing="off" w:line="360" w:lineRule="auto"/>
      </w:pPr>
      <w:r w:rsidRPr="5A80B642" w:rsidR="5AE42E73">
        <w:rPr>
          <w:rFonts w:ascii="Arial" w:hAnsi="Arial" w:eastAsia="Arial" w:cs="Arial"/>
          <w:noProof w:val="0"/>
          <w:color w:val="000000" w:themeColor="text1" w:themeTint="FF" w:themeShade="FF"/>
          <w:sz w:val="22"/>
          <w:szCs w:val="22"/>
          <w:lang w:val="en-GB"/>
        </w:rPr>
        <w:t>A real-life example of Activity theory in practise can be observed in the case of Mr. Jones, a care home resident who experienced the loss of his wife which led him to being moved into residential care, following this Mr jones became significantly withdrawn and spending most of his time isolating in his bedroom. Recognizing the detrimental impact of this isolation on his psychological wellbeing, care staff had no choice but to intervene.</w:t>
      </w:r>
    </w:p>
    <w:p xmlns:wp14="http://schemas.microsoft.com/office/word/2010/wordml" w:rsidP="5A80B642" wp14:paraId="0DF416FC" wp14:textId="21730D3D">
      <w:pPr>
        <w:spacing w:before="139" w:beforeAutospacing="off" w:after="0" w:afterAutospacing="off" w:line="360" w:lineRule="auto"/>
      </w:pPr>
      <w:r w:rsidRPr="5A80B642" w:rsidR="5AE42E73">
        <w:rPr>
          <w:rFonts w:ascii="Arial" w:hAnsi="Arial" w:eastAsia="Arial" w:cs="Arial"/>
          <w:noProof w:val="0"/>
          <w:color w:val="000000" w:themeColor="text1" w:themeTint="FF" w:themeShade="FF"/>
          <w:sz w:val="22"/>
          <w:szCs w:val="22"/>
          <w:lang w:val="en-GB"/>
        </w:rPr>
        <w:t>Through careful engagement, staff members learned of Mr. Jones love of playing cards and socializing with friends. They facilitated his introduction to a small, friendly card game group and slowly supported his participation by connecting him other residents who shared similar interests. Additionally, they involved him in light, manageable responsibilities, such as assisting the organization of activities materials.</w:t>
      </w:r>
    </w:p>
    <w:p xmlns:wp14="http://schemas.microsoft.com/office/word/2010/wordml" w:rsidP="5A80B642" wp14:paraId="08CC6B09" wp14:textId="64798E45">
      <w:pPr>
        <w:spacing w:before="139" w:beforeAutospacing="off" w:after="0" w:afterAutospacing="off" w:line="360" w:lineRule="auto"/>
      </w:pPr>
      <w:r w:rsidRPr="5A80B642" w:rsidR="5AE42E73">
        <w:rPr>
          <w:rFonts w:ascii="Arial" w:hAnsi="Arial" w:eastAsia="Arial" w:cs="Arial"/>
          <w:noProof w:val="0"/>
          <w:color w:val="000000" w:themeColor="text1" w:themeTint="FF" w:themeShade="FF"/>
          <w:sz w:val="22"/>
          <w:szCs w:val="22"/>
          <w:lang w:val="en-GB"/>
        </w:rPr>
        <w:t>Overtime, Mr jones exhibited increased social engagement and began to cultivate meaningful friendships with his fellow residents. Concurrently, his overall mood improved, and he demonstrated renewed enthusiasm for daily life. This case study illustrates the practical application of Havighurst’s Activity Theory in enhancing psychological wellbeing through the promotion of social interaction, a sense of purpose, and the establishment of routine.</w:t>
      </w:r>
    </w:p>
    <w:p xmlns:wp14="http://schemas.microsoft.com/office/word/2010/wordml" w:rsidP="5A80B642" wp14:paraId="44A1CE56" wp14:textId="5EE8CB38">
      <w:pPr>
        <w:spacing w:before="139" w:beforeAutospacing="off" w:after="0" w:afterAutospacing="off" w:line="360" w:lineRule="auto"/>
      </w:pPr>
      <w:r w:rsidRPr="5A80B642" w:rsidR="5AE42E73">
        <w:rPr>
          <w:rFonts w:ascii="Arial" w:hAnsi="Arial" w:eastAsia="Arial" w:cs="Arial"/>
          <w:b w:val="1"/>
          <w:bCs w:val="1"/>
          <w:noProof w:val="0"/>
          <w:color w:val="000000" w:themeColor="text1" w:themeTint="FF" w:themeShade="FF"/>
          <w:sz w:val="22"/>
          <w:szCs w:val="22"/>
          <w:u w:val="single"/>
          <w:lang w:val="en-GB"/>
        </w:rPr>
        <w:t>Challenge and Strategy</w:t>
      </w:r>
    </w:p>
    <w:p xmlns:wp14="http://schemas.microsoft.com/office/word/2010/wordml" w:rsidP="5A80B642" wp14:paraId="69E61897" wp14:textId="47E0B825">
      <w:pPr>
        <w:spacing w:before="139" w:beforeAutospacing="off" w:after="0" w:afterAutospacing="off" w:line="360" w:lineRule="auto"/>
      </w:pPr>
      <w:r w:rsidRPr="5A80B642" w:rsidR="5AE42E73">
        <w:rPr>
          <w:rFonts w:ascii="Arial" w:hAnsi="Arial" w:eastAsia="Arial" w:cs="Arial"/>
          <w:noProof w:val="0"/>
          <w:color w:val="000000" w:themeColor="text1" w:themeTint="FF" w:themeShade="FF"/>
          <w:sz w:val="22"/>
          <w:szCs w:val="22"/>
          <w:lang w:val="en-GB"/>
        </w:rPr>
        <w:t>One notable challenge in the application of Activity theory lies in the potential reluctance or inability of some of the residents to actively participate in activities. This may stem from physical limitations, cognitive impairments such as dementia or a general lack of self-confidence. Consequently, encouraging engagement can prove difficult, and residents may continue to experience feelings of isolation.</w:t>
      </w:r>
    </w:p>
    <w:p xmlns:wp14="http://schemas.microsoft.com/office/word/2010/wordml" w:rsidP="5A80B642" wp14:paraId="610E60B7" wp14:textId="53B90389">
      <w:pPr>
        <w:spacing w:before="139" w:beforeAutospacing="off" w:after="0" w:afterAutospacing="off" w:line="360" w:lineRule="auto"/>
      </w:pPr>
      <w:r w:rsidRPr="5A80B642" w:rsidR="5AE42E73">
        <w:rPr>
          <w:rFonts w:ascii="Arial" w:hAnsi="Arial" w:eastAsia="Arial" w:cs="Arial"/>
          <w:noProof w:val="0"/>
          <w:color w:val="000000" w:themeColor="text1" w:themeTint="FF" w:themeShade="FF"/>
          <w:sz w:val="22"/>
          <w:szCs w:val="22"/>
          <w:lang w:val="en-GB"/>
        </w:rPr>
        <w:t>A practical strategy to address this challenge involves the personalisation of activity to support the persons individuals’ needs and capabilities. Rather than using a standardised approach, care staff should tailor activities based on each resident’s unique preferences, health status and functional abilities. For example, a resident with limited mobility could engage in seated exercises or sensory activities, as opposed to more physically demanding tasks. Similarly, one to one interaction may be more beneficial for individuals who feel more overwhelmed in group settings.</w:t>
      </w:r>
    </w:p>
    <w:p xmlns:wp14="http://schemas.microsoft.com/office/word/2010/wordml" w:rsidP="5A80B642" wp14:paraId="4CCCAB90" wp14:textId="30B57F95">
      <w:pPr>
        <w:spacing w:before="139" w:beforeAutospacing="off" w:after="0" w:afterAutospacing="off" w:line="360" w:lineRule="auto"/>
      </w:pPr>
      <w:r w:rsidRPr="5A80B642" w:rsidR="5AE42E73">
        <w:rPr>
          <w:rFonts w:ascii="Arial" w:hAnsi="Arial" w:eastAsia="Arial" w:cs="Arial"/>
          <w:noProof w:val="0"/>
          <w:color w:val="000000" w:themeColor="text1" w:themeTint="FF" w:themeShade="FF"/>
          <w:sz w:val="22"/>
          <w:szCs w:val="22"/>
          <w:lang w:val="en-GB"/>
        </w:rPr>
        <w:t>Furthermore, providing consistent encouragement and fostering a supportive environment can help gradually build confidence overtime. Staff should introduce activities incrementally and celebrate even minor achievements to sustain motivation. By carefully tailoring activities and offering consistent support, professionals can ensure that all residents could benefit from the principles of the Activity theory.</w:t>
      </w:r>
    </w:p>
    <w:p xmlns:wp14="http://schemas.microsoft.com/office/word/2010/wordml" w:rsidP="5A80B642" wp14:paraId="30AA2595" wp14:textId="639971CA">
      <w:pPr>
        <w:spacing w:before="139" w:beforeAutospacing="off" w:after="0" w:afterAutospacing="off" w:line="360" w:lineRule="auto"/>
      </w:pPr>
      <w:r w:rsidRPr="5A80B642" w:rsidR="5AE42E73">
        <w:rPr>
          <w:rFonts w:ascii="Arial" w:hAnsi="Arial" w:eastAsia="Arial" w:cs="Arial"/>
          <w:b w:val="1"/>
          <w:bCs w:val="1"/>
          <w:noProof w:val="0"/>
          <w:color w:val="000000" w:themeColor="text1" w:themeTint="FF" w:themeShade="FF"/>
          <w:sz w:val="22"/>
          <w:szCs w:val="22"/>
          <w:u w:val="single"/>
          <w:lang w:val="en-GB"/>
        </w:rPr>
        <w:t xml:space="preserve">Conclusion </w:t>
      </w:r>
    </w:p>
    <w:p xmlns:wp14="http://schemas.microsoft.com/office/word/2010/wordml" w:rsidP="5A80B642" wp14:paraId="2C15D8C4" wp14:textId="0010E9A4">
      <w:pPr>
        <w:spacing w:before="139" w:beforeAutospacing="off" w:after="0" w:afterAutospacing="off" w:line="360" w:lineRule="auto"/>
      </w:pPr>
      <w:r w:rsidRPr="5A80B642" w:rsidR="5AE42E73">
        <w:rPr>
          <w:rFonts w:ascii="Arial" w:hAnsi="Arial" w:eastAsia="Arial" w:cs="Arial"/>
          <w:noProof w:val="0"/>
          <w:sz w:val="22"/>
          <w:szCs w:val="22"/>
          <w:lang w:val="en-GB"/>
        </w:rPr>
        <w:t>In conclusion, Activity theory offers a valuable framework for enhancing psychological wellbeing among older adults living within a residential care home setting. By facilitating active engagement in meaningful activities, this theory helps individuals sustain a sense of purpose, maintain their personal identity and foster social connections. The case of Mr. Jones serves as a compelling illustration of how participation in activities can effectively combat isolation and improve a person’s overall quality of life. While challenges such as reluctance may arise, personalised care strategies and supportive interventions can help to overcome these barriers. Ultimately, the application of Havighurst Activity Theory empowers health and social care professionals to improve the quality of life and emotional well-being of older adults in residential care.</w:t>
      </w:r>
    </w:p>
    <w:p xmlns:wp14="http://schemas.microsoft.com/office/word/2010/wordml" w:rsidP="5A80B642" wp14:paraId="0FC37879" wp14:textId="6A0DE265">
      <w:pPr>
        <w:spacing w:before="0" w:beforeAutospacing="off" w:after="0" w:afterAutospacing="off" w:line="360" w:lineRule="auto"/>
      </w:pPr>
      <w:r w:rsidRPr="5A80B642" w:rsidR="5AE42E73">
        <w:rPr>
          <w:rFonts w:ascii="Arial" w:hAnsi="Arial" w:eastAsia="Arial" w:cs="Arial"/>
          <w:noProof w:val="0"/>
          <w:sz w:val="22"/>
          <w:szCs w:val="22"/>
          <w:lang w:val="en-US"/>
        </w:rPr>
        <w:t xml:space="preserve"> </w:t>
      </w:r>
    </w:p>
    <w:p xmlns:wp14="http://schemas.microsoft.com/office/word/2010/wordml" w:rsidP="5A80B642" wp14:paraId="1619A759" wp14:textId="32AD5BCE">
      <w:pPr>
        <w:spacing w:before="0" w:beforeAutospacing="off" w:after="0" w:afterAutospacing="off" w:line="360" w:lineRule="auto"/>
      </w:pPr>
      <w:r w:rsidRPr="5A80B642" w:rsidR="5AE42E73">
        <w:rPr>
          <w:rFonts w:ascii="Arial" w:hAnsi="Arial" w:eastAsia="Arial" w:cs="Arial"/>
          <w:b w:val="1"/>
          <w:bCs w:val="1"/>
          <w:noProof w:val="0"/>
          <w:sz w:val="22"/>
          <w:szCs w:val="22"/>
          <w:u w:val="single"/>
          <w:lang w:val="en-US"/>
        </w:rPr>
        <w:t>References</w:t>
      </w:r>
    </w:p>
    <w:p xmlns:wp14="http://schemas.microsoft.com/office/word/2010/wordml" w:rsidP="5A80B642" wp14:paraId="3D2EF773" wp14:textId="58C3A620">
      <w:pPr>
        <w:pStyle w:val="ListParagraph"/>
        <w:spacing w:before="0" w:beforeAutospacing="off" w:after="0" w:afterAutospacing="off" w:line="360" w:lineRule="auto"/>
        <w:ind w:left="720" w:right="0" w:hanging="360"/>
        <w:rPr>
          <w:rFonts w:ascii="Arial" w:hAnsi="Arial" w:eastAsia="Arial" w:cs="Arial"/>
          <w:noProof w:val="0"/>
          <w:sz w:val="22"/>
          <w:szCs w:val="22"/>
          <w:lang w:val="en-GB"/>
        </w:rPr>
      </w:pPr>
      <w:r w:rsidRPr="5A80B642" w:rsidR="5AE42E73">
        <w:rPr>
          <w:rFonts w:ascii="Arial" w:hAnsi="Arial" w:eastAsia="Arial" w:cs="Arial"/>
          <w:noProof w:val="0"/>
          <w:sz w:val="22"/>
          <w:szCs w:val="22"/>
          <w:lang w:val="en-GB"/>
        </w:rPr>
        <w:t>Perry, T.E., Andersen, T.C. and Kaplan, D.B. (2015) ‘Applying Erikson’s wisdom to self-management practices of older adults’, Research on Aging, 37(3), pp. 253–274.</w:t>
      </w:r>
    </w:p>
    <w:p xmlns:wp14="http://schemas.microsoft.com/office/word/2010/wordml" w:rsidP="5A80B642" wp14:paraId="7A71E0D8" wp14:textId="5E773DB0">
      <w:pPr>
        <w:pStyle w:val="ListParagraph"/>
        <w:spacing w:before="0" w:beforeAutospacing="off" w:after="0" w:afterAutospacing="off" w:line="360" w:lineRule="auto"/>
        <w:ind w:left="720" w:right="0" w:hanging="360"/>
        <w:rPr>
          <w:rFonts w:ascii="Arial" w:hAnsi="Arial" w:eastAsia="Arial" w:cs="Arial"/>
          <w:noProof w:val="0"/>
          <w:color w:val="000000" w:themeColor="text1" w:themeTint="FF" w:themeShade="FF"/>
          <w:sz w:val="22"/>
          <w:szCs w:val="22"/>
          <w:lang w:val="en-GB"/>
        </w:rPr>
      </w:pPr>
      <w:r w:rsidRPr="5A80B642" w:rsidR="5AE42E73">
        <w:rPr>
          <w:rFonts w:ascii="Arial" w:hAnsi="Arial" w:eastAsia="Arial" w:cs="Arial"/>
          <w:noProof w:val="0"/>
          <w:color w:val="000000" w:themeColor="text1" w:themeTint="FF" w:themeShade="FF"/>
          <w:sz w:val="22"/>
          <w:szCs w:val="22"/>
          <w:lang w:val="en-GB"/>
        </w:rPr>
        <w:t>Robert J. Havighurst (1961) ‘Successful aging’, The Gerontologist, 1(1), pp. 8–13.</w:t>
      </w:r>
    </w:p>
    <w:p xmlns:wp14="http://schemas.microsoft.com/office/word/2010/wordml" w:rsidP="5A80B642" wp14:paraId="12CE7A30" wp14:textId="4D3358E9">
      <w:pPr>
        <w:pStyle w:val="ListParagraph"/>
        <w:spacing w:before="0" w:beforeAutospacing="off" w:after="0" w:afterAutospacing="off" w:line="360" w:lineRule="auto"/>
        <w:ind w:left="720" w:right="0" w:hanging="360"/>
        <w:rPr>
          <w:rFonts w:ascii="Arial" w:hAnsi="Arial" w:eastAsia="Arial" w:cs="Arial"/>
          <w:noProof w:val="0"/>
          <w:sz w:val="22"/>
          <w:szCs w:val="22"/>
          <w:lang w:val="en-GB"/>
        </w:rPr>
      </w:pPr>
      <w:r w:rsidRPr="5A80B642" w:rsidR="5AE42E73">
        <w:rPr>
          <w:rFonts w:ascii="Arial" w:hAnsi="Arial" w:eastAsia="Arial" w:cs="Arial"/>
          <w:noProof w:val="0"/>
          <w:sz w:val="22"/>
          <w:szCs w:val="22"/>
          <w:lang w:val="en-US"/>
        </w:rPr>
        <w:t xml:space="preserve"> </w:t>
      </w:r>
      <w:r w:rsidRPr="5A80B642" w:rsidR="5AE42E73">
        <w:rPr>
          <w:rFonts w:ascii="Arial" w:hAnsi="Arial" w:eastAsia="Arial" w:cs="Arial"/>
          <w:noProof w:val="0"/>
          <w:sz w:val="22"/>
          <w:szCs w:val="22"/>
          <w:lang w:val="en-GB"/>
        </w:rPr>
        <w:t>Westerhof, G.J., Bohlmeijer, E.T. and McAdams, D.P. (2017) ‘The relation of ego integrity and despair to personality traits and mental health’, Journal of Gerontology: Psychological Sciences, 72(3), pp. 400–407.</w:t>
      </w:r>
    </w:p>
    <w:p xmlns:wp14="http://schemas.microsoft.com/office/word/2010/wordml" w:rsidP="5A80B642" wp14:paraId="417C609F" wp14:textId="28A4DD89">
      <w:pPr>
        <w:pStyle w:val="ListParagraph"/>
        <w:spacing w:before="0" w:beforeAutospacing="off" w:after="0" w:afterAutospacing="off" w:line="360" w:lineRule="auto"/>
        <w:ind w:left="720" w:right="0" w:hanging="360"/>
        <w:rPr>
          <w:rFonts w:ascii="Arial" w:hAnsi="Arial" w:eastAsia="Arial" w:cs="Arial"/>
          <w:noProof w:val="0"/>
          <w:sz w:val="22"/>
          <w:szCs w:val="22"/>
          <w:lang w:val="en-GB"/>
        </w:rPr>
      </w:pPr>
      <w:r w:rsidRPr="5A80B642" w:rsidR="5AE42E73">
        <w:rPr>
          <w:rFonts w:ascii="Arial" w:hAnsi="Arial" w:eastAsia="Arial" w:cs="Arial"/>
          <w:noProof w:val="0"/>
          <w:sz w:val="22"/>
          <w:szCs w:val="22"/>
          <w:lang w:val="en-GB"/>
        </w:rPr>
        <w:t>Van der Kaap-Deeder, J. et al. (2022) ‘The role of ego integrity and despair in older adults’ well-being’, European Journal of Ageing, 19, pp. 117–129.</w:t>
      </w:r>
    </w:p>
    <w:p xmlns:wp14="http://schemas.microsoft.com/office/word/2010/wordml" wp14:paraId="5E5787A5" wp14:textId="4A2570E1"/>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FD700B6"/>
    <w:rsid w:val="5A80B642"/>
    <w:rsid w:val="5AE42E73"/>
    <w:rsid w:val="7FD700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D700B6"/>
  <w15:chartTrackingRefBased/>
  <w15:docId w15:val="{BEC4D2B7-893A-4D26-8C67-597A7535706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5A80B642"/>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Demi-Leigh Ferncombe (2435928)</dc:creator>
  <keywords/>
  <dc:description/>
  <lastModifiedBy>Demi-Leigh Ferncombe (2435928)</lastModifiedBy>
  <revision>2</revision>
  <dcterms:created xsi:type="dcterms:W3CDTF">2026-03-23T15:52:22.7863495Z</dcterms:created>
  <dcterms:modified xsi:type="dcterms:W3CDTF">2026-03-23T15:53:03.3173208Z</dcterms:modified>
</coreProperties>
</file>