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6F7F0B" w14:textId="2B6DE488" w:rsidR="00FF1D3D" w:rsidRPr="00BB1CCC" w:rsidRDefault="014C6D87" w:rsidP="00BB1CCC">
      <w:pPr>
        <w:spacing w:before="144" w:after="96" w:line="360" w:lineRule="auto"/>
        <w:jc w:val="both"/>
        <w:rPr>
          <w:rFonts w:ascii="Arial" w:eastAsia="Arial" w:hAnsi="Arial" w:cs="Arial"/>
        </w:rPr>
      </w:pPr>
      <w:r w:rsidRPr="00BB1CCC">
        <w:rPr>
          <w:rFonts w:ascii="Arial" w:eastAsia="Arial" w:hAnsi="Arial" w:cs="Arial"/>
        </w:rPr>
        <w:t>Module Name: Academic Skills in the Digital Era</w:t>
      </w:r>
    </w:p>
    <w:p w14:paraId="39B55798" w14:textId="1141A1D5" w:rsidR="00FF1D3D" w:rsidRPr="00BB1CCC" w:rsidRDefault="014C6D87" w:rsidP="00BB1CCC">
      <w:pPr>
        <w:spacing w:before="144" w:after="96" w:line="360" w:lineRule="auto"/>
        <w:jc w:val="both"/>
        <w:rPr>
          <w:rFonts w:ascii="Arial" w:eastAsia="Arial" w:hAnsi="Arial" w:cs="Arial"/>
        </w:rPr>
      </w:pPr>
      <w:r w:rsidRPr="00BB1CCC">
        <w:rPr>
          <w:rFonts w:ascii="Arial" w:eastAsia="Arial" w:hAnsi="Arial" w:cs="Arial"/>
        </w:rPr>
        <w:t>Module Code: BMSW4013</w:t>
      </w:r>
    </w:p>
    <w:p w14:paraId="0FA192FA" w14:textId="413AB419" w:rsidR="00FF1D3D" w:rsidRPr="00BB1CCC" w:rsidRDefault="014C6D87" w:rsidP="00BB1CCC">
      <w:pPr>
        <w:spacing w:before="144" w:after="96" w:line="360" w:lineRule="auto"/>
        <w:jc w:val="both"/>
        <w:rPr>
          <w:rFonts w:ascii="Arial" w:eastAsia="Arial" w:hAnsi="Arial" w:cs="Arial"/>
        </w:rPr>
      </w:pPr>
      <w:r w:rsidRPr="00BB1CCC">
        <w:rPr>
          <w:rFonts w:ascii="Arial" w:eastAsia="Arial" w:hAnsi="Arial" w:cs="Arial"/>
        </w:rPr>
        <w:t>Assessment 1: E-Portfolio</w:t>
      </w:r>
    </w:p>
    <w:p w14:paraId="5F999129" w14:textId="51313BC7" w:rsidR="00FF1D3D" w:rsidRPr="00BB1CCC" w:rsidRDefault="014C6D87" w:rsidP="00BB1CCC">
      <w:pPr>
        <w:spacing w:before="144" w:after="96" w:line="360" w:lineRule="auto"/>
        <w:jc w:val="both"/>
        <w:rPr>
          <w:rFonts w:ascii="Arial" w:eastAsia="Arial" w:hAnsi="Arial" w:cs="Arial"/>
        </w:rPr>
      </w:pPr>
      <w:r w:rsidRPr="00BB1CCC">
        <w:rPr>
          <w:rFonts w:ascii="Arial" w:eastAsia="Arial" w:hAnsi="Arial" w:cs="Arial"/>
        </w:rPr>
        <w:t xml:space="preserve">Student Name: </w:t>
      </w:r>
      <w:r w:rsidR="23534616" w:rsidRPr="00BB1CCC">
        <w:rPr>
          <w:rFonts w:ascii="Arial" w:eastAsia="Arial" w:hAnsi="Arial" w:cs="Arial"/>
        </w:rPr>
        <w:t>Viktoria Kalinacova</w:t>
      </w:r>
    </w:p>
    <w:p w14:paraId="3A4E937C" w14:textId="20C2B2F0" w:rsidR="00FF1D3D" w:rsidRDefault="014C6D87" w:rsidP="00BB1CCC">
      <w:pPr>
        <w:spacing w:before="144" w:after="96" w:line="360" w:lineRule="auto"/>
        <w:jc w:val="both"/>
        <w:rPr>
          <w:rFonts w:ascii="Arial" w:eastAsia="Arial" w:hAnsi="Arial" w:cs="Arial"/>
        </w:rPr>
      </w:pPr>
      <w:r w:rsidRPr="00BB1CCC">
        <w:rPr>
          <w:rFonts w:ascii="Arial" w:eastAsia="Arial" w:hAnsi="Arial" w:cs="Arial"/>
        </w:rPr>
        <w:t xml:space="preserve">Student Number: </w:t>
      </w:r>
      <w:r w:rsidR="603A94AF" w:rsidRPr="00BB1CCC">
        <w:rPr>
          <w:rFonts w:ascii="Arial" w:eastAsia="Arial" w:hAnsi="Arial" w:cs="Arial"/>
        </w:rPr>
        <w:t>2313221</w:t>
      </w:r>
    </w:p>
    <w:p w14:paraId="77A6774F" w14:textId="273F98FC" w:rsidR="001F34A8" w:rsidRPr="00BB1CCC" w:rsidRDefault="00973905" w:rsidP="00BB1CCC">
      <w:pPr>
        <w:spacing w:before="144" w:after="96" w:line="360" w:lineRule="auto"/>
        <w:jc w:val="both"/>
        <w:rPr>
          <w:rFonts w:ascii="Arial" w:eastAsia="Arial" w:hAnsi="Arial" w:cs="Arial"/>
        </w:rPr>
      </w:pPr>
      <w:r>
        <w:rPr>
          <w:rFonts w:ascii="Arial" w:eastAsia="Arial" w:hAnsi="Arial" w:cs="Arial"/>
        </w:rPr>
        <w:t>Number Of Words: 15</w:t>
      </w:r>
      <w:r w:rsidR="00D16905">
        <w:rPr>
          <w:rFonts w:ascii="Arial" w:eastAsia="Arial" w:hAnsi="Arial" w:cs="Arial"/>
        </w:rPr>
        <w:t>20</w:t>
      </w:r>
    </w:p>
    <w:p w14:paraId="168BE202" w14:textId="34694A63" w:rsidR="00FF1D3D" w:rsidRPr="00BB1CCC" w:rsidRDefault="014C6D87" w:rsidP="00BB1CCC">
      <w:pPr>
        <w:spacing w:before="144" w:after="96" w:line="360" w:lineRule="auto"/>
        <w:jc w:val="both"/>
        <w:rPr>
          <w:rFonts w:ascii="Arial" w:eastAsia="Arial" w:hAnsi="Arial" w:cs="Arial"/>
        </w:rPr>
      </w:pPr>
      <w:r w:rsidRPr="00BB1CCC">
        <w:rPr>
          <w:rFonts w:ascii="Arial" w:eastAsia="Arial" w:hAnsi="Arial" w:cs="Arial"/>
        </w:rPr>
        <w:t xml:space="preserve">Lecturer: </w:t>
      </w:r>
      <w:r w:rsidR="63106556" w:rsidRPr="00BB1CCC">
        <w:rPr>
          <w:rFonts w:ascii="Arial" w:eastAsia="Arial" w:hAnsi="Arial" w:cs="Arial"/>
        </w:rPr>
        <w:t xml:space="preserve"> Ffion</w:t>
      </w:r>
      <w:r w:rsidR="357D2608" w:rsidRPr="00BB1CCC">
        <w:rPr>
          <w:rFonts w:ascii="Arial" w:eastAsia="Arial" w:hAnsi="Arial" w:cs="Arial"/>
        </w:rPr>
        <w:t xml:space="preserve"> Cumberpatch</w:t>
      </w:r>
    </w:p>
    <w:p w14:paraId="5DABA1BB" w14:textId="78B174DD" w:rsidR="00FF1D3D" w:rsidRPr="00BB1CCC" w:rsidRDefault="014C6D87" w:rsidP="00BB1CCC">
      <w:pPr>
        <w:spacing w:before="144" w:after="96" w:line="360" w:lineRule="auto"/>
        <w:jc w:val="both"/>
        <w:rPr>
          <w:rFonts w:ascii="Arial" w:eastAsia="Arial" w:hAnsi="Arial" w:cs="Arial"/>
        </w:rPr>
      </w:pPr>
      <w:r w:rsidRPr="00BB1CCC">
        <w:rPr>
          <w:rFonts w:ascii="Arial" w:eastAsia="Arial" w:hAnsi="Arial" w:cs="Arial"/>
        </w:rPr>
        <w:t>Deadline</w:t>
      </w:r>
      <w:r w:rsidR="00825D13">
        <w:rPr>
          <w:rFonts w:ascii="Arial" w:eastAsia="Arial" w:hAnsi="Arial" w:cs="Arial"/>
        </w:rPr>
        <w:t>: 27</w:t>
      </w:r>
      <w:r w:rsidR="00825D13" w:rsidRPr="00825D13">
        <w:rPr>
          <w:rFonts w:ascii="Arial" w:eastAsia="Arial" w:hAnsi="Arial" w:cs="Arial"/>
          <w:vertAlign w:val="superscript"/>
        </w:rPr>
        <w:t>th</w:t>
      </w:r>
      <w:r w:rsidR="00825D13">
        <w:rPr>
          <w:rFonts w:ascii="Arial" w:eastAsia="Arial" w:hAnsi="Arial" w:cs="Arial"/>
        </w:rPr>
        <w:t xml:space="preserve"> of February </w:t>
      </w:r>
      <w:r w:rsidR="1CBB8D65" w:rsidRPr="00BB1CCC">
        <w:rPr>
          <w:rFonts w:ascii="Arial" w:eastAsia="Arial" w:hAnsi="Arial" w:cs="Arial"/>
        </w:rPr>
        <w:t xml:space="preserve"> </w:t>
      </w:r>
      <w:r w:rsidRPr="00BB1CCC">
        <w:rPr>
          <w:rFonts w:ascii="Arial" w:hAnsi="Arial" w:cs="Arial"/>
        </w:rPr>
        <w:br/>
      </w:r>
    </w:p>
    <w:p w14:paraId="4DF514EC" w14:textId="56CE8877" w:rsidR="00FF1D3D" w:rsidRPr="00BB1CCC" w:rsidRDefault="681C166E" w:rsidP="00BB1CCC">
      <w:pPr>
        <w:spacing w:line="360" w:lineRule="auto"/>
        <w:jc w:val="both"/>
        <w:rPr>
          <w:rFonts w:ascii="Arial" w:eastAsia="Arial" w:hAnsi="Arial" w:cs="Arial"/>
        </w:rPr>
      </w:pPr>
      <w:r w:rsidRPr="00BB1CCC">
        <w:rPr>
          <w:rFonts w:ascii="Arial" w:eastAsia="Arial" w:hAnsi="Arial" w:cs="Arial"/>
        </w:rPr>
        <w:t>AI Acknowledgement</w:t>
      </w:r>
    </w:p>
    <w:p w14:paraId="46F479E0" w14:textId="1B1F8426" w:rsidR="00FF1D3D" w:rsidRPr="00BB1CCC" w:rsidRDefault="681C166E" w:rsidP="00BB1CCC">
      <w:pPr>
        <w:spacing w:line="360" w:lineRule="auto"/>
        <w:jc w:val="both"/>
        <w:rPr>
          <w:rFonts w:ascii="Arial" w:hAnsi="Arial" w:cs="Arial"/>
        </w:rPr>
      </w:pPr>
      <w:r w:rsidRPr="00BB1CCC">
        <w:rPr>
          <w:rFonts w:ascii="Arial" w:eastAsia="Arial" w:hAnsi="Arial" w:cs="Arial"/>
        </w:rPr>
        <w:t>(</w:t>
      </w:r>
      <w:commentRangeStart w:id="0"/>
      <w:r w:rsidRPr="00BB1CCC">
        <w:rPr>
          <w:rFonts w:ascii="Arial" w:eastAsia="Arial" w:hAnsi="Arial" w:cs="Arial"/>
        </w:rPr>
        <w:t>This section is compulsory for all students.)</w:t>
      </w:r>
    </w:p>
    <w:p w14:paraId="2DE522F2" w14:textId="763BE1B7" w:rsidR="00FF1D3D" w:rsidRPr="00BB1CCC" w:rsidRDefault="681C166E" w:rsidP="00BB1CCC">
      <w:pPr>
        <w:spacing w:line="360" w:lineRule="auto"/>
        <w:jc w:val="both"/>
        <w:rPr>
          <w:rFonts w:ascii="Arial" w:hAnsi="Arial" w:cs="Arial"/>
        </w:rPr>
      </w:pPr>
      <w:r w:rsidRPr="00BB1CCC">
        <w:rPr>
          <w:rFonts w:ascii="Arial" w:eastAsia="Arial" w:hAnsi="Arial" w:cs="Arial"/>
        </w:rPr>
        <w:t>I acknowledge the use of [AI tool name] ([AI tool URL]) on [date] to support [state purpose – e.g. research / proofreading / none].</w:t>
      </w:r>
    </w:p>
    <w:p w14:paraId="57437993" w14:textId="689869C5" w:rsidR="00FF1D3D" w:rsidRPr="00BB1CCC" w:rsidRDefault="681C166E" w:rsidP="00BB1CCC">
      <w:pPr>
        <w:spacing w:line="360" w:lineRule="auto"/>
        <w:jc w:val="both"/>
        <w:rPr>
          <w:rFonts w:ascii="Arial" w:hAnsi="Arial" w:cs="Arial"/>
        </w:rPr>
      </w:pPr>
      <w:r w:rsidRPr="00BB1CCC">
        <w:rPr>
          <w:rFonts w:ascii="Arial" w:eastAsia="Arial" w:hAnsi="Arial" w:cs="Arial"/>
        </w:rPr>
        <w:t>Prompt(s) used (if applicable):</w:t>
      </w:r>
    </w:p>
    <w:p w14:paraId="63279182" w14:textId="210C437C" w:rsidR="00FF1D3D" w:rsidRPr="00BB1CCC" w:rsidRDefault="681C166E" w:rsidP="00BB1CCC">
      <w:pPr>
        <w:spacing w:line="360" w:lineRule="auto"/>
        <w:jc w:val="both"/>
        <w:rPr>
          <w:rFonts w:ascii="Arial" w:eastAsia="Arial" w:hAnsi="Arial" w:cs="Arial"/>
        </w:rPr>
      </w:pPr>
      <w:r w:rsidRPr="00BB1CCC">
        <w:rPr>
          <w:rFonts w:ascii="Arial" w:eastAsia="Arial" w:hAnsi="Arial" w:cs="Arial"/>
        </w:rPr>
        <w:t>•</w:t>
      </w:r>
      <w:r w:rsidRPr="00BB1CCC">
        <w:rPr>
          <w:rFonts w:ascii="Arial" w:hAnsi="Arial" w:cs="Arial"/>
        </w:rPr>
        <w:tab/>
      </w:r>
      <w:commentRangeEnd w:id="0"/>
      <w:r w:rsidR="003B5192" w:rsidRPr="00BB1CCC">
        <w:rPr>
          <w:rStyle w:val="CommentReference"/>
          <w:rFonts w:ascii="Arial" w:eastAsia="Arial" w:hAnsi="Arial" w:cs="Arial"/>
          <w:sz w:val="24"/>
          <w:szCs w:val="24"/>
        </w:rPr>
        <w:commentReference w:id="0"/>
      </w:r>
    </w:p>
    <w:p w14:paraId="65AD8B75" w14:textId="01D00D11" w:rsidR="00FF1D3D" w:rsidRPr="00BB1CCC" w:rsidRDefault="681C166E" w:rsidP="00BB1CCC">
      <w:pPr>
        <w:spacing w:line="360" w:lineRule="auto"/>
        <w:jc w:val="both"/>
        <w:rPr>
          <w:rFonts w:ascii="Arial" w:hAnsi="Arial" w:cs="Arial"/>
        </w:rPr>
      </w:pPr>
      <w:r w:rsidRPr="00BB1CCC">
        <w:rPr>
          <w:rFonts w:ascii="Arial" w:eastAsia="Arial" w:hAnsi="Arial" w:cs="Arial"/>
        </w:rPr>
        <w:t>I confirm that I have not presented any AI-generated text as my own work. I confirm that I have retained copies of drafts, notes, and resources used before and after the use of AI tools.</w:t>
      </w:r>
    </w:p>
    <w:p w14:paraId="29C05726" w14:textId="406B52BA" w:rsidR="00FF1D3D" w:rsidRPr="00BB1CCC" w:rsidRDefault="00FF1D3D" w:rsidP="00BB1CCC">
      <w:pPr>
        <w:spacing w:line="360" w:lineRule="auto"/>
        <w:jc w:val="both"/>
        <w:rPr>
          <w:rFonts w:ascii="Arial" w:eastAsia="Arial" w:hAnsi="Arial" w:cs="Arial"/>
        </w:rPr>
      </w:pPr>
    </w:p>
    <w:p w14:paraId="37B384B2" w14:textId="5C499627" w:rsidR="00FF1D3D" w:rsidRPr="00BB1CCC" w:rsidRDefault="00FF1D3D" w:rsidP="00BB1CCC">
      <w:pPr>
        <w:spacing w:line="360" w:lineRule="auto"/>
        <w:jc w:val="both"/>
        <w:rPr>
          <w:rFonts w:ascii="Arial" w:eastAsia="Arial" w:hAnsi="Arial" w:cs="Arial"/>
        </w:rPr>
      </w:pPr>
    </w:p>
    <w:p w14:paraId="681B2560" w14:textId="23B0B165" w:rsidR="00FF1D3D" w:rsidRPr="00BB1CCC" w:rsidRDefault="00FF1D3D" w:rsidP="00BB1CCC">
      <w:pPr>
        <w:spacing w:line="360" w:lineRule="auto"/>
        <w:jc w:val="both"/>
        <w:rPr>
          <w:rFonts w:ascii="Arial" w:eastAsia="Arial" w:hAnsi="Arial" w:cs="Arial"/>
        </w:rPr>
      </w:pPr>
    </w:p>
    <w:p w14:paraId="3684C243" w14:textId="1181B1D9" w:rsidR="00FF1D3D" w:rsidRPr="00BB1CCC" w:rsidRDefault="00FF1D3D" w:rsidP="00BB1CCC">
      <w:pPr>
        <w:spacing w:line="360" w:lineRule="auto"/>
        <w:jc w:val="both"/>
        <w:rPr>
          <w:rFonts w:ascii="Arial" w:eastAsia="Arial" w:hAnsi="Arial" w:cs="Arial"/>
        </w:rPr>
      </w:pPr>
    </w:p>
    <w:p w14:paraId="2062D2F9" w14:textId="55EFE5DE" w:rsidR="00FF1D3D" w:rsidRPr="00BB1CCC" w:rsidRDefault="014C6D87" w:rsidP="00BB1CCC">
      <w:pPr>
        <w:spacing w:line="360" w:lineRule="auto"/>
        <w:jc w:val="both"/>
        <w:rPr>
          <w:rFonts w:ascii="Arial" w:eastAsia="Arial" w:hAnsi="Arial" w:cs="Arial"/>
          <w:color w:val="365F91"/>
        </w:rPr>
      </w:pPr>
      <w:r w:rsidRPr="00BB1CCC">
        <w:rPr>
          <w:rFonts w:ascii="Arial" w:eastAsia="Arial" w:hAnsi="Arial" w:cs="Arial"/>
        </w:rPr>
        <w:t>Table of Contents</w:t>
      </w:r>
    </w:p>
    <w:p w14:paraId="73BA6C54" w14:textId="392E815A" w:rsidR="00FF1D3D" w:rsidRPr="00BB1CCC" w:rsidRDefault="014C6D87" w:rsidP="00BB1CCC">
      <w:pPr>
        <w:tabs>
          <w:tab w:val="right" w:leader="dot" w:pos="9019"/>
        </w:tabs>
        <w:spacing w:line="360" w:lineRule="auto"/>
        <w:jc w:val="both"/>
        <w:rPr>
          <w:rFonts w:ascii="Arial" w:eastAsia="Arial" w:hAnsi="Arial" w:cs="Arial"/>
          <w:i/>
          <w:iCs/>
          <w:color w:val="0000FF"/>
          <w:u w:val="single"/>
        </w:rPr>
      </w:pPr>
      <w:r w:rsidRPr="00BB1CCC">
        <w:rPr>
          <w:rFonts w:ascii="Arial" w:eastAsia="Arial" w:hAnsi="Arial" w:cs="Arial"/>
        </w:rPr>
        <w:t>Component 1: Development of Academic Skills</w:t>
      </w:r>
      <w:r w:rsidRPr="00BB1CCC">
        <w:rPr>
          <w:rFonts w:ascii="Arial" w:hAnsi="Arial" w:cs="Arial"/>
        </w:rPr>
        <w:tab/>
      </w:r>
      <w:r w:rsidRPr="00BB1CCC">
        <w:rPr>
          <w:rFonts w:ascii="Arial" w:eastAsia="Arial" w:hAnsi="Arial" w:cs="Arial"/>
        </w:rPr>
        <w:t>3</w:t>
      </w:r>
    </w:p>
    <w:p w14:paraId="2032EB63" w14:textId="45287C67" w:rsidR="00FF1D3D" w:rsidRPr="00BB1CCC" w:rsidRDefault="014C6D87" w:rsidP="00BB1CCC">
      <w:pPr>
        <w:tabs>
          <w:tab w:val="right" w:leader="dot" w:pos="9019"/>
        </w:tabs>
        <w:spacing w:line="360" w:lineRule="auto"/>
        <w:jc w:val="both"/>
        <w:rPr>
          <w:rFonts w:ascii="Arial" w:eastAsia="Arial" w:hAnsi="Arial" w:cs="Arial"/>
          <w:i/>
          <w:iCs/>
          <w:color w:val="0000FF"/>
          <w:u w:val="single"/>
        </w:rPr>
      </w:pPr>
      <w:r w:rsidRPr="00BB1CCC">
        <w:rPr>
          <w:rFonts w:ascii="Arial" w:eastAsia="Arial" w:hAnsi="Arial" w:cs="Arial"/>
        </w:rPr>
        <w:lastRenderedPageBreak/>
        <w:t>Component 2: Application of Academic Skills</w:t>
      </w:r>
      <w:r w:rsidRPr="00BB1CCC">
        <w:rPr>
          <w:rFonts w:ascii="Arial" w:hAnsi="Arial" w:cs="Arial"/>
        </w:rPr>
        <w:tab/>
      </w:r>
      <w:r w:rsidRPr="00BB1CCC">
        <w:rPr>
          <w:rFonts w:ascii="Arial" w:eastAsia="Arial" w:hAnsi="Arial" w:cs="Arial"/>
        </w:rPr>
        <w:t>5</w:t>
      </w:r>
    </w:p>
    <w:p w14:paraId="20FB726D" w14:textId="4D44A06F" w:rsidR="00FF1D3D" w:rsidRPr="00BB1CCC" w:rsidRDefault="014C6D87" w:rsidP="00BB1CCC">
      <w:pPr>
        <w:tabs>
          <w:tab w:val="right" w:leader="dot" w:pos="9019"/>
        </w:tabs>
        <w:spacing w:line="360" w:lineRule="auto"/>
        <w:jc w:val="both"/>
        <w:rPr>
          <w:rFonts w:ascii="Arial" w:eastAsia="Arial" w:hAnsi="Arial" w:cs="Arial"/>
          <w:i/>
          <w:iCs/>
          <w:color w:val="0000FF"/>
          <w:u w:val="single"/>
        </w:rPr>
      </w:pPr>
      <w:r w:rsidRPr="00BB1CCC">
        <w:rPr>
          <w:rFonts w:ascii="Arial" w:eastAsia="Arial" w:hAnsi="Arial" w:cs="Arial"/>
        </w:rPr>
        <w:t>Component 3 – Academic Poster</w:t>
      </w:r>
      <w:r w:rsidRPr="00BB1CCC">
        <w:rPr>
          <w:rFonts w:ascii="Arial" w:hAnsi="Arial" w:cs="Arial"/>
        </w:rPr>
        <w:tab/>
      </w:r>
      <w:r w:rsidRPr="00BB1CCC">
        <w:rPr>
          <w:rFonts w:ascii="Arial" w:eastAsia="Arial" w:hAnsi="Arial" w:cs="Arial"/>
        </w:rPr>
        <w:t>8</w:t>
      </w:r>
    </w:p>
    <w:p w14:paraId="44603408" w14:textId="07B7DB6F" w:rsidR="00FF1D3D" w:rsidRPr="00BB1CCC" w:rsidRDefault="014C6D87" w:rsidP="00BB1CCC">
      <w:pPr>
        <w:spacing w:before="144" w:after="96" w:line="360" w:lineRule="auto"/>
        <w:jc w:val="both"/>
        <w:rPr>
          <w:rFonts w:ascii="Arial" w:eastAsia="Arial" w:hAnsi="Arial" w:cs="Arial"/>
        </w:rPr>
      </w:pPr>
      <w:r w:rsidRPr="00BB1CCC">
        <w:rPr>
          <w:rFonts w:ascii="Arial" w:eastAsia="Arial" w:hAnsi="Arial" w:cs="Arial"/>
        </w:rPr>
        <w:t xml:space="preserve"> </w:t>
      </w:r>
    </w:p>
    <w:p w14:paraId="0738B4E4" w14:textId="0671820F" w:rsidR="00FF1D3D" w:rsidRPr="00BB1CCC" w:rsidRDefault="00FF1D3D" w:rsidP="00BB1CCC">
      <w:pPr>
        <w:spacing w:line="360" w:lineRule="auto"/>
        <w:jc w:val="both"/>
        <w:rPr>
          <w:rFonts w:ascii="Arial" w:eastAsia="Arial" w:hAnsi="Arial" w:cs="Arial"/>
        </w:rPr>
      </w:pPr>
    </w:p>
    <w:p w14:paraId="3A4BF24F" w14:textId="5BD9BB42" w:rsidR="00FF1D3D" w:rsidRPr="00BB1CCC" w:rsidRDefault="014C6D87" w:rsidP="00BB1CCC">
      <w:pPr>
        <w:spacing w:before="144" w:after="96" w:line="360" w:lineRule="auto"/>
        <w:jc w:val="both"/>
        <w:rPr>
          <w:rFonts w:ascii="Arial" w:eastAsia="Arial" w:hAnsi="Arial" w:cs="Arial"/>
        </w:rPr>
      </w:pPr>
      <w:r w:rsidRPr="00BB1CCC">
        <w:rPr>
          <w:rFonts w:ascii="Arial" w:eastAsia="Arial" w:hAnsi="Arial" w:cs="Arial"/>
        </w:rPr>
        <w:t xml:space="preserve"> </w:t>
      </w:r>
    </w:p>
    <w:p w14:paraId="57FABC29" w14:textId="6E77BCAE" w:rsidR="00FF1D3D" w:rsidRPr="00BB1CCC" w:rsidRDefault="00FF1D3D" w:rsidP="00BB1CCC">
      <w:pPr>
        <w:spacing w:line="360" w:lineRule="auto"/>
        <w:jc w:val="both"/>
        <w:rPr>
          <w:rFonts w:ascii="Arial" w:eastAsia="Arial" w:hAnsi="Arial" w:cs="Arial"/>
        </w:rPr>
      </w:pPr>
    </w:p>
    <w:p w14:paraId="56975679" w14:textId="21555644" w:rsidR="00FF1D3D" w:rsidRPr="00BB1CCC" w:rsidRDefault="00FF1D3D" w:rsidP="00BB1CCC">
      <w:pPr>
        <w:spacing w:line="360" w:lineRule="auto"/>
        <w:jc w:val="both"/>
        <w:rPr>
          <w:rFonts w:ascii="Arial" w:eastAsia="Arial" w:hAnsi="Arial" w:cs="Arial"/>
        </w:rPr>
      </w:pPr>
    </w:p>
    <w:p w14:paraId="33F921D8" w14:textId="5DEDA714" w:rsidR="00FF1D3D" w:rsidRPr="00BB1CCC" w:rsidRDefault="014C6D87" w:rsidP="00BB1CCC">
      <w:pPr>
        <w:spacing w:line="360" w:lineRule="auto"/>
        <w:jc w:val="both"/>
        <w:rPr>
          <w:rFonts w:ascii="Arial" w:eastAsia="Arial" w:hAnsi="Arial" w:cs="Arial"/>
        </w:rPr>
      </w:pPr>
      <w:r w:rsidRPr="00BB1CCC">
        <w:rPr>
          <w:rFonts w:ascii="Arial" w:eastAsia="Arial" w:hAnsi="Arial" w:cs="Arial"/>
        </w:rPr>
        <w:t>Component 1: Development of Academic Skills</w:t>
      </w:r>
    </w:p>
    <w:p w14:paraId="0CDB9062" w14:textId="1D42DFC0" w:rsidR="00FF1D3D" w:rsidRPr="00BB1CCC" w:rsidRDefault="014C6D87" w:rsidP="00BB1CCC">
      <w:pPr>
        <w:spacing w:line="360" w:lineRule="auto"/>
        <w:jc w:val="both"/>
        <w:rPr>
          <w:rFonts w:ascii="Arial" w:eastAsia="Arial" w:hAnsi="Arial" w:cs="Arial"/>
        </w:rPr>
      </w:pPr>
      <w:r w:rsidRPr="00BB1CCC">
        <w:rPr>
          <w:rFonts w:ascii="Arial" w:eastAsia="Arial" w:hAnsi="Arial" w:cs="Arial"/>
        </w:rPr>
        <w:t>1. Evaluating Academic Sources Using the CRAAP Test</w:t>
      </w:r>
    </w:p>
    <w:p w14:paraId="2045FBDD" w14:textId="75AA4766" w:rsidR="00FF1D3D" w:rsidRPr="00BB1CCC" w:rsidRDefault="014C6D87" w:rsidP="00BB1CCC">
      <w:pPr>
        <w:spacing w:line="360" w:lineRule="auto"/>
        <w:jc w:val="both"/>
        <w:rPr>
          <w:rFonts w:ascii="Arial" w:eastAsia="Arial" w:hAnsi="Arial" w:cs="Arial"/>
        </w:rPr>
      </w:pPr>
      <w:r w:rsidRPr="00BB1CCC">
        <w:rPr>
          <w:rFonts w:ascii="Arial" w:eastAsia="Arial" w:hAnsi="Arial" w:cs="Arial"/>
        </w:rPr>
        <w:t>Source 1:</w:t>
      </w:r>
    </w:p>
    <w:p w14:paraId="47CC4061" w14:textId="5A670574" w:rsidR="00FF1D3D" w:rsidRPr="00BB1CCC" w:rsidRDefault="014C6D87" w:rsidP="00BB1CCC">
      <w:pPr>
        <w:spacing w:before="144" w:after="96" w:line="360" w:lineRule="auto"/>
        <w:jc w:val="both"/>
        <w:rPr>
          <w:rFonts w:ascii="Arial" w:eastAsia="Arial" w:hAnsi="Arial" w:cs="Arial"/>
        </w:rPr>
      </w:pPr>
      <w:r w:rsidRPr="00BB1CCC">
        <w:rPr>
          <w:rFonts w:ascii="Arial" w:eastAsia="Arial" w:hAnsi="Arial" w:cs="Arial"/>
        </w:rPr>
        <w:t>Basantes-Andrade, A., Casillas-Martin, S., Cabezas-Gonzalez, M., Naranjo-Toro, M. and Guerra-Reyes, F. (2022) ‘Standards of teacher digital competence in higher education: A systematic literature review’, Sustainability, 14(21), p. 13983.</w:t>
      </w:r>
    </w:p>
    <w:p w14:paraId="69FFFCD6" w14:textId="0D60C5CC" w:rsidR="00FF1D3D" w:rsidRPr="00BB1CCC" w:rsidRDefault="014C6D87" w:rsidP="00BB1CCC">
      <w:pPr>
        <w:spacing w:before="144" w:after="96" w:line="360" w:lineRule="auto"/>
        <w:jc w:val="both"/>
        <w:rPr>
          <w:rFonts w:ascii="Arial" w:eastAsia="Arial" w:hAnsi="Arial" w:cs="Arial"/>
        </w:rPr>
      </w:pPr>
      <w:r w:rsidRPr="00BB1CCC">
        <w:rPr>
          <w:rFonts w:ascii="Arial" w:eastAsia="Arial" w:hAnsi="Arial" w:cs="Arial"/>
        </w:rPr>
        <w:t>This source was accessed via Google Scholar.</w:t>
      </w:r>
    </w:p>
    <w:p w14:paraId="1772ABA0" w14:textId="77777777" w:rsidR="00596E57" w:rsidRPr="00596E57" w:rsidRDefault="00596E57" w:rsidP="00596E57">
      <w:pPr>
        <w:spacing w:before="144" w:after="96" w:line="360" w:lineRule="auto"/>
        <w:jc w:val="both"/>
        <w:rPr>
          <w:rFonts w:ascii="Arial" w:eastAsia="Arial" w:hAnsi="Arial" w:cs="Arial"/>
        </w:rPr>
      </w:pPr>
      <w:r w:rsidRPr="00596E57">
        <w:rPr>
          <w:rFonts w:ascii="Arial" w:eastAsia="Arial" w:hAnsi="Arial" w:cs="Arial"/>
        </w:rPr>
        <w:t>Currency</w:t>
      </w:r>
    </w:p>
    <w:p w14:paraId="252EDE70" w14:textId="0B99C262" w:rsidR="00596E57" w:rsidRPr="00596E57" w:rsidRDefault="00596E57" w:rsidP="00596E57">
      <w:pPr>
        <w:spacing w:before="144" w:after="96" w:line="360" w:lineRule="auto"/>
        <w:jc w:val="both"/>
        <w:rPr>
          <w:rFonts w:ascii="Arial" w:eastAsia="Arial" w:hAnsi="Arial" w:cs="Arial"/>
        </w:rPr>
      </w:pPr>
      <w:r w:rsidRPr="00596E57">
        <w:rPr>
          <w:rFonts w:ascii="Arial" w:eastAsia="Arial" w:hAnsi="Arial" w:cs="Arial"/>
        </w:rPr>
        <w:t xml:space="preserve">The article under consideration was written in 2022, and it is very topical and </w:t>
      </w:r>
      <w:r w:rsidR="00D16905" w:rsidRPr="00596E57">
        <w:rPr>
          <w:rFonts w:ascii="Arial" w:eastAsia="Arial" w:hAnsi="Arial" w:cs="Arial"/>
        </w:rPr>
        <w:t>up to date</w:t>
      </w:r>
      <w:r w:rsidRPr="00596E57">
        <w:rPr>
          <w:rFonts w:ascii="Arial" w:eastAsia="Arial" w:hAnsi="Arial" w:cs="Arial"/>
        </w:rPr>
        <w:t xml:space="preserve"> in the context of modern discourse on the issues of digital competence in IHE. The fast evolution of </w:t>
      </w:r>
      <w:r w:rsidR="00D16905" w:rsidRPr="00596E57">
        <w:rPr>
          <w:rFonts w:ascii="Arial" w:eastAsia="Arial" w:hAnsi="Arial" w:cs="Arial"/>
        </w:rPr>
        <w:t>digital</w:t>
      </w:r>
      <w:r w:rsidRPr="00596E57">
        <w:rPr>
          <w:rFonts w:ascii="Arial" w:eastAsia="Arial" w:hAnsi="Arial" w:cs="Arial"/>
        </w:rPr>
        <w:t xml:space="preserve"> technologies in the academic setting implies that current research is needed to comprehend the current demands on digital academic skills.</w:t>
      </w:r>
    </w:p>
    <w:p w14:paraId="121822D7" w14:textId="77777777" w:rsidR="00596E57" w:rsidRPr="00596E57" w:rsidRDefault="00596E57" w:rsidP="00596E57">
      <w:pPr>
        <w:spacing w:before="144" w:after="96" w:line="360" w:lineRule="auto"/>
        <w:jc w:val="both"/>
        <w:rPr>
          <w:rFonts w:ascii="Arial" w:eastAsia="Arial" w:hAnsi="Arial" w:cs="Arial"/>
        </w:rPr>
      </w:pPr>
      <w:r w:rsidRPr="00596E57">
        <w:rPr>
          <w:rFonts w:ascii="Arial" w:eastAsia="Arial" w:hAnsi="Arial" w:cs="Arial"/>
        </w:rPr>
        <w:t>Relevance</w:t>
      </w:r>
    </w:p>
    <w:p w14:paraId="42FD55C4" w14:textId="77777777" w:rsidR="00596E57" w:rsidRPr="00596E57" w:rsidRDefault="00596E57" w:rsidP="00596E57">
      <w:pPr>
        <w:spacing w:before="144" w:after="96" w:line="360" w:lineRule="auto"/>
        <w:jc w:val="both"/>
        <w:rPr>
          <w:rFonts w:ascii="Arial" w:eastAsia="Arial" w:hAnsi="Arial" w:cs="Arial"/>
        </w:rPr>
      </w:pPr>
      <w:r w:rsidRPr="00596E57">
        <w:rPr>
          <w:rFonts w:ascii="Arial" w:eastAsia="Arial" w:hAnsi="Arial" w:cs="Arial"/>
        </w:rPr>
        <w:t>The article is teacher-centered, and it is very relevant to students since the academic digital competence frameworks have an effect on the structure and evaluation of learning in graduate education. Knowledge of these standards will enable the students to become aware of academic competence that is required in the digital world, especially in connection with digital literacy and critical literacy.</w:t>
      </w:r>
    </w:p>
    <w:p w14:paraId="0BD01ADF" w14:textId="77777777" w:rsidR="00596E57" w:rsidRPr="00596E57" w:rsidRDefault="00596E57" w:rsidP="00596E57">
      <w:pPr>
        <w:spacing w:before="144" w:after="96" w:line="360" w:lineRule="auto"/>
        <w:jc w:val="both"/>
        <w:rPr>
          <w:rFonts w:ascii="Arial" w:eastAsia="Arial" w:hAnsi="Arial" w:cs="Arial"/>
        </w:rPr>
      </w:pPr>
      <w:r w:rsidRPr="00596E57">
        <w:rPr>
          <w:rFonts w:ascii="Arial" w:eastAsia="Arial" w:hAnsi="Arial" w:cs="Arial"/>
        </w:rPr>
        <w:lastRenderedPageBreak/>
        <w:t>Authority</w:t>
      </w:r>
    </w:p>
    <w:p w14:paraId="49A3883F" w14:textId="5976794D" w:rsidR="00596E57" w:rsidRPr="00596E57" w:rsidRDefault="00596E57" w:rsidP="00596E57">
      <w:pPr>
        <w:spacing w:before="144" w:after="96" w:line="360" w:lineRule="auto"/>
        <w:jc w:val="both"/>
        <w:rPr>
          <w:rFonts w:ascii="Arial" w:eastAsia="Arial" w:hAnsi="Arial" w:cs="Arial"/>
        </w:rPr>
      </w:pPr>
      <w:r w:rsidRPr="00596E57">
        <w:rPr>
          <w:rFonts w:ascii="Arial" w:eastAsia="Arial" w:hAnsi="Arial" w:cs="Arial"/>
        </w:rPr>
        <w:t xml:space="preserve">The article was authored by several scholarly </w:t>
      </w:r>
      <w:r w:rsidR="006E2B6F" w:rsidRPr="00596E57">
        <w:rPr>
          <w:rFonts w:ascii="Arial" w:eastAsia="Arial" w:hAnsi="Arial" w:cs="Arial"/>
        </w:rPr>
        <w:t>researchers,</w:t>
      </w:r>
      <w:r w:rsidRPr="00596E57">
        <w:rPr>
          <w:rFonts w:ascii="Arial" w:eastAsia="Arial" w:hAnsi="Arial" w:cs="Arial"/>
        </w:rPr>
        <w:t xml:space="preserve"> and it was published in a peer-reviewed journal, Sustainability. It enhances its credibility by the peer-review process since the research has been reviewed by scholars prior to publication.</w:t>
      </w:r>
    </w:p>
    <w:p w14:paraId="21AEAB4F" w14:textId="77777777" w:rsidR="00596E57" w:rsidRPr="00596E57" w:rsidRDefault="00596E57" w:rsidP="00596E57">
      <w:pPr>
        <w:spacing w:before="144" w:after="96" w:line="360" w:lineRule="auto"/>
        <w:jc w:val="both"/>
        <w:rPr>
          <w:rFonts w:ascii="Arial" w:eastAsia="Arial" w:hAnsi="Arial" w:cs="Arial"/>
        </w:rPr>
      </w:pPr>
      <w:r w:rsidRPr="00596E57">
        <w:rPr>
          <w:rFonts w:ascii="Arial" w:eastAsia="Arial" w:hAnsi="Arial" w:cs="Arial"/>
        </w:rPr>
        <w:t>Accuracy</w:t>
      </w:r>
    </w:p>
    <w:p w14:paraId="44EEC80C" w14:textId="77777777" w:rsidR="00596E57" w:rsidRPr="00596E57" w:rsidRDefault="00596E57" w:rsidP="00596E57">
      <w:pPr>
        <w:spacing w:before="144" w:after="96" w:line="360" w:lineRule="auto"/>
        <w:jc w:val="both"/>
        <w:rPr>
          <w:rFonts w:ascii="Arial" w:eastAsia="Arial" w:hAnsi="Arial" w:cs="Arial"/>
        </w:rPr>
      </w:pPr>
      <w:r w:rsidRPr="00596E57">
        <w:rPr>
          <w:rFonts w:ascii="Arial" w:eastAsia="Arial" w:hAnsi="Arial" w:cs="Arial"/>
        </w:rPr>
        <w:t>The methodology employed in the study is a systematic literature review that has coherent inclusion and exclusion criteria.</w:t>
      </w:r>
    </w:p>
    <w:p w14:paraId="177D3FBD" w14:textId="77777777" w:rsidR="00596E57" w:rsidRPr="00596E57" w:rsidRDefault="00596E57" w:rsidP="00596E57">
      <w:pPr>
        <w:spacing w:before="144" w:after="96" w:line="360" w:lineRule="auto"/>
        <w:jc w:val="both"/>
        <w:rPr>
          <w:rFonts w:ascii="Arial" w:eastAsia="Arial" w:hAnsi="Arial" w:cs="Arial"/>
        </w:rPr>
      </w:pPr>
      <w:r w:rsidRPr="00596E57">
        <w:rPr>
          <w:rFonts w:ascii="Arial" w:eastAsia="Arial" w:hAnsi="Arial" w:cs="Arial"/>
        </w:rPr>
        <w:t>Purpose</w:t>
      </w:r>
    </w:p>
    <w:p w14:paraId="368DE21D" w14:textId="3B030529" w:rsidR="00FF1D3D" w:rsidRPr="00BB1CCC" w:rsidRDefault="00596E57" w:rsidP="00596E57">
      <w:pPr>
        <w:spacing w:before="144" w:after="96" w:line="360" w:lineRule="auto"/>
        <w:jc w:val="both"/>
        <w:rPr>
          <w:rFonts w:ascii="Arial" w:eastAsia="Arial" w:hAnsi="Arial" w:cs="Arial"/>
        </w:rPr>
      </w:pPr>
      <w:r w:rsidRPr="00596E57">
        <w:rPr>
          <w:rFonts w:ascii="Arial" w:eastAsia="Arial" w:hAnsi="Arial" w:cs="Arial"/>
        </w:rPr>
        <w:t>The article has an academic purpose. It intends to summarise and generalise the available studies on digital competence standards in higher education. Commercial bias is not evidenced.</w:t>
      </w:r>
    </w:p>
    <w:p w14:paraId="2655EB1C" w14:textId="6475D923" w:rsidR="00FF1D3D" w:rsidRPr="00BB1CCC" w:rsidRDefault="014C6D87" w:rsidP="00BB1CCC">
      <w:pPr>
        <w:spacing w:before="144" w:after="96" w:line="360" w:lineRule="auto"/>
        <w:jc w:val="both"/>
        <w:rPr>
          <w:rFonts w:ascii="Arial" w:eastAsia="Arial" w:hAnsi="Arial" w:cs="Arial"/>
        </w:rPr>
      </w:pPr>
      <w:r w:rsidRPr="00BB1CCC">
        <w:rPr>
          <w:rFonts w:ascii="Arial" w:eastAsia="Arial" w:hAnsi="Arial" w:cs="Arial"/>
        </w:rPr>
        <w:t>Source 2:</w:t>
      </w:r>
    </w:p>
    <w:p w14:paraId="6365B0CA" w14:textId="6E56C49C" w:rsidR="00FF1D3D" w:rsidRPr="00BB1CCC" w:rsidRDefault="014C6D87" w:rsidP="00BB1CCC">
      <w:pPr>
        <w:spacing w:before="144" w:after="96" w:line="360" w:lineRule="auto"/>
        <w:jc w:val="both"/>
        <w:rPr>
          <w:rFonts w:ascii="Arial" w:eastAsia="Arial" w:hAnsi="Arial" w:cs="Arial"/>
        </w:rPr>
      </w:pPr>
      <w:r w:rsidRPr="00BB1CCC">
        <w:rPr>
          <w:rFonts w:ascii="Arial" w:eastAsia="Arial" w:hAnsi="Arial" w:cs="Arial"/>
        </w:rPr>
        <w:t>Basilotta-Gómez-Pablos, V., Matarranz, M., Casado-Aranda, L.A. and Otto, A. (2022) ‘Teachers’ digital competencies in higher education: a systematic literature review’, International Journal of Educational Technology in Higher Education, 19(1), p. 8.</w:t>
      </w:r>
    </w:p>
    <w:p w14:paraId="183905D7" w14:textId="4FFE3726" w:rsidR="00FF1D3D" w:rsidRPr="00BB1CCC" w:rsidRDefault="014C6D87" w:rsidP="00BB1CCC">
      <w:pPr>
        <w:spacing w:before="144" w:after="96" w:line="360" w:lineRule="auto"/>
        <w:jc w:val="both"/>
        <w:rPr>
          <w:rFonts w:ascii="Arial" w:eastAsia="Arial" w:hAnsi="Arial" w:cs="Arial"/>
        </w:rPr>
      </w:pPr>
      <w:r w:rsidRPr="00BB1CCC">
        <w:rPr>
          <w:rFonts w:ascii="Arial" w:eastAsia="Arial" w:hAnsi="Arial" w:cs="Arial"/>
        </w:rPr>
        <w:t>This source was accessed via Google Scholar.</w:t>
      </w:r>
    </w:p>
    <w:p w14:paraId="71F9730B" w14:textId="77777777" w:rsidR="006E2B6F" w:rsidRPr="006E2B6F" w:rsidRDefault="006E2B6F" w:rsidP="006E2B6F">
      <w:pPr>
        <w:spacing w:before="144" w:after="96" w:line="360" w:lineRule="auto"/>
        <w:jc w:val="both"/>
        <w:rPr>
          <w:rFonts w:ascii="Arial" w:eastAsia="Arial" w:hAnsi="Arial" w:cs="Arial"/>
        </w:rPr>
      </w:pPr>
      <w:r w:rsidRPr="006E2B6F">
        <w:rPr>
          <w:rFonts w:ascii="Arial" w:eastAsia="Arial" w:hAnsi="Arial" w:cs="Arial"/>
        </w:rPr>
        <w:t>Currency</w:t>
      </w:r>
    </w:p>
    <w:p w14:paraId="09BF4F28" w14:textId="3C5FAB3E" w:rsidR="006E2B6F" w:rsidRPr="006E2B6F" w:rsidRDefault="006E2B6F" w:rsidP="006E2B6F">
      <w:pPr>
        <w:spacing w:before="144" w:after="96" w:line="360" w:lineRule="auto"/>
        <w:jc w:val="both"/>
        <w:rPr>
          <w:rFonts w:ascii="Arial" w:eastAsia="Arial" w:hAnsi="Arial" w:cs="Arial"/>
        </w:rPr>
      </w:pPr>
      <w:r w:rsidRPr="006E2B6F">
        <w:rPr>
          <w:rFonts w:ascii="Arial" w:eastAsia="Arial" w:hAnsi="Arial" w:cs="Arial"/>
        </w:rPr>
        <w:t>This source is up to date, as it was published in 2022, and it is relevant to the modern academic setting as well.</w:t>
      </w:r>
    </w:p>
    <w:p w14:paraId="0B4C6336" w14:textId="77777777" w:rsidR="006E2B6F" w:rsidRPr="006E2B6F" w:rsidRDefault="006E2B6F" w:rsidP="006E2B6F">
      <w:pPr>
        <w:spacing w:before="144" w:after="96" w:line="360" w:lineRule="auto"/>
        <w:jc w:val="both"/>
        <w:rPr>
          <w:rFonts w:ascii="Arial" w:eastAsia="Arial" w:hAnsi="Arial" w:cs="Arial"/>
        </w:rPr>
      </w:pPr>
      <w:r w:rsidRPr="006E2B6F">
        <w:rPr>
          <w:rFonts w:ascii="Arial" w:eastAsia="Arial" w:hAnsi="Arial" w:cs="Arial"/>
        </w:rPr>
        <w:t>Relevance</w:t>
      </w:r>
    </w:p>
    <w:p w14:paraId="0C86D281" w14:textId="77777777" w:rsidR="006E2B6F" w:rsidRPr="006E2B6F" w:rsidRDefault="006E2B6F" w:rsidP="006E2B6F">
      <w:pPr>
        <w:spacing w:before="144" w:after="96" w:line="360" w:lineRule="auto"/>
        <w:jc w:val="both"/>
        <w:rPr>
          <w:rFonts w:ascii="Arial" w:eastAsia="Arial" w:hAnsi="Arial" w:cs="Arial"/>
        </w:rPr>
      </w:pPr>
      <w:r w:rsidRPr="006E2B6F">
        <w:rPr>
          <w:rFonts w:ascii="Arial" w:eastAsia="Arial" w:hAnsi="Arial" w:cs="Arial"/>
        </w:rPr>
        <w:t>In the article, the fundamental dimensions of digital competence are revealed, such as technological, pedagogical and ethical aspects. These dimensions directly apply to the students that acquire academic skills in the online field, especially towards critical source assessment and academic honesty.</w:t>
      </w:r>
    </w:p>
    <w:p w14:paraId="2B466812" w14:textId="77777777" w:rsidR="006E2B6F" w:rsidRPr="006E2B6F" w:rsidRDefault="006E2B6F" w:rsidP="006E2B6F">
      <w:pPr>
        <w:spacing w:before="144" w:after="96" w:line="360" w:lineRule="auto"/>
        <w:jc w:val="both"/>
        <w:rPr>
          <w:rFonts w:ascii="Arial" w:eastAsia="Arial" w:hAnsi="Arial" w:cs="Arial"/>
        </w:rPr>
      </w:pPr>
      <w:r w:rsidRPr="006E2B6F">
        <w:rPr>
          <w:rFonts w:ascii="Arial" w:eastAsia="Arial" w:hAnsi="Arial" w:cs="Arial"/>
        </w:rPr>
        <w:t>Authority</w:t>
      </w:r>
    </w:p>
    <w:p w14:paraId="47133FC6" w14:textId="77777777" w:rsidR="006E2B6F" w:rsidRPr="006E2B6F" w:rsidRDefault="006E2B6F" w:rsidP="006E2B6F">
      <w:pPr>
        <w:spacing w:before="144" w:after="96" w:line="360" w:lineRule="auto"/>
        <w:jc w:val="both"/>
        <w:rPr>
          <w:rFonts w:ascii="Arial" w:eastAsia="Arial" w:hAnsi="Arial" w:cs="Arial"/>
        </w:rPr>
      </w:pPr>
      <w:r w:rsidRPr="006E2B6F">
        <w:rPr>
          <w:rFonts w:ascii="Arial" w:eastAsia="Arial" w:hAnsi="Arial" w:cs="Arial"/>
        </w:rPr>
        <w:lastRenderedPageBreak/>
        <w:t>The article is also published in the International Journal of Educational Technology in Higher Education which is a quality peer-reviewed academic journal. The authors are well known scholars concerning the topic of educational technology.</w:t>
      </w:r>
    </w:p>
    <w:p w14:paraId="48826279" w14:textId="77777777" w:rsidR="006E2B6F" w:rsidRPr="006E2B6F" w:rsidRDefault="006E2B6F" w:rsidP="006E2B6F">
      <w:pPr>
        <w:spacing w:before="144" w:after="96" w:line="360" w:lineRule="auto"/>
        <w:jc w:val="both"/>
        <w:rPr>
          <w:rFonts w:ascii="Arial" w:eastAsia="Arial" w:hAnsi="Arial" w:cs="Arial"/>
        </w:rPr>
      </w:pPr>
      <w:r w:rsidRPr="006E2B6F">
        <w:rPr>
          <w:rFonts w:ascii="Arial" w:eastAsia="Arial" w:hAnsi="Arial" w:cs="Arial"/>
        </w:rPr>
        <w:t>Accuracy</w:t>
      </w:r>
    </w:p>
    <w:p w14:paraId="4D08AA1A" w14:textId="77777777" w:rsidR="006E2B6F" w:rsidRPr="006E2B6F" w:rsidRDefault="006E2B6F" w:rsidP="006E2B6F">
      <w:pPr>
        <w:spacing w:before="144" w:after="96" w:line="360" w:lineRule="auto"/>
        <w:jc w:val="both"/>
        <w:rPr>
          <w:rFonts w:ascii="Arial" w:eastAsia="Arial" w:hAnsi="Arial" w:cs="Arial"/>
        </w:rPr>
      </w:pPr>
      <w:r w:rsidRPr="006E2B6F">
        <w:rPr>
          <w:rFonts w:ascii="Arial" w:eastAsia="Arial" w:hAnsi="Arial" w:cs="Arial"/>
        </w:rPr>
        <w:t>Systematic review methodology also makes the results more reliable, since they are based on the results of systematic analysis of numerous empirical studies.</w:t>
      </w:r>
    </w:p>
    <w:p w14:paraId="607281BB" w14:textId="77777777" w:rsidR="006E2B6F" w:rsidRPr="006E2B6F" w:rsidRDefault="006E2B6F" w:rsidP="006E2B6F">
      <w:pPr>
        <w:spacing w:before="144" w:after="96" w:line="360" w:lineRule="auto"/>
        <w:jc w:val="both"/>
        <w:rPr>
          <w:rFonts w:ascii="Arial" w:eastAsia="Arial" w:hAnsi="Arial" w:cs="Arial"/>
        </w:rPr>
      </w:pPr>
      <w:r w:rsidRPr="006E2B6F">
        <w:rPr>
          <w:rFonts w:ascii="Arial" w:eastAsia="Arial" w:hAnsi="Arial" w:cs="Arial"/>
        </w:rPr>
        <w:t>Purpose</w:t>
      </w:r>
    </w:p>
    <w:p w14:paraId="044690CF" w14:textId="23E7DE6B" w:rsidR="00FF1D3D" w:rsidRPr="00BB1CCC" w:rsidRDefault="006E2B6F" w:rsidP="006E2B6F">
      <w:pPr>
        <w:spacing w:before="144" w:after="96" w:line="360" w:lineRule="auto"/>
        <w:jc w:val="both"/>
        <w:rPr>
          <w:rFonts w:ascii="Arial" w:eastAsia="Arial" w:hAnsi="Arial" w:cs="Arial"/>
        </w:rPr>
      </w:pPr>
      <w:r w:rsidRPr="006E2B6F">
        <w:rPr>
          <w:rFonts w:ascii="Arial" w:eastAsia="Arial" w:hAnsi="Arial" w:cs="Arial"/>
        </w:rPr>
        <w:t>The article intends to review the trend of research in the area of digital competence in higher education. It is an academic article and not a commercial advert.</w:t>
      </w:r>
    </w:p>
    <w:p w14:paraId="360159B4" w14:textId="33BB18F4" w:rsidR="00FF1D3D" w:rsidRPr="00BB1CCC" w:rsidRDefault="014C6D87" w:rsidP="00BB1CCC">
      <w:pPr>
        <w:spacing w:before="144" w:after="96" w:line="360" w:lineRule="auto"/>
        <w:jc w:val="both"/>
        <w:rPr>
          <w:rFonts w:ascii="Arial" w:eastAsia="Arial" w:hAnsi="Arial" w:cs="Arial"/>
        </w:rPr>
      </w:pPr>
      <w:r w:rsidRPr="00BB1CCC">
        <w:rPr>
          <w:rFonts w:ascii="Arial" w:eastAsia="Arial" w:hAnsi="Arial" w:cs="Arial"/>
        </w:rPr>
        <w:t>2. Synthesis of Academic Sources</w:t>
      </w:r>
    </w:p>
    <w:p w14:paraId="75C51FF0" w14:textId="2D2F26E8" w:rsidR="00FF1D3D" w:rsidRPr="00BB1CCC" w:rsidRDefault="00596E57" w:rsidP="00BB1CCC">
      <w:pPr>
        <w:spacing w:before="144" w:after="96" w:line="360" w:lineRule="auto"/>
        <w:jc w:val="both"/>
        <w:rPr>
          <w:rFonts w:ascii="Arial" w:eastAsia="Arial" w:hAnsi="Arial" w:cs="Arial"/>
        </w:rPr>
      </w:pPr>
      <w:r w:rsidRPr="00596E57">
        <w:rPr>
          <w:rFonts w:ascii="Arial" w:eastAsia="Arial" w:hAnsi="Arial" w:cs="Arial"/>
        </w:rPr>
        <w:t xml:space="preserve">Both literatures highlight the increasing significance of digital competence structures in higher education. As pointed out by Basantes-Andrade et al. (2022), the significance of clearly defined standards leading to professional practice and digital development in institutions is also significant. Likewise, Basilotta-Gomez-Pablos et al. (2022) determine the essential aspects of digital competence among them being technological proficiency, pedagogical knowledge and awareness of ethics. These studies, combined, revealed that the digital competence is not exclusive to the technical capacity but also involves </w:t>
      </w:r>
      <w:r w:rsidR="00D16905" w:rsidRPr="00596E57">
        <w:rPr>
          <w:rFonts w:ascii="Arial" w:eastAsia="Arial" w:hAnsi="Arial" w:cs="Arial"/>
        </w:rPr>
        <w:t>critical</w:t>
      </w:r>
      <w:r w:rsidRPr="00596E57">
        <w:rPr>
          <w:rFonts w:ascii="Arial" w:eastAsia="Arial" w:hAnsi="Arial" w:cs="Arial"/>
        </w:rPr>
        <w:t xml:space="preserve"> assessment, the responsible utilization of information and reflective practice. T</w:t>
      </w:r>
    </w:p>
    <w:p w14:paraId="0CC52032" w14:textId="14F2C8AF" w:rsidR="00FF1D3D" w:rsidRPr="00BB1CCC" w:rsidRDefault="014C6D87" w:rsidP="00BB1CCC">
      <w:pPr>
        <w:spacing w:before="144" w:after="96" w:line="360" w:lineRule="auto"/>
        <w:jc w:val="both"/>
        <w:rPr>
          <w:rFonts w:ascii="Arial" w:eastAsia="Arial" w:hAnsi="Arial" w:cs="Arial"/>
        </w:rPr>
      </w:pPr>
      <w:r w:rsidRPr="00BB1CCC">
        <w:rPr>
          <w:rFonts w:ascii="Arial" w:eastAsia="Arial" w:hAnsi="Arial" w:cs="Arial"/>
        </w:rPr>
        <w:t>3. Identifying a Key Challenge and Opportunity</w:t>
      </w:r>
    </w:p>
    <w:p w14:paraId="3B628D00" w14:textId="1EB73467" w:rsidR="00FF1D3D" w:rsidRPr="00BB1CCC" w:rsidRDefault="00596E57" w:rsidP="00BB1CCC">
      <w:pPr>
        <w:spacing w:before="144" w:after="96" w:line="360" w:lineRule="auto"/>
        <w:jc w:val="both"/>
        <w:rPr>
          <w:rFonts w:ascii="Arial" w:eastAsia="Arial" w:hAnsi="Arial" w:cs="Arial"/>
        </w:rPr>
      </w:pPr>
      <w:r w:rsidRPr="00596E57">
        <w:rPr>
          <w:rFonts w:ascii="Arial" w:eastAsia="Arial" w:hAnsi="Arial" w:cs="Arial"/>
        </w:rPr>
        <w:t xml:space="preserve">One of the most important challenges that have been observed in both sources is the inconsistency in the definition of digital competence frameworks. According to Basantes-Andrade et al. (2022), there is a difference in the structure of digital standards used in different institutions. Such an inconsistency might cause confusion among the educators and the students since the expectations on digital academic skills are not always evidently informed. Consequently, it is possible that students will fail to learn what is meant by effective digital academic practice. Nevertheless, a chance arises as a result of the growing consensus on core competence dimensions. Basilotta-Gomez-Pablos et al. </w:t>
      </w:r>
      <w:r w:rsidRPr="00596E57">
        <w:rPr>
          <w:rFonts w:ascii="Arial" w:eastAsia="Arial" w:hAnsi="Arial" w:cs="Arial"/>
        </w:rPr>
        <w:lastRenderedPageBreak/>
        <w:t>(2022) define some shared themes in frameworks, such as ethical awareness, critical evaluation and structured digital engagement.</w:t>
      </w:r>
    </w:p>
    <w:p w14:paraId="6EAC5526" w14:textId="21A29167" w:rsidR="00FF1D3D" w:rsidRPr="00BB1CCC" w:rsidRDefault="014C6D87" w:rsidP="00BB1CCC">
      <w:pPr>
        <w:spacing w:before="144" w:after="96" w:line="360" w:lineRule="auto"/>
        <w:jc w:val="both"/>
        <w:rPr>
          <w:rFonts w:ascii="Arial" w:eastAsia="Arial" w:hAnsi="Arial" w:cs="Arial"/>
        </w:rPr>
      </w:pPr>
      <w:r w:rsidRPr="00BB1CCC">
        <w:rPr>
          <w:rFonts w:ascii="Arial" w:eastAsia="Arial" w:hAnsi="Arial" w:cs="Arial"/>
        </w:rPr>
        <w:t>4. Academic Planning</w:t>
      </w:r>
    </w:p>
    <w:p w14:paraId="3E766CAE" w14:textId="5AB09C5D" w:rsidR="00FF1D3D" w:rsidRPr="00BB1CCC" w:rsidRDefault="00596E57" w:rsidP="00BB1CCC">
      <w:pPr>
        <w:spacing w:before="144" w:after="96" w:line="360" w:lineRule="auto"/>
        <w:jc w:val="both"/>
        <w:rPr>
          <w:rFonts w:ascii="Arial" w:eastAsia="Arial" w:hAnsi="Arial" w:cs="Arial"/>
        </w:rPr>
      </w:pPr>
      <w:r w:rsidRPr="00596E57">
        <w:rPr>
          <w:rFonts w:ascii="Arial" w:eastAsia="Arial" w:hAnsi="Arial" w:cs="Arial"/>
        </w:rPr>
        <w:t>To address the problems defined, I will work on enhancing my digital academic competency based on the structured assessment and self-reflection. To choose academic sources that will be credible and relevant, I will use formal forms of evaluation, including the CRAAP test. Furthermore, I will set aside specific research time every week to ask profound questions of peer reviewed literature instead of using general materials on the internet. Another strategy I will focus on to enhance my academic writing is enhancing the clarity of my writing through temporary methods of structuring paragraphs including PEEL.</w:t>
      </w:r>
    </w:p>
    <w:tbl>
      <w:tblPr>
        <w:tblW w:w="0" w:type="auto"/>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3369"/>
        <w:gridCol w:w="1672"/>
      </w:tblGrid>
      <w:tr w:rsidR="641D0E5C" w:rsidRPr="00BB1CCC" w14:paraId="259FA777" w14:textId="77777777" w:rsidTr="641D0E5C">
        <w:trPr>
          <w:trHeight w:val="300"/>
        </w:trPr>
        <w:tc>
          <w:tcPr>
            <w:tcW w:w="3369" w:type="dxa"/>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tcPr>
          <w:p w14:paraId="7AD52095" w14:textId="68E7BBDB" w:rsidR="641D0E5C" w:rsidRPr="00BB1CCC" w:rsidRDefault="641D0E5C" w:rsidP="00BB1CCC">
            <w:pPr>
              <w:spacing w:before="144" w:after="96" w:line="360" w:lineRule="auto"/>
              <w:jc w:val="both"/>
              <w:rPr>
                <w:rFonts w:ascii="Arial" w:eastAsia="Arial" w:hAnsi="Arial" w:cs="Arial"/>
                <w:color w:val="000000" w:themeColor="text1"/>
                <w:lang w:val="en-IN"/>
              </w:rPr>
            </w:pPr>
            <w:r w:rsidRPr="00BB1CCC">
              <w:rPr>
                <w:rFonts w:ascii="Arial" w:eastAsia="Arial" w:hAnsi="Arial" w:cs="Arial"/>
                <w:color w:val="000000" w:themeColor="text1"/>
                <w:lang w:val="en-IN"/>
              </w:rPr>
              <w:t>Task</w:t>
            </w:r>
          </w:p>
        </w:tc>
        <w:tc>
          <w:tcPr>
            <w:tcW w:w="1672" w:type="dxa"/>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tcPr>
          <w:p w14:paraId="2B09023D" w14:textId="1623794D" w:rsidR="641D0E5C" w:rsidRPr="00BB1CCC" w:rsidRDefault="641D0E5C" w:rsidP="00BB1CCC">
            <w:pPr>
              <w:spacing w:before="144" w:after="96" w:line="360" w:lineRule="auto"/>
              <w:jc w:val="both"/>
              <w:rPr>
                <w:rFonts w:ascii="Arial" w:eastAsia="Arial" w:hAnsi="Arial" w:cs="Arial"/>
                <w:color w:val="000000" w:themeColor="text1"/>
                <w:lang w:val="en-IN"/>
              </w:rPr>
            </w:pPr>
            <w:r w:rsidRPr="00BB1CCC">
              <w:rPr>
                <w:rFonts w:ascii="Arial" w:eastAsia="Arial" w:hAnsi="Arial" w:cs="Arial"/>
                <w:color w:val="000000" w:themeColor="text1"/>
                <w:lang w:val="en-IN"/>
              </w:rPr>
              <w:t>Deadline</w:t>
            </w:r>
          </w:p>
        </w:tc>
      </w:tr>
      <w:tr w:rsidR="641D0E5C" w:rsidRPr="00BB1CCC" w14:paraId="49837AFD" w14:textId="77777777" w:rsidTr="641D0E5C">
        <w:trPr>
          <w:trHeight w:val="300"/>
        </w:trPr>
        <w:tc>
          <w:tcPr>
            <w:tcW w:w="3369" w:type="dxa"/>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tcPr>
          <w:p w14:paraId="10B2B11D" w14:textId="65CABE2D" w:rsidR="641D0E5C" w:rsidRPr="00BB1CCC" w:rsidRDefault="641D0E5C" w:rsidP="00BB1CCC">
            <w:pPr>
              <w:spacing w:before="144" w:after="96" w:line="360" w:lineRule="auto"/>
              <w:jc w:val="both"/>
              <w:rPr>
                <w:rFonts w:ascii="Arial" w:eastAsia="Arial" w:hAnsi="Arial" w:cs="Arial"/>
                <w:color w:val="000000" w:themeColor="text1"/>
                <w:lang w:val="en-IN"/>
              </w:rPr>
            </w:pPr>
            <w:r w:rsidRPr="00BB1CCC">
              <w:rPr>
                <w:rFonts w:ascii="Arial" w:eastAsia="Arial" w:hAnsi="Arial" w:cs="Arial"/>
                <w:color w:val="000000" w:themeColor="text1"/>
                <w:lang w:val="en-IN"/>
              </w:rPr>
              <w:t>Research completion</w:t>
            </w:r>
          </w:p>
        </w:tc>
        <w:tc>
          <w:tcPr>
            <w:tcW w:w="1672" w:type="dxa"/>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tcPr>
          <w:p w14:paraId="430E6EB1" w14:textId="2D5BD01D" w:rsidR="641D0E5C" w:rsidRPr="00BB1CCC" w:rsidRDefault="641D0E5C" w:rsidP="00BB1CCC">
            <w:pPr>
              <w:spacing w:before="144" w:after="96" w:line="360" w:lineRule="auto"/>
              <w:jc w:val="both"/>
              <w:rPr>
                <w:rFonts w:ascii="Arial" w:eastAsia="Arial" w:hAnsi="Arial" w:cs="Arial"/>
                <w:color w:val="000000" w:themeColor="text1"/>
                <w:lang w:val="en-IN"/>
              </w:rPr>
            </w:pPr>
            <w:r w:rsidRPr="00BB1CCC">
              <w:rPr>
                <w:rFonts w:ascii="Arial" w:eastAsia="Arial" w:hAnsi="Arial" w:cs="Arial"/>
                <w:color w:val="000000" w:themeColor="text1"/>
                <w:lang w:val="en-IN"/>
              </w:rPr>
              <w:t>31/01/2026</w:t>
            </w:r>
          </w:p>
        </w:tc>
      </w:tr>
      <w:tr w:rsidR="641D0E5C" w:rsidRPr="00BB1CCC" w14:paraId="6524D287" w14:textId="77777777" w:rsidTr="641D0E5C">
        <w:trPr>
          <w:trHeight w:val="300"/>
        </w:trPr>
        <w:tc>
          <w:tcPr>
            <w:tcW w:w="3369" w:type="dxa"/>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tcPr>
          <w:p w14:paraId="31B54842" w14:textId="34624B77" w:rsidR="641D0E5C" w:rsidRPr="00BB1CCC" w:rsidRDefault="641D0E5C" w:rsidP="00BB1CCC">
            <w:pPr>
              <w:spacing w:before="144" w:after="96" w:line="360" w:lineRule="auto"/>
              <w:jc w:val="both"/>
              <w:rPr>
                <w:rFonts w:ascii="Arial" w:eastAsia="Arial" w:hAnsi="Arial" w:cs="Arial"/>
                <w:color w:val="000000" w:themeColor="text1"/>
                <w:lang w:val="en-IN"/>
              </w:rPr>
            </w:pPr>
            <w:r w:rsidRPr="00BB1CCC">
              <w:rPr>
                <w:rFonts w:ascii="Arial" w:eastAsia="Arial" w:hAnsi="Arial" w:cs="Arial"/>
                <w:color w:val="000000" w:themeColor="text1"/>
                <w:lang w:val="en-IN"/>
              </w:rPr>
              <w:t>Draft of initial sections</w:t>
            </w:r>
          </w:p>
        </w:tc>
        <w:tc>
          <w:tcPr>
            <w:tcW w:w="1672" w:type="dxa"/>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tcPr>
          <w:p w14:paraId="2C4CEB07" w14:textId="09C76B2B" w:rsidR="641D0E5C" w:rsidRPr="00BB1CCC" w:rsidRDefault="641D0E5C" w:rsidP="00BB1CCC">
            <w:pPr>
              <w:spacing w:before="144" w:after="96" w:line="360" w:lineRule="auto"/>
              <w:jc w:val="both"/>
              <w:rPr>
                <w:rFonts w:ascii="Arial" w:eastAsia="Arial" w:hAnsi="Arial" w:cs="Arial"/>
                <w:color w:val="000000" w:themeColor="text1"/>
                <w:lang w:val="en-IN"/>
              </w:rPr>
            </w:pPr>
            <w:r w:rsidRPr="00BB1CCC">
              <w:rPr>
                <w:rFonts w:ascii="Arial" w:eastAsia="Arial" w:hAnsi="Arial" w:cs="Arial"/>
                <w:color w:val="000000" w:themeColor="text1"/>
                <w:lang w:val="en-IN"/>
              </w:rPr>
              <w:t>04/02/2026</w:t>
            </w:r>
          </w:p>
        </w:tc>
      </w:tr>
      <w:tr w:rsidR="641D0E5C" w:rsidRPr="00BB1CCC" w14:paraId="074B85A9" w14:textId="77777777" w:rsidTr="641D0E5C">
        <w:trPr>
          <w:trHeight w:val="300"/>
        </w:trPr>
        <w:tc>
          <w:tcPr>
            <w:tcW w:w="3369" w:type="dxa"/>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tcPr>
          <w:p w14:paraId="6EE3E852" w14:textId="6BEFA367" w:rsidR="641D0E5C" w:rsidRPr="00BB1CCC" w:rsidRDefault="641D0E5C" w:rsidP="00BB1CCC">
            <w:pPr>
              <w:spacing w:before="144" w:after="96" w:line="360" w:lineRule="auto"/>
              <w:jc w:val="both"/>
              <w:rPr>
                <w:rFonts w:ascii="Arial" w:eastAsia="Arial" w:hAnsi="Arial" w:cs="Arial"/>
                <w:color w:val="000000" w:themeColor="text1"/>
                <w:lang w:val="en-IN"/>
              </w:rPr>
            </w:pPr>
            <w:r w:rsidRPr="00BB1CCC">
              <w:rPr>
                <w:rFonts w:ascii="Arial" w:eastAsia="Arial" w:hAnsi="Arial" w:cs="Arial"/>
                <w:color w:val="000000" w:themeColor="text1"/>
                <w:lang w:val="en-IN"/>
              </w:rPr>
              <w:t>Completion of full first draft</w:t>
            </w:r>
          </w:p>
        </w:tc>
        <w:tc>
          <w:tcPr>
            <w:tcW w:w="1672" w:type="dxa"/>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tcPr>
          <w:p w14:paraId="16FF926A" w14:textId="3A6130F9" w:rsidR="641D0E5C" w:rsidRPr="00BB1CCC" w:rsidRDefault="641D0E5C" w:rsidP="00BB1CCC">
            <w:pPr>
              <w:spacing w:before="144" w:after="96" w:line="360" w:lineRule="auto"/>
              <w:jc w:val="both"/>
              <w:rPr>
                <w:rFonts w:ascii="Arial" w:eastAsia="Arial" w:hAnsi="Arial" w:cs="Arial"/>
                <w:color w:val="000000" w:themeColor="text1"/>
                <w:lang w:val="en-IN"/>
              </w:rPr>
            </w:pPr>
            <w:r w:rsidRPr="00BB1CCC">
              <w:rPr>
                <w:rFonts w:ascii="Arial" w:eastAsia="Arial" w:hAnsi="Arial" w:cs="Arial"/>
                <w:color w:val="000000" w:themeColor="text1"/>
                <w:lang w:val="en-IN"/>
              </w:rPr>
              <w:t>06/02/2026</w:t>
            </w:r>
          </w:p>
        </w:tc>
      </w:tr>
      <w:tr w:rsidR="641D0E5C" w:rsidRPr="00BB1CCC" w14:paraId="4CAE95A5" w14:textId="77777777" w:rsidTr="641D0E5C">
        <w:trPr>
          <w:trHeight w:val="300"/>
        </w:trPr>
        <w:tc>
          <w:tcPr>
            <w:tcW w:w="3369" w:type="dxa"/>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tcPr>
          <w:p w14:paraId="61E9608D" w14:textId="4A0E7EEE" w:rsidR="641D0E5C" w:rsidRPr="00BB1CCC" w:rsidRDefault="641D0E5C" w:rsidP="00BB1CCC">
            <w:pPr>
              <w:spacing w:before="144" w:after="96" w:line="360" w:lineRule="auto"/>
              <w:jc w:val="both"/>
              <w:rPr>
                <w:rFonts w:ascii="Arial" w:eastAsia="Arial" w:hAnsi="Arial" w:cs="Arial"/>
                <w:color w:val="000000" w:themeColor="text1"/>
                <w:lang w:val="en-IN"/>
              </w:rPr>
            </w:pPr>
            <w:r w:rsidRPr="00BB1CCC">
              <w:rPr>
                <w:rFonts w:ascii="Arial" w:eastAsia="Arial" w:hAnsi="Arial" w:cs="Arial"/>
                <w:color w:val="000000" w:themeColor="text1"/>
                <w:lang w:val="en-IN"/>
              </w:rPr>
              <w:t>Final review and editing</w:t>
            </w:r>
          </w:p>
        </w:tc>
        <w:tc>
          <w:tcPr>
            <w:tcW w:w="1672" w:type="dxa"/>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tcPr>
          <w:p w14:paraId="4A6E1B6C" w14:textId="58A2E517" w:rsidR="641D0E5C" w:rsidRPr="00BB1CCC" w:rsidRDefault="641D0E5C" w:rsidP="00BB1CCC">
            <w:pPr>
              <w:spacing w:before="144" w:after="96" w:line="360" w:lineRule="auto"/>
              <w:jc w:val="both"/>
              <w:rPr>
                <w:rFonts w:ascii="Arial" w:eastAsia="Arial" w:hAnsi="Arial" w:cs="Arial"/>
                <w:color w:val="000000" w:themeColor="text1"/>
                <w:lang w:val="en-IN"/>
              </w:rPr>
            </w:pPr>
            <w:r w:rsidRPr="00BB1CCC">
              <w:rPr>
                <w:rFonts w:ascii="Arial" w:eastAsia="Arial" w:hAnsi="Arial" w:cs="Arial"/>
                <w:color w:val="000000" w:themeColor="text1"/>
                <w:lang w:val="en-IN"/>
              </w:rPr>
              <w:t>15/02/2026</w:t>
            </w:r>
          </w:p>
        </w:tc>
      </w:tr>
    </w:tbl>
    <w:p w14:paraId="0DFCCF1D" w14:textId="45CAF8FA" w:rsidR="00FF1D3D" w:rsidRPr="00BB1CCC" w:rsidRDefault="014C6D87" w:rsidP="00BB1CCC">
      <w:pPr>
        <w:spacing w:before="144" w:after="96" w:line="360" w:lineRule="auto"/>
        <w:jc w:val="both"/>
        <w:rPr>
          <w:rFonts w:ascii="Arial" w:eastAsia="Arial" w:hAnsi="Arial" w:cs="Arial"/>
        </w:rPr>
      </w:pPr>
      <w:r w:rsidRPr="00BB1CCC">
        <w:rPr>
          <w:rFonts w:ascii="Arial" w:eastAsia="Arial" w:hAnsi="Arial" w:cs="Arial"/>
        </w:rPr>
        <w:t>Reference List</w:t>
      </w:r>
    </w:p>
    <w:p w14:paraId="13101ED1" w14:textId="6803F379" w:rsidR="00FF1D3D" w:rsidRPr="00BB1CCC" w:rsidRDefault="014C6D87" w:rsidP="00BB1CCC">
      <w:pPr>
        <w:spacing w:before="144" w:after="96" w:line="360" w:lineRule="auto"/>
        <w:jc w:val="both"/>
        <w:rPr>
          <w:rFonts w:ascii="Arial" w:eastAsia="Arial" w:hAnsi="Arial" w:cs="Arial"/>
        </w:rPr>
      </w:pPr>
      <w:r w:rsidRPr="00BB1CCC">
        <w:rPr>
          <w:rFonts w:ascii="Arial" w:eastAsia="Arial" w:hAnsi="Arial" w:cs="Arial"/>
        </w:rPr>
        <w:t xml:space="preserve">Basantes-Andrade, A., Casillas-Martin, S., Cabezas-Gonzalez, M., Naranjo-Toro, M. and Guerra-Reyes, F., 2022. Standards of teacher digital competence in higher education: A systematic literature review. Sustainability, 14(21), p.13983. </w:t>
      </w:r>
      <w:hyperlink r:id="rId10">
        <w:r w:rsidRPr="00BB1CCC">
          <w:rPr>
            <w:rStyle w:val="Hyperlink"/>
            <w:rFonts w:ascii="Arial" w:eastAsia="Arial" w:hAnsi="Arial" w:cs="Arial"/>
            <w:color w:val="1155CC"/>
          </w:rPr>
          <w:t>https://doi.org/10.3390/su142113983</w:t>
        </w:r>
      </w:hyperlink>
      <w:r w:rsidRPr="00BB1CCC">
        <w:rPr>
          <w:rFonts w:ascii="Arial" w:eastAsia="Arial" w:hAnsi="Arial" w:cs="Arial"/>
        </w:rPr>
        <w:t>.</w:t>
      </w:r>
    </w:p>
    <w:p w14:paraId="29D3EAC0" w14:textId="1189AB84" w:rsidR="00FF1D3D" w:rsidRPr="00BB1CCC" w:rsidRDefault="014C6D87" w:rsidP="00BB1CCC">
      <w:pPr>
        <w:spacing w:before="144" w:after="96" w:line="360" w:lineRule="auto"/>
        <w:jc w:val="both"/>
        <w:rPr>
          <w:rFonts w:ascii="Arial" w:eastAsia="Arial" w:hAnsi="Arial" w:cs="Arial"/>
        </w:rPr>
      </w:pPr>
      <w:r w:rsidRPr="00BB1CCC">
        <w:rPr>
          <w:rFonts w:ascii="Arial" w:eastAsia="Arial" w:hAnsi="Arial" w:cs="Arial"/>
        </w:rPr>
        <w:t xml:space="preserve">Basilotta-Gómez-Pablos, V., Matarranz, M., Casado-Aranda, L.A. and Otto, A., 2022. Teachers’ digital competencies in higher education: a systematic literature review. International journal of educational technology in higher education, 19(1), p.8. </w:t>
      </w:r>
      <w:hyperlink r:id="rId11">
        <w:r w:rsidRPr="00BB1CCC">
          <w:rPr>
            <w:rStyle w:val="Hyperlink"/>
            <w:rFonts w:ascii="Arial" w:eastAsia="Arial" w:hAnsi="Arial" w:cs="Arial"/>
            <w:color w:val="1155CC"/>
          </w:rPr>
          <w:t>https://doi.org/10.1186/s41239-021-00312-8</w:t>
        </w:r>
      </w:hyperlink>
      <w:r w:rsidRPr="00BB1CCC">
        <w:rPr>
          <w:rFonts w:ascii="Arial" w:eastAsia="Arial" w:hAnsi="Arial" w:cs="Arial"/>
        </w:rPr>
        <w:t>.</w:t>
      </w:r>
      <w:r w:rsidRPr="00BB1CCC">
        <w:rPr>
          <w:rFonts w:ascii="Arial" w:hAnsi="Arial" w:cs="Arial"/>
        </w:rPr>
        <w:br/>
      </w:r>
      <w:r w:rsidRPr="00BB1CCC">
        <w:rPr>
          <w:rFonts w:ascii="Arial" w:eastAsia="Arial" w:hAnsi="Arial" w:cs="Arial"/>
        </w:rPr>
        <w:t xml:space="preserve"> </w:t>
      </w:r>
    </w:p>
    <w:p w14:paraId="5BE2F330" w14:textId="2890F416" w:rsidR="00FF1D3D" w:rsidRPr="00BB1CCC" w:rsidRDefault="014C6D87" w:rsidP="00BB1CCC">
      <w:pPr>
        <w:pStyle w:val="Heading1"/>
        <w:spacing w:before="144" w:after="96" w:line="360" w:lineRule="auto"/>
        <w:jc w:val="both"/>
        <w:rPr>
          <w:rFonts w:ascii="Arial" w:eastAsia="Arial" w:hAnsi="Arial" w:cs="Arial"/>
          <w:sz w:val="24"/>
          <w:szCs w:val="24"/>
        </w:rPr>
      </w:pPr>
      <w:r w:rsidRPr="00BB1CCC">
        <w:rPr>
          <w:rFonts w:ascii="Arial" w:eastAsia="Arial" w:hAnsi="Arial" w:cs="Arial"/>
          <w:sz w:val="24"/>
          <w:szCs w:val="24"/>
        </w:rPr>
        <w:lastRenderedPageBreak/>
        <w:t>Component 2: Application of Academic Skills</w:t>
      </w:r>
    </w:p>
    <w:p w14:paraId="1667FE1A" w14:textId="167604B8" w:rsidR="00FF1D3D" w:rsidRPr="00BB1CCC" w:rsidRDefault="014C6D87" w:rsidP="00BB1CCC">
      <w:pPr>
        <w:spacing w:before="144" w:after="96" w:line="360" w:lineRule="auto"/>
        <w:jc w:val="both"/>
        <w:rPr>
          <w:rFonts w:ascii="Arial" w:eastAsia="Arial" w:hAnsi="Arial" w:cs="Arial"/>
        </w:rPr>
      </w:pPr>
      <w:r w:rsidRPr="00BB1CCC">
        <w:rPr>
          <w:rFonts w:ascii="Arial" w:eastAsia="Arial" w:hAnsi="Arial" w:cs="Arial"/>
        </w:rPr>
        <w:t>Introduction</w:t>
      </w:r>
    </w:p>
    <w:p w14:paraId="5A6162C2" w14:textId="4CC735D5" w:rsidR="00FF1D3D" w:rsidRPr="00BB1CCC" w:rsidRDefault="014C6D87" w:rsidP="00BB1CCC">
      <w:pPr>
        <w:spacing w:before="144" w:after="96" w:line="360" w:lineRule="auto"/>
        <w:jc w:val="both"/>
        <w:rPr>
          <w:rFonts w:ascii="Arial" w:eastAsia="Arial" w:hAnsi="Arial" w:cs="Arial"/>
        </w:rPr>
      </w:pPr>
      <w:r w:rsidRPr="00BB1CCC">
        <w:rPr>
          <w:rFonts w:ascii="Arial" w:eastAsia="Arial" w:hAnsi="Arial" w:cs="Arial"/>
        </w:rPr>
        <w:t>Digital learning has entered the mainstream of higher education and redefined the ways students learn by modifying the ways they consume information, learn, and assess learning. Nowadays, universities are using online sources, online platforms, and blended learning models to provide education in an efficient and flexible manner (</w:t>
      </w:r>
      <w:r w:rsidRPr="00BB1CCC">
        <w:rPr>
          <w:rFonts w:ascii="Arial" w:eastAsia="Arial" w:hAnsi="Arial" w:cs="Arial"/>
          <w:color w:val="222222"/>
        </w:rPr>
        <w:t>Kumar et al., 2021</w:t>
      </w:r>
      <w:r w:rsidRPr="00BB1CCC">
        <w:rPr>
          <w:rFonts w:ascii="Arial" w:eastAsia="Arial" w:hAnsi="Arial" w:cs="Arial"/>
        </w:rPr>
        <w:t xml:space="preserve">). As much as these developments have big potential </w:t>
      </w:r>
      <w:r w:rsidR="7A29626E" w:rsidRPr="00BB1CCC">
        <w:rPr>
          <w:rFonts w:ascii="Arial" w:eastAsia="Arial" w:hAnsi="Arial" w:cs="Arial"/>
        </w:rPr>
        <w:t>advantages,</w:t>
      </w:r>
      <w:r w:rsidRPr="00BB1CCC">
        <w:rPr>
          <w:rFonts w:ascii="Arial" w:eastAsia="Arial" w:hAnsi="Arial" w:cs="Arial"/>
        </w:rPr>
        <w:t xml:space="preserve"> they </w:t>
      </w:r>
      <w:r w:rsidR="0EF6090F" w:rsidRPr="00BB1CCC">
        <w:rPr>
          <w:rFonts w:ascii="Arial" w:eastAsia="Arial" w:hAnsi="Arial" w:cs="Arial"/>
        </w:rPr>
        <w:t>come up</w:t>
      </w:r>
      <w:r w:rsidRPr="00BB1CCC">
        <w:rPr>
          <w:rFonts w:ascii="Arial" w:eastAsia="Arial" w:hAnsi="Arial" w:cs="Arial"/>
        </w:rPr>
        <w:t xml:space="preserve"> with new educational requirements which the students </w:t>
      </w:r>
      <w:r w:rsidR="00D16905" w:rsidRPr="00BB1CCC">
        <w:rPr>
          <w:rFonts w:ascii="Arial" w:eastAsia="Arial" w:hAnsi="Arial" w:cs="Arial"/>
        </w:rPr>
        <w:t>must</w:t>
      </w:r>
      <w:r w:rsidRPr="00BB1CCC">
        <w:rPr>
          <w:rFonts w:ascii="Arial" w:eastAsia="Arial" w:hAnsi="Arial" w:cs="Arial"/>
        </w:rPr>
        <w:t xml:space="preserve"> </w:t>
      </w:r>
      <w:r w:rsidR="0052413D" w:rsidRPr="00BB1CCC">
        <w:rPr>
          <w:rFonts w:ascii="Arial" w:eastAsia="Arial" w:hAnsi="Arial" w:cs="Arial"/>
        </w:rPr>
        <w:t>maneuver</w:t>
      </w:r>
      <w:r w:rsidRPr="00BB1CCC">
        <w:rPr>
          <w:rFonts w:ascii="Arial" w:eastAsia="Arial" w:hAnsi="Arial" w:cs="Arial"/>
        </w:rPr>
        <w:t xml:space="preserve"> through well. Consciousness of the challenges and opportunities that are attached to digital learning is hence the key to academic success in the digital age. Lack of proper academic skills can make the student face difficulties working with digital loads, critically evaluating information, or learning anything meaningful in the online learning conditions. This report will discuss the most critical issues of students in digital higher education, assess the opportunities brought by digital </w:t>
      </w:r>
      <w:r w:rsidR="3D25697E" w:rsidRPr="00BB1CCC">
        <w:rPr>
          <w:rFonts w:ascii="Arial" w:eastAsia="Arial" w:hAnsi="Arial" w:cs="Arial"/>
        </w:rPr>
        <w:t>tools,</w:t>
      </w:r>
      <w:r w:rsidRPr="00BB1CCC">
        <w:rPr>
          <w:rFonts w:ascii="Arial" w:eastAsia="Arial" w:hAnsi="Arial" w:cs="Arial"/>
        </w:rPr>
        <w:t xml:space="preserve"> and offer evidence-based tactics that will help students adapt well.</w:t>
      </w:r>
    </w:p>
    <w:p w14:paraId="5ED37E37" w14:textId="68164FFC" w:rsidR="00FF1D3D" w:rsidRDefault="014C6D87" w:rsidP="00BB1CCC">
      <w:pPr>
        <w:spacing w:before="144" w:after="96" w:line="360" w:lineRule="auto"/>
        <w:jc w:val="both"/>
        <w:rPr>
          <w:rFonts w:ascii="Arial" w:eastAsia="Arial" w:hAnsi="Arial" w:cs="Arial"/>
        </w:rPr>
      </w:pPr>
      <w:r w:rsidRPr="00BB1CCC">
        <w:rPr>
          <w:rFonts w:ascii="Arial" w:eastAsia="Arial" w:hAnsi="Arial" w:cs="Arial"/>
        </w:rPr>
        <w:t>Challenges for Students in the Digital Era</w:t>
      </w:r>
    </w:p>
    <w:p w14:paraId="43329C65" w14:textId="77777777" w:rsidR="00D16905" w:rsidRPr="00D16905" w:rsidRDefault="00D16905" w:rsidP="00D16905">
      <w:pPr>
        <w:spacing w:before="144" w:after="96" w:line="360" w:lineRule="auto"/>
        <w:jc w:val="both"/>
        <w:rPr>
          <w:rFonts w:ascii="Arial" w:eastAsia="Arial" w:hAnsi="Arial" w:cs="Arial"/>
          <w:lang w:val="en-GB"/>
        </w:rPr>
      </w:pPr>
      <w:r w:rsidRPr="00D16905">
        <w:rPr>
          <w:rFonts w:ascii="Arial" w:eastAsia="Arial" w:hAnsi="Arial" w:cs="Arial"/>
          <w:lang w:val="en-GB"/>
        </w:rPr>
        <w:t>Digital overload is a major challenge for students in the digital age. Constant exposure to online platforms, notifications, recorded lectures, and multiple learning management systems can overwhelm learners and reduce concentration (Ghashim and Arshad, 2023). Research shows that excessive digital engagement disrupts cognitive processing, leading to weaker performance, understanding, and retention. When students frequently switch between platforms, their cognitive load increases, resulting in shorter attention spans and reduced capacity for deep learning. Without effective coping strategies, online environments can therefore hinder academic success.</w:t>
      </w:r>
    </w:p>
    <w:p w14:paraId="07A6AF47" w14:textId="77777777" w:rsidR="00D16905" w:rsidRPr="00D16905" w:rsidRDefault="00D16905" w:rsidP="00D16905">
      <w:pPr>
        <w:spacing w:before="144" w:after="96" w:line="360" w:lineRule="auto"/>
        <w:jc w:val="both"/>
        <w:rPr>
          <w:rFonts w:ascii="Arial" w:eastAsia="Arial" w:hAnsi="Arial" w:cs="Arial"/>
          <w:lang w:val="en-GB"/>
        </w:rPr>
      </w:pPr>
      <w:r w:rsidRPr="00D16905">
        <w:rPr>
          <w:rFonts w:ascii="Arial" w:eastAsia="Arial" w:hAnsi="Arial" w:cs="Arial"/>
          <w:lang w:val="en-GB"/>
        </w:rPr>
        <w:t xml:space="preserve">Another key issue is uneven digital literacy. While many students are comfortable using technology for social or entertainment purposes, this does not guarantee academic digital competence. Skills such as evaluating source credibility, navigating academic databases, and managing digital references are not equally developed. Limited digital literacy can lead to the use of unreliable sources, weak academic reasoning, and a higher risk of </w:t>
      </w:r>
      <w:r w:rsidRPr="00D16905">
        <w:rPr>
          <w:rFonts w:ascii="Arial" w:eastAsia="Arial" w:hAnsi="Arial" w:cs="Arial"/>
          <w:lang w:val="en-GB"/>
        </w:rPr>
        <w:lastRenderedPageBreak/>
        <w:t>academic misconduct. Holden et al. (2021) highlight problems such as poor citation practices and misuse of online resources, demonstrating how inadequate digital literacy directly affects academic integrity.</w:t>
      </w:r>
    </w:p>
    <w:p w14:paraId="2AF1EF72" w14:textId="116901A7" w:rsidR="00D16905" w:rsidRPr="00D16905" w:rsidRDefault="00D16905" w:rsidP="00BB1CCC">
      <w:pPr>
        <w:spacing w:before="144" w:after="96" w:line="360" w:lineRule="auto"/>
        <w:jc w:val="both"/>
        <w:rPr>
          <w:rFonts w:ascii="Arial" w:eastAsia="Arial" w:hAnsi="Arial" w:cs="Arial"/>
          <w:lang w:val="en-GB"/>
        </w:rPr>
      </w:pPr>
      <w:r w:rsidRPr="00D16905">
        <w:rPr>
          <w:rFonts w:ascii="Arial" w:eastAsia="Arial" w:hAnsi="Arial" w:cs="Arial"/>
          <w:lang w:val="en-GB"/>
        </w:rPr>
        <w:t>Overall, students require structured guidance and evaluation to strengthen digital literacy and maintain academic credibility in increasingly complex digital learning environments.</w:t>
      </w:r>
    </w:p>
    <w:p w14:paraId="5D3E4D52" w14:textId="4A115344" w:rsidR="00FF1D3D" w:rsidRDefault="014C6D87" w:rsidP="00BB1CCC">
      <w:pPr>
        <w:spacing w:before="144" w:after="96" w:line="360" w:lineRule="auto"/>
        <w:jc w:val="both"/>
        <w:rPr>
          <w:rFonts w:ascii="Arial" w:eastAsia="Arial" w:hAnsi="Arial" w:cs="Arial"/>
        </w:rPr>
      </w:pPr>
      <w:r w:rsidRPr="00BB1CCC">
        <w:rPr>
          <w:rFonts w:ascii="Arial" w:eastAsia="Arial" w:hAnsi="Arial" w:cs="Arial"/>
        </w:rPr>
        <w:t>Opportunities in the Digital Era</w:t>
      </w:r>
    </w:p>
    <w:p w14:paraId="2948CC24" w14:textId="77777777" w:rsidR="00D16905" w:rsidRPr="00D16905" w:rsidRDefault="00D16905" w:rsidP="00D16905">
      <w:pPr>
        <w:spacing w:before="144" w:after="96" w:line="360" w:lineRule="auto"/>
        <w:jc w:val="both"/>
        <w:rPr>
          <w:rFonts w:ascii="Arial" w:eastAsia="Arial" w:hAnsi="Arial" w:cs="Arial"/>
          <w:lang w:val="en-GB"/>
        </w:rPr>
      </w:pPr>
      <w:r w:rsidRPr="00D16905">
        <w:rPr>
          <w:rFonts w:ascii="Arial" w:eastAsia="Arial" w:hAnsi="Arial" w:cs="Arial"/>
          <w:lang w:val="en-GB"/>
        </w:rPr>
        <w:t>Digital platforms allow students to access lectures, readings, and activities asynchronously, helping them balance study with other responsibilities. When supported by effective academic practices, this flexibility can increase autonomy, persistence, and self-directed learning (Ma, 2021). Access to online databases and scholarly search engines also enables students to independently locate peer-reviewed sources, strengthening critical research skills.</w:t>
      </w:r>
    </w:p>
    <w:p w14:paraId="68CC46FC" w14:textId="77777777" w:rsidR="00D16905" w:rsidRPr="00D16905" w:rsidRDefault="00D16905" w:rsidP="00D16905">
      <w:pPr>
        <w:spacing w:before="144" w:after="96" w:line="360" w:lineRule="auto"/>
        <w:jc w:val="both"/>
        <w:rPr>
          <w:rFonts w:ascii="Arial" w:eastAsia="Arial" w:hAnsi="Arial" w:cs="Arial"/>
          <w:lang w:val="en-GB"/>
        </w:rPr>
      </w:pPr>
      <w:r w:rsidRPr="00D16905">
        <w:rPr>
          <w:rFonts w:ascii="Arial" w:eastAsia="Arial" w:hAnsi="Arial" w:cs="Arial"/>
          <w:lang w:val="en-GB"/>
        </w:rPr>
        <w:t>Digital tools further enhance collaboration and engagement. Online discussion forums, shared documents, and virtual group work promote peer learning and deeper interaction with course content. However, these tools are most effective when intentionally and structurally integrated rather than used passively. Research shows that structured online interaction improves critical thinking and knowledge construction compared to unstructured participation.</w:t>
      </w:r>
    </w:p>
    <w:p w14:paraId="7FCC1D71" w14:textId="77777777" w:rsidR="00D16905" w:rsidRPr="00D16905" w:rsidRDefault="00D16905" w:rsidP="00D16905">
      <w:pPr>
        <w:spacing w:before="144" w:after="96" w:line="360" w:lineRule="auto"/>
        <w:jc w:val="both"/>
        <w:rPr>
          <w:rFonts w:ascii="Arial" w:eastAsia="Arial" w:hAnsi="Arial" w:cs="Arial"/>
          <w:lang w:val="en-GB"/>
        </w:rPr>
      </w:pPr>
      <w:r w:rsidRPr="00D16905">
        <w:rPr>
          <w:rFonts w:ascii="Arial" w:eastAsia="Arial" w:hAnsi="Arial" w:cs="Arial"/>
          <w:lang w:val="en-GB"/>
        </w:rPr>
        <w:t>When used strategically, digital tools support higher-order skills such as argumentation, synthesis, and collaborative problem-solving instead of simply delivering content. For example, structured evidence-based discussion forums that require scholarly references encourage students to support arguments with credible sources rather than personal opinions. This process strengthens critical thinking, academic writing, and meaningful engagement with learning materials.</w:t>
      </w:r>
    </w:p>
    <w:p w14:paraId="6BC32A72" w14:textId="77777777" w:rsidR="00D16905" w:rsidRPr="00BB1CCC" w:rsidRDefault="00D16905" w:rsidP="00BB1CCC">
      <w:pPr>
        <w:spacing w:before="144" w:after="96" w:line="360" w:lineRule="auto"/>
        <w:jc w:val="both"/>
        <w:rPr>
          <w:rFonts w:ascii="Arial" w:eastAsia="Arial" w:hAnsi="Arial" w:cs="Arial"/>
        </w:rPr>
      </w:pPr>
    </w:p>
    <w:p w14:paraId="6F2B7864" w14:textId="596101C6" w:rsidR="00FF1D3D" w:rsidRPr="00BB1CCC" w:rsidRDefault="014C6D87" w:rsidP="00BB1CCC">
      <w:pPr>
        <w:spacing w:before="144" w:after="96" w:line="360" w:lineRule="auto"/>
        <w:jc w:val="both"/>
        <w:rPr>
          <w:rFonts w:ascii="Arial" w:eastAsia="Arial" w:hAnsi="Arial" w:cs="Arial"/>
        </w:rPr>
      </w:pPr>
      <w:r w:rsidRPr="00BB1CCC">
        <w:rPr>
          <w:rFonts w:ascii="Arial" w:eastAsia="Arial" w:hAnsi="Arial" w:cs="Arial"/>
        </w:rPr>
        <w:t>How Students Can Adapt to Succeed</w:t>
      </w:r>
    </w:p>
    <w:p w14:paraId="79E58AE3" w14:textId="7E3BE511" w:rsidR="00FF1D3D" w:rsidRDefault="00825D13" w:rsidP="00BB1CCC">
      <w:pPr>
        <w:spacing w:before="144" w:after="96" w:line="360" w:lineRule="auto"/>
        <w:jc w:val="both"/>
        <w:rPr>
          <w:rFonts w:ascii="Arial" w:eastAsia="Arial" w:hAnsi="Arial" w:cs="Arial"/>
        </w:rPr>
      </w:pPr>
      <w:r w:rsidRPr="00825D13">
        <w:rPr>
          <w:rFonts w:ascii="Arial" w:eastAsia="Arial" w:hAnsi="Arial" w:cs="Arial"/>
          <w:lang w:val="en-GB"/>
        </w:rPr>
        <w:t xml:space="preserve">The first strategy is to develop critical thinking and strong digital literacy. This involves carefully and methodically assessing the reliability, applicability, and caliber of online </w:t>
      </w:r>
      <w:r w:rsidRPr="00825D13">
        <w:rPr>
          <w:rFonts w:ascii="Arial" w:eastAsia="Arial" w:hAnsi="Arial" w:cs="Arial"/>
          <w:lang w:val="en-GB"/>
        </w:rPr>
        <w:lastRenderedPageBreak/>
        <w:t>academic content before using it for assignments. The academic skills of source selection and critical thinking are fostered by this plan. By forcing students to choose between reliable and unreliable sources, it directly addresses the issue of disparities in digital literacy (Xarhoulacos et al., 2021).</w:t>
      </w:r>
      <w:r>
        <w:rPr>
          <w:rFonts w:ascii="Arial" w:eastAsia="Arial" w:hAnsi="Arial" w:cs="Arial"/>
          <w:lang w:val="en-GB"/>
        </w:rPr>
        <w:t xml:space="preserve"> </w:t>
      </w:r>
      <w:r w:rsidR="003874C3" w:rsidRPr="003874C3">
        <w:rPr>
          <w:rFonts w:ascii="Arial" w:eastAsia="Arial" w:hAnsi="Arial" w:cs="Arial"/>
        </w:rPr>
        <w:t>Evidence indicates that institutional assessment systems enhance the capacity of the students to differentiate quality research that is peer-reviewed, and unreliable information found online. In a typical example, through CRAAP test, the selection of sources would be consonant with reliable and up-to-date evidence to support assignment.</w:t>
      </w:r>
    </w:p>
    <w:p w14:paraId="30935506" w14:textId="77777777" w:rsidR="00825D13" w:rsidRPr="00825D13" w:rsidRDefault="00825D13" w:rsidP="00825D13">
      <w:pPr>
        <w:spacing w:before="144" w:after="96" w:line="360" w:lineRule="auto"/>
        <w:jc w:val="both"/>
        <w:rPr>
          <w:rFonts w:ascii="Arial" w:eastAsia="Arial" w:hAnsi="Arial" w:cs="Arial"/>
          <w:lang w:val="en-GB"/>
        </w:rPr>
      </w:pPr>
      <w:r w:rsidRPr="00825D13">
        <w:rPr>
          <w:rFonts w:ascii="Arial" w:eastAsia="Arial" w:hAnsi="Arial" w:cs="Arial"/>
          <w:lang w:val="en-GB"/>
        </w:rPr>
        <w:t>Students can reduce digital and cognitive overload through structured study plans, clear schedules, and task prioritisation. These strategies strengthen planning and self-regulation skills. Research shows that in flexible digital learning environments, students who use structured time management perform better academically. Classroom support for planning tools further reinforces this approach.</w:t>
      </w:r>
    </w:p>
    <w:p w14:paraId="1F31A49E" w14:textId="77777777" w:rsidR="00825D13" w:rsidRPr="00825D13" w:rsidRDefault="00825D13" w:rsidP="00825D13">
      <w:pPr>
        <w:spacing w:before="144" w:after="96" w:line="360" w:lineRule="auto"/>
        <w:jc w:val="both"/>
        <w:rPr>
          <w:rFonts w:ascii="Arial" w:eastAsia="Arial" w:hAnsi="Arial" w:cs="Arial"/>
          <w:lang w:val="en-GB"/>
        </w:rPr>
      </w:pPr>
      <w:r w:rsidRPr="00825D13">
        <w:rPr>
          <w:rFonts w:ascii="Arial" w:eastAsia="Arial" w:hAnsi="Arial" w:cs="Arial"/>
          <w:lang w:val="en-GB"/>
        </w:rPr>
        <w:t>A third strategy is active engagement with digital learning tools. For example, setting focused, distraction-free time for academic reading improves concentration and reduces fragmented attention. Students should also participate in discussions, group work, and interactive activities rather than passively watching recorded lectures. Active learning builds involvement, interaction, and critical thinking. It also increases motivation and supports deeper learning through meaningful engagement (Lachner et al., 2022). Empirical research consistently shows that active participation in digital settings leads to stronger understanding, retention, and academic achievement compared to passive content consumption.</w:t>
      </w:r>
    </w:p>
    <w:p w14:paraId="199EDB3D" w14:textId="5468ACD4" w:rsidR="00825D13" w:rsidRPr="00825D13" w:rsidRDefault="00825D13" w:rsidP="00BB1CCC">
      <w:pPr>
        <w:spacing w:before="144" w:after="96" w:line="360" w:lineRule="auto"/>
        <w:jc w:val="both"/>
        <w:rPr>
          <w:rFonts w:ascii="Arial" w:eastAsia="Arial" w:hAnsi="Arial" w:cs="Arial"/>
          <w:lang w:val="en-GB"/>
        </w:rPr>
      </w:pPr>
      <w:r w:rsidRPr="00825D13">
        <w:rPr>
          <w:rFonts w:ascii="Arial" w:eastAsia="Arial" w:hAnsi="Arial" w:cs="Arial"/>
          <w:lang w:val="en-GB"/>
        </w:rPr>
        <w:t xml:space="preserve">In conclusion, digital learning in higher education presents both challenges and opportunities. Digital overload and limited digital literacy can reduce attention and hinder academic performance. However, when used effectively, digital environments offer flexibility, autonomy, and collaboration. This report proposes three key strategies for student success: developing digital literacy and critical analysis skills, applying structured time management, and actively engaging with digital tools. Combined, these strategies help students overcome digital challenges and maximise learning opportunities. </w:t>
      </w:r>
      <w:r w:rsidRPr="00825D13">
        <w:rPr>
          <w:rFonts w:ascii="Arial" w:eastAsia="Arial" w:hAnsi="Arial" w:cs="Arial"/>
          <w:lang w:val="en-GB"/>
        </w:rPr>
        <w:lastRenderedPageBreak/>
        <w:t>Ultimately, academic success in the digital age depends not on technology itself, but on the strategic and effective use of academic skills.</w:t>
      </w:r>
    </w:p>
    <w:p w14:paraId="0B2991D6" w14:textId="3A66ED00" w:rsidR="00FF1D3D" w:rsidRPr="00BB1CCC" w:rsidRDefault="014C6D87" w:rsidP="00BB1CCC">
      <w:pPr>
        <w:spacing w:before="144" w:after="96" w:line="360" w:lineRule="auto"/>
        <w:jc w:val="both"/>
        <w:rPr>
          <w:rFonts w:ascii="Arial" w:eastAsia="Arial" w:hAnsi="Arial" w:cs="Arial"/>
        </w:rPr>
      </w:pPr>
      <w:r w:rsidRPr="00BB1CCC">
        <w:rPr>
          <w:rFonts w:ascii="Arial" w:eastAsia="Arial" w:hAnsi="Arial" w:cs="Arial"/>
        </w:rPr>
        <w:t>Reference List</w:t>
      </w:r>
    </w:p>
    <w:p w14:paraId="448D45E7" w14:textId="6DC75904" w:rsidR="00FF1D3D" w:rsidRPr="00BB1CCC" w:rsidRDefault="014C6D87" w:rsidP="00BB1CCC">
      <w:pPr>
        <w:spacing w:before="144" w:after="96" w:line="360" w:lineRule="auto"/>
        <w:jc w:val="both"/>
        <w:rPr>
          <w:rFonts w:ascii="Arial" w:eastAsia="Arial" w:hAnsi="Arial" w:cs="Arial"/>
          <w:color w:val="222222"/>
        </w:rPr>
      </w:pPr>
      <w:r w:rsidRPr="00BB1CCC">
        <w:rPr>
          <w:rFonts w:ascii="Arial" w:eastAsia="Arial" w:hAnsi="Arial" w:cs="Arial"/>
          <w:color w:val="222222"/>
        </w:rPr>
        <w:t xml:space="preserve">Ghashim, I.A. and Arshad, M., 2023. Internet of things (IoT)-based teaching and learning: modern trends and open challenges. </w:t>
      </w:r>
      <w:r w:rsidRPr="00BB1CCC">
        <w:rPr>
          <w:rFonts w:ascii="Arial" w:eastAsia="Arial" w:hAnsi="Arial" w:cs="Arial"/>
          <w:i/>
          <w:iCs/>
          <w:color w:val="222222"/>
        </w:rPr>
        <w:t>Sustainability</w:t>
      </w:r>
      <w:r w:rsidRPr="00BB1CCC">
        <w:rPr>
          <w:rFonts w:ascii="Arial" w:eastAsia="Arial" w:hAnsi="Arial" w:cs="Arial"/>
          <w:color w:val="222222"/>
        </w:rPr>
        <w:t xml:space="preserve">, </w:t>
      </w:r>
      <w:r w:rsidRPr="00BB1CCC">
        <w:rPr>
          <w:rFonts w:ascii="Arial" w:eastAsia="Arial" w:hAnsi="Arial" w:cs="Arial"/>
          <w:i/>
          <w:iCs/>
          <w:color w:val="222222"/>
        </w:rPr>
        <w:t>15</w:t>
      </w:r>
      <w:r w:rsidRPr="00BB1CCC">
        <w:rPr>
          <w:rFonts w:ascii="Arial" w:eastAsia="Arial" w:hAnsi="Arial" w:cs="Arial"/>
          <w:color w:val="222222"/>
        </w:rPr>
        <w:t xml:space="preserve">(21), p.15656. </w:t>
      </w:r>
      <w:hyperlink r:id="rId12">
        <w:r w:rsidRPr="00BB1CCC">
          <w:rPr>
            <w:rStyle w:val="Hyperlink"/>
            <w:rFonts w:ascii="Arial" w:eastAsia="Arial" w:hAnsi="Arial" w:cs="Arial"/>
            <w:color w:val="1155CC"/>
          </w:rPr>
          <w:t>https://doi.org/10.3390/su152115656</w:t>
        </w:r>
      </w:hyperlink>
      <w:r w:rsidRPr="00BB1CCC">
        <w:rPr>
          <w:rFonts w:ascii="Arial" w:eastAsia="Arial" w:hAnsi="Arial" w:cs="Arial"/>
          <w:color w:val="222222"/>
        </w:rPr>
        <w:t>.</w:t>
      </w:r>
    </w:p>
    <w:p w14:paraId="4426F68D" w14:textId="37E518C1" w:rsidR="00FF1D3D" w:rsidRPr="00BB1CCC" w:rsidRDefault="014C6D87" w:rsidP="00BB1CCC">
      <w:pPr>
        <w:spacing w:before="144" w:after="96" w:line="360" w:lineRule="auto"/>
        <w:jc w:val="both"/>
        <w:rPr>
          <w:rFonts w:ascii="Arial" w:eastAsia="Arial" w:hAnsi="Arial" w:cs="Arial"/>
          <w:color w:val="222222"/>
        </w:rPr>
      </w:pPr>
      <w:r w:rsidRPr="00BB1CCC">
        <w:rPr>
          <w:rFonts w:ascii="Arial" w:eastAsia="Arial" w:hAnsi="Arial" w:cs="Arial"/>
          <w:color w:val="222222"/>
        </w:rPr>
        <w:t xml:space="preserve">Kumar, A., Krishnamurthi, R., Bhatia, S., Kaushik, K., Ahuja, N.J., Nayyar, A. and Masud, M., 2021. Blended learning tools and practices: A comprehensive analysis. </w:t>
      </w:r>
      <w:r w:rsidRPr="00BB1CCC">
        <w:rPr>
          <w:rFonts w:ascii="Arial" w:eastAsia="Arial" w:hAnsi="Arial" w:cs="Arial"/>
          <w:i/>
          <w:iCs/>
          <w:color w:val="222222"/>
        </w:rPr>
        <w:t>Ieee Access</w:t>
      </w:r>
      <w:r w:rsidRPr="00BB1CCC">
        <w:rPr>
          <w:rFonts w:ascii="Arial" w:eastAsia="Arial" w:hAnsi="Arial" w:cs="Arial"/>
          <w:color w:val="222222"/>
        </w:rPr>
        <w:t xml:space="preserve">, </w:t>
      </w:r>
      <w:r w:rsidRPr="00BB1CCC">
        <w:rPr>
          <w:rFonts w:ascii="Arial" w:eastAsia="Arial" w:hAnsi="Arial" w:cs="Arial"/>
          <w:i/>
          <w:iCs/>
          <w:color w:val="222222"/>
        </w:rPr>
        <w:t>9</w:t>
      </w:r>
      <w:r w:rsidRPr="00BB1CCC">
        <w:rPr>
          <w:rFonts w:ascii="Arial" w:eastAsia="Arial" w:hAnsi="Arial" w:cs="Arial"/>
          <w:color w:val="222222"/>
        </w:rPr>
        <w:t xml:space="preserve">, pp.85151-85197. </w:t>
      </w:r>
      <w:hyperlink r:id="rId13">
        <w:r w:rsidRPr="00BB1CCC">
          <w:rPr>
            <w:rStyle w:val="Hyperlink"/>
            <w:rFonts w:ascii="Arial" w:eastAsia="Arial" w:hAnsi="Arial" w:cs="Arial"/>
            <w:color w:val="1155CC"/>
          </w:rPr>
          <w:t>https://doi.org/10.1109/ACCESS.2021.3085844</w:t>
        </w:r>
      </w:hyperlink>
      <w:r w:rsidRPr="00BB1CCC">
        <w:rPr>
          <w:rFonts w:ascii="Arial" w:eastAsia="Arial" w:hAnsi="Arial" w:cs="Arial"/>
          <w:color w:val="222222"/>
        </w:rPr>
        <w:t>.</w:t>
      </w:r>
    </w:p>
    <w:p w14:paraId="1D3D2527" w14:textId="4F4BCF64" w:rsidR="00FF1D3D" w:rsidRPr="00BB1CCC" w:rsidRDefault="014C6D87" w:rsidP="00BB1CCC">
      <w:pPr>
        <w:spacing w:before="144" w:after="96" w:line="360" w:lineRule="auto"/>
        <w:jc w:val="both"/>
        <w:rPr>
          <w:rFonts w:ascii="Arial" w:eastAsia="Arial" w:hAnsi="Arial" w:cs="Arial"/>
          <w:color w:val="222222"/>
        </w:rPr>
      </w:pPr>
      <w:r w:rsidRPr="00BB1CCC">
        <w:rPr>
          <w:rFonts w:ascii="Arial" w:eastAsia="Arial" w:hAnsi="Arial" w:cs="Arial"/>
          <w:color w:val="222222"/>
        </w:rPr>
        <w:t xml:space="preserve">Lachner, A., Hoogerheide, V., van Gog, T. and Renkl, A., 2022. Learning-by-teaching without audience presence or interaction: When and why does it </w:t>
      </w:r>
      <w:r w:rsidR="164D176B" w:rsidRPr="00BB1CCC">
        <w:rPr>
          <w:rFonts w:ascii="Arial" w:eastAsia="Arial" w:hAnsi="Arial" w:cs="Arial"/>
          <w:color w:val="222222"/>
        </w:rPr>
        <w:t>work?</w:t>
      </w:r>
      <w:r w:rsidRPr="00BB1CCC">
        <w:rPr>
          <w:rFonts w:ascii="Arial" w:eastAsia="Arial" w:hAnsi="Arial" w:cs="Arial"/>
          <w:color w:val="222222"/>
        </w:rPr>
        <w:t xml:space="preserve"> </w:t>
      </w:r>
      <w:r w:rsidRPr="00BB1CCC">
        <w:rPr>
          <w:rFonts w:ascii="Arial" w:eastAsia="Arial" w:hAnsi="Arial" w:cs="Arial"/>
          <w:i/>
          <w:iCs/>
          <w:color w:val="222222"/>
        </w:rPr>
        <w:t>Educational Psychology Review</w:t>
      </w:r>
      <w:r w:rsidRPr="00BB1CCC">
        <w:rPr>
          <w:rFonts w:ascii="Arial" w:eastAsia="Arial" w:hAnsi="Arial" w:cs="Arial"/>
          <w:color w:val="222222"/>
        </w:rPr>
        <w:t xml:space="preserve">, </w:t>
      </w:r>
      <w:r w:rsidRPr="00BB1CCC">
        <w:rPr>
          <w:rFonts w:ascii="Arial" w:eastAsia="Arial" w:hAnsi="Arial" w:cs="Arial"/>
          <w:i/>
          <w:iCs/>
          <w:color w:val="222222"/>
        </w:rPr>
        <w:t>34</w:t>
      </w:r>
      <w:r w:rsidRPr="00BB1CCC">
        <w:rPr>
          <w:rFonts w:ascii="Arial" w:eastAsia="Arial" w:hAnsi="Arial" w:cs="Arial"/>
          <w:color w:val="222222"/>
        </w:rPr>
        <w:t xml:space="preserve">(2), pp.575-607. </w:t>
      </w:r>
      <w:hyperlink r:id="rId14">
        <w:r w:rsidRPr="00BB1CCC">
          <w:rPr>
            <w:rStyle w:val="Hyperlink"/>
            <w:rFonts w:ascii="Arial" w:eastAsia="Arial" w:hAnsi="Arial" w:cs="Arial"/>
            <w:color w:val="1155CC"/>
          </w:rPr>
          <w:t>https://doi.org/10.1007/s10648-021-09643-4</w:t>
        </w:r>
      </w:hyperlink>
      <w:r w:rsidRPr="00BB1CCC">
        <w:rPr>
          <w:rFonts w:ascii="Arial" w:eastAsia="Arial" w:hAnsi="Arial" w:cs="Arial"/>
          <w:color w:val="222222"/>
        </w:rPr>
        <w:t>.</w:t>
      </w:r>
    </w:p>
    <w:p w14:paraId="01F6526E" w14:textId="679E51FA" w:rsidR="00FF1D3D" w:rsidRPr="00BB1CCC" w:rsidRDefault="014C6D87" w:rsidP="00BB1CCC">
      <w:pPr>
        <w:spacing w:before="144" w:after="96" w:line="360" w:lineRule="auto"/>
        <w:jc w:val="both"/>
        <w:rPr>
          <w:rFonts w:ascii="Arial" w:eastAsia="Arial" w:hAnsi="Arial" w:cs="Arial"/>
          <w:color w:val="222222"/>
        </w:rPr>
      </w:pPr>
      <w:r w:rsidRPr="00BB1CCC">
        <w:rPr>
          <w:rFonts w:ascii="Arial" w:eastAsia="Arial" w:hAnsi="Arial" w:cs="Arial"/>
          <w:color w:val="222222"/>
        </w:rPr>
        <w:t xml:space="preserve">Ma, Q., 2021. </w:t>
      </w:r>
      <w:bookmarkStart w:id="1" w:name="_Int_zn6PPU9X"/>
      <w:r w:rsidRPr="00BB1CCC">
        <w:rPr>
          <w:rFonts w:ascii="Arial" w:eastAsia="Arial" w:hAnsi="Arial" w:cs="Arial"/>
          <w:color w:val="222222"/>
        </w:rPr>
        <w:t xml:space="preserve">The role of teacher autonomy </w:t>
      </w:r>
      <w:r w:rsidR="149481AF" w:rsidRPr="00BB1CCC">
        <w:rPr>
          <w:rFonts w:ascii="Arial" w:eastAsia="Arial" w:hAnsi="Arial" w:cs="Arial"/>
          <w:color w:val="222222"/>
        </w:rPr>
        <w:t>supports</w:t>
      </w:r>
      <w:r w:rsidRPr="00BB1CCC">
        <w:rPr>
          <w:rFonts w:ascii="Arial" w:eastAsia="Arial" w:hAnsi="Arial" w:cs="Arial"/>
          <w:color w:val="222222"/>
        </w:rPr>
        <w:t xml:space="preserve"> students’ academic engagement and resilience.</w:t>
      </w:r>
      <w:bookmarkEnd w:id="1"/>
      <w:r w:rsidRPr="00BB1CCC">
        <w:rPr>
          <w:rFonts w:ascii="Arial" w:eastAsia="Arial" w:hAnsi="Arial" w:cs="Arial"/>
          <w:color w:val="222222"/>
        </w:rPr>
        <w:t xml:space="preserve"> </w:t>
      </w:r>
      <w:r w:rsidRPr="00BB1CCC">
        <w:rPr>
          <w:rFonts w:ascii="Arial" w:eastAsia="Arial" w:hAnsi="Arial" w:cs="Arial"/>
          <w:i/>
          <w:iCs/>
          <w:color w:val="222222"/>
        </w:rPr>
        <w:t>Frontiers in psychology</w:t>
      </w:r>
      <w:r w:rsidRPr="00BB1CCC">
        <w:rPr>
          <w:rFonts w:ascii="Arial" w:eastAsia="Arial" w:hAnsi="Arial" w:cs="Arial"/>
          <w:color w:val="222222"/>
        </w:rPr>
        <w:t xml:space="preserve">, </w:t>
      </w:r>
      <w:r w:rsidRPr="00BB1CCC">
        <w:rPr>
          <w:rFonts w:ascii="Arial" w:eastAsia="Arial" w:hAnsi="Arial" w:cs="Arial"/>
          <w:i/>
          <w:iCs/>
          <w:color w:val="222222"/>
        </w:rPr>
        <w:t>12</w:t>
      </w:r>
      <w:r w:rsidRPr="00BB1CCC">
        <w:rPr>
          <w:rFonts w:ascii="Arial" w:eastAsia="Arial" w:hAnsi="Arial" w:cs="Arial"/>
          <w:color w:val="222222"/>
        </w:rPr>
        <w:t xml:space="preserve">, p.778581. </w:t>
      </w:r>
      <w:hyperlink r:id="rId15">
        <w:r w:rsidRPr="00BB1CCC">
          <w:rPr>
            <w:rStyle w:val="Hyperlink"/>
            <w:rFonts w:ascii="Arial" w:eastAsia="Arial" w:hAnsi="Arial" w:cs="Arial"/>
            <w:color w:val="1155CC"/>
          </w:rPr>
          <w:t>https://doi.org/10.3389/fpsyg.2021.778581</w:t>
        </w:r>
      </w:hyperlink>
      <w:r w:rsidRPr="00BB1CCC">
        <w:rPr>
          <w:rFonts w:ascii="Arial" w:eastAsia="Arial" w:hAnsi="Arial" w:cs="Arial"/>
          <w:color w:val="222222"/>
        </w:rPr>
        <w:t>.</w:t>
      </w:r>
    </w:p>
    <w:p w14:paraId="3FF61DC9" w14:textId="663671FD" w:rsidR="00FF1D3D" w:rsidRPr="00BB1CCC" w:rsidRDefault="014C6D87" w:rsidP="00BB1CCC">
      <w:pPr>
        <w:spacing w:before="144" w:after="96" w:line="360" w:lineRule="auto"/>
        <w:jc w:val="both"/>
        <w:rPr>
          <w:rFonts w:ascii="Arial" w:eastAsia="Arial" w:hAnsi="Arial" w:cs="Arial"/>
          <w:color w:val="222222"/>
        </w:rPr>
      </w:pPr>
      <w:r w:rsidRPr="00BB1CCC">
        <w:rPr>
          <w:rFonts w:ascii="Arial" w:eastAsia="Arial" w:hAnsi="Arial" w:cs="Arial"/>
          <w:color w:val="222222"/>
        </w:rPr>
        <w:t xml:space="preserve">Xarhoulacos, C.G., Anagnostopoulou, A., Stergiopoulos, G. and Gritzalis, D., 2021. Misinformation vs. situational awareness: The art of deception and the need for cross-domain detection. </w:t>
      </w:r>
      <w:r w:rsidRPr="00BB1CCC">
        <w:rPr>
          <w:rFonts w:ascii="Arial" w:eastAsia="Arial" w:hAnsi="Arial" w:cs="Arial"/>
          <w:i/>
          <w:iCs/>
          <w:color w:val="222222"/>
        </w:rPr>
        <w:t>Sensors</w:t>
      </w:r>
      <w:r w:rsidRPr="00BB1CCC">
        <w:rPr>
          <w:rFonts w:ascii="Arial" w:eastAsia="Arial" w:hAnsi="Arial" w:cs="Arial"/>
          <w:color w:val="222222"/>
        </w:rPr>
        <w:t xml:space="preserve">, </w:t>
      </w:r>
      <w:r w:rsidRPr="00BB1CCC">
        <w:rPr>
          <w:rFonts w:ascii="Arial" w:eastAsia="Arial" w:hAnsi="Arial" w:cs="Arial"/>
          <w:i/>
          <w:iCs/>
          <w:color w:val="222222"/>
        </w:rPr>
        <w:t>21</w:t>
      </w:r>
      <w:r w:rsidRPr="00BB1CCC">
        <w:rPr>
          <w:rFonts w:ascii="Arial" w:eastAsia="Arial" w:hAnsi="Arial" w:cs="Arial"/>
          <w:color w:val="222222"/>
        </w:rPr>
        <w:t xml:space="preserve">(16), p.5496. </w:t>
      </w:r>
      <w:hyperlink r:id="rId16">
        <w:r w:rsidRPr="00BB1CCC">
          <w:rPr>
            <w:rStyle w:val="Hyperlink"/>
            <w:rFonts w:ascii="Arial" w:eastAsia="Arial" w:hAnsi="Arial" w:cs="Arial"/>
            <w:color w:val="1155CC"/>
          </w:rPr>
          <w:t>https://doi.org/10.3390/s21165496</w:t>
        </w:r>
      </w:hyperlink>
      <w:r w:rsidRPr="00BB1CCC">
        <w:rPr>
          <w:rFonts w:ascii="Arial" w:eastAsia="Arial" w:hAnsi="Arial" w:cs="Arial"/>
          <w:color w:val="222222"/>
        </w:rPr>
        <w:t>.</w:t>
      </w:r>
    </w:p>
    <w:p w14:paraId="6013FEE4" w14:textId="38D69D26" w:rsidR="00FF1D3D" w:rsidRPr="00BB1CCC" w:rsidRDefault="014C6D87" w:rsidP="00BB1CCC">
      <w:pPr>
        <w:spacing w:before="144" w:after="96" w:line="360" w:lineRule="auto"/>
        <w:jc w:val="both"/>
        <w:rPr>
          <w:rFonts w:ascii="Arial" w:eastAsia="Arial" w:hAnsi="Arial" w:cs="Arial"/>
          <w:color w:val="222222"/>
        </w:rPr>
      </w:pPr>
      <w:r w:rsidRPr="00BB1CCC">
        <w:rPr>
          <w:rFonts w:ascii="Arial" w:eastAsia="Arial" w:hAnsi="Arial" w:cs="Arial"/>
          <w:color w:val="222222"/>
        </w:rPr>
        <w:t xml:space="preserve">Holden, O.L., Norris, M.E. and Kuhlmeier, V.A., 2021, July. Academic integrity in online assessment: A research review. In </w:t>
      </w:r>
      <w:r w:rsidRPr="00BB1CCC">
        <w:rPr>
          <w:rFonts w:ascii="Arial" w:eastAsia="Arial" w:hAnsi="Arial" w:cs="Arial"/>
          <w:i/>
          <w:iCs/>
          <w:color w:val="222222"/>
        </w:rPr>
        <w:t xml:space="preserve">Frontiers in </w:t>
      </w:r>
      <w:r w:rsidR="088F364F" w:rsidRPr="00BB1CCC">
        <w:rPr>
          <w:rFonts w:ascii="Arial" w:eastAsia="Arial" w:hAnsi="Arial" w:cs="Arial"/>
          <w:color w:val="222222"/>
        </w:rPr>
        <w:t>Education</w:t>
      </w:r>
      <w:r w:rsidRPr="00BB1CCC">
        <w:rPr>
          <w:rFonts w:ascii="Arial" w:eastAsia="Arial" w:hAnsi="Arial" w:cs="Arial"/>
          <w:color w:val="222222"/>
        </w:rPr>
        <w:t xml:space="preserve"> (Vol. 6, p. 639814). Frontiers Media SA. </w:t>
      </w:r>
      <w:hyperlink r:id="rId17">
        <w:r w:rsidRPr="00BB1CCC">
          <w:rPr>
            <w:rStyle w:val="Hyperlink"/>
            <w:rFonts w:ascii="Arial" w:eastAsia="Arial" w:hAnsi="Arial" w:cs="Arial"/>
            <w:color w:val="1155CC"/>
          </w:rPr>
          <w:t>https://doi.org/10.3389/feduc.2021.639814</w:t>
        </w:r>
      </w:hyperlink>
      <w:r w:rsidRPr="00BB1CCC">
        <w:rPr>
          <w:rFonts w:ascii="Arial" w:eastAsia="Arial" w:hAnsi="Arial" w:cs="Arial"/>
          <w:color w:val="222222"/>
        </w:rPr>
        <w:t>.</w:t>
      </w:r>
    </w:p>
    <w:p w14:paraId="3EC8FB3B" w14:textId="2594B04C" w:rsidR="00FF1D3D" w:rsidRPr="00BB1CCC" w:rsidRDefault="014C6D87" w:rsidP="00BB1CCC">
      <w:pPr>
        <w:pStyle w:val="Heading1"/>
        <w:spacing w:before="144" w:after="96" w:line="360" w:lineRule="auto"/>
        <w:jc w:val="both"/>
        <w:rPr>
          <w:rFonts w:ascii="Arial" w:eastAsia="Arial" w:hAnsi="Arial" w:cs="Arial"/>
          <w:sz w:val="24"/>
          <w:szCs w:val="24"/>
        </w:rPr>
      </w:pPr>
      <w:r w:rsidRPr="00BB1CCC">
        <w:rPr>
          <w:rFonts w:ascii="Arial" w:eastAsia="Arial" w:hAnsi="Arial" w:cs="Arial"/>
          <w:sz w:val="24"/>
          <w:szCs w:val="24"/>
        </w:rPr>
        <w:t>Component 3 – Academic Poster</w:t>
      </w:r>
    </w:p>
    <w:p w14:paraId="66A3BF62" w14:textId="65DC62BB" w:rsidR="6C1A2854" w:rsidRPr="00BB1CCC" w:rsidRDefault="6C1A2854" w:rsidP="00BB1CCC">
      <w:pPr>
        <w:spacing w:line="360" w:lineRule="auto"/>
        <w:jc w:val="both"/>
        <w:rPr>
          <w:rFonts w:ascii="Arial" w:hAnsi="Arial" w:cs="Arial"/>
        </w:rPr>
      </w:pPr>
    </w:p>
    <w:p w14:paraId="653D2528" w14:textId="00587349" w:rsidR="6D471FE0" w:rsidRPr="00BB1CCC" w:rsidRDefault="6D471FE0" w:rsidP="00BB1CCC">
      <w:pPr>
        <w:spacing w:line="360" w:lineRule="auto"/>
        <w:jc w:val="both"/>
        <w:rPr>
          <w:rFonts w:ascii="Arial" w:hAnsi="Arial" w:cs="Arial"/>
        </w:rPr>
      </w:pPr>
      <w:r w:rsidRPr="00BB1CCC">
        <w:rPr>
          <w:rFonts w:ascii="Arial" w:hAnsi="Arial" w:cs="Arial"/>
          <w:noProof/>
        </w:rPr>
        <w:lastRenderedPageBreak/>
        <w:drawing>
          <wp:inline distT="0" distB="0" distL="0" distR="0" wp14:anchorId="12975AC2" wp14:editId="28F6E901">
            <wp:extent cx="4590958" cy="6496050"/>
            <wp:effectExtent l="0" t="0" r="0" b="0"/>
            <wp:docPr id="50634868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348688" name="Picture 506348688"/>
                    <pic:cNvPicPr/>
                  </pic:nvPicPr>
                  <pic:blipFill>
                    <a:blip r:embed="rId18">
                      <a:extLst>
                        <a:ext uri="{28A0092B-C50C-407E-A947-70E740481C1C}">
                          <a14:useLocalDpi xmlns:a14="http://schemas.microsoft.com/office/drawing/2010/main"/>
                        </a:ext>
                      </a:extLst>
                    </a:blip>
                    <a:stretch>
                      <a:fillRect/>
                    </a:stretch>
                  </pic:blipFill>
                  <pic:spPr>
                    <a:xfrm>
                      <a:off x="0" y="0"/>
                      <a:ext cx="4590958" cy="6496050"/>
                    </a:xfrm>
                    <a:prstGeom prst="rect">
                      <a:avLst/>
                    </a:prstGeom>
                  </pic:spPr>
                </pic:pic>
              </a:graphicData>
            </a:graphic>
          </wp:inline>
        </w:drawing>
      </w:r>
    </w:p>
    <w:p w14:paraId="2C078E63" w14:textId="0A6B9AC4" w:rsidR="00FF1D3D" w:rsidRDefault="00FF1D3D"/>
    <w:sectPr w:rsidR="00FF1D3D">
      <w:pgSz w:w="12240" w:h="15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Ffion Cumberpatch" w:date="2026-02-23T16:46:00Z" w:initials="FC">
    <w:p w14:paraId="6E85A24B" w14:textId="77777777" w:rsidR="003B5192" w:rsidRDefault="003B5192" w:rsidP="003B5192">
      <w:pPr>
        <w:pStyle w:val="CommentText"/>
      </w:pPr>
      <w:r>
        <w:rPr>
          <w:rStyle w:val="CommentReference"/>
        </w:rPr>
        <w:annotationRef/>
      </w:r>
      <w:r>
        <w:rPr>
          <w:lang w:val="en-GB"/>
        </w:rPr>
        <w:t>Remember to fill this in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6E85A24B"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77989687" w16cex:dateUtc="2026-02-23T16:4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6E85A24B" w16cid:durableId="7798968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DB3E6A" w14:textId="77777777" w:rsidR="00FC7401" w:rsidRDefault="00FC7401" w:rsidP="003B5192">
      <w:pPr>
        <w:spacing w:after="0" w:line="240" w:lineRule="auto"/>
      </w:pPr>
      <w:r>
        <w:separator/>
      </w:r>
    </w:p>
  </w:endnote>
  <w:endnote w:type="continuationSeparator" w:id="0">
    <w:p w14:paraId="3473CF03" w14:textId="77777777" w:rsidR="00FC7401" w:rsidRDefault="00FC7401" w:rsidP="003B51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FF3AAE" w14:textId="77777777" w:rsidR="00FC7401" w:rsidRDefault="00FC7401" w:rsidP="003B5192">
      <w:pPr>
        <w:spacing w:after="0" w:line="240" w:lineRule="auto"/>
      </w:pPr>
      <w:r>
        <w:separator/>
      </w:r>
    </w:p>
  </w:footnote>
  <w:footnote w:type="continuationSeparator" w:id="0">
    <w:p w14:paraId="11CB7C17" w14:textId="77777777" w:rsidR="00FC7401" w:rsidRDefault="00FC7401" w:rsidP="003B5192">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H/HTAN0SZLkd3" int2:id="uQgU7k5i">
      <int2:state int2:value="Rejected" int2:type="spell"/>
    </int2:textHash>
    <int2:textHash int2:hashCode="wavFxQsK5RBHjQ" int2:id="RTAdKfUx">
      <int2:state int2:value="Rejected" int2:type="spell"/>
    </int2:textHash>
    <int2:textHash int2:hashCode="GhDNAuM8w/I+kD" int2:id="HIWtusbs">
      <int2:state int2:value="Rejected" int2:type="spell"/>
    </int2:textHash>
    <int2:textHash int2:hashCode="z4sKLKF6MZ4yZL" int2:id="BPBEEoZz">
      <int2:state int2:value="Rejected" int2:type="spell"/>
    </int2:textHash>
    <int2:textHash int2:hashCode="Mllmi3hKI2u/18" int2:id="KzMAsg79">
      <int2:state int2:value="Rejected" int2:type="spell"/>
    </int2:textHash>
    <int2:textHash int2:hashCode="+2vbNfwcIaJrwl" int2:id="9mdzfwnf">
      <int2:state int2:value="Rejected" int2:type="spell"/>
    </int2:textHash>
    <int2:textHash int2:hashCode="5MjE8QbU2Vwqca" int2:id="BdzaikIg">
      <int2:state int2:value="Rejected" int2:type="spell"/>
    </int2:textHash>
    <int2:textHash int2:hashCode="K5eS3Op295Uru9" int2:id="c0gJbXm2">
      <int2:state int2:value="Rejected" int2:type="spell"/>
    </int2:textHash>
    <int2:textHash int2:hashCode="CAv9W5PM68oMxD" int2:id="Ra4C7Lzy">
      <int2:state int2:value="Rejected" int2:type="spell"/>
    </int2:textHash>
    <int2:textHash int2:hashCode="pwB9fP06SLMERU" int2:id="SZ66PhMy">
      <int2:state int2:value="Rejected" int2:type="spell"/>
    </int2:textHash>
    <int2:textHash int2:hashCode="dQXqG2YD0zDsVn" int2:id="1OW86A2a">
      <int2:state int2:value="Rejected" int2:type="spell"/>
    </int2:textHash>
    <int2:bookmark int2:bookmarkName="_Int_zn6PPU9X" int2:invalidationBookmarkName="" int2:hashCode="2oCDrfedNebl7j" int2:id="g90t19l1">
      <int2:state int2:value="Rejected" int2:type="style"/>
    </int2:bookmark>
  </int2:observations>
  <int2:intelligenceSettings/>
  <int2:onDemandWorkflows/>
</int2:intelligence>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Ffion Cumberpatch">
    <w15:presenceInfo w15:providerId="AD" w15:userId="S::f.cumberpatch@uwtsd.ac.uk::26be0fef-c072-4e25-9d83-9a24e4f46a7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A7D6733"/>
    <w:rsid w:val="00114ACB"/>
    <w:rsid w:val="001954AB"/>
    <w:rsid w:val="001F34A8"/>
    <w:rsid w:val="00254334"/>
    <w:rsid w:val="003715A7"/>
    <w:rsid w:val="003874C3"/>
    <w:rsid w:val="003B5192"/>
    <w:rsid w:val="004B463B"/>
    <w:rsid w:val="004B7341"/>
    <w:rsid w:val="0052413D"/>
    <w:rsid w:val="00596E57"/>
    <w:rsid w:val="00694FCA"/>
    <w:rsid w:val="006E2B6F"/>
    <w:rsid w:val="00740F33"/>
    <w:rsid w:val="0078030E"/>
    <w:rsid w:val="007C7E0D"/>
    <w:rsid w:val="007F6C46"/>
    <w:rsid w:val="00807F8D"/>
    <w:rsid w:val="00811CAD"/>
    <w:rsid w:val="00825D13"/>
    <w:rsid w:val="00862FEA"/>
    <w:rsid w:val="00973905"/>
    <w:rsid w:val="00A70C81"/>
    <w:rsid w:val="00BB1CCC"/>
    <w:rsid w:val="00BE3790"/>
    <w:rsid w:val="00C6717B"/>
    <w:rsid w:val="00CB163A"/>
    <w:rsid w:val="00D16905"/>
    <w:rsid w:val="00EC7B9C"/>
    <w:rsid w:val="00F02394"/>
    <w:rsid w:val="00F32EE5"/>
    <w:rsid w:val="00FC7401"/>
    <w:rsid w:val="00FF1D3D"/>
    <w:rsid w:val="014C6D87"/>
    <w:rsid w:val="04890A58"/>
    <w:rsid w:val="04CB57D1"/>
    <w:rsid w:val="056007EB"/>
    <w:rsid w:val="088F364F"/>
    <w:rsid w:val="0A7D6733"/>
    <w:rsid w:val="0EF6090F"/>
    <w:rsid w:val="0F710C87"/>
    <w:rsid w:val="149481AF"/>
    <w:rsid w:val="164D176B"/>
    <w:rsid w:val="16D7E0AE"/>
    <w:rsid w:val="1837CE7B"/>
    <w:rsid w:val="1CBB8D65"/>
    <w:rsid w:val="1D8A9F17"/>
    <w:rsid w:val="1E59B8FB"/>
    <w:rsid w:val="1F166C63"/>
    <w:rsid w:val="20582221"/>
    <w:rsid w:val="2339E093"/>
    <w:rsid w:val="23534616"/>
    <w:rsid w:val="25DEC35E"/>
    <w:rsid w:val="2B85DEED"/>
    <w:rsid w:val="2D801AE6"/>
    <w:rsid w:val="32CC22A1"/>
    <w:rsid w:val="32E0D035"/>
    <w:rsid w:val="3341C8B7"/>
    <w:rsid w:val="357D2608"/>
    <w:rsid w:val="37D86457"/>
    <w:rsid w:val="39287E9F"/>
    <w:rsid w:val="3BD9F7BE"/>
    <w:rsid w:val="3D25697E"/>
    <w:rsid w:val="3E207C5D"/>
    <w:rsid w:val="41A150E1"/>
    <w:rsid w:val="43235328"/>
    <w:rsid w:val="45E5A7D1"/>
    <w:rsid w:val="46F4F656"/>
    <w:rsid w:val="479413A3"/>
    <w:rsid w:val="48AA1DC0"/>
    <w:rsid w:val="499163E6"/>
    <w:rsid w:val="4EDF6D87"/>
    <w:rsid w:val="530E42A1"/>
    <w:rsid w:val="5361DD78"/>
    <w:rsid w:val="541EAD08"/>
    <w:rsid w:val="543ED2E5"/>
    <w:rsid w:val="56114A5E"/>
    <w:rsid w:val="56500437"/>
    <w:rsid w:val="5878700B"/>
    <w:rsid w:val="58CBA724"/>
    <w:rsid w:val="597DE473"/>
    <w:rsid w:val="59A46FFC"/>
    <w:rsid w:val="59EE7C77"/>
    <w:rsid w:val="5DFA7D21"/>
    <w:rsid w:val="603A94AF"/>
    <w:rsid w:val="62423EEC"/>
    <w:rsid w:val="63106556"/>
    <w:rsid w:val="641D0E5C"/>
    <w:rsid w:val="663F68C9"/>
    <w:rsid w:val="6740B05F"/>
    <w:rsid w:val="6804CBAA"/>
    <w:rsid w:val="681C166E"/>
    <w:rsid w:val="6A5E9D05"/>
    <w:rsid w:val="6C1A2854"/>
    <w:rsid w:val="6C349AA6"/>
    <w:rsid w:val="6D471FE0"/>
    <w:rsid w:val="70309B6C"/>
    <w:rsid w:val="7486F5B7"/>
    <w:rsid w:val="75A64770"/>
    <w:rsid w:val="7A29626E"/>
    <w:rsid w:val="7B421CCF"/>
    <w:rsid w:val="7B71E0FF"/>
    <w:rsid w:val="7C0DA4F9"/>
    <w:rsid w:val="7CCD6D86"/>
    <w:rsid w:val="7E64D668"/>
    <w:rsid w:val="7FCAEF12"/>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7D6733"/>
  <w15:chartTrackingRefBased/>
  <w15:docId w15:val="{ED4C823E-3453-4841-95B1-623DE38F5C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641D0E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641D0E5C"/>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CommentReference">
    <w:name w:val="annotation reference"/>
    <w:basedOn w:val="DefaultParagraphFont"/>
    <w:uiPriority w:val="99"/>
    <w:semiHidden/>
    <w:unhideWhenUsed/>
    <w:rsid w:val="003B5192"/>
    <w:rPr>
      <w:sz w:val="16"/>
      <w:szCs w:val="16"/>
    </w:rPr>
  </w:style>
  <w:style w:type="paragraph" w:styleId="CommentText">
    <w:name w:val="annotation text"/>
    <w:basedOn w:val="Normal"/>
    <w:link w:val="CommentTextChar"/>
    <w:uiPriority w:val="99"/>
    <w:unhideWhenUsed/>
    <w:rsid w:val="003B5192"/>
    <w:pPr>
      <w:spacing w:line="240" w:lineRule="auto"/>
    </w:pPr>
    <w:rPr>
      <w:sz w:val="20"/>
      <w:szCs w:val="20"/>
    </w:rPr>
  </w:style>
  <w:style w:type="character" w:customStyle="1" w:styleId="CommentTextChar">
    <w:name w:val="Comment Text Char"/>
    <w:basedOn w:val="DefaultParagraphFont"/>
    <w:link w:val="CommentText"/>
    <w:uiPriority w:val="99"/>
    <w:rsid w:val="003B5192"/>
    <w:rPr>
      <w:sz w:val="20"/>
      <w:szCs w:val="20"/>
    </w:rPr>
  </w:style>
  <w:style w:type="paragraph" w:styleId="CommentSubject">
    <w:name w:val="annotation subject"/>
    <w:basedOn w:val="CommentText"/>
    <w:next w:val="CommentText"/>
    <w:link w:val="CommentSubjectChar"/>
    <w:uiPriority w:val="99"/>
    <w:semiHidden/>
    <w:unhideWhenUsed/>
    <w:rsid w:val="003B5192"/>
    <w:rPr>
      <w:b/>
      <w:bCs/>
    </w:rPr>
  </w:style>
  <w:style w:type="character" w:customStyle="1" w:styleId="CommentSubjectChar">
    <w:name w:val="Comment Subject Char"/>
    <w:basedOn w:val="CommentTextChar"/>
    <w:link w:val="CommentSubject"/>
    <w:uiPriority w:val="99"/>
    <w:semiHidden/>
    <w:rsid w:val="003B5192"/>
    <w:rPr>
      <w:b/>
      <w:bCs/>
      <w:sz w:val="20"/>
      <w:szCs w:val="20"/>
    </w:rPr>
  </w:style>
  <w:style w:type="paragraph" w:styleId="Header">
    <w:name w:val="header"/>
    <w:basedOn w:val="Normal"/>
    <w:link w:val="HeaderChar"/>
    <w:uiPriority w:val="99"/>
    <w:unhideWhenUsed/>
    <w:rsid w:val="003B51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5192"/>
  </w:style>
  <w:style w:type="paragraph" w:styleId="Footer">
    <w:name w:val="footer"/>
    <w:basedOn w:val="Normal"/>
    <w:link w:val="FooterChar"/>
    <w:uiPriority w:val="99"/>
    <w:unhideWhenUsed/>
    <w:rsid w:val="003B51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51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13" Type="http://schemas.openxmlformats.org/officeDocument/2006/relationships/hyperlink" Target="https://doi.org/10.1109/ACCESS.2021.3085844" TargetMode="External"/><Relationship Id="rId18" Type="http://schemas.openxmlformats.org/officeDocument/2006/relationships/image" Target="media/image1.png"/><Relationship Id="rId3" Type="http://schemas.openxmlformats.org/officeDocument/2006/relationships/webSettings" Target="webSettings.xml"/><Relationship Id="rId21" Type="http://schemas.openxmlformats.org/officeDocument/2006/relationships/theme" Target="theme/theme1.xml"/><Relationship Id="rId7" Type="http://schemas.microsoft.com/office/2011/relationships/commentsExtended" Target="commentsExtended.xml"/><Relationship Id="rId12" Type="http://schemas.openxmlformats.org/officeDocument/2006/relationships/hyperlink" Target="https://doi.org/10.3390/su152115656" TargetMode="External"/><Relationship Id="rId17" Type="http://schemas.openxmlformats.org/officeDocument/2006/relationships/hyperlink" Target="https://doi.org/10.3389/feduc.2021.639814" TargetMode="External"/><Relationship Id="rId2" Type="http://schemas.openxmlformats.org/officeDocument/2006/relationships/settings" Target="settings.xml"/><Relationship Id="rId16" Type="http://schemas.openxmlformats.org/officeDocument/2006/relationships/hyperlink" Target="https://doi.org/10.3390/s21165496" TargetMode="External"/><Relationship Id="rId20" Type="http://schemas.microsoft.com/office/2011/relationships/people" Target="people.xml"/><Relationship Id="rId1" Type="http://schemas.openxmlformats.org/officeDocument/2006/relationships/styles" Target="styles.xml"/><Relationship Id="rId6" Type="http://schemas.openxmlformats.org/officeDocument/2006/relationships/comments" Target="comments.xml"/><Relationship Id="rId11" Type="http://schemas.openxmlformats.org/officeDocument/2006/relationships/hyperlink" Target="https://doi.org/10.1186/s41239-021-00312-8" TargetMode="External"/><Relationship Id="rId5" Type="http://schemas.openxmlformats.org/officeDocument/2006/relationships/endnotes" Target="endnotes.xml"/><Relationship Id="rId15" Type="http://schemas.openxmlformats.org/officeDocument/2006/relationships/hyperlink" Target="https://doi.org/10.3389/fpsyg.2021.778581" TargetMode="External"/><Relationship Id="rId10" Type="http://schemas.openxmlformats.org/officeDocument/2006/relationships/hyperlink" Target="https://doi.org/10.3390/su142113983" TargetMode="External"/><Relationship Id="rId19" Type="http://schemas.openxmlformats.org/officeDocument/2006/relationships/fontTable" Target="fontTable.xml"/><Relationship Id="rId4" Type="http://schemas.openxmlformats.org/officeDocument/2006/relationships/footnotes" Target="footnotes.xml"/><Relationship Id="rId9" Type="http://schemas.microsoft.com/office/2018/08/relationships/commentsExtensible" Target="commentsExtensible.xml"/><Relationship Id="rId14" Type="http://schemas.openxmlformats.org/officeDocument/2006/relationships/hyperlink" Target="https://doi.org/10.1007/s10648-021-09643-4" TargetMode="Externa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1</Pages>
  <Words>2313</Words>
  <Characters>13185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viktoria kalinacova</dc:creator>
  <cp:keywords/>
  <dc:description/>
  <cp:lastModifiedBy>viktoria kalinacova</cp:lastModifiedBy>
  <cp:revision>15</cp:revision>
  <dcterms:created xsi:type="dcterms:W3CDTF">2026-02-25T18:39:00Z</dcterms:created>
  <dcterms:modified xsi:type="dcterms:W3CDTF">2026-02-27T22:56:00Z</dcterms:modified>
</cp:coreProperties>
</file>