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3958836"/>
        <w:docPartObj>
          <w:docPartGallery w:val="Cover Pages"/>
          <w:docPartUnique/>
        </w:docPartObj>
      </w:sdtPr>
      <w:sdtEndPr/>
      <w:sdtContent>
        <w:p w14:paraId="194CA053" w14:textId="05203842" w:rsidR="00CB0315" w:rsidRDefault="00CB0315">
          <w:r>
            <w:rPr>
              <w:noProof/>
            </w:rPr>
            <mc:AlternateContent>
              <mc:Choice Requires="wpg">
                <w:drawing>
                  <wp:anchor distT="0" distB="0" distL="114300" distR="114300" simplePos="0" relativeHeight="251659264" behindDoc="0" locked="0" layoutInCell="1" allowOverlap="1" wp14:anchorId="2BAF3D69" wp14:editId="71EA175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4D363C2" w14:textId="4A19C711" w:rsidR="00CB0315" w:rsidRDefault="00CB0315">
                                      <w:pPr>
                                        <w:pStyle w:val="NoSpacing"/>
                                        <w:spacing w:after="240" w:line="264" w:lineRule="auto"/>
                                        <w:rPr>
                                          <w:rFonts w:asciiTheme="majorHAnsi" w:hAnsiTheme="majorHAnsi"/>
                                          <w:color w:val="E7E6E6" w:themeColor="background2"/>
                                          <w:sz w:val="78"/>
                                          <w:szCs w:val="78"/>
                                        </w:rPr>
                                      </w:pPr>
                                      <w:r w:rsidRPr="00CB0315">
                                        <w:rPr>
                                          <w:rFonts w:asciiTheme="majorHAnsi" w:hAnsiTheme="majorHAnsi"/>
                                          <w:color w:val="E7E6E6" w:themeColor="background2"/>
                                          <w:sz w:val="78"/>
                                          <w:szCs w:val="78"/>
                                        </w:rPr>
                                        <w:t>LCBB4002</w:t>
                                      </w:r>
                                      <w:r>
                                        <w:rPr>
                                          <w:rFonts w:asciiTheme="majorHAnsi" w:hAnsiTheme="majorHAnsi"/>
                                          <w:color w:val="E7E6E6" w:themeColor="background2"/>
                                          <w:sz w:val="78"/>
                                          <w:szCs w:val="78"/>
                                        </w:rPr>
                                        <w:t xml:space="preserve"> Community Engagement A</w:t>
                                      </w:r>
                                      <w:r w:rsidR="00E92F19">
                                        <w:rPr>
                                          <w:rFonts w:asciiTheme="majorHAnsi" w:hAnsiTheme="majorHAnsi"/>
                                          <w:color w:val="E7E6E6" w:themeColor="background2"/>
                                          <w:sz w:val="78"/>
                                          <w:szCs w:val="78"/>
                                        </w:rPr>
                                        <w:t>1</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CA6DCA5" w14:textId="62DC3BAC" w:rsidR="00CB0315" w:rsidRDefault="00CB0315">
                                      <w:pPr>
                                        <w:pStyle w:val="NoSpacing"/>
                                        <w:spacing w:line="264" w:lineRule="auto"/>
                                        <w:rPr>
                                          <w:color w:val="E7E6E6" w:themeColor="background2"/>
                                          <w:spacing w:val="20"/>
                                          <w:sz w:val="40"/>
                                          <w:szCs w:val="40"/>
                                        </w:rPr>
                                      </w:pPr>
                                      <w:r>
                                        <w:rPr>
                                          <w:color w:val="E7E6E6" w:themeColor="background2"/>
                                          <w:spacing w:val="20"/>
                                          <w:sz w:val="40"/>
                                          <w:szCs w:val="40"/>
                                        </w:rPr>
                                        <w:t>Module Leader: Dr Molly Jack</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2A40434" w14:textId="06FA839A" w:rsidR="00CB0315" w:rsidRDefault="003E056F">
                                      <w:pPr>
                                        <w:pStyle w:val="NoSpacing"/>
                                        <w:spacing w:after="180"/>
                                        <w:rPr>
                                          <w:color w:val="E7E6E6" w:themeColor="background2"/>
                                          <w:spacing w:val="20"/>
                                          <w:sz w:val="36"/>
                                          <w:szCs w:val="36"/>
                                        </w:rPr>
                                      </w:pPr>
                                      <w:r>
                                        <w:rPr>
                                          <w:color w:val="E7E6E6" w:themeColor="background2"/>
                                          <w:spacing w:val="20"/>
                                          <w:sz w:val="36"/>
                                          <w:szCs w:val="36"/>
                                        </w:rPr>
                                        <w:t xml:space="preserve">Student Name: </w:t>
                                      </w:r>
                                      <w:r w:rsidRPr="002A795B">
                                        <w:rPr>
                                          <w:color w:val="E7E6E6" w:themeColor="background2"/>
                                          <w:spacing w:val="20"/>
                                          <w:sz w:val="36"/>
                                          <w:szCs w:val="36"/>
                                        </w:rPr>
                                        <w:t>Nikolinka Nedelcheva</w:t>
                                      </w:r>
                                    </w:p>
                                  </w:sdtContent>
                                </w:sdt>
                                <w:p w14:paraId="09421224" w14:textId="648036AE" w:rsidR="00CB0315" w:rsidRDefault="00EA4B85">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CB0315">
                                        <w:rPr>
                                          <w:color w:val="E7E6E6" w:themeColor="background2"/>
                                          <w:spacing w:val="20"/>
                                          <w:sz w:val="36"/>
                                          <w:szCs w:val="36"/>
                                        </w:rPr>
                                        <w:t>Student ID:</w:t>
                                      </w:r>
                                    </w:sdtContent>
                                  </w:sdt>
                                  <w:r w:rsidR="003E056F">
                                    <w:rPr>
                                      <w:color w:val="E7E6E6" w:themeColor="background2"/>
                                      <w:spacing w:val="20"/>
                                      <w:sz w:val="36"/>
                                      <w:szCs w:val="36"/>
                                    </w:rPr>
                                    <w:t xml:space="preserve"> 2115610</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BAF3D69"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4D363C2" w14:textId="4A19C711" w:rsidR="00CB0315" w:rsidRDefault="00CB0315">
                                <w:pPr>
                                  <w:pStyle w:val="NoSpacing"/>
                                  <w:spacing w:after="240" w:line="264" w:lineRule="auto"/>
                                  <w:rPr>
                                    <w:rFonts w:asciiTheme="majorHAnsi" w:hAnsiTheme="majorHAnsi"/>
                                    <w:color w:val="E7E6E6" w:themeColor="background2"/>
                                    <w:sz w:val="78"/>
                                    <w:szCs w:val="78"/>
                                  </w:rPr>
                                </w:pPr>
                                <w:r w:rsidRPr="00CB0315">
                                  <w:rPr>
                                    <w:rFonts w:asciiTheme="majorHAnsi" w:hAnsiTheme="majorHAnsi"/>
                                    <w:color w:val="E7E6E6" w:themeColor="background2"/>
                                    <w:sz w:val="78"/>
                                    <w:szCs w:val="78"/>
                                  </w:rPr>
                                  <w:t>LCBB4002</w:t>
                                </w:r>
                                <w:r>
                                  <w:rPr>
                                    <w:rFonts w:asciiTheme="majorHAnsi" w:hAnsiTheme="majorHAnsi"/>
                                    <w:color w:val="E7E6E6" w:themeColor="background2"/>
                                    <w:sz w:val="78"/>
                                    <w:szCs w:val="78"/>
                                  </w:rPr>
                                  <w:t xml:space="preserve"> Community Engagement A</w:t>
                                </w:r>
                                <w:r w:rsidR="00E92F19">
                                  <w:rPr>
                                    <w:rFonts w:asciiTheme="majorHAnsi" w:hAnsiTheme="majorHAnsi"/>
                                    <w:color w:val="E7E6E6" w:themeColor="background2"/>
                                    <w:sz w:val="78"/>
                                    <w:szCs w:val="78"/>
                                  </w:rPr>
                                  <w:t>1</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CA6DCA5" w14:textId="62DC3BAC" w:rsidR="00CB0315" w:rsidRDefault="00CB0315">
                                <w:pPr>
                                  <w:pStyle w:val="NoSpacing"/>
                                  <w:spacing w:line="264" w:lineRule="auto"/>
                                  <w:rPr>
                                    <w:color w:val="E7E6E6" w:themeColor="background2"/>
                                    <w:spacing w:val="20"/>
                                    <w:sz w:val="40"/>
                                    <w:szCs w:val="40"/>
                                  </w:rPr>
                                </w:pPr>
                                <w:r>
                                  <w:rPr>
                                    <w:color w:val="E7E6E6" w:themeColor="background2"/>
                                    <w:spacing w:val="20"/>
                                    <w:sz w:val="40"/>
                                    <w:szCs w:val="40"/>
                                  </w:rPr>
                                  <w:t>Module Leader: Dr Molly Jack</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2A40434" w14:textId="06FA839A" w:rsidR="00CB0315" w:rsidRDefault="003E056F">
                                <w:pPr>
                                  <w:pStyle w:val="NoSpacing"/>
                                  <w:spacing w:after="180"/>
                                  <w:rPr>
                                    <w:color w:val="E7E6E6" w:themeColor="background2"/>
                                    <w:spacing w:val="20"/>
                                    <w:sz w:val="36"/>
                                    <w:szCs w:val="36"/>
                                  </w:rPr>
                                </w:pPr>
                                <w:r>
                                  <w:rPr>
                                    <w:color w:val="E7E6E6" w:themeColor="background2"/>
                                    <w:spacing w:val="20"/>
                                    <w:sz w:val="36"/>
                                    <w:szCs w:val="36"/>
                                  </w:rPr>
                                  <w:t xml:space="preserve">Student Name: </w:t>
                                </w:r>
                                <w:r w:rsidRPr="002A795B">
                                  <w:rPr>
                                    <w:color w:val="E7E6E6" w:themeColor="background2"/>
                                    <w:spacing w:val="20"/>
                                    <w:sz w:val="36"/>
                                    <w:szCs w:val="36"/>
                                  </w:rPr>
                                  <w:t>Nikolinka Nedelcheva</w:t>
                                </w:r>
                              </w:p>
                            </w:sdtContent>
                          </w:sdt>
                          <w:p w14:paraId="09421224" w14:textId="648036AE" w:rsidR="00CB0315" w:rsidRDefault="00EA4B85">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CB0315">
                                  <w:rPr>
                                    <w:color w:val="E7E6E6" w:themeColor="background2"/>
                                    <w:spacing w:val="20"/>
                                    <w:sz w:val="36"/>
                                    <w:szCs w:val="36"/>
                                  </w:rPr>
                                  <w:t>Student ID:</w:t>
                                </w:r>
                              </w:sdtContent>
                            </w:sdt>
                            <w:r w:rsidR="003E056F">
                              <w:rPr>
                                <w:color w:val="E7E6E6" w:themeColor="background2"/>
                                <w:spacing w:val="20"/>
                                <w:sz w:val="36"/>
                                <w:szCs w:val="36"/>
                              </w:rPr>
                              <w:t xml:space="preserve"> 2115610</w:t>
                            </w:r>
                          </w:p>
                        </w:txbxContent>
                      </v:textbox>
                    </v:shape>
                    <w10:wrap anchorx="page" anchory="page"/>
                  </v:group>
                </w:pict>
              </mc:Fallback>
            </mc:AlternateContent>
          </w:r>
        </w:p>
        <w:p w14:paraId="6C78C303" w14:textId="60A92E5B" w:rsidR="00CB0315" w:rsidRDefault="00CB0315">
          <w:pPr>
            <w:spacing w:after="0" w:line="240" w:lineRule="auto"/>
          </w:pPr>
          <w:r>
            <w:br w:type="page"/>
          </w:r>
        </w:p>
      </w:sdtContent>
    </w:sdt>
    <w:sdt>
      <w:sdtPr>
        <w:rPr>
          <w:rFonts w:ascii="Arial" w:eastAsiaTheme="minorHAnsi" w:hAnsi="Arial" w:cstheme="minorBidi"/>
          <w:b w:val="0"/>
          <w:bCs w:val="0"/>
          <w:color w:val="auto"/>
          <w:sz w:val="32"/>
          <w:szCs w:val="32"/>
          <w:lang w:val="en-GB"/>
        </w:rPr>
        <w:id w:val="1702112"/>
        <w:docPartObj>
          <w:docPartGallery w:val="Table of Contents"/>
          <w:docPartUnique/>
        </w:docPartObj>
      </w:sdtPr>
      <w:sdtEndPr>
        <w:rPr>
          <w:noProof/>
          <w:sz w:val="28"/>
          <w:szCs w:val="24"/>
        </w:rPr>
      </w:sdtEndPr>
      <w:sdtContent>
        <w:p w14:paraId="2F8649E4" w14:textId="0E5C2538" w:rsidR="00FF28E3" w:rsidRPr="00FF28E3" w:rsidRDefault="00FF28E3">
          <w:pPr>
            <w:pStyle w:val="TOCHeading"/>
            <w:rPr>
              <w:b w:val="0"/>
              <w:bCs w:val="0"/>
              <w:sz w:val="32"/>
              <w:szCs w:val="32"/>
            </w:rPr>
          </w:pPr>
          <w:r w:rsidRPr="00FF28E3">
            <w:rPr>
              <w:b w:val="0"/>
              <w:bCs w:val="0"/>
              <w:sz w:val="32"/>
              <w:szCs w:val="32"/>
            </w:rPr>
            <w:t>Table of Contents</w:t>
          </w:r>
        </w:p>
        <w:p w14:paraId="24620E73" w14:textId="3657E95E" w:rsidR="00FF28E3" w:rsidRPr="00FF28E3" w:rsidRDefault="00FF28E3">
          <w:pPr>
            <w:pStyle w:val="TOC1"/>
            <w:tabs>
              <w:tab w:val="right" w:leader="dot" w:pos="9016"/>
            </w:tabs>
            <w:rPr>
              <w:b w:val="0"/>
              <w:bCs w:val="0"/>
              <w:i w:val="0"/>
              <w:iCs w:val="0"/>
              <w:noProof/>
              <w:sz w:val="28"/>
              <w:szCs w:val="28"/>
            </w:rPr>
          </w:pPr>
          <w:r w:rsidRPr="00FF28E3">
            <w:rPr>
              <w:b w:val="0"/>
              <w:bCs w:val="0"/>
              <w:i w:val="0"/>
              <w:iCs w:val="0"/>
              <w:sz w:val="28"/>
              <w:szCs w:val="28"/>
            </w:rPr>
            <w:fldChar w:fldCharType="begin"/>
          </w:r>
          <w:r w:rsidRPr="00FF28E3">
            <w:rPr>
              <w:b w:val="0"/>
              <w:bCs w:val="0"/>
              <w:i w:val="0"/>
              <w:iCs w:val="0"/>
              <w:sz w:val="28"/>
              <w:szCs w:val="28"/>
            </w:rPr>
            <w:instrText xml:space="preserve"> TOC \o "1-3" \h \z \u </w:instrText>
          </w:r>
          <w:r w:rsidRPr="00FF28E3">
            <w:rPr>
              <w:b w:val="0"/>
              <w:bCs w:val="0"/>
              <w:i w:val="0"/>
              <w:iCs w:val="0"/>
              <w:sz w:val="28"/>
              <w:szCs w:val="28"/>
            </w:rPr>
            <w:fldChar w:fldCharType="separate"/>
          </w:r>
          <w:hyperlink w:anchor="_Toc102481445" w:history="1">
            <w:r w:rsidRPr="00FF28E3">
              <w:rPr>
                <w:rStyle w:val="Hyperlink"/>
                <w:b w:val="0"/>
                <w:bCs w:val="0"/>
                <w:i w:val="0"/>
                <w:iCs w:val="0"/>
                <w:noProof/>
                <w:sz w:val="28"/>
                <w:szCs w:val="28"/>
              </w:rPr>
              <w:t>Introduction</w:t>
            </w:r>
            <w:r w:rsidRPr="00FF28E3">
              <w:rPr>
                <w:b w:val="0"/>
                <w:bCs w:val="0"/>
                <w:i w:val="0"/>
                <w:iCs w:val="0"/>
                <w:noProof/>
                <w:webHidden/>
                <w:sz w:val="28"/>
                <w:szCs w:val="28"/>
              </w:rPr>
              <w:tab/>
            </w:r>
            <w:r w:rsidRPr="00FF28E3">
              <w:rPr>
                <w:b w:val="0"/>
                <w:bCs w:val="0"/>
                <w:i w:val="0"/>
                <w:iCs w:val="0"/>
                <w:noProof/>
                <w:webHidden/>
                <w:sz w:val="28"/>
                <w:szCs w:val="28"/>
              </w:rPr>
              <w:fldChar w:fldCharType="begin"/>
            </w:r>
            <w:r w:rsidRPr="00FF28E3">
              <w:rPr>
                <w:b w:val="0"/>
                <w:bCs w:val="0"/>
                <w:i w:val="0"/>
                <w:iCs w:val="0"/>
                <w:noProof/>
                <w:webHidden/>
                <w:sz w:val="28"/>
                <w:szCs w:val="28"/>
              </w:rPr>
              <w:instrText xml:space="preserve"> PAGEREF _Toc102481445 \h </w:instrText>
            </w:r>
            <w:r w:rsidRPr="00FF28E3">
              <w:rPr>
                <w:b w:val="0"/>
                <w:bCs w:val="0"/>
                <w:i w:val="0"/>
                <w:iCs w:val="0"/>
                <w:noProof/>
                <w:webHidden/>
                <w:sz w:val="28"/>
                <w:szCs w:val="28"/>
              </w:rPr>
            </w:r>
            <w:r w:rsidRPr="00FF28E3">
              <w:rPr>
                <w:b w:val="0"/>
                <w:bCs w:val="0"/>
                <w:i w:val="0"/>
                <w:iCs w:val="0"/>
                <w:noProof/>
                <w:webHidden/>
                <w:sz w:val="28"/>
                <w:szCs w:val="28"/>
              </w:rPr>
              <w:fldChar w:fldCharType="separate"/>
            </w:r>
            <w:r w:rsidRPr="00FF28E3">
              <w:rPr>
                <w:b w:val="0"/>
                <w:bCs w:val="0"/>
                <w:i w:val="0"/>
                <w:iCs w:val="0"/>
                <w:noProof/>
                <w:webHidden/>
                <w:sz w:val="28"/>
                <w:szCs w:val="28"/>
              </w:rPr>
              <w:t>2</w:t>
            </w:r>
            <w:r w:rsidRPr="00FF28E3">
              <w:rPr>
                <w:b w:val="0"/>
                <w:bCs w:val="0"/>
                <w:i w:val="0"/>
                <w:iCs w:val="0"/>
                <w:noProof/>
                <w:webHidden/>
                <w:sz w:val="28"/>
                <w:szCs w:val="28"/>
              </w:rPr>
              <w:fldChar w:fldCharType="end"/>
            </w:r>
          </w:hyperlink>
        </w:p>
        <w:p w14:paraId="60D10FF7" w14:textId="37933DA1" w:rsidR="00FF28E3" w:rsidRPr="00FF28E3" w:rsidRDefault="00EA4B85">
          <w:pPr>
            <w:pStyle w:val="TOC1"/>
            <w:tabs>
              <w:tab w:val="right" w:leader="dot" w:pos="9016"/>
            </w:tabs>
            <w:rPr>
              <w:b w:val="0"/>
              <w:bCs w:val="0"/>
              <w:i w:val="0"/>
              <w:iCs w:val="0"/>
              <w:noProof/>
              <w:sz w:val="28"/>
              <w:szCs w:val="28"/>
            </w:rPr>
          </w:pPr>
          <w:hyperlink w:anchor="_Toc102481446" w:history="1">
            <w:r w:rsidR="00FF28E3" w:rsidRPr="00FF28E3">
              <w:rPr>
                <w:rStyle w:val="Hyperlink"/>
                <w:b w:val="0"/>
                <w:bCs w:val="0"/>
                <w:i w:val="0"/>
                <w:iCs w:val="0"/>
                <w:noProof/>
                <w:sz w:val="28"/>
                <w:szCs w:val="28"/>
              </w:rPr>
              <w:t>Overview of Community Engagement</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_Toc102481446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2</w:t>
            </w:r>
            <w:r w:rsidR="00FF28E3" w:rsidRPr="00FF28E3">
              <w:rPr>
                <w:b w:val="0"/>
                <w:bCs w:val="0"/>
                <w:i w:val="0"/>
                <w:iCs w:val="0"/>
                <w:noProof/>
                <w:webHidden/>
                <w:sz w:val="28"/>
                <w:szCs w:val="28"/>
              </w:rPr>
              <w:fldChar w:fldCharType="end"/>
            </w:r>
          </w:hyperlink>
        </w:p>
        <w:p w14:paraId="4F5E6DCA" w14:textId="3B39E8D1" w:rsidR="00FF28E3" w:rsidRPr="00FF28E3" w:rsidRDefault="00EA4B85">
          <w:pPr>
            <w:pStyle w:val="TOC1"/>
            <w:tabs>
              <w:tab w:val="right" w:leader="dot" w:pos="9016"/>
            </w:tabs>
            <w:rPr>
              <w:b w:val="0"/>
              <w:bCs w:val="0"/>
              <w:i w:val="0"/>
              <w:iCs w:val="0"/>
              <w:noProof/>
              <w:sz w:val="28"/>
              <w:szCs w:val="28"/>
            </w:rPr>
          </w:pPr>
          <w:hyperlink w:anchor="_Toc102481447" w:history="1">
            <w:r w:rsidR="00FF28E3" w:rsidRPr="00FF28E3">
              <w:rPr>
                <w:rStyle w:val="Hyperlink"/>
                <w:b w:val="0"/>
                <w:bCs w:val="0"/>
                <w:i w:val="0"/>
                <w:iCs w:val="0"/>
                <w:noProof/>
                <w:sz w:val="28"/>
                <w:szCs w:val="28"/>
              </w:rPr>
              <w:t>Community Engagement at British Red Cross</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_Toc102481447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3</w:t>
            </w:r>
            <w:r w:rsidR="00FF28E3" w:rsidRPr="00FF28E3">
              <w:rPr>
                <w:b w:val="0"/>
                <w:bCs w:val="0"/>
                <w:i w:val="0"/>
                <w:iCs w:val="0"/>
                <w:noProof/>
                <w:webHidden/>
                <w:sz w:val="28"/>
                <w:szCs w:val="28"/>
              </w:rPr>
              <w:fldChar w:fldCharType="end"/>
            </w:r>
          </w:hyperlink>
        </w:p>
        <w:p w14:paraId="74A6D045" w14:textId="3EC9E30D" w:rsidR="00FF28E3" w:rsidRPr="00FF28E3" w:rsidRDefault="00EA4B85">
          <w:pPr>
            <w:pStyle w:val="TOC1"/>
            <w:tabs>
              <w:tab w:val="right" w:leader="dot" w:pos="9016"/>
            </w:tabs>
            <w:rPr>
              <w:b w:val="0"/>
              <w:bCs w:val="0"/>
              <w:i w:val="0"/>
              <w:iCs w:val="0"/>
              <w:noProof/>
              <w:sz w:val="28"/>
              <w:szCs w:val="28"/>
            </w:rPr>
          </w:pPr>
          <w:hyperlink w:anchor="_Toc102481448" w:history="1">
            <w:r w:rsidR="00FF28E3" w:rsidRPr="00FF28E3">
              <w:rPr>
                <w:rStyle w:val="Hyperlink"/>
                <w:b w:val="0"/>
                <w:bCs w:val="0"/>
                <w:i w:val="0"/>
                <w:iCs w:val="0"/>
                <w:noProof/>
                <w:sz w:val="28"/>
                <w:szCs w:val="28"/>
              </w:rPr>
              <w:t>Strategies and Skills for Integrating Community Engagement Successfully at British Red Cross</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_Toc102481448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3</w:t>
            </w:r>
            <w:r w:rsidR="00FF28E3" w:rsidRPr="00FF28E3">
              <w:rPr>
                <w:b w:val="0"/>
                <w:bCs w:val="0"/>
                <w:i w:val="0"/>
                <w:iCs w:val="0"/>
                <w:noProof/>
                <w:webHidden/>
                <w:sz w:val="28"/>
                <w:szCs w:val="28"/>
              </w:rPr>
              <w:fldChar w:fldCharType="end"/>
            </w:r>
          </w:hyperlink>
        </w:p>
        <w:p w14:paraId="3E90EADE" w14:textId="6DCB8C65" w:rsidR="00FF28E3" w:rsidRPr="00FF28E3" w:rsidRDefault="00EA4B85">
          <w:pPr>
            <w:pStyle w:val="TOC1"/>
            <w:tabs>
              <w:tab w:val="right" w:leader="dot" w:pos="9016"/>
            </w:tabs>
            <w:rPr>
              <w:b w:val="0"/>
              <w:bCs w:val="0"/>
              <w:i w:val="0"/>
              <w:iCs w:val="0"/>
              <w:noProof/>
              <w:sz w:val="28"/>
              <w:szCs w:val="28"/>
            </w:rPr>
          </w:pPr>
          <w:hyperlink w:anchor="_Toc102481449" w:history="1">
            <w:r w:rsidR="00FF28E3" w:rsidRPr="00FF28E3">
              <w:rPr>
                <w:rStyle w:val="Hyperlink"/>
                <w:b w:val="0"/>
                <w:bCs w:val="0"/>
                <w:i w:val="0"/>
                <w:iCs w:val="0"/>
                <w:noProof/>
                <w:sz w:val="28"/>
                <w:szCs w:val="28"/>
              </w:rPr>
              <w:t>Community Engagement and the Use of Social Media</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_Toc102481449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4</w:t>
            </w:r>
            <w:r w:rsidR="00FF28E3" w:rsidRPr="00FF28E3">
              <w:rPr>
                <w:b w:val="0"/>
                <w:bCs w:val="0"/>
                <w:i w:val="0"/>
                <w:iCs w:val="0"/>
                <w:noProof/>
                <w:webHidden/>
                <w:sz w:val="28"/>
                <w:szCs w:val="28"/>
              </w:rPr>
              <w:fldChar w:fldCharType="end"/>
            </w:r>
          </w:hyperlink>
        </w:p>
        <w:p w14:paraId="588F0D9B" w14:textId="29C17BD5" w:rsidR="00FF28E3" w:rsidRPr="00FF28E3" w:rsidRDefault="00EA4B85">
          <w:pPr>
            <w:pStyle w:val="TOC1"/>
            <w:tabs>
              <w:tab w:val="right" w:leader="dot" w:pos="9016"/>
            </w:tabs>
            <w:rPr>
              <w:b w:val="0"/>
              <w:bCs w:val="0"/>
              <w:i w:val="0"/>
              <w:iCs w:val="0"/>
              <w:noProof/>
              <w:sz w:val="28"/>
              <w:szCs w:val="28"/>
            </w:rPr>
          </w:pPr>
          <w:hyperlink w:anchor="_Toc102481450" w:history="1">
            <w:r w:rsidR="00FF28E3" w:rsidRPr="00FF28E3">
              <w:rPr>
                <w:rStyle w:val="Hyperlink"/>
                <w:b w:val="0"/>
                <w:bCs w:val="0"/>
                <w:i w:val="0"/>
                <w:iCs w:val="0"/>
                <w:noProof/>
                <w:sz w:val="28"/>
                <w:szCs w:val="28"/>
              </w:rPr>
              <w:t>Training and Development for Improving Community Engagement</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_Toc102481450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4</w:t>
            </w:r>
            <w:r w:rsidR="00FF28E3" w:rsidRPr="00FF28E3">
              <w:rPr>
                <w:b w:val="0"/>
                <w:bCs w:val="0"/>
                <w:i w:val="0"/>
                <w:iCs w:val="0"/>
                <w:noProof/>
                <w:webHidden/>
                <w:sz w:val="28"/>
                <w:szCs w:val="28"/>
              </w:rPr>
              <w:fldChar w:fldCharType="end"/>
            </w:r>
          </w:hyperlink>
        </w:p>
        <w:p w14:paraId="0309CDAD" w14:textId="43F083BA" w:rsidR="00FF28E3" w:rsidRPr="00FF28E3" w:rsidRDefault="00EA4B85">
          <w:pPr>
            <w:pStyle w:val="TOC1"/>
            <w:tabs>
              <w:tab w:val="right" w:leader="dot" w:pos="9016"/>
            </w:tabs>
            <w:rPr>
              <w:b w:val="0"/>
              <w:bCs w:val="0"/>
              <w:i w:val="0"/>
              <w:iCs w:val="0"/>
              <w:noProof/>
              <w:sz w:val="28"/>
              <w:szCs w:val="28"/>
            </w:rPr>
          </w:pPr>
          <w:hyperlink w:anchor="_Toc102481451" w:history="1">
            <w:r w:rsidR="00FF28E3" w:rsidRPr="00FF28E3">
              <w:rPr>
                <w:rStyle w:val="Hyperlink"/>
                <w:b w:val="0"/>
                <w:bCs w:val="0"/>
                <w:i w:val="0"/>
                <w:iCs w:val="0"/>
                <w:noProof/>
                <w:sz w:val="28"/>
                <w:szCs w:val="28"/>
              </w:rPr>
              <w:t>Community Engagement Recommendations</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_Toc102481451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5</w:t>
            </w:r>
            <w:r w:rsidR="00FF28E3" w:rsidRPr="00FF28E3">
              <w:rPr>
                <w:b w:val="0"/>
                <w:bCs w:val="0"/>
                <w:i w:val="0"/>
                <w:iCs w:val="0"/>
                <w:noProof/>
                <w:webHidden/>
                <w:sz w:val="28"/>
                <w:szCs w:val="28"/>
              </w:rPr>
              <w:fldChar w:fldCharType="end"/>
            </w:r>
          </w:hyperlink>
        </w:p>
        <w:p w14:paraId="2A241B93" w14:textId="646FCDEC" w:rsidR="00FF28E3" w:rsidRPr="00FF28E3" w:rsidRDefault="00EA4B85">
          <w:pPr>
            <w:pStyle w:val="TOC1"/>
            <w:tabs>
              <w:tab w:val="right" w:leader="dot" w:pos="9016"/>
            </w:tabs>
            <w:rPr>
              <w:b w:val="0"/>
              <w:bCs w:val="0"/>
              <w:i w:val="0"/>
              <w:iCs w:val="0"/>
              <w:noProof/>
              <w:sz w:val="28"/>
              <w:szCs w:val="28"/>
            </w:rPr>
          </w:pPr>
          <w:hyperlink w:anchor="_Toc102481452" w:history="1">
            <w:r w:rsidR="00FF28E3" w:rsidRPr="00FF28E3">
              <w:rPr>
                <w:rStyle w:val="Hyperlink"/>
                <w:b w:val="0"/>
                <w:bCs w:val="0"/>
                <w:i w:val="0"/>
                <w:iCs w:val="0"/>
                <w:noProof/>
                <w:sz w:val="28"/>
                <w:szCs w:val="28"/>
              </w:rPr>
              <w:t>Conclusion</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_Toc102481452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6</w:t>
            </w:r>
            <w:r w:rsidR="00FF28E3" w:rsidRPr="00FF28E3">
              <w:rPr>
                <w:b w:val="0"/>
                <w:bCs w:val="0"/>
                <w:i w:val="0"/>
                <w:iCs w:val="0"/>
                <w:noProof/>
                <w:webHidden/>
                <w:sz w:val="28"/>
                <w:szCs w:val="28"/>
              </w:rPr>
              <w:fldChar w:fldCharType="end"/>
            </w:r>
          </w:hyperlink>
        </w:p>
        <w:p w14:paraId="464292F2" w14:textId="6DC0E37B" w:rsidR="00FF28E3" w:rsidRPr="00FF28E3" w:rsidRDefault="00EA4B85">
          <w:pPr>
            <w:pStyle w:val="TOC1"/>
            <w:tabs>
              <w:tab w:val="right" w:leader="dot" w:pos="9016"/>
            </w:tabs>
            <w:rPr>
              <w:b w:val="0"/>
              <w:bCs w:val="0"/>
              <w:i w:val="0"/>
              <w:iCs w:val="0"/>
              <w:noProof/>
              <w:sz w:val="28"/>
              <w:szCs w:val="28"/>
            </w:rPr>
          </w:pPr>
          <w:hyperlink w:anchor="_Toc102481453" w:history="1">
            <w:r w:rsidR="00FF28E3" w:rsidRPr="00FF28E3">
              <w:rPr>
                <w:rStyle w:val="Hyperlink"/>
                <w:b w:val="0"/>
                <w:bCs w:val="0"/>
                <w:i w:val="0"/>
                <w:iCs w:val="0"/>
                <w:noProof/>
                <w:sz w:val="28"/>
                <w:szCs w:val="28"/>
              </w:rPr>
              <w:t>References</w:t>
            </w:r>
            <w:r w:rsidR="00FF28E3" w:rsidRPr="00FF28E3">
              <w:rPr>
                <w:b w:val="0"/>
                <w:bCs w:val="0"/>
                <w:i w:val="0"/>
                <w:iCs w:val="0"/>
                <w:noProof/>
                <w:webHidden/>
                <w:sz w:val="28"/>
                <w:szCs w:val="28"/>
              </w:rPr>
              <w:tab/>
            </w:r>
            <w:r w:rsidR="00FF28E3" w:rsidRPr="00FF28E3">
              <w:rPr>
                <w:b w:val="0"/>
                <w:bCs w:val="0"/>
                <w:i w:val="0"/>
                <w:iCs w:val="0"/>
                <w:noProof/>
                <w:webHidden/>
                <w:sz w:val="28"/>
                <w:szCs w:val="28"/>
              </w:rPr>
              <w:fldChar w:fldCharType="begin"/>
            </w:r>
            <w:r w:rsidR="00FF28E3" w:rsidRPr="00FF28E3">
              <w:rPr>
                <w:b w:val="0"/>
                <w:bCs w:val="0"/>
                <w:i w:val="0"/>
                <w:iCs w:val="0"/>
                <w:noProof/>
                <w:webHidden/>
                <w:sz w:val="28"/>
                <w:szCs w:val="28"/>
              </w:rPr>
              <w:instrText xml:space="preserve"> PAGEREF _Toc102481453 \h </w:instrText>
            </w:r>
            <w:r w:rsidR="00FF28E3" w:rsidRPr="00FF28E3">
              <w:rPr>
                <w:b w:val="0"/>
                <w:bCs w:val="0"/>
                <w:i w:val="0"/>
                <w:iCs w:val="0"/>
                <w:noProof/>
                <w:webHidden/>
                <w:sz w:val="28"/>
                <w:szCs w:val="28"/>
              </w:rPr>
            </w:r>
            <w:r w:rsidR="00FF28E3" w:rsidRPr="00FF28E3">
              <w:rPr>
                <w:b w:val="0"/>
                <w:bCs w:val="0"/>
                <w:i w:val="0"/>
                <w:iCs w:val="0"/>
                <w:noProof/>
                <w:webHidden/>
                <w:sz w:val="28"/>
                <w:szCs w:val="28"/>
              </w:rPr>
              <w:fldChar w:fldCharType="separate"/>
            </w:r>
            <w:r w:rsidR="00FF28E3" w:rsidRPr="00FF28E3">
              <w:rPr>
                <w:b w:val="0"/>
                <w:bCs w:val="0"/>
                <w:i w:val="0"/>
                <w:iCs w:val="0"/>
                <w:noProof/>
                <w:webHidden/>
                <w:sz w:val="28"/>
                <w:szCs w:val="28"/>
              </w:rPr>
              <w:t>7</w:t>
            </w:r>
            <w:r w:rsidR="00FF28E3" w:rsidRPr="00FF28E3">
              <w:rPr>
                <w:b w:val="0"/>
                <w:bCs w:val="0"/>
                <w:i w:val="0"/>
                <w:iCs w:val="0"/>
                <w:noProof/>
                <w:webHidden/>
                <w:sz w:val="28"/>
                <w:szCs w:val="28"/>
              </w:rPr>
              <w:fldChar w:fldCharType="end"/>
            </w:r>
          </w:hyperlink>
        </w:p>
        <w:p w14:paraId="4DCD6DA5" w14:textId="1BE3D481" w:rsidR="00FF28E3" w:rsidRPr="00FF28E3" w:rsidRDefault="00FF28E3">
          <w:pPr>
            <w:rPr>
              <w:sz w:val="28"/>
              <w:szCs w:val="24"/>
            </w:rPr>
          </w:pPr>
          <w:r w:rsidRPr="00FF28E3">
            <w:rPr>
              <w:noProof/>
              <w:sz w:val="28"/>
              <w:szCs w:val="24"/>
            </w:rPr>
            <w:fldChar w:fldCharType="end"/>
          </w:r>
        </w:p>
      </w:sdtContent>
    </w:sdt>
    <w:p w14:paraId="6C00705E" w14:textId="136B380D" w:rsidR="00FE6EE1" w:rsidRPr="00FF28E3" w:rsidRDefault="00EA4B85">
      <w:pPr>
        <w:rPr>
          <w:sz w:val="28"/>
          <w:szCs w:val="24"/>
        </w:rPr>
      </w:pPr>
    </w:p>
    <w:p w14:paraId="13520133" w14:textId="4C04B707" w:rsidR="00CB0315" w:rsidRDefault="00CB0315"/>
    <w:p w14:paraId="6BEE558A" w14:textId="315492B5" w:rsidR="00CB0315" w:rsidRDefault="00CB0315"/>
    <w:p w14:paraId="148D0219" w14:textId="0096327B" w:rsidR="00CB0315" w:rsidRDefault="00CB0315"/>
    <w:p w14:paraId="1D1B5168" w14:textId="3C0EC984" w:rsidR="00CB0315" w:rsidRDefault="00CB0315"/>
    <w:p w14:paraId="1E559DEA" w14:textId="5597EAC8" w:rsidR="00CB0315" w:rsidRDefault="00CB0315"/>
    <w:p w14:paraId="4016CD27" w14:textId="45C92A7C" w:rsidR="00CB0315" w:rsidRDefault="00CB0315"/>
    <w:p w14:paraId="516F9E4E" w14:textId="4218E636" w:rsidR="00CB0315" w:rsidRDefault="00CB0315"/>
    <w:p w14:paraId="50447138" w14:textId="6CB855BF" w:rsidR="00CB0315" w:rsidRDefault="00CB0315"/>
    <w:p w14:paraId="76BE6982" w14:textId="01E29A70" w:rsidR="00CB0315" w:rsidRDefault="00CB0315"/>
    <w:p w14:paraId="4DC90F69" w14:textId="35611DD1" w:rsidR="00CB0315" w:rsidRDefault="00CB0315"/>
    <w:p w14:paraId="69C19944" w14:textId="4321A456" w:rsidR="00CB0315" w:rsidRDefault="00CB0315"/>
    <w:p w14:paraId="7CAA60E3" w14:textId="2F53E904" w:rsidR="00CB0315" w:rsidRDefault="00CB0315"/>
    <w:p w14:paraId="0EFA3B69" w14:textId="30C5D8A1" w:rsidR="00CB0315" w:rsidRDefault="00CB0315"/>
    <w:p w14:paraId="311455C8" w14:textId="742BA375" w:rsidR="00CB0315" w:rsidRDefault="00CB0315"/>
    <w:p w14:paraId="492ABC7C" w14:textId="69495AD3" w:rsidR="00CB0315" w:rsidRDefault="00CB0315" w:rsidP="00CB0315">
      <w:pPr>
        <w:pStyle w:val="Heading1"/>
      </w:pPr>
      <w:bookmarkStart w:id="0" w:name="_Toc102481445"/>
      <w:r>
        <w:lastRenderedPageBreak/>
        <w:t>Introduction</w:t>
      </w:r>
      <w:bookmarkEnd w:id="0"/>
    </w:p>
    <w:p w14:paraId="5CAD543A" w14:textId="3DCA99F3" w:rsidR="00205185" w:rsidRDefault="00205185" w:rsidP="00205185">
      <w:r>
        <w:t xml:space="preserve">The community engagement </w:t>
      </w:r>
      <w:r w:rsidR="00BD06F1">
        <w:t>process</w:t>
      </w:r>
      <w:r>
        <w:t xml:space="preserve"> is the most common way to work with and through gatherings related to geographical proximity, extreme interest or comparative circumstances to solve problems affecting the prosperity of these people. The commitment of the local area is important for the associations and their representatives, as it enables them to provide some assistance to the whole population through fundraising, participation, financial development, instructions in the local area, direct assistance and so on </w:t>
      </w:r>
      <w:r w:rsidR="009803C8" w:rsidRPr="009803C8">
        <w:t>(Glanz, Rimer and Viswanath, 2015)</w:t>
      </w:r>
      <w:r w:rsidR="009803C8">
        <w:t xml:space="preserve">. </w:t>
      </w:r>
      <w:r>
        <w:t xml:space="preserve">Many associations are effectively involved in the commitment of the local </w:t>
      </w:r>
      <w:r w:rsidR="00BD06F1">
        <w:t>area,</w:t>
      </w:r>
      <w:r>
        <w:t xml:space="preserve"> and they need to encourage workers to help the local area and come together.</w:t>
      </w:r>
    </w:p>
    <w:p w14:paraId="64B92268" w14:textId="6C3C3B47" w:rsidR="00B72E3E" w:rsidRDefault="00205185" w:rsidP="00205185">
      <w:r>
        <w:t xml:space="preserve">A benefit that seeks association, seeks business and provides benefits, but must also expect to give something back to the local area and society. This report will look at local commitment and its impact on the general public. The report on selected parties for the association is </w:t>
      </w:r>
      <w:r w:rsidR="00BD06F1" w:rsidRPr="00BD06F1">
        <w:t>British Red Cross</w:t>
      </w:r>
      <w:r>
        <w:t xml:space="preserve">, which is a UK-based association and is the cause of the country committed to helping everyone benefit from later life. In this report, we will learn about the engagement exercises of the local area that </w:t>
      </w:r>
      <w:r w:rsidR="00BD06F1" w:rsidRPr="00BD06F1">
        <w:t>British Red Cross</w:t>
      </w:r>
      <w:r w:rsidR="00BD06F1">
        <w:t xml:space="preserve"> </w:t>
      </w:r>
      <w:r>
        <w:t>is trying, and how workers draw on themselves to be a great option for themselves to help the local area without luck. In addition, we will explore how these workers can be prepared and use virtual entertainment to observe and experience local commitments and have supportive relationships with partners, overcoming local barriers to association.</w:t>
      </w:r>
    </w:p>
    <w:p w14:paraId="2D69CDE5" w14:textId="76F1D169" w:rsidR="00B72E3E" w:rsidRDefault="009803C8" w:rsidP="00B72E3E">
      <w:pPr>
        <w:pStyle w:val="Heading1"/>
      </w:pPr>
      <w:bookmarkStart w:id="1" w:name="_Toc102481446"/>
      <w:r>
        <w:t>Overview of Community Engagement</w:t>
      </w:r>
      <w:bookmarkEnd w:id="1"/>
    </w:p>
    <w:p w14:paraId="16F2B431" w14:textId="14B157D2" w:rsidR="00205185" w:rsidRDefault="00205185" w:rsidP="00205185">
      <w:r>
        <w:t xml:space="preserve">The commitment of the community in establishing community engagement programmes and initiatives enables the association to work for the people in the general public. Individuals are the main customers of an </w:t>
      </w:r>
      <w:r w:rsidR="00BD06F1">
        <w:t>association,</w:t>
      </w:r>
      <w:r>
        <w:t xml:space="preserve"> and they need to be helped for humanity</w:t>
      </w:r>
      <w:r w:rsidR="009803C8" w:rsidRPr="009803C8">
        <w:t xml:space="preserve"> (Glanz, Rimer and Viswanath, 2015)</w:t>
      </w:r>
      <w:r>
        <w:t xml:space="preserve">. For this reason, numerous small and global associations spend money on foundations and gifts to help the local area without luck and solve complex social problems. There are many places where networks are in an emergency. Due to the continuing pandemic circumstances, many people are in poverty and have lost their positions and find it difficult to live and support others. Elderly people who do not have private pay have to depend on others during an emergency, and because of the pandemic, everyone survives </w:t>
      </w:r>
      <w:r w:rsidR="009803C8" w:rsidRPr="009803C8">
        <w:t>(Butt et al., 2021)</w:t>
      </w:r>
      <w:r w:rsidR="009803C8">
        <w:t xml:space="preserve">. </w:t>
      </w:r>
      <w:r>
        <w:t>Associations based on good causes work closely with networks and collect assets for themselves and give them away, providing medical services, advice, dressing, food and shelter, which helps the local area get lucky. This helps to improve the equality of rich and poor people in the local area. With the group commitment of the people, a country can lose its own and have several emergencies that will affect the general public and the people living in it.</w:t>
      </w:r>
    </w:p>
    <w:p w14:paraId="6A32B193" w14:textId="5E81102D" w:rsidR="00B72E3E" w:rsidRDefault="00205185" w:rsidP="00205185">
      <w:r>
        <w:t>Older people are victims because they have no one to ask for help or invest energy from after retirement, and this is always when the involvement of the local area has a valuable chance to help them in need</w:t>
      </w:r>
      <w:r w:rsidR="00BD06F1">
        <w:t>.</w:t>
      </w:r>
    </w:p>
    <w:p w14:paraId="35D34911" w14:textId="3B1AF5BD" w:rsidR="00B72E3E" w:rsidRDefault="00B72E3E" w:rsidP="00B72E3E">
      <w:pPr>
        <w:pStyle w:val="Heading1"/>
      </w:pPr>
      <w:bookmarkStart w:id="2" w:name="_Toc102481447"/>
      <w:r>
        <w:lastRenderedPageBreak/>
        <w:t xml:space="preserve">Community Engagement at </w:t>
      </w:r>
      <w:r w:rsidR="00BD06F1" w:rsidRPr="00BD06F1">
        <w:t>British Red Cross</w:t>
      </w:r>
      <w:bookmarkEnd w:id="2"/>
    </w:p>
    <w:p w14:paraId="05A6E3E7" w14:textId="47038454" w:rsidR="00B72E3E" w:rsidRDefault="00BD06F1" w:rsidP="00B72E3E">
      <w:r w:rsidRPr="00BD06F1">
        <w:t>British Red Cross</w:t>
      </w:r>
      <w:r>
        <w:t xml:space="preserve"> </w:t>
      </w:r>
      <w:r w:rsidR="00205185" w:rsidRPr="00205185">
        <w:t xml:space="preserve">is based in the United Kingdom and is one of the most famous foundation-based charities, where they receive a noble cause and gift from others and help those who </w:t>
      </w:r>
      <w:r w:rsidR="009803C8">
        <w:t>face more difficulties (The British Red Cross, 2022)</w:t>
      </w:r>
      <w:r w:rsidR="00205185" w:rsidRPr="00205185">
        <w:t xml:space="preserve">. The people </w:t>
      </w:r>
      <w:r w:rsidR="009803C8">
        <w:t>are of different</w:t>
      </w:r>
      <w:r w:rsidR="00205185" w:rsidRPr="00205185">
        <w:t xml:space="preserve"> </w:t>
      </w:r>
      <w:r w:rsidR="009803C8">
        <w:t xml:space="preserve">age groups and this organisation is </w:t>
      </w:r>
      <w:r w:rsidR="00205185" w:rsidRPr="00205185">
        <w:t xml:space="preserve">the fastest growing gathering of the general public in the UK and there are more of us than ever before. The elderly is not a problem or a disease, but there is a tendency to try for these people and in old age in the UK, they offer types of help and support at community and </w:t>
      </w:r>
      <w:r>
        <w:t>local</w:t>
      </w:r>
      <w:r w:rsidR="00205185" w:rsidRPr="00205185">
        <w:t xml:space="preserve"> level to relocate and support more experienced people. The main point is that the United Kingdom is old enough to represent the people who raised their later lives and to protect their significant interest in time and for the group of people who are yet to come. </w:t>
      </w:r>
    </w:p>
    <w:p w14:paraId="6E81B669" w14:textId="1CE04CD9" w:rsidR="00B72E3E" w:rsidRDefault="00FF28E3" w:rsidP="00B72E3E">
      <w:pPr>
        <w:pStyle w:val="Heading1"/>
      </w:pPr>
      <w:bookmarkStart w:id="3" w:name="_Toc102481448"/>
      <w:r>
        <w:t xml:space="preserve">Strategies and Skills for Integrating </w:t>
      </w:r>
      <w:r w:rsidR="00B72E3E">
        <w:t xml:space="preserve">Community </w:t>
      </w:r>
      <w:r>
        <w:t>E</w:t>
      </w:r>
      <w:r w:rsidR="00B72E3E">
        <w:t xml:space="preserve">ngagement </w:t>
      </w:r>
      <w:r>
        <w:t>Successfully at British Red Cross</w:t>
      </w:r>
      <w:bookmarkEnd w:id="3"/>
    </w:p>
    <w:p w14:paraId="7385F5FA" w14:textId="584C50D9" w:rsidR="001C1016" w:rsidRDefault="001C1016" w:rsidP="001C1016">
      <w:r>
        <w:t>The involvement of the local area is something that requires appropriate information skills and systems in order to have a result in what the representatives of the association do and to do everything right</w:t>
      </w:r>
      <w:r w:rsidR="009803C8" w:rsidRPr="009803C8">
        <w:t xml:space="preserve"> (Prno, Pickard and Kaiyogana, 2021)</w:t>
      </w:r>
      <w:r>
        <w:t>. Requirements for the commitment of the local area to information on the capabilities and systems that representatives, for example, volunteers of an association, need to help people who are unlucky and should be based on the administrations provided by the association. Some of the necessary skills and capacities that a worker would require to engage in the local area are given below.</w:t>
      </w:r>
    </w:p>
    <w:p w14:paraId="753A60A4" w14:textId="5B2CDB6F" w:rsidR="001C1016" w:rsidRDefault="001C1016" w:rsidP="001C1016">
      <w:r>
        <w:t xml:space="preserve">• Relationship skills </w:t>
      </w:r>
      <w:r w:rsidR="00BD06F1">
        <w:t>- those</w:t>
      </w:r>
      <w:r>
        <w:t xml:space="preserve"> are one of the most commonly involved skills in the work environment. Workers and volunteers who are old enough in the UK need to have the great relational skills that seniors have when they are in need. It is important to have a lot of experience in listening, the ability to speak different types of language is also several relational skills, for example, non-verbal communication and energy while talking to other people who see their work as an occasion for age United Kingdom </w:t>
      </w:r>
      <w:r w:rsidR="00157265" w:rsidRPr="00157265">
        <w:t>(Checkoway, 2015)</w:t>
      </w:r>
      <w:r w:rsidR="00157265">
        <w:t>.</w:t>
      </w:r>
    </w:p>
    <w:p w14:paraId="5B9A7846" w14:textId="5C24273B" w:rsidR="001C1016" w:rsidRDefault="001C1016" w:rsidP="001C1016">
      <w:r>
        <w:t>• Information on local and social issues - This is another important experience that is expected of the representatives of the association to understand and be aware of the friendly issues that arise. For example, workers who are old enough in the UK provide welfare and care administrations, and in this pandemic circumstance you at Covid need to understand welfare measures and responses, as more experienced people are more likely to be affected by Covid</w:t>
      </w:r>
      <w:r w:rsidR="00BD06F1">
        <w:t>.</w:t>
      </w:r>
    </w:p>
    <w:p w14:paraId="500509A5" w14:textId="46C7A71D" w:rsidR="001C1016" w:rsidRDefault="001C1016" w:rsidP="001C1016">
      <w:r>
        <w:t xml:space="preserve">• Critical thinking and critical thinking abilities. Sufficiently elderly UK representatives who are involved in different types of chips at work to help the elderly and older people need to have great critical and critical thinking skills. Older people could deal with different types of problems and problems, and enough older people in the UK need to deal with quick choices to deal with urgent issues in the light of the </w:t>
      </w:r>
      <w:r>
        <w:lastRenderedPageBreak/>
        <w:t xml:space="preserve">circumstances, and therefore these problems are relieved and are provided to the social for a worker who can take responsibility for his own activities </w:t>
      </w:r>
      <w:r w:rsidR="00157265" w:rsidRPr="00157265">
        <w:t>(Longo, 2013)</w:t>
      </w:r>
      <w:r w:rsidR="00157265">
        <w:t>.</w:t>
      </w:r>
    </w:p>
    <w:p w14:paraId="2EEE306D" w14:textId="71A2A938" w:rsidR="00B72E3E" w:rsidRDefault="001C1016" w:rsidP="00FF28E3">
      <w:r>
        <w:t>• Increasing support capacity Collecting promises is important for the UK association, which has a mission to help more experienced people and their gathering of local areas deprived of old age and subsequently, they need a reserve for daily expenses and to take care of administrations to the more established persons. The ability to raise money is vital so that volunteers can go to better places and associations, ask others for help and gifts, and organize so that more experienced people are facing challenges</w:t>
      </w:r>
      <w:r w:rsidR="00157265" w:rsidRPr="00157265">
        <w:t xml:space="preserve"> (Checkoway, 2015)</w:t>
      </w:r>
      <w:r>
        <w:t>.</w:t>
      </w:r>
    </w:p>
    <w:p w14:paraId="0842C940" w14:textId="3181FEED" w:rsidR="00FF28E3" w:rsidRDefault="00FF28E3" w:rsidP="00FF28E3">
      <w:pPr>
        <w:pStyle w:val="Heading1"/>
      </w:pPr>
      <w:bookmarkStart w:id="4" w:name="_Toc102481449"/>
      <w:r>
        <w:t>Community Engagement and the Use of Social Media</w:t>
      </w:r>
      <w:bookmarkEnd w:id="4"/>
    </w:p>
    <w:p w14:paraId="5F0ACC20" w14:textId="535C96BB" w:rsidR="00B72E3E" w:rsidRDefault="001C1016" w:rsidP="00B72E3E">
      <w:r w:rsidRPr="001C1016">
        <w:t xml:space="preserve">Social media use is a computer-based innovation in marketing especially that works by sharing thoughts, considerations, and data through the structure of virtual organizations and networks (Investopedia, 2021). Virtual entertainment helps organizations a lot due to the expanded reliance on web and online based stages and web-based entertainment sites and applications and is consistently used to advertise and develop business offerings. Workers old enough in the UK include virtual entertainment stages to advance local community engagement. </w:t>
      </w:r>
      <w:r w:rsidR="00BD06F1" w:rsidRPr="00BD06F1">
        <w:t>British Red Cross</w:t>
      </w:r>
      <w:r w:rsidR="00BD06F1">
        <w:t xml:space="preserve"> </w:t>
      </w:r>
      <w:r w:rsidRPr="001C1016">
        <w:t>uses its web-based scene and entertainment site to get everyone to give and help raise assets and ask volunteers to join and form corporate associations to help more experienced people as they have no one to help after retirement. Stages of online entertainment such as Facebook, YouTube, LinkedIn and research can be used to advance the crusade for engagement in the local area.</w:t>
      </w:r>
    </w:p>
    <w:p w14:paraId="34B519F2" w14:textId="2164A9D7" w:rsidR="001C1016" w:rsidRDefault="001C1016" w:rsidP="001C1016">
      <w:r>
        <w:t xml:space="preserve">Social media is an outstanding method of universal customer engagement and makes positive informal exchanges between common people, which can be used by </w:t>
      </w:r>
      <w:r w:rsidR="00BD06F1" w:rsidRPr="00BD06F1">
        <w:t>British Red Cross</w:t>
      </w:r>
      <w:r w:rsidR="00BD06F1">
        <w:t xml:space="preserve"> </w:t>
      </w:r>
      <w:r>
        <w:t xml:space="preserve">to raise reservations and ask for gifts to help the local area without luck. Because </w:t>
      </w:r>
      <w:r w:rsidR="00BD06F1" w:rsidRPr="00BD06F1">
        <w:t>British Red Cross</w:t>
      </w:r>
      <w:r w:rsidR="00FF28E3">
        <w:t xml:space="preserve"> </w:t>
      </w:r>
      <w:r>
        <w:t>is an altruistic association, they can ask for a good cause, and the gift is in web-based entertainment and publish it on their website and Facebook page, where a wide range of people will see the essence and my contribution to improving the general public. . The substance published at the online entertainment stages must be attractive and innovative and the association's workers must have the ability to use virtual entertainment and little imagination and expertise is expected to make an ingenious substance that will attract everyone's attention and reach mission progress.</w:t>
      </w:r>
    </w:p>
    <w:p w14:paraId="3C45C86F" w14:textId="5B87EA69" w:rsidR="00B72E3E" w:rsidRDefault="00FF28E3" w:rsidP="00B72E3E">
      <w:pPr>
        <w:pStyle w:val="Heading1"/>
      </w:pPr>
      <w:bookmarkStart w:id="5" w:name="_Toc102481450"/>
      <w:r>
        <w:t>Training and Development for Improving Community Engagement</w:t>
      </w:r>
      <w:bookmarkEnd w:id="5"/>
    </w:p>
    <w:p w14:paraId="0181F2EE" w14:textId="2E0A8F6C" w:rsidR="00205185" w:rsidRDefault="001C1016" w:rsidP="00B72E3E">
      <w:r>
        <w:t xml:space="preserve">The need for training and improvement of representatives of the association is urgent for their prosperity. In order to be effective in terms of local engagement and to meet the goals of a UK old enough, representatives need to have the explicit capabilities and capacities that we discussed in the previous part of the report. Achieving and possessing these skills is not so simple and requires preparation, progress and enough time for representatives to learn, develop, become better in </w:t>
      </w:r>
      <w:r>
        <w:lastRenderedPageBreak/>
        <w:t>their positions and become more efficient and useful in the work environment</w:t>
      </w:r>
      <w:r w:rsidR="00157265" w:rsidRPr="00157265">
        <w:t xml:space="preserve"> (Reynolds and Sariola, 2018)</w:t>
      </w:r>
      <w:r>
        <w:t>.</w:t>
      </w:r>
      <w:r w:rsidR="00157265">
        <w:t xml:space="preserve"> </w:t>
      </w:r>
      <w:r>
        <w:t xml:space="preserve">There are various social and societal problems around the world and workers need to gather and understand information in order to help the elderly with people inside and out and with the administrations provided by </w:t>
      </w:r>
      <w:r w:rsidR="00BD06F1" w:rsidRPr="00BD06F1">
        <w:t>British Red Cross</w:t>
      </w:r>
      <w:r>
        <w:t>.</w:t>
      </w:r>
      <w:r w:rsidR="00B72E3E">
        <w:t xml:space="preserve"> </w:t>
      </w:r>
    </w:p>
    <w:p w14:paraId="49A0ED1E" w14:textId="4FA588F9" w:rsidR="001C1016" w:rsidRDefault="001C1016" w:rsidP="001C1016">
      <w:r>
        <w:t xml:space="preserve">The association must seek a progressive and proactive way to address workers' training in multiculturalism. "Multiculturalism" is the competition of different societies, where culture includes racial, strict or social gatherings and appears in standard ways of behaving, social suspicions and values, thought processes and informative styles </w:t>
      </w:r>
      <w:r w:rsidR="00157265" w:rsidRPr="00157265">
        <w:t>(Reynolds and Sariola, 2018)</w:t>
      </w:r>
      <w:r w:rsidR="00157265">
        <w:t xml:space="preserve">. </w:t>
      </w:r>
      <w:r>
        <w:t xml:space="preserve">While working and supporting the elderly, the representatives meet people from different cultures, races, orientations, religions and follow a certain order of culture that must be kept in mind by workers old enough UK. Training and advancement will help workers work on their abilities, information and capacity, which will give them the security to face any kind of problem and make quick choices to deal with a complex problem at any time. Workers who are old enough in the UK work with different types of people and conduct a crusade to collect promises and gifts for a noble cause, and the representatives must be talented enough to observe everything. The association can organize training and advancement programs for new and current workers for the association, who will acquire both delicate skills and solid skills that will be expected to perform well, as a worker who offers types of help to more experienced people. aged 60 or over, which are the main target market for </w:t>
      </w:r>
      <w:r w:rsidR="00BD06F1" w:rsidRPr="00BD06F1">
        <w:t>British Red Cross</w:t>
      </w:r>
      <w:r>
        <w:t>.</w:t>
      </w:r>
    </w:p>
    <w:p w14:paraId="618E9704" w14:textId="42A95A03" w:rsidR="00B72E3E" w:rsidRDefault="00FF28E3" w:rsidP="00B72E3E">
      <w:pPr>
        <w:pStyle w:val="Heading1"/>
      </w:pPr>
      <w:bookmarkStart w:id="6" w:name="_Toc102481451"/>
      <w:r>
        <w:t>Community Engagement Recommendations</w:t>
      </w:r>
      <w:bookmarkEnd w:id="6"/>
    </w:p>
    <w:p w14:paraId="16F63680" w14:textId="3C9A8A0B" w:rsidR="00FB7F89" w:rsidRDefault="001C1016" w:rsidP="00B72E3E">
      <w:r>
        <w:t xml:space="preserve">The involvement of the local area is important for associations based on a noble cause, as if </w:t>
      </w:r>
      <w:r w:rsidR="00BD06F1" w:rsidRPr="00BD06F1">
        <w:t>British Red Cross</w:t>
      </w:r>
      <w:r>
        <w:t xml:space="preserve">, whose main goal is to offer types of help to more experienced people at an age when there is nowhere to </w:t>
      </w:r>
      <w:r w:rsidR="00FF28E3">
        <w:t>go,</w:t>
      </w:r>
      <w:r>
        <w:t xml:space="preserve"> and no one is ready to pay attention to them. Therefore, </w:t>
      </w:r>
      <w:r w:rsidR="00BD06F1" w:rsidRPr="00BD06F1">
        <w:t>British Red Cross</w:t>
      </w:r>
      <w:r w:rsidR="00BD06F1">
        <w:t xml:space="preserve"> </w:t>
      </w:r>
      <w:r>
        <w:t xml:space="preserve">can inspire its representatives to volunteer in an experienced way and be good at helping others. </w:t>
      </w:r>
      <w:r w:rsidR="00BD06F1" w:rsidRPr="00BD06F1">
        <w:t>British Red Cross</w:t>
      </w:r>
      <w:r w:rsidR="00BD06F1">
        <w:t xml:space="preserve"> </w:t>
      </w:r>
      <w:r>
        <w:t xml:space="preserve">should facilitate the participation of others and simplifying all this will help them to form associations with different associations based on causes and help the local area to be unlucky. There should be a choice to contact and discuss with the local area to understand the problems they face and how they could benefit from external input </w:t>
      </w:r>
      <w:r w:rsidR="00FF28E3" w:rsidRPr="00FF28E3">
        <w:t>(Wood, 2019)</w:t>
      </w:r>
      <w:r w:rsidR="00FF28E3">
        <w:t>.</w:t>
      </w:r>
    </w:p>
    <w:p w14:paraId="36445377" w14:textId="3A8BD484" w:rsidR="00B72E3E" w:rsidRDefault="001C1016" w:rsidP="00B72E3E">
      <w:r>
        <w:t xml:space="preserve">Understanding the emergency that is happening in the public arena is important and requires proper research. Due to the Covid pandemic, the elderly </w:t>
      </w:r>
      <w:r w:rsidR="00FF28E3">
        <w:t>is</w:t>
      </w:r>
      <w:r>
        <w:t xml:space="preserve"> affected and are more likely to get rid of the infection. </w:t>
      </w:r>
      <w:r w:rsidR="00BD06F1" w:rsidRPr="00BD06F1">
        <w:t>British Red Cross</w:t>
      </w:r>
      <w:r w:rsidR="00BD06F1">
        <w:t xml:space="preserve"> </w:t>
      </w:r>
      <w:r>
        <w:t>can give advice on the health and care of these elderly people in the light of late friendly emergencies locally. Online entertainment is a viable device for conducting and improving the engagement of the local area and with a legitimate use of web-based entertainment destinations, such as Facebook, Twitter, Google, etc. problems with the area and help them participate and give to save the local area through donations and support.</w:t>
      </w:r>
    </w:p>
    <w:p w14:paraId="7642BBFE" w14:textId="77777777" w:rsidR="00B72E3E" w:rsidRDefault="00B72E3E" w:rsidP="00B72E3E">
      <w:pPr>
        <w:pStyle w:val="Heading1"/>
      </w:pPr>
      <w:bookmarkStart w:id="7" w:name="_Toc102481452"/>
      <w:r>
        <w:lastRenderedPageBreak/>
        <w:t>Conclusion</w:t>
      </w:r>
      <w:bookmarkEnd w:id="7"/>
    </w:p>
    <w:p w14:paraId="3E2E386E" w14:textId="7CDF0A57" w:rsidR="00CB0315" w:rsidRDefault="001C1016" w:rsidP="00B72E3E">
      <w:r w:rsidRPr="001C1016">
        <w:t xml:space="preserve">In conclusion, community engagement is essential for the association to return something to the general public, to look for social problems and to address them by filling in collectively. Cooperation is important and one person cannot help a local area, but bringing the whole planet together can help larger networks and solve social problems during an emergency. </w:t>
      </w:r>
      <w:r>
        <w:t>Organisers and volunteers</w:t>
      </w:r>
      <w:r w:rsidRPr="001C1016">
        <w:t xml:space="preserve"> need to consider a few external elements and obstacles while committing to a local area. Part of the normal limit may be the absence of subsidies, lack of information on friendly issues, challenges around organizations and partners on board, which can be overcome through collective action and advancing local area engagement, regardless of different channels and exclusively through the use of virtual entertainment. </w:t>
      </w:r>
      <w:r w:rsidR="00BD06F1" w:rsidRPr="00BD06F1">
        <w:t>British Red Cross</w:t>
      </w:r>
      <w:r w:rsidR="00BD06F1">
        <w:t xml:space="preserve"> </w:t>
      </w:r>
      <w:r w:rsidRPr="001C1016">
        <w:t>partners must also be met by promoting their gifts and commitment to the general public, which will encourage more workers to work for the local area and work collectively to support local community engagement.</w:t>
      </w:r>
    </w:p>
    <w:p w14:paraId="069DDF78" w14:textId="61AF3D44" w:rsidR="00CB0315" w:rsidRDefault="00CB0315" w:rsidP="00CB0315"/>
    <w:p w14:paraId="1ACE453A" w14:textId="76428EA5" w:rsidR="00FF28E3" w:rsidRDefault="00FF28E3" w:rsidP="00CB0315"/>
    <w:p w14:paraId="72674234" w14:textId="7E63C53D" w:rsidR="00FF28E3" w:rsidRDefault="00FF28E3" w:rsidP="00CB0315"/>
    <w:p w14:paraId="5492BB35" w14:textId="1C24B872" w:rsidR="00FF28E3" w:rsidRDefault="00FF28E3" w:rsidP="00CB0315"/>
    <w:p w14:paraId="47C4BF3C" w14:textId="61E9481F" w:rsidR="00FF28E3" w:rsidRDefault="00FF28E3" w:rsidP="00CB0315"/>
    <w:p w14:paraId="4D80B99C" w14:textId="5E5D622C" w:rsidR="00FF28E3" w:rsidRDefault="00FF28E3" w:rsidP="00CB0315"/>
    <w:p w14:paraId="3F8C1D48" w14:textId="7D4C3130" w:rsidR="00FF28E3" w:rsidRDefault="00FF28E3" w:rsidP="00CB0315"/>
    <w:p w14:paraId="6F07FD10" w14:textId="20844E1E" w:rsidR="00FF28E3" w:rsidRDefault="00FF28E3" w:rsidP="00CB0315"/>
    <w:p w14:paraId="0EB59FC1" w14:textId="68BE7432" w:rsidR="00FF28E3" w:rsidRDefault="00FF28E3" w:rsidP="00CB0315"/>
    <w:p w14:paraId="6D7C8E22" w14:textId="5E65A4BD" w:rsidR="00FF28E3" w:rsidRDefault="00FF28E3" w:rsidP="00CB0315"/>
    <w:p w14:paraId="7C6DC032" w14:textId="197340B1" w:rsidR="00FF28E3" w:rsidRDefault="00FF28E3" w:rsidP="00CB0315"/>
    <w:p w14:paraId="758589F5" w14:textId="1F0A7D08" w:rsidR="00FF28E3" w:rsidRDefault="00FF28E3" w:rsidP="00CB0315"/>
    <w:p w14:paraId="706B6DA6" w14:textId="645A8006" w:rsidR="00FF28E3" w:rsidRDefault="00FF28E3" w:rsidP="00CB0315"/>
    <w:p w14:paraId="7EEE56CB" w14:textId="1884AA2D" w:rsidR="00FF28E3" w:rsidRDefault="00FF28E3" w:rsidP="00CB0315"/>
    <w:p w14:paraId="348140B6" w14:textId="77777777" w:rsidR="00FF28E3" w:rsidRDefault="00FF28E3" w:rsidP="00CB0315"/>
    <w:p w14:paraId="3605F89A" w14:textId="1E1F0929" w:rsidR="00B72E3E" w:rsidRDefault="00B72E3E" w:rsidP="00CB0315"/>
    <w:p w14:paraId="27AF1BE0" w14:textId="4DE6947A" w:rsidR="00B72E3E" w:rsidRDefault="00B72E3E" w:rsidP="00B72E3E">
      <w:pPr>
        <w:pStyle w:val="Heading1"/>
      </w:pPr>
      <w:bookmarkStart w:id="8" w:name="_Toc102481453"/>
      <w:r>
        <w:lastRenderedPageBreak/>
        <w:t>References</w:t>
      </w:r>
      <w:bookmarkEnd w:id="8"/>
    </w:p>
    <w:p w14:paraId="1F690F5C" w14:textId="3091A7B5" w:rsidR="009803C8" w:rsidRDefault="009803C8" w:rsidP="00B72E3E">
      <w:r w:rsidRPr="009803C8">
        <w:t xml:space="preserve">Butt, S., Smith, S.M., Moola, F. and Conway, T.M. (2021). The relationship between knowledge and community engagement in local urban forest governance: A case study examining the role of resident association members in Mississauga, Canada. </w:t>
      </w:r>
      <w:r w:rsidRPr="009803C8">
        <w:rPr>
          <w:i/>
          <w:iCs/>
        </w:rPr>
        <w:t>Urban Forestry &amp; Urban Greening</w:t>
      </w:r>
      <w:r w:rsidRPr="009803C8">
        <w:t>, 60, p.127054.</w:t>
      </w:r>
    </w:p>
    <w:p w14:paraId="49A70229" w14:textId="080CC4A1" w:rsidR="00157265" w:rsidRDefault="00157265" w:rsidP="00B72E3E">
      <w:r w:rsidRPr="00157265">
        <w:t xml:space="preserve">Checkoway, B. (2015). Research as community-building: Perspectives on the scholarship of engagement. </w:t>
      </w:r>
      <w:r w:rsidRPr="00157265">
        <w:rPr>
          <w:i/>
          <w:iCs/>
        </w:rPr>
        <w:t>Gateways: International Journal of Community Research and Engagement</w:t>
      </w:r>
      <w:r w:rsidRPr="00157265">
        <w:t>, 8(</w:t>
      </w:r>
      <w:r w:rsidRPr="00157265">
        <w:rPr>
          <w:b/>
          <w:bCs/>
        </w:rPr>
        <w:t>1</w:t>
      </w:r>
      <w:r w:rsidRPr="00157265">
        <w:t>), pp.139–49.</w:t>
      </w:r>
    </w:p>
    <w:p w14:paraId="30EFC0D7" w14:textId="7694E877" w:rsidR="009803C8" w:rsidRDefault="009803C8" w:rsidP="00B72E3E">
      <w:r w:rsidRPr="009803C8">
        <w:t xml:space="preserve">Glanz, K., Rimer, B. and Viswanath, K. (2015). </w:t>
      </w:r>
      <w:r w:rsidRPr="009803C8">
        <w:rPr>
          <w:i/>
          <w:iCs/>
        </w:rPr>
        <w:t>Health behavior: Theory, research, and practice</w:t>
      </w:r>
      <w:r w:rsidRPr="009803C8">
        <w:t>. 5th ed. New York, Ny John Wiley &amp; Sons.</w:t>
      </w:r>
    </w:p>
    <w:p w14:paraId="64DBF749" w14:textId="2B55FB06" w:rsidR="00157265" w:rsidRDefault="00157265" w:rsidP="00B72E3E">
      <w:r w:rsidRPr="00157265">
        <w:t xml:space="preserve">Longo, N.V. (2013). Deliberative Pedagogy in the Community: Connecting Deliberative Dialogue, Community Engagement, and Democratic Education. </w:t>
      </w:r>
      <w:r w:rsidRPr="00157265">
        <w:rPr>
          <w:i/>
          <w:iCs/>
        </w:rPr>
        <w:t>Journal of Deliberative Democracy</w:t>
      </w:r>
      <w:r w:rsidRPr="00157265">
        <w:t>, 9(</w:t>
      </w:r>
      <w:r w:rsidRPr="00157265">
        <w:rPr>
          <w:b/>
          <w:bCs/>
        </w:rPr>
        <w:t>2</w:t>
      </w:r>
      <w:r w:rsidRPr="00157265">
        <w:t>), p.16.</w:t>
      </w:r>
    </w:p>
    <w:p w14:paraId="5FDADAC2" w14:textId="3B591DE0" w:rsidR="00157265" w:rsidRDefault="00157265" w:rsidP="00B72E3E">
      <w:r w:rsidRPr="00157265">
        <w:t xml:space="preserve">Prno, J., Pickard, M. and Kaiyogana, J. (2021). Effective Community Engagement during the Environmental Assessment of a Mining Project in the Canadian Arctic. </w:t>
      </w:r>
      <w:r w:rsidRPr="00157265">
        <w:rPr>
          <w:i/>
          <w:iCs/>
        </w:rPr>
        <w:t>Environmental Management</w:t>
      </w:r>
      <w:r w:rsidRPr="00157265">
        <w:t>, 67(</w:t>
      </w:r>
      <w:r w:rsidRPr="00157265">
        <w:rPr>
          <w:b/>
          <w:bCs/>
        </w:rPr>
        <w:t>5</w:t>
      </w:r>
      <w:r w:rsidRPr="00157265">
        <w:t>), pp.1000–1015.</w:t>
      </w:r>
    </w:p>
    <w:p w14:paraId="62DB6418" w14:textId="520D3556" w:rsidR="00157265" w:rsidRDefault="00157265" w:rsidP="00B72E3E">
      <w:r w:rsidRPr="00157265">
        <w:t xml:space="preserve">Reynolds, L. and Sariola, S. (2018). The ethics and politics of community engagement in global health research. </w:t>
      </w:r>
      <w:r w:rsidRPr="00157265">
        <w:rPr>
          <w:i/>
          <w:iCs/>
        </w:rPr>
        <w:t>Critical Public Health</w:t>
      </w:r>
      <w:r w:rsidRPr="00157265">
        <w:t>, 28(</w:t>
      </w:r>
      <w:r w:rsidRPr="00157265">
        <w:rPr>
          <w:b/>
          <w:bCs/>
        </w:rPr>
        <w:t>3</w:t>
      </w:r>
      <w:r w:rsidRPr="00157265">
        <w:t>), pp.257–268.</w:t>
      </w:r>
    </w:p>
    <w:p w14:paraId="21DAEBB5" w14:textId="0DB1359A" w:rsidR="00B72E3E" w:rsidRDefault="009803C8" w:rsidP="00B72E3E">
      <w:r>
        <w:t xml:space="preserve">The British Red Cross (2022). World Humanitarian Charity. </w:t>
      </w:r>
      <w:r w:rsidRPr="009803C8">
        <w:rPr>
          <w:i/>
          <w:iCs/>
        </w:rPr>
        <w:t>The</w:t>
      </w:r>
      <w:r>
        <w:rPr>
          <w:i/>
          <w:iCs/>
        </w:rPr>
        <w:t xml:space="preserve"> British Red Cross </w:t>
      </w:r>
      <w:r>
        <w:t xml:space="preserve">[online]. Available from: </w:t>
      </w:r>
      <w:hyperlink r:id="rId9" w:history="1">
        <w:r w:rsidRPr="006D37A0">
          <w:rPr>
            <w:rStyle w:val="Hyperlink"/>
          </w:rPr>
          <w:t>https://www.redcross.org.uk/</w:t>
        </w:r>
      </w:hyperlink>
      <w:r>
        <w:t xml:space="preserve"> [Accessed: 26/04/2022].</w:t>
      </w:r>
    </w:p>
    <w:p w14:paraId="6261FDDB" w14:textId="6690F260" w:rsidR="00FF28E3" w:rsidRPr="009803C8" w:rsidRDefault="00FF28E3" w:rsidP="00B72E3E">
      <w:r w:rsidRPr="00FF28E3">
        <w:t xml:space="preserve">Wood, L. (2019). PALAR: Participatory Action Learning and Action Research for Community Engagement. </w:t>
      </w:r>
      <w:r w:rsidRPr="00FF28E3">
        <w:rPr>
          <w:i/>
          <w:iCs/>
        </w:rPr>
        <w:t>Action Learning and Action Research: Genres and Approaches</w:t>
      </w:r>
      <w:r w:rsidRPr="00FF28E3">
        <w:t>, pp.193–206.</w:t>
      </w:r>
    </w:p>
    <w:sectPr w:rsidR="00FF28E3" w:rsidRPr="009803C8" w:rsidSect="00CB0315">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CA59A" w14:textId="77777777" w:rsidR="00EA4B85" w:rsidRDefault="00EA4B85" w:rsidP="00CB0315">
      <w:pPr>
        <w:spacing w:after="0" w:line="240" w:lineRule="auto"/>
      </w:pPr>
      <w:r>
        <w:separator/>
      </w:r>
    </w:p>
  </w:endnote>
  <w:endnote w:type="continuationSeparator" w:id="0">
    <w:p w14:paraId="455F8F65" w14:textId="77777777" w:rsidR="00EA4B85" w:rsidRDefault="00EA4B85" w:rsidP="00CB0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473853"/>
      <w:docPartObj>
        <w:docPartGallery w:val="Page Numbers (Bottom of Page)"/>
        <w:docPartUnique/>
      </w:docPartObj>
    </w:sdtPr>
    <w:sdtEndPr>
      <w:rPr>
        <w:rStyle w:val="PageNumber"/>
      </w:rPr>
    </w:sdtEndPr>
    <w:sdtContent>
      <w:p w14:paraId="1868C6F4" w14:textId="0CDC1F6A" w:rsidR="00CB0315" w:rsidRDefault="00CB0315"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8A5197" w14:textId="77777777" w:rsidR="00CB0315" w:rsidRDefault="00CB0315" w:rsidP="00CB03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970645"/>
      <w:docPartObj>
        <w:docPartGallery w:val="Page Numbers (Bottom of Page)"/>
        <w:docPartUnique/>
      </w:docPartObj>
    </w:sdtPr>
    <w:sdtEndPr>
      <w:rPr>
        <w:rStyle w:val="PageNumber"/>
      </w:rPr>
    </w:sdtEndPr>
    <w:sdtContent>
      <w:p w14:paraId="4FD8A143" w14:textId="797833E1" w:rsidR="00CB0315" w:rsidRDefault="00CB0315"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6604F2" w14:textId="77777777" w:rsidR="00CB0315" w:rsidRDefault="00CB0315" w:rsidP="00CB03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FBE54" w14:textId="77777777" w:rsidR="00EA4B85" w:rsidRDefault="00EA4B85" w:rsidP="00CB0315">
      <w:pPr>
        <w:spacing w:after="0" w:line="240" w:lineRule="auto"/>
      </w:pPr>
      <w:r>
        <w:separator/>
      </w:r>
    </w:p>
  </w:footnote>
  <w:footnote w:type="continuationSeparator" w:id="0">
    <w:p w14:paraId="48934349" w14:textId="77777777" w:rsidR="00EA4B85" w:rsidRDefault="00EA4B85" w:rsidP="00CB03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315"/>
    <w:rsid w:val="00157265"/>
    <w:rsid w:val="001C1016"/>
    <w:rsid w:val="00205185"/>
    <w:rsid w:val="003E056F"/>
    <w:rsid w:val="005433BA"/>
    <w:rsid w:val="007278D5"/>
    <w:rsid w:val="007A3D60"/>
    <w:rsid w:val="009803C8"/>
    <w:rsid w:val="00B72E3E"/>
    <w:rsid w:val="00BD06F1"/>
    <w:rsid w:val="00CB0315"/>
    <w:rsid w:val="00E92F19"/>
    <w:rsid w:val="00EA4B85"/>
    <w:rsid w:val="00EB0A82"/>
    <w:rsid w:val="00F8010B"/>
    <w:rsid w:val="00FB7F89"/>
    <w:rsid w:val="00FF2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3FA5C"/>
  <w15:chartTrackingRefBased/>
  <w15:docId w15:val="{422676EF-E7F6-D149-B77C-DC5AD3AF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CB03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0315"/>
    <w:rPr>
      <w:rFonts w:eastAsiaTheme="minorEastAsia"/>
      <w:sz w:val="22"/>
      <w:szCs w:val="22"/>
      <w:lang w:val="en-US" w:eastAsia="zh-CN"/>
    </w:rPr>
  </w:style>
  <w:style w:type="character" w:customStyle="1" w:styleId="NoSpacingChar">
    <w:name w:val="No Spacing Char"/>
    <w:basedOn w:val="DefaultParagraphFont"/>
    <w:link w:val="NoSpacing"/>
    <w:uiPriority w:val="1"/>
    <w:rsid w:val="00CB0315"/>
    <w:rPr>
      <w:rFonts w:eastAsiaTheme="minorEastAsia"/>
      <w:sz w:val="22"/>
      <w:szCs w:val="22"/>
      <w:lang w:val="en-US" w:eastAsia="zh-CN"/>
    </w:rPr>
  </w:style>
  <w:style w:type="paragraph" w:styleId="Footer">
    <w:name w:val="footer"/>
    <w:basedOn w:val="Normal"/>
    <w:link w:val="FooterChar"/>
    <w:uiPriority w:val="99"/>
    <w:unhideWhenUsed/>
    <w:rsid w:val="00CB0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315"/>
    <w:rPr>
      <w:rFonts w:ascii="Arial" w:hAnsi="Arial"/>
      <w:szCs w:val="22"/>
    </w:rPr>
  </w:style>
  <w:style w:type="character" w:styleId="PageNumber">
    <w:name w:val="page number"/>
    <w:basedOn w:val="DefaultParagraphFont"/>
    <w:uiPriority w:val="99"/>
    <w:semiHidden/>
    <w:unhideWhenUsed/>
    <w:rsid w:val="00CB0315"/>
  </w:style>
  <w:style w:type="character" w:customStyle="1" w:styleId="Heading1Char">
    <w:name w:val="Heading 1 Char"/>
    <w:basedOn w:val="DefaultParagraphFont"/>
    <w:link w:val="Heading1"/>
    <w:uiPriority w:val="9"/>
    <w:rsid w:val="00CB031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803C8"/>
    <w:rPr>
      <w:color w:val="0563C1" w:themeColor="hyperlink"/>
      <w:u w:val="single"/>
    </w:rPr>
  </w:style>
  <w:style w:type="character" w:styleId="UnresolvedMention">
    <w:name w:val="Unresolved Mention"/>
    <w:basedOn w:val="DefaultParagraphFont"/>
    <w:uiPriority w:val="99"/>
    <w:semiHidden/>
    <w:unhideWhenUsed/>
    <w:rsid w:val="009803C8"/>
    <w:rPr>
      <w:color w:val="605E5C"/>
      <w:shd w:val="clear" w:color="auto" w:fill="E1DFDD"/>
    </w:rPr>
  </w:style>
  <w:style w:type="paragraph" w:styleId="TOCHeading">
    <w:name w:val="TOC Heading"/>
    <w:basedOn w:val="Heading1"/>
    <w:next w:val="Normal"/>
    <w:uiPriority w:val="39"/>
    <w:unhideWhenUsed/>
    <w:qFormat/>
    <w:rsid w:val="00FF28E3"/>
    <w:pPr>
      <w:spacing w:before="480"/>
      <w:outlineLvl w:val="9"/>
    </w:pPr>
    <w:rPr>
      <w:b/>
      <w:bCs/>
      <w:sz w:val="28"/>
      <w:szCs w:val="28"/>
      <w:lang w:val="en-US"/>
    </w:rPr>
  </w:style>
  <w:style w:type="paragraph" w:styleId="TOC1">
    <w:name w:val="toc 1"/>
    <w:basedOn w:val="Normal"/>
    <w:next w:val="Normal"/>
    <w:autoRedefine/>
    <w:uiPriority w:val="39"/>
    <w:unhideWhenUsed/>
    <w:rsid w:val="00FF28E3"/>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FF28E3"/>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FF28E3"/>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F28E3"/>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F28E3"/>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F28E3"/>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F28E3"/>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F28E3"/>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F28E3"/>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dcros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0BB995-E8AD-6E48-83C5-77617F2A4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2393</Words>
  <Characters>13644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LCBB4002 Community Engagement A1</dc:title>
  <dc:subject>Module Leader: Dr Molly Jack</dc:subject>
  <dc:creator>Student Name: Nikolinka Nedelcheva</dc:creator>
  <cp:keywords/>
  <dc:description/>
  <cp:lastModifiedBy>Dari-Anna A Kuseva</cp:lastModifiedBy>
  <cp:revision>9</cp:revision>
  <dcterms:created xsi:type="dcterms:W3CDTF">2022-05-03T12:46:00Z</dcterms:created>
  <dcterms:modified xsi:type="dcterms:W3CDTF">2022-05-03T13:47:00Z</dcterms:modified>
</cp:coreProperties>
</file>