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780F1" w14:textId="09AFA430" w:rsidR="00C40ACB" w:rsidRPr="00C40ACB" w:rsidRDefault="00C40ACB" w:rsidP="008D5942">
      <w:pPr>
        <w:rPr>
          <w:b/>
          <w:bCs/>
          <w:u w:val="single"/>
          <w:lang w:val="en-GB"/>
        </w:rPr>
      </w:pPr>
      <w:r w:rsidRPr="00C40ACB">
        <w:rPr>
          <w:b/>
          <w:bCs/>
          <w:u w:val="single"/>
          <w:lang w:val="en-GB"/>
        </w:rPr>
        <w:t>Learning in the Digital Era</w:t>
      </w:r>
      <w:r w:rsidRPr="00C40ACB">
        <w:rPr>
          <w:b/>
          <w:bCs/>
          <w:u w:val="single"/>
          <w:lang w:val="en-GB"/>
        </w:rPr>
        <w:t xml:space="preserve"> (</w:t>
      </w:r>
      <w:r w:rsidRPr="00C40ACB">
        <w:rPr>
          <w:b/>
          <w:bCs/>
          <w:u w:val="single"/>
          <w:lang w:val="en-GB"/>
        </w:rPr>
        <w:t>ADPA4001</w:t>
      </w:r>
      <w:r w:rsidRPr="00C40ACB">
        <w:rPr>
          <w:b/>
          <w:bCs/>
          <w:u w:val="single"/>
          <w:lang w:val="en-GB"/>
        </w:rPr>
        <w:t>)</w:t>
      </w:r>
    </w:p>
    <w:p w14:paraId="289ED510" w14:textId="67E736C3" w:rsidR="008D5942" w:rsidRPr="00E40C48" w:rsidRDefault="00C40ACB" w:rsidP="008D5942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Task 1: </w:t>
      </w:r>
      <w:r w:rsidR="008D5942" w:rsidRPr="00E40C48">
        <w:rPr>
          <w:b/>
          <w:bCs/>
          <w:lang w:val="en-US"/>
        </w:rPr>
        <w:t>The most important Skills in Props &amp; Set Design</w:t>
      </w:r>
    </w:p>
    <w:p w14:paraId="4580CE17" w14:textId="29967C1F" w:rsidR="008D5942" w:rsidRDefault="008D5942" w:rsidP="008D5942">
      <w:pPr>
        <w:rPr>
          <w:lang w:val="en-US"/>
        </w:rPr>
      </w:pPr>
      <w:r>
        <w:rPr>
          <w:lang w:val="en-US"/>
        </w:rPr>
        <w:t>I think that the commonly known 4 Cs (</w:t>
      </w:r>
      <w:r w:rsidRPr="008D5942">
        <w:rPr>
          <w:lang w:val="en-US"/>
        </w:rPr>
        <w:t>Which are “Creativity, Critical Analysis, Communication and Collaboration)</w:t>
      </w:r>
      <w:r>
        <w:rPr>
          <w:lang w:val="en-US"/>
        </w:rPr>
        <w:t xml:space="preserve"> are still fundamental for any kind of design Job you need to do. </w:t>
      </w:r>
      <w:r w:rsidR="00AA3974">
        <w:rPr>
          <w:lang w:val="en-US"/>
        </w:rPr>
        <w:t>Creativity &amp;</w:t>
      </w:r>
      <w:r>
        <w:rPr>
          <w:lang w:val="en-US"/>
        </w:rPr>
        <w:t xml:space="preserve"> Critical Analysis is important for creating new and innovative Products, finding new solutions to Problems and to become aware to what really happens in your surroundings.</w:t>
      </w:r>
      <w:r w:rsidR="00C40ACB">
        <w:rPr>
          <w:lang w:val="en-US"/>
        </w:rPr>
        <w:t xml:space="preserve"> </w:t>
      </w:r>
      <w:r>
        <w:rPr>
          <w:lang w:val="en-US"/>
        </w:rPr>
        <w:t>Communication and Collaboration is important to work in a team and to get tasks and Project done efficiently</w:t>
      </w:r>
      <w:r w:rsidR="00C40ACB">
        <w:rPr>
          <w:lang w:val="en-US"/>
        </w:rPr>
        <w:t xml:space="preserve"> </w:t>
      </w:r>
      <w:r w:rsidR="00C40ACB">
        <w:rPr>
          <w:lang w:val="en-US"/>
        </w:rPr>
        <w:t>(Brown, 2015, p. 58-64)</w:t>
      </w:r>
      <w:r>
        <w:rPr>
          <w:lang w:val="en-US"/>
        </w:rPr>
        <w:t>.</w:t>
      </w:r>
      <w:r w:rsidR="00C40ACB">
        <w:rPr>
          <w:lang w:val="en-US"/>
        </w:rPr>
        <w:t xml:space="preserve"> </w:t>
      </w:r>
      <w:r w:rsidR="00C40ACB">
        <w:rPr>
          <w:lang w:val="en-US"/>
        </w:rPr>
        <w:t>I strongly believe that these skills should be taught to every Student from day one on.</w:t>
      </w:r>
    </w:p>
    <w:p w14:paraId="1E7116BD" w14:textId="1C834857" w:rsidR="008D5942" w:rsidRDefault="008D5942" w:rsidP="008D5942">
      <w:pPr>
        <w:rPr>
          <w:lang w:val="en-US"/>
        </w:rPr>
      </w:pPr>
      <w:r w:rsidRPr="008D5942">
        <w:rPr>
          <w:lang w:val="en-US"/>
        </w:rPr>
        <w:t>I</w:t>
      </w:r>
      <w:r>
        <w:rPr>
          <w:lang w:val="en-US"/>
        </w:rPr>
        <w:t xml:space="preserve"> </w:t>
      </w:r>
      <w:r w:rsidR="00AA3974">
        <w:rPr>
          <w:lang w:val="en-US"/>
        </w:rPr>
        <w:t xml:space="preserve">also </w:t>
      </w:r>
      <w:r w:rsidR="00AA3974" w:rsidRPr="008D5942">
        <w:rPr>
          <w:lang w:val="en-US"/>
        </w:rPr>
        <w:t>found</w:t>
      </w:r>
      <w:r w:rsidRPr="008D5942">
        <w:rPr>
          <w:lang w:val="en-US"/>
        </w:rPr>
        <w:t xml:space="preserve"> out for myself that “listening” is a very important Skill as well. Not listening in a classical way as in “hearing”</w:t>
      </w:r>
      <w:r>
        <w:rPr>
          <w:lang w:val="en-US"/>
        </w:rPr>
        <w:t>,</w:t>
      </w:r>
      <w:r w:rsidRPr="008D5942">
        <w:rPr>
          <w:lang w:val="en-US"/>
        </w:rPr>
        <w:t xml:space="preserve"> but in a deeper meaning as “listening” of what the client or project really needs, or “listening” to the Materials you work with,</w:t>
      </w:r>
      <w:r w:rsidR="00C40ACB">
        <w:rPr>
          <w:lang w:val="en-US"/>
        </w:rPr>
        <w:t xml:space="preserve"> find out how they react</w:t>
      </w:r>
      <w:r w:rsidRPr="008D5942">
        <w:rPr>
          <w:lang w:val="en-US"/>
        </w:rPr>
        <w:t xml:space="preserve"> or even </w:t>
      </w:r>
      <w:r>
        <w:rPr>
          <w:lang w:val="en-US"/>
        </w:rPr>
        <w:t>“</w:t>
      </w:r>
      <w:r w:rsidRPr="008D5942">
        <w:rPr>
          <w:lang w:val="en-US"/>
        </w:rPr>
        <w:t>listen</w:t>
      </w:r>
      <w:r>
        <w:rPr>
          <w:lang w:val="en-US"/>
        </w:rPr>
        <w:t>”</w:t>
      </w:r>
      <w:r w:rsidRPr="008D5942">
        <w:rPr>
          <w:lang w:val="en-US"/>
        </w:rPr>
        <w:t xml:space="preserve"> to yourself what you really want to achieve with the project you are working on</w:t>
      </w:r>
      <w:r w:rsidR="00432A5A">
        <w:rPr>
          <w:lang w:val="en-US"/>
        </w:rPr>
        <w:t xml:space="preserve"> (Schell,</w:t>
      </w:r>
      <w:r w:rsidR="00C4717B">
        <w:rPr>
          <w:lang w:val="en-US"/>
        </w:rPr>
        <w:t xml:space="preserve"> 2008,</w:t>
      </w:r>
      <w:r w:rsidR="00432A5A">
        <w:rPr>
          <w:lang w:val="en-US"/>
        </w:rPr>
        <w:t xml:space="preserve"> p</w:t>
      </w:r>
      <w:r w:rsidRPr="008D5942">
        <w:rPr>
          <w:lang w:val="en-US"/>
        </w:rPr>
        <w:t>.</w:t>
      </w:r>
      <w:r w:rsidR="00432A5A">
        <w:rPr>
          <w:lang w:val="en-US"/>
        </w:rPr>
        <w:t xml:space="preserve"> 4-6)</w:t>
      </w:r>
      <w:r w:rsidR="00C40ACB">
        <w:rPr>
          <w:lang w:val="en-US"/>
        </w:rPr>
        <w:t>.</w:t>
      </w:r>
    </w:p>
    <w:p w14:paraId="499FA7E6" w14:textId="3EED95F2" w:rsidR="008D5942" w:rsidRPr="008D5942" w:rsidRDefault="008D5942" w:rsidP="008D5942">
      <w:pPr>
        <w:rPr>
          <w:lang w:val="en-GB"/>
        </w:rPr>
      </w:pPr>
      <w:r>
        <w:rPr>
          <w:lang w:val="en-US"/>
        </w:rPr>
        <w:t>Also, on a long term “Working Safety”</w:t>
      </w:r>
      <w:r w:rsidR="00313825">
        <w:rPr>
          <w:lang w:val="en-US"/>
        </w:rPr>
        <w:t xml:space="preserve"> </w:t>
      </w:r>
      <w:r w:rsidR="00CB7D6B">
        <w:rPr>
          <w:lang w:val="en-US"/>
        </w:rPr>
        <w:t>(Hart,</w:t>
      </w:r>
      <w:r w:rsidR="00C4717B">
        <w:rPr>
          <w:lang w:val="en-US"/>
        </w:rPr>
        <w:t xml:space="preserve"> 2013,</w:t>
      </w:r>
      <w:r w:rsidR="00AA3974">
        <w:rPr>
          <w:lang w:val="en-US"/>
        </w:rPr>
        <w:t xml:space="preserve"> </w:t>
      </w:r>
      <w:r w:rsidR="00CB7D6B">
        <w:rPr>
          <w:lang w:val="en-US"/>
        </w:rPr>
        <w:t>p.26-27)</w:t>
      </w:r>
      <w:r>
        <w:rPr>
          <w:lang w:val="en-US"/>
        </w:rPr>
        <w:t xml:space="preserve"> and “</w:t>
      </w:r>
      <w:r w:rsidR="00942305">
        <w:rPr>
          <w:lang w:val="en-US"/>
        </w:rPr>
        <w:t>U</w:t>
      </w:r>
      <w:r>
        <w:rPr>
          <w:lang w:val="en-US"/>
        </w:rPr>
        <w:t>sing the right tools”</w:t>
      </w:r>
      <w:r w:rsidR="00313825">
        <w:rPr>
          <w:lang w:val="en-US"/>
        </w:rPr>
        <w:t xml:space="preserve"> (Raoul and Monsos, 2015, p.1)</w:t>
      </w:r>
      <w:r>
        <w:rPr>
          <w:lang w:val="en-US"/>
        </w:rPr>
        <w:t xml:space="preserve"> is a big thing</w:t>
      </w:r>
      <w:r w:rsidR="00942305">
        <w:rPr>
          <w:lang w:val="en-US"/>
        </w:rPr>
        <w:t>,</w:t>
      </w:r>
      <w:r>
        <w:rPr>
          <w:lang w:val="en-US"/>
        </w:rPr>
        <w:t xml:space="preserve"> since as a “Prop and Set Designer” you do work with a wide variety of different powerful tools and Materials. While on the one hand these Tools can be very useful if chosen and operated correctly, they can also, in a moment of unawareness, seriously injure you or can even be deadly. So, in an environment where the usage and </w:t>
      </w:r>
      <w:r w:rsidR="00942305">
        <w:rPr>
          <w:lang w:val="en-US"/>
        </w:rPr>
        <w:t xml:space="preserve">permanent </w:t>
      </w:r>
      <w:r>
        <w:rPr>
          <w:lang w:val="en-US"/>
        </w:rPr>
        <w:t>switching of such powerful tools is common and done on a regular basis</w:t>
      </w:r>
      <w:r w:rsidR="00995D8B">
        <w:rPr>
          <w:lang w:val="en-US"/>
        </w:rPr>
        <w:t>,</w:t>
      </w:r>
      <w:r>
        <w:rPr>
          <w:lang w:val="en-US"/>
        </w:rPr>
        <w:t xml:space="preserve"> it is just a matter of time that something bad might happen to either the </w:t>
      </w:r>
      <w:r w:rsidR="00942305">
        <w:rPr>
          <w:lang w:val="en-US"/>
        </w:rPr>
        <w:t>o</w:t>
      </w:r>
      <w:r>
        <w:rPr>
          <w:lang w:val="en-US"/>
        </w:rPr>
        <w:t>bject you are working on, or even worse, to you as a Designer. Loosing a Finger or an Arm could mean that you can’t do your job properly anymore and therefore</w:t>
      </w:r>
      <w:r w:rsidR="00942305">
        <w:rPr>
          <w:lang w:val="en-US"/>
        </w:rPr>
        <w:t xml:space="preserve"> may</w:t>
      </w:r>
      <w:r>
        <w:rPr>
          <w:lang w:val="en-US"/>
        </w:rPr>
        <w:t xml:space="preserve"> have to quit it.</w:t>
      </w:r>
    </w:p>
    <w:p w14:paraId="3035F193" w14:textId="747AAB00" w:rsidR="00E06CED" w:rsidRDefault="00E06CED">
      <w:pPr>
        <w:rPr>
          <w:lang w:val="en-GB"/>
        </w:rPr>
      </w:pPr>
    </w:p>
    <w:p w14:paraId="402A28C2" w14:textId="77777777" w:rsidR="00995D8B" w:rsidRDefault="00995D8B">
      <w:pPr>
        <w:rPr>
          <w:lang w:val="en-GB"/>
        </w:rPr>
      </w:pPr>
    </w:p>
    <w:p w14:paraId="0B8712E5" w14:textId="77777777" w:rsidR="00995D8B" w:rsidRDefault="00995D8B">
      <w:pPr>
        <w:rPr>
          <w:lang w:val="en-GB"/>
        </w:rPr>
      </w:pPr>
    </w:p>
    <w:p w14:paraId="2832D2EB" w14:textId="77777777" w:rsidR="00995D8B" w:rsidRDefault="00995D8B">
      <w:pPr>
        <w:rPr>
          <w:lang w:val="en-GB"/>
        </w:rPr>
      </w:pPr>
    </w:p>
    <w:p w14:paraId="5C8FAB80" w14:textId="77777777" w:rsidR="00995D8B" w:rsidRDefault="00995D8B">
      <w:pPr>
        <w:rPr>
          <w:lang w:val="en-GB"/>
        </w:rPr>
      </w:pPr>
    </w:p>
    <w:p w14:paraId="0D01235D" w14:textId="77777777" w:rsidR="00995D8B" w:rsidRDefault="00995D8B">
      <w:pPr>
        <w:rPr>
          <w:lang w:val="en-GB"/>
        </w:rPr>
      </w:pPr>
    </w:p>
    <w:p w14:paraId="119A8F0D" w14:textId="77777777" w:rsidR="00995D8B" w:rsidRDefault="00995D8B">
      <w:pPr>
        <w:rPr>
          <w:lang w:val="en-GB"/>
        </w:rPr>
      </w:pPr>
    </w:p>
    <w:p w14:paraId="3A1D9507" w14:textId="77777777" w:rsidR="00995D8B" w:rsidRDefault="00995D8B">
      <w:pPr>
        <w:rPr>
          <w:lang w:val="en-GB"/>
        </w:rPr>
      </w:pPr>
    </w:p>
    <w:p w14:paraId="236D01EE" w14:textId="77777777" w:rsidR="00995D8B" w:rsidRDefault="00995D8B">
      <w:pPr>
        <w:rPr>
          <w:lang w:val="en-GB"/>
        </w:rPr>
      </w:pPr>
    </w:p>
    <w:p w14:paraId="352800BD" w14:textId="77777777" w:rsidR="00995D8B" w:rsidRDefault="00995D8B">
      <w:pPr>
        <w:rPr>
          <w:lang w:val="en-GB"/>
        </w:rPr>
      </w:pPr>
    </w:p>
    <w:p w14:paraId="55EEAB3F" w14:textId="77777777" w:rsidR="00995D8B" w:rsidRDefault="00995D8B">
      <w:pPr>
        <w:rPr>
          <w:lang w:val="en-GB"/>
        </w:rPr>
      </w:pPr>
    </w:p>
    <w:p w14:paraId="0365104C" w14:textId="77777777" w:rsidR="00995D8B" w:rsidRDefault="00995D8B">
      <w:pPr>
        <w:rPr>
          <w:lang w:val="en-GB"/>
        </w:rPr>
      </w:pPr>
    </w:p>
    <w:p w14:paraId="3DA90590" w14:textId="77777777" w:rsidR="00995D8B" w:rsidRDefault="00995D8B">
      <w:pPr>
        <w:rPr>
          <w:lang w:val="en-GB"/>
        </w:rPr>
      </w:pPr>
    </w:p>
    <w:p w14:paraId="4B1542C7" w14:textId="77777777" w:rsidR="00C40ACB" w:rsidRDefault="00C40ACB">
      <w:pPr>
        <w:rPr>
          <w:lang w:val="en-GB"/>
        </w:rPr>
      </w:pPr>
    </w:p>
    <w:p w14:paraId="089C566A" w14:textId="77777777" w:rsidR="00C40ACB" w:rsidRDefault="00C40ACB">
      <w:pPr>
        <w:rPr>
          <w:b/>
          <w:bCs/>
          <w:lang w:val="en-GB"/>
        </w:rPr>
      </w:pPr>
    </w:p>
    <w:p w14:paraId="3E987DC8" w14:textId="77777777" w:rsidR="00C4717B" w:rsidRDefault="00C4717B">
      <w:pPr>
        <w:rPr>
          <w:b/>
          <w:bCs/>
          <w:lang w:val="en-GB"/>
        </w:rPr>
      </w:pPr>
    </w:p>
    <w:p w14:paraId="7D77F0D9" w14:textId="3B9E2FB1" w:rsidR="00995D8B" w:rsidRPr="00995D8B" w:rsidRDefault="00995D8B">
      <w:pPr>
        <w:rPr>
          <w:b/>
          <w:bCs/>
          <w:lang w:val="en-GB"/>
        </w:rPr>
      </w:pPr>
      <w:r w:rsidRPr="00995D8B">
        <w:rPr>
          <w:b/>
          <w:bCs/>
          <w:lang w:val="en-GB"/>
        </w:rPr>
        <w:lastRenderedPageBreak/>
        <w:t>Reference List:</w:t>
      </w:r>
    </w:p>
    <w:p w14:paraId="2642E61C" w14:textId="14A335D9" w:rsidR="00C4717B" w:rsidRPr="00A256E6" w:rsidRDefault="00C4717B">
      <w:pPr>
        <w:rPr>
          <w:lang w:val="en-GB"/>
        </w:rPr>
      </w:pPr>
      <w:r>
        <w:rPr>
          <w:lang w:val="en-GB"/>
        </w:rPr>
        <w:t>Brown, B. (2015) ‘</w:t>
      </w:r>
      <w:r w:rsidRPr="0050186A">
        <w:rPr>
          <w:lang w:val="en-GB"/>
        </w:rPr>
        <w:t>Twenty First Century Skills: A Bermuda College Perspective’</w:t>
      </w:r>
      <w:r>
        <w:rPr>
          <w:lang w:val="en-GB"/>
        </w:rPr>
        <w:t>,</w:t>
      </w:r>
      <w:r w:rsidRPr="0050186A">
        <w:rPr>
          <w:lang w:val="en-GB"/>
        </w:rPr>
        <w:t xml:space="preserve"> </w:t>
      </w:r>
      <w:r w:rsidRPr="00995D8B">
        <w:rPr>
          <w:i/>
          <w:iCs/>
          <w:lang w:val="en-GB"/>
        </w:rPr>
        <w:t>Voices in Education</w:t>
      </w:r>
      <w:r w:rsidRPr="00A256E6">
        <w:rPr>
          <w:lang w:val="en-GB"/>
        </w:rPr>
        <w:t>, V1, pp. 58-64</w:t>
      </w:r>
      <w:r w:rsidR="00E85B30">
        <w:rPr>
          <w:lang w:val="en-GB"/>
        </w:rPr>
        <w:t>.</w:t>
      </w:r>
      <w:r w:rsidRPr="00A256E6">
        <w:rPr>
          <w:lang w:val="en-GB"/>
        </w:rPr>
        <w:t xml:space="preserve"> </w:t>
      </w:r>
    </w:p>
    <w:p w14:paraId="6F828F5F" w14:textId="756141C2" w:rsidR="00C4717B" w:rsidRDefault="00C4717B">
      <w:pPr>
        <w:rPr>
          <w:lang w:val="en-GB"/>
        </w:rPr>
      </w:pPr>
      <w:r>
        <w:rPr>
          <w:lang w:val="en-GB"/>
        </w:rPr>
        <w:t xml:space="preserve">Hart, E. (2013) </w:t>
      </w:r>
      <w:r w:rsidRPr="00313825">
        <w:rPr>
          <w:i/>
          <w:iCs/>
          <w:lang w:val="en-GB"/>
        </w:rPr>
        <w:t>The Prop Building Handbook for Theatre, Film and TV</w:t>
      </w:r>
      <w:r>
        <w:rPr>
          <w:i/>
          <w:iCs/>
          <w:lang w:val="en-GB"/>
        </w:rPr>
        <w:t xml:space="preserve">. </w:t>
      </w:r>
      <w:r w:rsidRPr="00313825">
        <w:rPr>
          <w:lang w:val="en-GB"/>
        </w:rPr>
        <w:t>1</w:t>
      </w:r>
      <w:r w:rsidRPr="00313825">
        <w:rPr>
          <w:vertAlign w:val="superscript"/>
          <w:lang w:val="en-GB"/>
        </w:rPr>
        <w:t>st</w:t>
      </w:r>
      <w:r w:rsidRPr="00313825">
        <w:rPr>
          <w:lang w:val="en-GB"/>
        </w:rPr>
        <w:t xml:space="preserve"> edn</w:t>
      </w:r>
      <w:r>
        <w:rPr>
          <w:lang w:val="en-GB"/>
        </w:rPr>
        <w:t>. Burlington: Focal Press.</w:t>
      </w:r>
    </w:p>
    <w:p w14:paraId="7EC32020" w14:textId="0AA4F540" w:rsidR="00C4717B" w:rsidRDefault="00C4717B">
      <w:pPr>
        <w:rPr>
          <w:lang w:val="en-GB"/>
        </w:rPr>
      </w:pPr>
      <w:r>
        <w:rPr>
          <w:lang w:val="en-GB"/>
        </w:rPr>
        <w:t xml:space="preserve">Raoul, B. and Monsos, M. (2015) </w:t>
      </w:r>
      <w:r w:rsidRPr="00313825">
        <w:rPr>
          <w:i/>
          <w:iCs/>
          <w:lang w:val="en-GB"/>
        </w:rPr>
        <w:t>Stock Scenery Construction Handbook</w:t>
      </w:r>
      <w:r>
        <w:rPr>
          <w:i/>
          <w:iCs/>
          <w:lang w:val="en-GB"/>
        </w:rPr>
        <w:t xml:space="preserve">. </w:t>
      </w:r>
      <w:r>
        <w:rPr>
          <w:lang w:val="en-GB"/>
        </w:rPr>
        <w:t>3</w:t>
      </w:r>
      <w:r w:rsidRPr="00313825">
        <w:rPr>
          <w:vertAlign w:val="superscript"/>
          <w:lang w:val="en-GB"/>
        </w:rPr>
        <w:t>rd</w:t>
      </w:r>
      <w:r>
        <w:rPr>
          <w:lang w:val="en-GB"/>
        </w:rPr>
        <w:t xml:space="preserve"> </w:t>
      </w:r>
      <w:r w:rsidRPr="00313825">
        <w:rPr>
          <w:lang w:val="en-GB"/>
        </w:rPr>
        <w:t>edn.</w:t>
      </w:r>
      <w:r>
        <w:rPr>
          <w:i/>
          <w:iCs/>
          <w:lang w:val="en-GB"/>
        </w:rPr>
        <w:t xml:space="preserve"> </w:t>
      </w:r>
      <w:r w:rsidRPr="00313825">
        <w:rPr>
          <w:lang w:val="en-GB"/>
        </w:rPr>
        <w:t>Louisville:</w:t>
      </w:r>
      <w:r>
        <w:rPr>
          <w:lang w:val="en-GB"/>
        </w:rPr>
        <w:t xml:space="preserve"> Broadway Press.</w:t>
      </w:r>
    </w:p>
    <w:p w14:paraId="1EB46C21" w14:textId="77777777" w:rsidR="00C4717B" w:rsidRDefault="00C4717B">
      <w:pPr>
        <w:rPr>
          <w:lang w:val="en-GB"/>
        </w:rPr>
      </w:pPr>
      <w:r>
        <w:rPr>
          <w:lang w:val="en-GB"/>
        </w:rPr>
        <w:t xml:space="preserve">Schell, J. (2008) </w:t>
      </w:r>
      <w:r w:rsidRPr="00A256E6">
        <w:rPr>
          <w:i/>
          <w:iCs/>
          <w:lang w:val="en-GB"/>
        </w:rPr>
        <w:t>The Art of Game Design: A Book of Lenses</w:t>
      </w:r>
      <w:r>
        <w:rPr>
          <w:i/>
          <w:iCs/>
          <w:lang w:val="en-GB"/>
        </w:rPr>
        <w:t>.</w:t>
      </w:r>
      <w:r>
        <w:rPr>
          <w:lang w:val="en-GB"/>
        </w:rPr>
        <w:t xml:space="preserve"> 1</w:t>
      </w:r>
      <w:r>
        <w:rPr>
          <w:vertAlign w:val="superscript"/>
          <w:lang w:val="en-GB"/>
        </w:rPr>
        <w:t>st</w:t>
      </w:r>
      <w:r>
        <w:rPr>
          <w:lang w:val="en-GB"/>
        </w:rPr>
        <w:t xml:space="preserve"> edn. </w:t>
      </w:r>
      <w:r w:rsidRPr="00432A5A">
        <w:rPr>
          <w:lang w:val="en-GB"/>
        </w:rPr>
        <w:t>Boston:</w:t>
      </w:r>
      <w:r>
        <w:rPr>
          <w:lang w:val="en-GB"/>
        </w:rPr>
        <w:t xml:space="preserve"> </w:t>
      </w:r>
      <w:r w:rsidRPr="00432A5A">
        <w:rPr>
          <w:lang w:val="en-GB"/>
        </w:rPr>
        <w:t>Elsevier/Morgan Kaufmann</w:t>
      </w:r>
      <w:r>
        <w:rPr>
          <w:lang w:val="en-GB"/>
        </w:rPr>
        <w:t>.</w:t>
      </w:r>
    </w:p>
    <w:p w14:paraId="2B2F008A" w14:textId="4534868C" w:rsidR="00480DFA" w:rsidRDefault="00480DFA">
      <w:pPr>
        <w:rPr>
          <w:lang w:val="en-GB"/>
        </w:rPr>
      </w:pPr>
    </w:p>
    <w:p w14:paraId="5E486569" w14:textId="6C2C4CD3" w:rsidR="00480DFA" w:rsidRPr="00995D8B" w:rsidRDefault="00480DFA">
      <w:pPr>
        <w:rPr>
          <w:b/>
          <w:bCs/>
          <w:lang w:val="en-GB"/>
        </w:rPr>
      </w:pPr>
      <w:r w:rsidRPr="00995D8B">
        <w:rPr>
          <w:b/>
          <w:bCs/>
          <w:lang w:val="en-GB"/>
        </w:rPr>
        <w:t>Similarity Score: 12%</w:t>
      </w:r>
    </w:p>
    <w:p w14:paraId="7A8C2BCA" w14:textId="1AF3A3DE" w:rsidR="00480DFA" w:rsidRDefault="00480DFA">
      <w:pPr>
        <w:rPr>
          <w:lang w:val="en-GB"/>
        </w:rPr>
      </w:pPr>
      <w:r>
        <w:rPr>
          <w:lang w:val="en-GB"/>
        </w:rPr>
        <w:t xml:space="preserve">Since we´ve been told that a “good/average” Similarity Score lies between 5% and 15%, I think that my score of 12% looks good so far. For future submitting works I </w:t>
      </w:r>
      <w:r w:rsidR="003D7EA9">
        <w:rPr>
          <w:lang w:val="en-GB"/>
        </w:rPr>
        <w:t>will generally follow the approach I did here and which I will explain further in my following self-graduation.</w:t>
      </w:r>
    </w:p>
    <w:p w14:paraId="0FE22C35" w14:textId="72C69556" w:rsidR="003D7EA9" w:rsidRDefault="003D7EA9">
      <w:pPr>
        <w:rPr>
          <w:lang w:val="en-GB"/>
        </w:rPr>
      </w:pPr>
    </w:p>
    <w:p w14:paraId="475C0B43" w14:textId="5E803FF9" w:rsidR="003D7EA9" w:rsidRPr="00E40C48" w:rsidRDefault="00E40C48">
      <w:pPr>
        <w:rPr>
          <w:b/>
          <w:bCs/>
          <w:lang w:val="en-GB"/>
        </w:rPr>
      </w:pPr>
      <w:r w:rsidRPr="00E40C48">
        <w:rPr>
          <w:b/>
          <w:bCs/>
          <w:lang w:val="en-GB"/>
        </w:rPr>
        <w:t>Self-Graduation</w:t>
      </w:r>
      <w:r w:rsidR="003D7EA9" w:rsidRPr="00E40C48">
        <w:rPr>
          <w:b/>
          <w:bCs/>
          <w:lang w:val="en-GB"/>
        </w:rPr>
        <w:t>:</w:t>
      </w:r>
    </w:p>
    <w:p w14:paraId="3F1F5C25" w14:textId="01777D6C" w:rsidR="00995D8B" w:rsidRDefault="00995D8B">
      <w:pPr>
        <w:rPr>
          <w:lang w:val="en-GB"/>
        </w:rPr>
      </w:pPr>
      <w:r>
        <w:rPr>
          <w:lang w:val="en-GB"/>
        </w:rPr>
        <w:t>I would</w:t>
      </w:r>
      <w:r w:rsidR="00E40C48">
        <w:rPr>
          <w:lang w:val="en-GB"/>
        </w:rPr>
        <w:t xml:space="preserve"> award myself with 100% since I referred to Books and Articles I have owned, read, internalized and </w:t>
      </w:r>
      <w:r w:rsidR="00E40C48">
        <w:rPr>
          <w:lang w:val="en-GB"/>
        </w:rPr>
        <w:t>already</w:t>
      </w:r>
      <w:r w:rsidR="00E40C48">
        <w:rPr>
          <w:lang w:val="en-GB"/>
        </w:rPr>
        <w:t xml:space="preserve"> implemented in my daily work life. I also chose topics that aren’t too similar to each other. Doublechecking that I did the correct referencing should secure me the “Exceptional rating” on this task. </w:t>
      </w:r>
    </w:p>
    <w:p w14:paraId="54F2E1D4" w14:textId="77777777" w:rsidR="003D7EA9" w:rsidRPr="00A256E6" w:rsidRDefault="003D7EA9">
      <w:pPr>
        <w:rPr>
          <w:lang w:val="en-GB"/>
        </w:rPr>
      </w:pPr>
    </w:p>
    <w:sectPr w:rsidR="003D7EA9" w:rsidRPr="00A256E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0DC"/>
    <w:rsid w:val="00313825"/>
    <w:rsid w:val="00316D71"/>
    <w:rsid w:val="003D7EA9"/>
    <w:rsid w:val="00432A5A"/>
    <w:rsid w:val="00480DFA"/>
    <w:rsid w:val="0050186A"/>
    <w:rsid w:val="008120DC"/>
    <w:rsid w:val="008D5942"/>
    <w:rsid w:val="008E2933"/>
    <w:rsid w:val="00942305"/>
    <w:rsid w:val="00995D8B"/>
    <w:rsid w:val="009B63F2"/>
    <w:rsid w:val="00A256E6"/>
    <w:rsid w:val="00AA3974"/>
    <w:rsid w:val="00C40ACB"/>
    <w:rsid w:val="00C4717B"/>
    <w:rsid w:val="00CB7D6B"/>
    <w:rsid w:val="00D34071"/>
    <w:rsid w:val="00E06CED"/>
    <w:rsid w:val="00E40C48"/>
    <w:rsid w:val="00E8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36C67"/>
  <w15:chartTrackingRefBased/>
  <w15:docId w15:val="{6B2A3B96-568F-4B5A-A054-54B45105D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29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Nexus Exit</dc:creator>
  <cp:keywords/>
  <dc:description/>
  <cp:lastModifiedBy>Nexus Exit</cp:lastModifiedBy>
  <cp:revision>4</cp:revision>
  <dcterms:created xsi:type="dcterms:W3CDTF">2022-10-16T09:54:00Z</dcterms:created>
  <dcterms:modified xsi:type="dcterms:W3CDTF">2022-10-16T10:54:00Z</dcterms:modified>
</cp:coreProperties>
</file>