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4DFE98" w14:textId="77777777" w:rsidR="00D671F8" w:rsidRDefault="00D671F8">
      <w:pPr>
        <w:spacing w:before="60" w:after="60"/>
      </w:pPr>
    </w:p>
    <w:p w14:paraId="722CF897" w14:textId="77777777" w:rsidR="00D671F8" w:rsidRDefault="00D671F8">
      <w:pPr>
        <w:spacing w:before="60" w:after="60"/>
      </w:pPr>
    </w:p>
    <w:p w14:paraId="42499DDC" w14:textId="77777777" w:rsidR="00D671F8" w:rsidRDefault="00000000">
      <w:pPr>
        <w:spacing w:after="80"/>
        <w:jc w:val="center"/>
      </w:pPr>
      <w:r>
        <w:rPr>
          <w:b/>
          <w:bCs/>
          <w:sz w:val="38"/>
          <w:szCs w:val="38"/>
        </w:rPr>
        <w:t>UNIVERSITY OF WALES TRINITY SAINT DAVID</w:t>
      </w:r>
    </w:p>
    <w:p w14:paraId="1D39D512" w14:textId="77777777" w:rsidR="00D671F8" w:rsidRDefault="00000000">
      <w:pPr>
        <w:spacing w:after="60"/>
        <w:jc w:val="center"/>
      </w:pPr>
      <w:r>
        <w:rPr>
          <w:i/>
          <w:iCs/>
        </w:rPr>
        <w:t>Prifysgol Cymru Y Drindod Dewi Sant</w:t>
      </w:r>
    </w:p>
    <w:p w14:paraId="4EAFC657" w14:textId="77777777" w:rsidR="00D671F8" w:rsidRDefault="00D671F8">
      <w:pPr>
        <w:pBdr>
          <w:bottom w:val="single" w:sz="6" w:space="1" w:color="0066CC"/>
        </w:pBdr>
        <w:spacing w:after="360"/>
        <w:jc w:val="center"/>
      </w:pPr>
    </w:p>
    <w:p w14:paraId="4858D74A" w14:textId="77777777" w:rsidR="00D671F8" w:rsidRDefault="00D671F8">
      <w:pPr>
        <w:spacing w:before="60" w:after="60"/>
      </w:pPr>
    </w:p>
    <w:p w14:paraId="13480A00" w14:textId="77777777" w:rsidR="00D671F8" w:rsidRDefault="00000000">
      <w:pPr>
        <w:spacing w:before="120" w:after="80"/>
        <w:jc w:val="center"/>
      </w:pPr>
      <w:r>
        <w:rPr>
          <w:b/>
          <w:bCs/>
          <w:sz w:val="44"/>
          <w:szCs w:val="44"/>
        </w:rPr>
        <w:t>MARKETING STRATEGIES PORTFOLIO</w:t>
      </w:r>
    </w:p>
    <w:p w14:paraId="4DB46CDA" w14:textId="77777777" w:rsidR="00D671F8" w:rsidRDefault="00000000">
      <w:pPr>
        <w:spacing w:after="80"/>
        <w:jc w:val="center"/>
      </w:pPr>
      <w:r>
        <w:rPr>
          <w:i/>
          <w:iCs/>
          <w:sz w:val="26"/>
          <w:szCs w:val="26"/>
        </w:rPr>
        <w:t>Assessment Component 2: Brand Development</w:t>
      </w:r>
    </w:p>
    <w:p w14:paraId="1DC0D2A5" w14:textId="77777777" w:rsidR="00D671F8" w:rsidRDefault="00D671F8">
      <w:pPr>
        <w:spacing w:before="60" w:after="60"/>
      </w:pPr>
    </w:p>
    <w:p w14:paraId="095DC98E" w14:textId="77777777" w:rsidR="00D671F8" w:rsidRDefault="00000000">
      <w:pPr>
        <w:spacing w:before="80" w:after="40"/>
        <w:jc w:val="center"/>
      </w:pPr>
      <w:r>
        <w:rPr>
          <w:b/>
          <w:bCs/>
          <w:sz w:val="34"/>
          <w:szCs w:val="34"/>
        </w:rPr>
        <w:t>Samsung SmartLiving Hub</w:t>
      </w:r>
    </w:p>
    <w:p w14:paraId="6E09F63E" w14:textId="77777777" w:rsidR="00D671F8" w:rsidRDefault="00000000">
      <w:pPr>
        <w:spacing w:after="360"/>
        <w:jc w:val="center"/>
      </w:pPr>
      <w:r>
        <w:rPr>
          <w:i/>
          <w:iCs/>
        </w:rPr>
        <w:t>AI-Powered Smart Home Ecosystem — Brand Extension Strategy</w:t>
      </w:r>
    </w:p>
    <w:p w14:paraId="0F38A86E" w14:textId="77777777" w:rsidR="00D671F8" w:rsidRDefault="00D671F8">
      <w:pPr>
        <w:spacing w:before="60" w:after="60"/>
      </w:pPr>
    </w:p>
    <w:p w14:paraId="0BA239D7" w14:textId="77777777" w:rsidR="00D671F8" w:rsidRDefault="00D671F8">
      <w:pPr>
        <w:spacing w:before="60" w:after="60"/>
      </w:pPr>
    </w:p>
    <w:tbl>
      <w:tblPr>
        <w:tblStyle w:val="TableGrid"/>
        <w:tblW w:w="8400" w:type="dxa"/>
        <w:jc w:val="center"/>
        <w:tblLook w:val="04A0" w:firstRow="1" w:lastRow="0" w:firstColumn="1" w:lastColumn="0" w:noHBand="0" w:noVBand="1"/>
      </w:tblPr>
      <w:tblGrid>
        <w:gridCol w:w="3200"/>
        <w:gridCol w:w="5200"/>
      </w:tblGrid>
      <w:tr w:rsidR="00D671F8" w14:paraId="2681D747" w14:textId="77777777">
        <w:trPr>
          <w:jc w:val="center"/>
        </w:trPr>
        <w:tc>
          <w:tcPr>
            <w:tcW w:w="3200" w:type="dxa"/>
          </w:tcPr>
          <w:p w14:paraId="69919138" w14:textId="77777777" w:rsidR="00D671F8" w:rsidRDefault="00000000">
            <w:r>
              <w:rPr>
                <w:b/>
                <w:bCs/>
                <w:sz w:val="22"/>
                <w:szCs w:val="22"/>
              </w:rPr>
              <w:t>Programme:</w:t>
            </w:r>
          </w:p>
        </w:tc>
        <w:tc>
          <w:tcPr>
            <w:tcW w:w="5200" w:type="dxa"/>
          </w:tcPr>
          <w:p w14:paraId="107D0051" w14:textId="77777777" w:rsidR="00D671F8" w:rsidRDefault="00000000">
            <w:r>
              <w:rPr>
                <w:sz w:val="22"/>
                <w:szCs w:val="22"/>
              </w:rPr>
              <w:t>Master of Business Administration</w:t>
            </w:r>
          </w:p>
        </w:tc>
      </w:tr>
      <w:tr w:rsidR="00D671F8" w14:paraId="0B7D7721" w14:textId="77777777">
        <w:trPr>
          <w:jc w:val="center"/>
        </w:trPr>
        <w:tc>
          <w:tcPr>
            <w:tcW w:w="3200" w:type="dxa"/>
          </w:tcPr>
          <w:p w14:paraId="5E2C8CF1" w14:textId="77777777" w:rsidR="00D671F8" w:rsidRDefault="00000000">
            <w:r>
              <w:rPr>
                <w:b/>
                <w:bCs/>
                <w:sz w:val="22"/>
                <w:szCs w:val="22"/>
              </w:rPr>
              <w:t>Module:</w:t>
            </w:r>
          </w:p>
        </w:tc>
        <w:tc>
          <w:tcPr>
            <w:tcW w:w="5200" w:type="dxa"/>
          </w:tcPr>
          <w:p w14:paraId="6E27E4B2" w14:textId="77777777" w:rsidR="00D671F8" w:rsidRDefault="00000000">
            <w:r>
              <w:rPr>
                <w:sz w:val="22"/>
                <w:szCs w:val="22"/>
              </w:rPr>
              <w:t>Marketing Management</w:t>
            </w:r>
          </w:p>
        </w:tc>
      </w:tr>
      <w:tr w:rsidR="00D671F8" w14:paraId="7CCDDF77" w14:textId="77777777">
        <w:trPr>
          <w:jc w:val="center"/>
        </w:trPr>
        <w:tc>
          <w:tcPr>
            <w:tcW w:w="3200" w:type="dxa"/>
          </w:tcPr>
          <w:p w14:paraId="674FE735" w14:textId="77777777" w:rsidR="00D671F8" w:rsidRDefault="00000000">
            <w:r>
              <w:rPr>
                <w:b/>
                <w:bCs/>
                <w:sz w:val="22"/>
                <w:szCs w:val="22"/>
              </w:rPr>
              <w:t>Module Code:</w:t>
            </w:r>
          </w:p>
        </w:tc>
        <w:tc>
          <w:tcPr>
            <w:tcW w:w="5200" w:type="dxa"/>
          </w:tcPr>
          <w:p w14:paraId="7F65BB42" w14:textId="77777777" w:rsidR="00D671F8" w:rsidRDefault="00000000">
            <w:r>
              <w:rPr>
                <w:sz w:val="22"/>
                <w:szCs w:val="22"/>
              </w:rPr>
              <w:t>LCMB7024</w:t>
            </w:r>
          </w:p>
        </w:tc>
      </w:tr>
      <w:tr w:rsidR="00D671F8" w14:paraId="5544F684" w14:textId="77777777">
        <w:trPr>
          <w:jc w:val="center"/>
        </w:trPr>
        <w:tc>
          <w:tcPr>
            <w:tcW w:w="3200" w:type="dxa"/>
          </w:tcPr>
          <w:p w14:paraId="0102C841" w14:textId="77777777" w:rsidR="00D671F8" w:rsidRDefault="00000000">
            <w:r>
              <w:rPr>
                <w:b/>
                <w:bCs/>
                <w:sz w:val="22"/>
                <w:szCs w:val="22"/>
              </w:rPr>
              <w:t>Lecturers:</w:t>
            </w:r>
          </w:p>
        </w:tc>
        <w:tc>
          <w:tcPr>
            <w:tcW w:w="5200" w:type="dxa"/>
          </w:tcPr>
          <w:p w14:paraId="62C90801" w14:textId="77777777" w:rsidR="00D671F8" w:rsidRDefault="00000000">
            <w:r>
              <w:rPr>
                <w:sz w:val="22"/>
                <w:szCs w:val="22"/>
              </w:rPr>
              <w:t>Laila Maazouz | Dian Mayasari</w:t>
            </w:r>
          </w:p>
        </w:tc>
      </w:tr>
      <w:tr w:rsidR="00D671F8" w14:paraId="06CF849F" w14:textId="77777777">
        <w:trPr>
          <w:jc w:val="center"/>
        </w:trPr>
        <w:tc>
          <w:tcPr>
            <w:tcW w:w="3200" w:type="dxa"/>
          </w:tcPr>
          <w:p w14:paraId="51B1F753" w14:textId="77777777" w:rsidR="00D671F8" w:rsidRDefault="00000000">
            <w:r>
              <w:rPr>
                <w:b/>
                <w:bCs/>
                <w:sz w:val="22"/>
                <w:szCs w:val="22"/>
              </w:rPr>
              <w:t>Student Name:</w:t>
            </w:r>
          </w:p>
        </w:tc>
        <w:tc>
          <w:tcPr>
            <w:tcW w:w="5200" w:type="dxa"/>
          </w:tcPr>
          <w:p w14:paraId="336A0F08" w14:textId="77777777" w:rsidR="00D671F8" w:rsidRDefault="00000000">
            <w:r>
              <w:rPr>
                <w:sz w:val="22"/>
                <w:szCs w:val="22"/>
              </w:rPr>
              <w:t>___________________________</w:t>
            </w:r>
          </w:p>
        </w:tc>
      </w:tr>
      <w:tr w:rsidR="00D671F8" w14:paraId="28D54F83" w14:textId="77777777">
        <w:trPr>
          <w:jc w:val="center"/>
        </w:trPr>
        <w:tc>
          <w:tcPr>
            <w:tcW w:w="3200" w:type="dxa"/>
          </w:tcPr>
          <w:p w14:paraId="621F6BA7" w14:textId="77777777" w:rsidR="00D671F8" w:rsidRDefault="00000000">
            <w:r>
              <w:rPr>
                <w:b/>
                <w:bCs/>
                <w:sz w:val="22"/>
                <w:szCs w:val="22"/>
              </w:rPr>
              <w:t>Student ID:</w:t>
            </w:r>
          </w:p>
        </w:tc>
        <w:tc>
          <w:tcPr>
            <w:tcW w:w="5200" w:type="dxa"/>
          </w:tcPr>
          <w:p w14:paraId="6A71BFBB" w14:textId="77777777" w:rsidR="00D671F8" w:rsidRDefault="00000000">
            <w:r>
              <w:rPr>
                <w:sz w:val="22"/>
                <w:szCs w:val="22"/>
              </w:rPr>
              <w:t>___________________________</w:t>
            </w:r>
          </w:p>
        </w:tc>
      </w:tr>
      <w:tr w:rsidR="00D671F8" w14:paraId="40617BF0" w14:textId="77777777">
        <w:trPr>
          <w:jc w:val="center"/>
        </w:trPr>
        <w:tc>
          <w:tcPr>
            <w:tcW w:w="3200" w:type="dxa"/>
          </w:tcPr>
          <w:p w14:paraId="1A58219E" w14:textId="77777777" w:rsidR="00D671F8" w:rsidRDefault="00000000">
            <w:r>
              <w:rPr>
                <w:b/>
                <w:bCs/>
                <w:sz w:val="22"/>
                <w:szCs w:val="22"/>
              </w:rPr>
              <w:t>Word Count:</w:t>
            </w:r>
          </w:p>
        </w:tc>
        <w:tc>
          <w:tcPr>
            <w:tcW w:w="5200" w:type="dxa"/>
          </w:tcPr>
          <w:p w14:paraId="420E79BF" w14:textId="77777777" w:rsidR="00D671F8" w:rsidRDefault="00000000">
            <w:r>
              <w:rPr>
                <w:sz w:val="22"/>
                <w:szCs w:val="22"/>
              </w:rPr>
              <w:t>Approximately 2,500 words (±10%)</w:t>
            </w:r>
          </w:p>
        </w:tc>
      </w:tr>
      <w:tr w:rsidR="00D671F8" w14:paraId="238D07D7" w14:textId="77777777">
        <w:trPr>
          <w:jc w:val="center"/>
        </w:trPr>
        <w:tc>
          <w:tcPr>
            <w:tcW w:w="3200" w:type="dxa"/>
          </w:tcPr>
          <w:p w14:paraId="76DC8113" w14:textId="77777777" w:rsidR="00D671F8" w:rsidRDefault="00000000">
            <w:r>
              <w:rPr>
                <w:b/>
                <w:bCs/>
                <w:sz w:val="22"/>
                <w:szCs w:val="22"/>
              </w:rPr>
              <w:t>Submission Date:</w:t>
            </w:r>
          </w:p>
        </w:tc>
        <w:tc>
          <w:tcPr>
            <w:tcW w:w="5200" w:type="dxa"/>
          </w:tcPr>
          <w:p w14:paraId="04509C69" w14:textId="77777777" w:rsidR="00D671F8" w:rsidRDefault="00000000">
            <w:r>
              <w:rPr>
                <w:sz w:val="22"/>
                <w:szCs w:val="22"/>
              </w:rPr>
              <w:t>1st May 2026</w:t>
            </w:r>
          </w:p>
        </w:tc>
      </w:tr>
    </w:tbl>
    <w:p w14:paraId="74729693" w14:textId="77777777" w:rsidR="00D671F8" w:rsidRDefault="00D671F8"/>
    <w:p w14:paraId="6B076C94" w14:textId="77777777" w:rsidR="00D671F8" w:rsidRDefault="00D671F8"/>
    <w:p w14:paraId="16DD4841" w14:textId="77777777" w:rsidR="00D671F8" w:rsidRDefault="00D671F8"/>
    <w:p w14:paraId="42299B0A" w14:textId="77777777" w:rsidR="00D671F8" w:rsidRDefault="00D671F8"/>
    <w:p w14:paraId="512D95AA" w14:textId="77777777" w:rsidR="00D671F8" w:rsidRDefault="00D671F8"/>
    <w:p w14:paraId="5CD37C17" w14:textId="77777777" w:rsidR="00D671F8" w:rsidRDefault="00D671F8"/>
    <w:p w14:paraId="384C5652" w14:textId="77777777" w:rsidR="00D671F8" w:rsidRDefault="00D671F8"/>
    <w:p w14:paraId="63986B11" w14:textId="77777777" w:rsidR="00D671F8" w:rsidRDefault="00D671F8"/>
    <w:p w14:paraId="69505EDD" w14:textId="77777777" w:rsidR="00D671F8" w:rsidRDefault="00D671F8"/>
    <w:p w14:paraId="4B542F82" w14:textId="77777777" w:rsidR="00D671F8" w:rsidRDefault="00D671F8"/>
    <w:p w14:paraId="77AF654A" w14:textId="77777777" w:rsidR="00D671F8" w:rsidRDefault="00D671F8"/>
    <w:p w14:paraId="1ECDCAA3" w14:textId="77777777" w:rsidR="00D671F8" w:rsidRDefault="00D671F8"/>
    <w:p w14:paraId="57E38157" w14:textId="77777777" w:rsidR="00D671F8" w:rsidRDefault="00D671F8"/>
    <w:p w14:paraId="4DE5D44D" w14:textId="77777777" w:rsidR="00D671F8" w:rsidRDefault="00D671F8"/>
    <w:p w14:paraId="050E64D2" w14:textId="77777777" w:rsidR="00D671F8" w:rsidRDefault="00D671F8"/>
    <w:p w14:paraId="143E6D69" w14:textId="77777777" w:rsidR="00D671F8" w:rsidRDefault="00D671F8"/>
    <w:p w14:paraId="39F8138F" w14:textId="77777777" w:rsidR="00D671F8" w:rsidRDefault="00D671F8"/>
    <w:p w14:paraId="7D133A8C" w14:textId="77777777" w:rsidR="00D671F8" w:rsidRDefault="00D671F8"/>
    <w:p w14:paraId="65BA18C0" w14:textId="77777777" w:rsidR="00D671F8" w:rsidRDefault="00D671F8"/>
    <w:p w14:paraId="2F545C63" w14:textId="77777777" w:rsidR="00D671F8" w:rsidRDefault="00D671F8"/>
    <w:p w14:paraId="52690540" w14:textId="77777777" w:rsidR="00D671F8" w:rsidRDefault="00D671F8">
      <w:pPr>
        <w:rPr>
          <w:b/>
          <w:bCs/>
        </w:rPr>
      </w:pPr>
    </w:p>
    <w:sdt>
      <w:sdtPr>
        <w:rPr>
          <w:rFonts w:ascii="Arial" w:eastAsia="Arial" w:hAnsi="Arial" w:cs="Arial"/>
          <w:color w:val="auto"/>
          <w:sz w:val="24"/>
          <w:szCs w:val="24"/>
        </w:rPr>
        <w:id w:val="701063595"/>
        <w:docPartObj>
          <w:docPartGallery w:val="Table of Contents"/>
          <w:docPartUnique/>
        </w:docPartObj>
      </w:sdtPr>
      <w:sdtEndPr>
        <w:rPr>
          <w:rFonts w:ascii="Times New Roman" w:hAnsi="Times New Roman" w:cs="Times New Roman"/>
          <w:b/>
          <w:bCs/>
        </w:rPr>
      </w:sdtEndPr>
      <w:sdtContent>
        <w:p w14:paraId="21FB4670" w14:textId="77777777" w:rsidR="00D671F8" w:rsidRDefault="00000000">
          <w:pPr>
            <w:pStyle w:val="TOCHeading1"/>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14:paraId="3FC9F687" w14:textId="77777777" w:rsidR="00D671F8" w:rsidRDefault="00000000">
          <w:pPr>
            <w:pStyle w:val="TOC1"/>
            <w:tabs>
              <w:tab w:val="left" w:pos="480"/>
              <w:tab w:val="right" w:leader="dot" w:pos="9016"/>
            </w:tabs>
            <w:spacing w:line="360" w:lineRule="auto"/>
            <w:rPr>
              <w:rFonts w:ascii="Times New Roman" w:eastAsiaTheme="minorEastAsia" w:hAnsi="Times New Roman" w:cs="Times New Roman"/>
              <w:kern w:val="2"/>
              <w14:ligatures w14:val="standardContextual"/>
            </w:rPr>
          </w:pPr>
          <w:r>
            <w:rPr>
              <w:rFonts w:ascii="Times New Roman" w:hAnsi="Times New Roman" w:cs="Times New Roman"/>
            </w:rPr>
            <w:fldChar w:fldCharType="begin"/>
          </w:r>
          <w:r>
            <w:rPr>
              <w:rFonts w:ascii="Times New Roman" w:hAnsi="Times New Roman" w:cs="Times New Roman"/>
            </w:rPr>
            <w:instrText xml:space="preserve"> TOC \o "1-3" \h \z \u </w:instrText>
          </w:r>
          <w:r>
            <w:rPr>
              <w:rFonts w:ascii="Times New Roman" w:hAnsi="Times New Roman" w:cs="Times New Roman"/>
            </w:rPr>
            <w:fldChar w:fldCharType="separate"/>
          </w:r>
          <w:hyperlink w:anchor="_Toc228485959" w:history="1">
            <w:r>
              <w:rPr>
                <w:rStyle w:val="Hyperlink"/>
                <w:rFonts w:ascii="Times New Roman" w:hAnsi="Times New Roman" w:cs="Times New Roman"/>
              </w:rPr>
              <w:t>1</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Element 1: Brand Extension Poster</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_Toc228485959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hyperlink>
        </w:p>
        <w:p w14:paraId="42036997" w14:textId="77777777" w:rsidR="00D671F8"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485960" w:history="1">
            <w:r>
              <w:rPr>
                <w:rStyle w:val="Hyperlink"/>
                <w:rFonts w:ascii="Times New Roman" w:hAnsi="Times New Roman" w:cs="Times New Roman"/>
              </w:rPr>
              <w:t>1.1</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Introduction to Samsung Electronics: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_Toc228485960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hyperlink>
        </w:p>
        <w:p w14:paraId="17F6A9D0" w14:textId="77777777" w:rsidR="00D671F8"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485961" w:history="1">
            <w:r>
              <w:rPr>
                <w:rStyle w:val="Hyperlink"/>
                <w:rFonts w:ascii="Times New Roman" w:hAnsi="Times New Roman" w:cs="Times New Roman"/>
              </w:rPr>
              <w:t>1.2</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Brand Extension: Samsung SmartLiving Hub</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_Toc228485961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hyperlink>
        </w:p>
        <w:p w14:paraId="6CDD4FE0" w14:textId="77777777" w:rsidR="00D671F8"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485962" w:history="1">
            <w:r>
              <w:rPr>
                <w:rStyle w:val="Hyperlink"/>
                <w:rFonts w:ascii="Times New Roman" w:hAnsi="Times New Roman" w:cs="Times New Roman"/>
              </w:rPr>
              <w:t>1.3</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Consumer and Industry Appeal</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_Toc228485962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3</w:t>
            </w:r>
            <w:r>
              <w:rPr>
                <w:rFonts w:ascii="Times New Roman" w:hAnsi="Times New Roman" w:cs="Times New Roman"/>
              </w:rPr>
              <w:fldChar w:fldCharType="end"/>
            </w:r>
          </w:hyperlink>
        </w:p>
        <w:p w14:paraId="014E30E0" w14:textId="77777777" w:rsidR="00D671F8"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485963" w:history="1">
            <w:r>
              <w:rPr>
                <w:rStyle w:val="Hyperlink"/>
                <w:rFonts w:ascii="Times New Roman" w:hAnsi="Times New Roman" w:cs="Times New Roman"/>
              </w:rPr>
              <w:t>1.4</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Sustainability Alignment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_Toc228485963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4</w:t>
            </w:r>
            <w:r>
              <w:rPr>
                <w:rFonts w:ascii="Times New Roman" w:hAnsi="Times New Roman" w:cs="Times New Roman"/>
              </w:rPr>
              <w:fldChar w:fldCharType="end"/>
            </w:r>
          </w:hyperlink>
        </w:p>
        <w:p w14:paraId="2FB5B574" w14:textId="77777777" w:rsidR="00D671F8" w:rsidRDefault="00000000">
          <w:pPr>
            <w:pStyle w:val="TOC1"/>
            <w:tabs>
              <w:tab w:val="left" w:pos="480"/>
              <w:tab w:val="right" w:leader="dot" w:pos="9016"/>
            </w:tabs>
            <w:spacing w:line="360" w:lineRule="auto"/>
            <w:rPr>
              <w:rFonts w:ascii="Times New Roman" w:eastAsiaTheme="minorEastAsia" w:hAnsi="Times New Roman" w:cs="Times New Roman"/>
              <w:kern w:val="2"/>
              <w14:ligatures w14:val="standardContextual"/>
            </w:rPr>
          </w:pPr>
          <w:hyperlink w:anchor="_Toc228485964" w:history="1">
            <w:r>
              <w:rPr>
                <w:rStyle w:val="Hyperlink"/>
                <w:rFonts w:ascii="Times New Roman" w:hAnsi="Times New Roman" w:cs="Times New Roman"/>
              </w:rPr>
              <w:t>2</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Element 2: Segmentation, Targeting, Differentiation, and Positioning (STDP)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_Toc228485964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5</w:t>
            </w:r>
            <w:r>
              <w:rPr>
                <w:rFonts w:ascii="Times New Roman" w:hAnsi="Times New Roman" w:cs="Times New Roman"/>
              </w:rPr>
              <w:fldChar w:fldCharType="end"/>
            </w:r>
          </w:hyperlink>
        </w:p>
        <w:p w14:paraId="68FEDFD5" w14:textId="77777777" w:rsidR="00D671F8"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485965" w:history="1">
            <w:r>
              <w:rPr>
                <w:rStyle w:val="Hyperlink"/>
                <w:rFonts w:ascii="Times New Roman" w:hAnsi="Times New Roman" w:cs="Times New Roman"/>
              </w:rPr>
              <w:t>2.1</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Segmentation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_Toc228485965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5</w:t>
            </w:r>
            <w:r>
              <w:rPr>
                <w:rFonts w:ascii="Times New Roman" w:hAnsi="Times New Roman" w:cs="Times New Roman"/>
              </w:rPr>
              <w:fldChar w:fldCharType="end"/>
            </w:r>
          </w:hyperlink>
        </w:p>
        <w:p w14:paraId="14DDD8AB" w14:textId="77777777" w:rsidR="00D671F8"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485966" w:history="1">
            <w:r>
              <w:rPr>
                <w:rStyle w:val="Hyperlink"/>
                <w:rFonts w:ascii="Times New Roman" w:hAnsi="Times New Roman" w:cs="Times New Roman"/>
              </w:rPr>
              <w:t>2.2</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Targeting</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_Toc228485966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hyperlink>
        </w:p>
        <w:p w14:paraId="1DCDD1AB" w14:textId="77777777" w:rsidR="00D671F8"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485967" w:history="1">
            <w:r>
              <w:rPr>
                <w:rStyle w:val="Hyperlink"/>
                <w:rFonts w:ascii="Times New Roman" w:hAnsi="Times New Roman" w:cs="Times New Roman"/>
              </w:rPr>
              <w:t>2.3</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Differentiation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_Toc228485967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hyperlink>
        </w:p>
        <w:p w14:paraId="7BF153C6" w14:textId="77777777" w:rsidR="00D671F8"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485968" w:history="1">
            <w:r>
              <w:rPr>
                <w:rStyle w:val="Hyperlink"/>
                <w:rFonts w:ascii="Times New Roman" w:hAnsi="Times New Roman" w:cs="Times New Roman"/>
              </w:rPr>
              <w:t>2.4</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Positioning</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_Toc228485968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hyperlink>
        </w:p>
        <w:p w14:paraId="7427DE25" w14:textId="77777777" w:rsidR="00D671F8" w:rsidRDefault="00000000">
          <w:pPr>
            <w:pStyle w:val="TOC1"/>
            <w:tabs>
              <w:tab w:val="left" w:pos="480"/>
              <w:tab w:val="right" w:leader="dot" w:pos="9016"/>
            </w:tabs>
            <w:spacing w:line="360" w:lineRule="auto"/>
            <w:rPr>
              <w:rFonts w:ascii="Times New Roman" w:eastAsiaTheme="minorEastAsia" w:hAnsi="Times New Roman" w:cs="Times New Roman"/>
              <w:kern w:val="2"/>
              <w14:ligatures w14:val="standardContextual"/>
            </w:rPr>
          </w:pPr>
          <w:hyperlink w:anchor="_Toc228485969" w:history="1">
            <w:r>
              <w:rPr>
                <w:rStyle w:val="Hyperlink"/>
                <w:rFonts w:ascii="Times New Roman" w:hAnsi="Times New Roman" w:cs="Times New Roman"/>
              </w:rPr>
              <w:t>3</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Element 3: 7Ps Marketing Mix Strategy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_Toc228485969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hyperlink>
        </w:p>
        <w:p w14:paraId="38821E2A" w14:textId="77777777" w:rsidR="00D671F8"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485970" w:history="1">
            <w:r>
              <w:rPr>
                <w:rStyle w:val="Hyperlink"/>
                <w:rFonts w:ascii="Times New Roman" w:hAnsi="Times New Roman" w:cs="Times New Roman"/>
              </w:rPr>
              <w:t>3.1</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Product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_Toc228485970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hyperlink>
        </w:p>
        <w:p w14:paraId="72CBFA4F" w14:textId="77777777" w:rsidR="00D671F8"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485971" w:history="1">
            <w:r>
              <w:rPr>
                <w:rStyle w:val="Hyperlink"/>
                <w:rFonts w:ascii="Times New Roman" w:hAnsi="Times New Roman" w:cs="Times New Roman"/>
              </w:rPr>
              <w:t>3.2</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Price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_Toc228485971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hyperlink>
        </w:p>
        <w:p w14:paraId="164EACBA" w14:textId="77777777" w:rsidR="00D671F8"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485972" w:history="1">
            <w:r>
              <w:rPr>
                <w:rStyle w:val="Hyperlink"/>
                <w:rFonts w:ascii="Times New Roman" w:hAnsi="Times New Roman" w:cs="Times New Roman"/>
              </w:rPr>
              <w:t>3.3</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Place (Distribution)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_Toc228485972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11</w:t>
            </w:r>
            <w:r>
              <w:rPr>
                <w:rFonts w:ascii="Times New Roman" w:hAnsi="Times New Roman" w:cs="Times New Roman"/>
              </w:rPr>
              <w:fldChar w:fldCharType="end"/>
            </w:r>
          </w:hyperlink>
        </w:p>
        <w:p w14:paraId="63451124" w14:textId="77777777" w:rsidR="00D671F8"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485973" w:history="1">
            <w:r>
              <w:rPr>
                <w:rStyle w:val="Hyperlink"/>
                <w:rFonts w:ascii="Times New Roman" w:hAnsi="Times New Roman" w:cs="Times New Roman"/>
              </w:rPr>
              <w:t>3.4</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Promotion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_Toc228485973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11</w:t>
            </w:r>
            <w:r>
              <w:rPr>
                <w:rFonts w:ascii="Times New Roman" w:hAnsi="Times New Roman" w:cs="Times New Roman"/>
              </w:rPr>
              <w:fldChar w:fldCharType="end"/>
            </w:r>
          </w:hyperlink>
        </w:p>
        <w:p w14:paraId="6BAF8D68" w14:textId="77777777" w:rsidR="00D671F8"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485974" w:history="1">
            <w:r>
              <w:rPr>
                <w:rStyle w:val="Hyperlink"/>
                <w:rFonts w:ascii="Times New Roman" w:hAnsi="Times New Roman" w:cs="Times New Roman"/>
              </w:rPr>
              <w:t>3.5</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People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_Toc228485974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12</w:t>
            </w:r>
            <w:r>
              <w:rPr>
                <w:rFonts w:ascii="Times New Roman" w:hAnsi="Times New Roman" w:cs="Times New Roman"/>
              </w:rPr>
              <w:fldChar w:fldCharType="end"/>
            </w:r>
          </w:hyperlink>
        </w:p>
        <w:p w14:paraId="48D0CE3C" w14:textId="77777777" w:rsidR="00D671F8"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485975" w:history="1">
            <w:r>
              <w:rPr>
                <w:rStyle w:val="Hyperlink"/>
                <w:rFonts w:ascii="Times New Roman" w:hAnsi="Times New Roman" w:cs="Times New Roman"/>
              </w:rPr>
              <w:t>3.6</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Process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_Toc228485975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12</w:t>
            </w:r>
            <w:r>
              <w:rPr>
                <w:rFonts w:ascii="Times New Roman" w:hAnsi="Times New Roman" w:cs="Times New Roman"/>
              </w:rPr>
              <w:fldChar w:fldCharType="end"/>
            </w:r>
          </w:hyperlink>
        </w:p>
        <w:p w14:paraId="0D84AC97" w14:textId="77777777" w:rsidR="00D671F8"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485976" w:history="1">
            <w:r>
              <w:rPr>
                <w:rStyle w:val="Hyperlink"/>
                <w:rFonts w:ascii="Times New Roman" w:hAnsi="Times New Roman" w:cs="Times New Roman"/>
              </w:rPr>
              <w:t>3.7</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Physical Evidence: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_Toc228485976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13</w:t>
            </w:r>
            <w:r>
              <w:rPr>
                <w:rFonts w:ascii="Times New Roman" w:hAnsi="Times New Roman" w:cs="Times New Roman"/>
              </w:rPr>
              <w:fldChar w:fldCharType="end"/>
            </w:r>
          </w:hyperlink>
        </w:p>
        <w:p w14:paraId="35DDD9B3" w14:textId="77777777" w:rsidR="00D671F8" w:rsidRDefault="00000000">
          <w:pPr>
            <w:pStyle w:val="TOC1"/>
            <w:tabs>
              <w:tab w:val="left" w:pos="480"/>
              <w:tab w:val="right" w:leader="dot" w:pos="9016"/>
            </w:tabs>
            <w:spacing w:line="360" w:lineRule="auto"/>
            <w:rPr>
              <w:rFonts w:ascii="Times New Roman" w:eastAsiaTheme="minorEastAsia" w:hAnsi="Times New Roman" w:cs="Times New Roman"/>
              <w:kern w:val="2"/>
              <w14:ligatures w14:val="standardContextual"/>
            </w:rPr>
          </w:pPr>
          <w:hyperlink w:anchor="_Toc228485977" w:history="1">
            <w:r>
              <w:rPr>
                <w:rStyle w:val="Hyperlink"/>
                <w:rFonts w:ascii="Times New Roman" w:hAnsi="Times New Roman" w:cs="Times New Roman"/>
              </w:rPr>
              <w:t>4</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Element 4: Reflection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_Toc228485977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13</w:t>
            </w:r>
            <w:r>
              <w:rPr>
                <w:rFonts w:ascii="Times New Roman" w:hAnsi="Times New Roman" w:cs="Times New Roman"/>
              </w:rPr>
              <w:fldChar w:fldCharType="end"/>
            </w:r>
          </w:hyperlink>
        </w:p>
        <w:p w14:paraId="1AF56E63" w14:textId="77777777" w:rsidR="00D671F8"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485978" w:history="1">
            <w:r>
              <w:rPr>
                <w:rStyle w:val="Hyperlink"/>
                <w:rFonts w:ascii="Times New Roman" w:hAnsi="Times New Roman" w:cs="Times New Roman"/>
              </w:rPr>
              <w:t>4.1</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Description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_Toc228485978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14</w:t>
            </w:r>
            <w:r>
              <w:rPr>
                <w:rFonts w:ascii="Times New Roman" w:hAnsi="Times New Roman" w:cs="Times New Roman"/>
              </w:rPr>
              <w:fldChar w:fldCharType="end"/>
            </w:r>
          </w:hyperlink>
        </w:p>
        <w:p w14:paraId="549894F2" w14:textId="77777777" w:rsidR="00D671F8"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485979" w:history="1">
            <w:r>
              <w:rPr>
                <w:rStyle w:val="Hyperlink"/>
                <w:rFonts w:ascii="Times New Roman" w:hAnsi="Times New Roman" w:cs="Times New Roman"/>
              </w:rPr>
              <w:t>4.2</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Feelings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_Toc228485979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14</w:t>
            </w:r>
            <w:r>
              <w:rPr>
                <w:rFonts w:ascii="Times New Roman" w:hAnsi="Times New Roman" w:cs="Times New Roman"/>
              </w:rPr>
              <w:fldChar w:fldCharType="end"/>
            </w:r>
          </w:hyperlink>
        </w:p>
        <w:p w14:paraId="7C96DE9A" w14:textId="77777777" w:rsidR="00D671F8" w:rsidRDefault="00000000">
          <w:pPr>
            <w:pStyle w:val="TOC2"/>
            <w:tabs>
              <w:tab w:val="left" w:pos="960"/>
              <w:tab w:val="right" w:leader="dot" w:pos="9016"/>
            </w:tabs>
            <w:spacing w:line="360" w:lineRule="auto"/>
            <w:rPr>
              <w:rFonts w:ascii="Times New Roman" w:eastAsiaTheme="minorEastAsia" w:hAnsi="Times New Roman" w:cs="Times New Roman"/>
              <w:kern w:val="2"/>
              <w14:ligatures w14:val="standardContextual"/>
            </w:rPr>
          </w:pPr>
          <w:hyperlink w:anchor="_Toc228485980" w:history="1">
            <w:r>
              <w:rPr>
                <w:rStyle w:val="Hyperlink"/>
                <w:rFonts w:ascii="Times New Roman" w:hAnsi="Times New Roman" w:cs="Times New Roman"/>
              </w:rPr>
              <w:t>4.3</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Evaluation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_Toc228485980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14</w:t>
            </w:r>
            <w:r>
              <w:rPr>
                <w:rFonts w:ascii="Times New Roman" w:hAnsi="Times New Roman" w:cs="Times New Roman"/>
              </w:rPr>
              <w:fldChar w:fldCharType="end"/>
            </w:r>
          </w:hyperlink>
        </w:p>
        <w:p w14:paraId="42E6C038" w14:textId="77777777" w:rsidR="00D671F8" w:rsidRDefault="00000000">
          <w:pPr>
            <w:pStyle w:val="TOC1"/>
            <w:tabs>
              <w:tab w:val="left" w:pos="480"/>
              <w:tab w:val="right" w:leader="dot" w:pos="9016"/>
            </w:tabs>
            <w:spacing w:line="360" w:lineRule="auto"/>
            <w:rPr>
              <w:rFonts w:ascii="Times New Roman" w:eastAsiaTheme="minorEastAsia" w:hAnsi="Times New Roman" w:cs="Times New Roman"/>
              <w:kern w:val="2"/>
              <w14:ligatures w14:val="standardContextual"/>
            </w:rPr>
          </w:pPr>
          <w:hyperlink w:anchor="_Toc228485981" w:history="1">
            <w:r>
              <w:rPr>
                <w:rStyle w:val="Hyperlink"/>
                <w:rFonts w:ascii="Times New Roman" w:hAnsi="Times New Roman" w:cs="Times New Roman"/>
              </w:rPr>
              <w:t>5</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Analysis: Knowledge, Skills and Insights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_Toc228485981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14</w:t>
            </w:r>
            <w:r>
              <w:rPr>
                <w:rFonts w:ascii="Times New Roman" w:hAnsi="Times New Roman" w:cs="Times New Roman"/>
              </w:rPr>
              <w:fldChar w:fldCharType="end"/>
            </w:r>
          </w:hyperlink>
        </w:p>
        <w:p w14:paraId="2968EB01" w14:textId="77777777" w:rsidR="00D671F8" w:rsidRDefault="00000000">
          <w:pPr>
            <w:pStyle w:val="TOC1"/>
            <w:tabs>
              <w:tab w:val="left" w:pos="480"/>
              <w:tab w:val="right" w:leader="dot" w:pos="9016"/>
            </w:tabs>
            <w:spacing w:line="360" w:lineRule="auto"/>
            <w:rPr>
              <w:rFonts w:ascii="Times New Roman" w:eastAsiaTheme="minorEastAsia" w:hAnsi="Times New Roman" w:cs="Times New Roman"/>
              <w:kern w:val="2"/>
              <w14:ligatures w14:val="standardContextual"/>
            </w:rPr>
          </w:pPr>
          <w:hyperlink w:anchor="_Toc228485982" w:history="1">
            <w:r>
              <w:rPr>
                <w:rStyle w:val="Hyperlink"/>
                <w:rFonts w:ascii="Times New Roman" w:hAnsi="Times New Roman" w:cs="Times New Roman"/>
              </w:rPr>
              <w:t>6</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Conclusions and Action Plan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_Toc228485982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14</w:t>
            </w:r>
            <w:r>
              <w:rPr>
                <w:rFonts w:ascii="Times New Roman" w:hAnsi="Times New Roman" w:cs="Times New Roman"/>
              </w:rPr>
              <w:fldChar w:fldCharType="end"/>
            </w:r>
          </w:hyperlink>
        </w:p>
        <w:p w14:paraId="390C43DB" w14:textId="77777777" w:rsidR="00D671F8" w:rsidRDefault="00000000">
          <w:pPr>
            <w:pStyle w:val="TOC1"/>
            <w:tabs>
              <w:tab w:val="left" w:pos="480"/>
              <w:tab w:val="right" w:leader="dot" w:pos="9016"/>
            </w:tabs>
            <w:spacing w:line="360" w:lineRule="auto"/>
            <w:rPr>
              <w:rFonts w:ascii="Times New Roman" w:eastAsiaTheme="minorEastAsia" w:hAnsi="Times New Roman" w:cs="Times New Roman"/>
              <w:kern w:val="2"/>
              <w14:ligatures w14:val="standardContextual"/>
            </w:rPr>
          </w:pPr>
          <w:hyperlink w:anchor="_Toc228485983" w:history="1">
            <w:r>
              <w:rPr>
                <w:rStyle w:val="Hyperlink"/>
                <w:rFonts w:ascii="Times New Roman" w:hAnsi="Times New Roman" w:cs="Times New Roman"/>
              </w:rPr>
              <w:t>7</w:t>
            </w:r>
            <w:r>
              <w:rPr>
                <w:rFonts w:ascii="Times New Roman" w:eastAsiaTheme="minorEastAsia" w:hAnsi="Times New Roman" w:cs="Times New Roman"/>
                <w:kern w:val="2"/>
                <w14:ligatures w14:val="standardContextual"/>
              </w:rPr>
              <w:tab/>
            </w:r>
            <w:r>
              <w:rPr>
                <w:rStyle w:val="Hyperlink"/>
                <w:rFonts w:ascii="Times New Roman" w:hAnsi="Times New Roman" w:cs="Times New Roman"/>
              </w:rPr>
              <w:t>Reference List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_Toc228485983 \h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rPr>
              <w:t>16</w:t>
            </w:r>
            <w:r>
              <w:rPr>
                <w:rFonts w:ascii="Times New Roman" w:hAnsi="Times New Roman" w:cs="Times New Roman"/>
              </w:rPr>
              <w:fldChar w:fldCharType="end"/>
            </w:r>
          </w:hyperlink>
        </w:p>
        <w:p w14:paraId="2693EEC5" w14:textId="77777777" w:rsidR="00D671F8" w:rsidRDefault="00000000">
          <w:pPr>
            <w:spacing w:line="360" w:lineRule="auto"/>
            <w:rPr>
              <w:rFonts w:ascii="Times New Roman" w:hAnsi="Times New Roman" w:cs="Times New Roman"/>
            </w:rPr>
          </w:pPr>
          <w:r>
            <w:rPr>
              <w:rFonts w:ascii="Times New Roman" w:hAnsi="Times New Roman" w:cs="Times New Roman"/>
              <w:b/>
              <w:bCs/>
            </w:rPr>
            <w:fldChar w:fldCharType="end"/>
          </w:r>
        </w:p>
      </w:sdtContent>
    </w:sdt>
    <w:p w14:paraId="143BB69D" w14:textId="77777777" w:rsidR="00D671F8" w:rsidRDefault="00000000">
      <w:pPr>
        <w:spacing w:line="360" w:lineRule="auto"/>
      </w:pPr>
      <w:r>
        <w:rPr>
          <w:rFonts w:ascii="Times New Roman" w:hAnsi="Times New Roman" w:cs="Times New Roman"/>
        </w:rPr>
        <w:br w:type="page"/>
      </w:r>
    </w:p>
    <w:p w14:paraId="51D95D9B" w14:textId="77777777" w:rsidR="00D671F8" w:rsidRDefault="00D671F8">
      <w:pPr>
        <w:sectPr w:rsidR="00D671F8">
          <w:pgSz w:w="11906" w:h="16838"/>
          <w:pgMar w:top="1440" w:right="1440" w:bottom="1440" w:left="1440" w:header="708" w:footer="708" w:gutter="0"/>
          <w:cols w:space="720"/>
          <w:docGrid w:linePitch="360"/>
        </w:sectPr>
      </w:pPr>
    </w:p>
    <w:p w14:paraId="1AE8E278" w14:textId="77777777" w:rsidR="00D671F8" w:rsidRDefault="00000000">
      <w:pPr>
        <w:pStyle w:val="Heading1"/>
      </w:pPr>
      <w:bookmarkStart w:id="0" w:name="_Toc228482886"/>
      <w:bookmarkStart w:id="1" w:name="_Toc228485959"/>
      <w:r>
        <w:lastRenderedPageBreak/>
        <w:t>Element 1: Brand Extension Poster</w:t>
      </w:r>
      <w:bookmarkEnd w:id="0"/>
      <w:bookmarkEnd w:id="1"/>
    </w:p>
    <w:p w14:paraId="7344E34B" w14:textId="77777777" w:rsidR="00D671F8" w:rsidRDefault="00000000">
      <w:pPr>
        <w:spacing w:line="360" w:lineRule="auto"/>
        <w:jc w:val="both"/>
        <w:rPr>
          <w:rFonts w:ascii="Times New Roman" w:hAnsi="Times New Roman" w:cs="Times New Roman"/>
        </w:rPr>
      </w:pPr>
      <w:r>
        <w:rPr>
          <w:rFonts w:ascii="Times New Roman" w:hAnsi="Times New Roman" w:cs="Times New Roman"/>
        </w:rPr>
        <w:t>The Samsung SmartLiving Hub poster, developed in Microsoft PowerPoint, was presented in class during weeks 9 and 10. The poster is displayed below and is a brief visual representation of the brand extension idea, market opportunities and sustainability fit, aimed at investors and consumers alike.</w:t>
      </w:r>
    </w:p>
    <w:p w14:paraId="34D09BF3" w14:textId="77777777" w:rsidR="00D671F8" w:rsidRDefault="00D671F8">
      <w:pPr>
        <w:spacing w:line="360" w:lineRule="auto"/>
        <w:jc w:val="both"/>
        <w:rPr>
          <w:rFonts w:ascii="Times New Roman" w:hAnsi="Times New Roman" w:cs="Times New Roman"/>
        </w:rPr>
      </w:pPr>
    </w:p>
    <w:p w14:paraId="41FB7BBD" w14:textId="77777777" w:rsidR="00D671F8" w:rsidRDefault="00000000">
      <w:pPr>
        <w:spacing w:line="360" w:lineRule="auto"/>
        <w:jc w:val="both"/>
        <w:rPr>
          <w:rFonts w:ascii="Times New Roman" w:hAnsi="Times New Roman" w:cs="Times New Roman"/>
          <w:i/>
          <w:iCs/>
        </w:rPr>
      </w:pPr>
      <w:r>
        <w:rPr>
          <w:rFonts w:ascii="Times New Roman" w:hAnsi="Times New Roman" w:cs="Times New Roman"/>
          <w:i/>
          <w:iCs/>
          <w:noProof/>
        </w:rPr>
        <w:drawing>
          <wp:inline distT="0" distB="0" distL="0" distR="0" wp14:anchorId="00067CB2" wp14:editId="13EA633A">
            <wp:extent cx="5731510" cy="3235960"/>
            <wp:effectExtent l="0" t="0" r="2540" b="2540"/>
            <wp:docPr id="1529642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642494" name="Picture 1"/>
                    <pic:cNvPicPr>
                      <a:picLocks noChangeAspect="1"/>
                    </pic:cNvPicPr>
                  </pic:nvPicPr>
                  <pic:blipFill>
                    <a:blip r:embed="rId8"/>
                    <a:stretch>
                      <a:fillRect/>
                    </a:stretch>
                  </pic:blipFill>
                  <pic:spPr>
                    <a:xfrm>
                      <a:off x="0" y="0"/>
                      <a:ext cx="5731510" cy="3235960"/>
                    </a:xfrm>
                    <a:prstGeom prst="rect">
                      <a:avLst/>
                    </a:prstGeom>
                  </pic:spPr>
                </pic:pic>
              </a:graphicData>
            </a:graphic>
          </wp:inline>
        </w:drawing>
      </w:r>
    </w:p>
    <w:p w14:paraId="67C6DFEB" w14:textId="77777777" w:rsidR="00D671F8" w:rsidRDefault="00000000">
      <w:pPr>
        <w:pStyle w:val="Caption"/>
        <w:jc w:val="center"/>
        <w:rPr>
          <w:rFonts w:ascii="Times New Roman" w:hAnsi="Times New Roman" w:cs="Times New Roman"/>
          <w:b/>
          <w:bCs/>
          <w:color w:val="auto"/>
          <w:sz w:val="24"/>
          <w:szCs w:val="24"/>
        </w:rPr>
      </w:pPr>
      <w:r>
        <w:rPr>
          <w:b/>
          <w:bCs/>
          <w:color w:val="auto"/>
        </w:rPr>
        <w:t xml:space="preserve">Figure </w:t>
      </w:r>
      <w:r>
        <w:rPr>
          <w:b/>
          <w:bCs/>
          <w:color w:val="auto"/>
        </w:rPr>
        <w:fldChar w:fldCharType="begin"/>
      </w:r>
      <w:r>
        <w:rPr>
          <w:b/>
          <w:bCs/>
          <w:color w:val="auto"/>
        </w:rPr>
        <w:instrText xml:space="preserve"> SEQ Figure \* ARABIC </w:instrText>
      </w:r>
      <w:r>
        <w:rPr>
          <w:b/>
          <w:bCs/>
          <w:color w:val="auto"/>
        </w:rPr>
        <w:fldChar w:fldCharType="separate"/>
      </w:r>
      <w:r>
        <w:rPr>
          <w:b/>
          <w:bCs/>
          <w:color w:val="auto"/>
        </w:rPr>
        <w:t>1</w:t>
      </w:r>
      <w:r>
        <w:rPr>
          <w:b/>
          <w:bCs/>
          <w:color w:val="auto"/>
        </w:rPr>
        <w:fldChar w:fldCharType="end"/>
      </w:r>
      <w:r>
        <w:rPr>
          <w:b/>
          <w:bCs/>
          <w:color w:val="auto"/>
        </w:rPr>
        <w:t xml:space="preserve"> </w:t>
      </w:r>
      <w:r>
        <w:rPr>
          <w:rFonts w:ascii="Times New Roman" w:hAnsi="Times New Roman" w:cs="Times New Roman"/>
          <w:b/>
          <w:bCs/>
          <w:color w:val="auto"/>
          <w:sz w:val="24"/>
          <w:szCs w:val="24"/>
        </w:rPr>
        <w:t>Samsung SmartLiving Hub — Brand Extension Poster</w:t>
      </w:r>
    </w:p>
    <w:p w14:paraId="5389278A" w14:textId="77777777" w:rsidR="00D671F8" w:rsidRDefault="00000000">
      <w:pPr>
        <w:pStyle w:val="Heading2"/>
      </w:pPr>
      <w:bookmarkStart w:id="2" w:name="_Toc228485960"/>
      <w:r>
        <w:t>Introduction to Samsung Electronics:</w:t>
      </w:r>
      <w:bookmarkEnd w:id="2"/>
    </w:p>
    <w:p w14:paraId="4FBECBEC" w14:textId="77777777" w:rsidR="00D671F8" w:rsidRDefault="00000000">
      <w:pPr>
        <w:spacing w:line="360" w:lineRule="auto"/>
        <w:jc w:val="both"/>
        <w:rPr>
          <w:rFonts w:ascii="Times New Roman" w:hAnsi="Times New Roman" w:cs="Times New Roman"/>
        </w:rPr>
      </w:pPr>
      <w:r>
        <w:rPr>
          <w:rFonts w:ascii="Times New Roman" w:hAnsi="Times New Roman" w:cs="Times New Roman"/>
        </w:rPr>
        <w:t>Samsung Electronics is a global market leader in technology and has revenues of over $200 billion (Samsung Annual Report, 2024). Established in 1938, it is a conglomerate in the electronics, semiconductors and appliances industry. Its Samsung SmartThings platform has more than 425 million users (CSA-IoT, 2025).</w:t>
      </w:r>
    </w:p>
    <w:p w14:paraId="65A20110" w14:textId="77777777" w:rsidR="00D671F8" w:rsidRDefault="00000000">
      <w:pPr>
        <w:pStyle w:val="Heading2"/>
      </w:pPr>
      <w:bookmarkStart w:id="3" w:name="_Toc228485961"/>
      <w:r>
        <w:t>Brand Extension: Samsung SmartLiving Hub</w:t>
      </w:r>
      <w:bookmarkEnd w:id="3"/>
    </w:p>
    <w:p w14:paraId="130FA4F9" w14:textId="77777777" w:rsidR="00D671F8" w:rsidRDefault="00000000">
      <w:pPr>
        <w:spacing w:line="360" w:lineRule="auto"/>
        <w:jc w:val="both"/>
        <w:rPr>
          <w:rFonts w:ascii="Times New Roman" w:hAnsi="Times New Roman" w:cs="Times New Roman"/>
        </w:rPr>
      </w:pPr>
      <w:r>
        <w:rPr>
          <w:rFonts w:ascii="Times New Roman" w:hAnsi="Times New Roman" w:cs="Times New Roman"/>
        </w:rPr>
        <w:t>The SmartLiving Hub is a brand extension, leveraging Samsung’s brand in a new market (Kotler et al, 2010). It connects systems and devices into a single platform based on AI, using Samsung’s Galaxy AI and Samsung Knox technology, as well as being Matter-compatible, to provide a smarter home.</w:t>
      </w:r>
    </w:p>
    <w:p w14:paraId="5A3895FC" w14:textId="77777777" w:rsidR="00D671F8" w:rsidRDefault="00000000">
      <w:pPr>
        <w:pStyle w:val="Heading2"/>
      </w:pPr>
      <w:bookmarkStart w:id="4" w:name="_Toc228485962"/>
      <w:r>
        <w:t>Consumer and Industry Appeal</w:t>
      </w:r>
      <w:bookmarkEnd w:id="4"/>
    </w:p>
    <w:p w14:paraId="47DEC0DC" w14:textId="77777777" w:rsidR="00D671F8" w:rsidRDefault="00000000">
      <w:pPr>
        <w:spacing w:line="360" w:lineRule="auto"/>
        <w:jc w:val="both"/>
        <w:rPr>
          <w:rFonts w:ascii="Times New Roman" w:hAnsi="Times New Roman" w:cs="Times New Roman"/>
        </w:rPr>
      </w:pPr>
      <w:r>
        <w:rPr>
          <w:rFonts w:ascii="Times New Roman" w:hAnsi="Times New Roman" w:cs="Times New Roman"/>
        </w:rPr>
        <w:lastRenderedPageBreak/>
        <w:t>Smart homes are expected to have strong market growth, reaching $848.47 billion by 2034 (Fortune Business Insights, 2026). The integration of AI, Matter, 5G, and the growing need for energy-efficient solutions enhances the SmartLiving Hub's position in the tech-savvy, eco-conscious market (PwC, 2024; Gartner, 2025).</w:t>
      </w:r>
    </w:p>
    <w:p w14:paraId="4799895E" w14:textId="77777777" w:rsidR="00D671F8" w:rsidRDefault="00D671F8">
      <w:pPr>
        <w:spacing w:line="360" w:lineRule="auto"/>
        <w:jc w:val="both"/>
        <w:rPr>
          <w:rFonts w:ascii="Times New Roman" w:hAnsi="Times New Roman" w:cs="Times New Roman"/>
        </w:rPr>
      </w:pPr>
    </w:p>
    <w:p w14:paraId="6837C5FE" w14:textId="77777777" w:rsidR="00D671F8" w:rsidRDefault="00000000">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21ED6225" wp14:editId="2ADADDCF">
            <wp:extent cx="5143500" cy="2857500"/>
            <wp:effectExtent l="0" t="0" r="0" b="0"/>
            <wp:docPr id="1" name="/home/claude/chart1_market_growth.png" descr="/home/claude/chart1_market_growth.png" title="/home/claude/chart1_market_growt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me/claude/chart1_market_growth.png" descr="/home/claude/chart1_market_growth.png" title="/home/claude/chart1_market_growth.png"/>
                    <pic:cNvPicPr>
                      <a:picLocks noChangeAspect="1" noChangeArrowheads="1"/>
                    </pic:cNvPicPr>
                  </pic:nvPicPr>
                  <pic:blipFill>
                    <a:blip r:embed="rId9"/>
                    <a:srcRect/>
                    <a:stretch>
                      <a:fillRect/>
                    </a:stretch>
                  </pic:blipFill>
                  <pic:spPr>
                    <a:xfrm>
                      <a:off x="0" y="0"/>
                      <a:ext cx="5143500" cy="2857500"/>
                    </a:xfrm>
                    <a:prstGeom prst="rect">
                      <a:avLst/>
                    </a:prstGeom>
                  </pic:spPr>
                </pic:pic>
              </a:graphicData>
            </a:graphic>
          </wp:inline>
        </w:drawing>
      </w:r>
    </w:p>
    <w:p w14:paraId="3EB3A23A" w14:textId="77777777" w:rsidR="00D671F8" w:rsidRDefault="00000000">
      <w:pPr>
        <w:pStyle w:val="Caption"/>
        <w:jc w:val="center"/>
        <w:rPr>
          <w:rFonts w:ascii="Times New Roman" w:hAnsi="Times New Roman" w:cs="Times New Roman"/>
          <w:b/>
          <w:bCs/>
          <w:i w:val="0"/>
          <w:iCs w:val="0"/>
        </w:rPr>
      </w:pPr>
      <w:r>
        <w:t xml:space="preserve">Figure </w:t>
      </w:r>
      <w:fldSimple w:instr=" SEQ Figure \* ARABIC ">
        <w:r>
          <w:t>2</w:t>
        </w:r>
      </w:fldSimple>
      <w:r>
        <w:t xml:space="preserve"> </w:t>
      </w:r>
      <w:r>
        <w:rPr>
          <w:rFonts w:ascii="Times New Roman" w:hAnsi="Times New Roman" w:cs="Times New Roman"/>
          <w:b/>
          <w:bCs/>
          <w:color w:val="auto"/>
          <w:sz w:val="24"/>
          <w:szCs w:val="24"/>
        </w:rPr>
        <w:t>Global Smart Home Market Growth Forecast 2025–2034 (CAGR: 21.4%).</w:t>
      </w:r>
    </w:p>
    <w:p w14:paraId="0C6355B4" w14:textId="77777777" w:rsidR="00D671F8" w:rsidRDefault="00000000">
      <w:pPr>
        <w:spacing w:line="360" w:lineRule="auto"/>
        <w:jc w:val="center"/>
        <w:rPr>
          <w:rFonts w:ascii="Times New Roman" w:hAnsi="Times New Roman" w:cs="Times New Roman"/>
          <w:b/>
          <w:bCs/>
        </w:rPr>
      </w:pPr>
      <w:r>
        <w:rPr>
          <w:rFonts w:ascii="Times New Roman" w:hAnsi="Times New Roman" w:cs="Times New Roman"/>
          <w:b/>
          <w:bCs/>
          <w:i/>
          <w:iCs/>
        </w:rPr>
        <w:t>Source: Fortune Business Insights (2026)</w:t>
      </w:r>
    </w:p>
    <w:p w14:paraId="59DB8A91" w14:textId="77777777" w:rsidR="00D671F8" w:rsidRDefault="00D671F8">
      <w:pPr>
        <w:spacing w:line="360" w:lineRule="auto"/>
        <w:jc w:val="both"/>
        <w:rPr>
          <w:rFonts w:ascii="Times New Roman" w:hAnsi="Times New Roman" w:cs="Times New Roman"/>
        </w:rPr>
      </w:pPr>
    </w:p>
    <w:p w14:paraId="565FD502" w14:textId="77777777" w:rsidR="00D671F8" w:rsidRDefault="00000000">
      <w:pPr>
        <w:pStyle w:val="Heading2"/>
      </w:pPr>
      <w:bookmarkStart w:id="5" w:name="_Toc228482890"/>
      <w:r>
        <w:t xml:space="preserve"> </w:t>
      </w:r>
      <w:bookmarkStart w:id="6" w:name="_Toc228485963"/>
      <w:r>
        <w:t>Sustainability Alignment</w:t>
      </w:r>
      <w:bookmarkEnd w:id="5"/>
      <w:bookmarkEnd w:id="6"/>
    </w:p>
    <w:p w14:paraId="357BA2FE" w14:textId="77777777" w:rsidR="00D671F8" w:rsidRDefault="00000000">
      <w:pPr>
        <w:spacing w:line="360" w:lineRule="auto"/>
        <w:jc w:val="both"/>
        <w:rPr>
          <w:rFonts w:ascii="Times New Roman" w:hAnsi="Times New Roman" w:cs="Times New Roman"/>
        </w:rPr>
      </w:pPr>
      <w:bookmarkStart w:id="7" w:name="_Toc228482891"/>
      <w:r>
        <w:rPr>
          <w:rFonts w:ascii="Times New Roman" w:hAnsi="Times New Roman" w:cs="Times New Roman"/>
        </w:rPr>
        <w:t>The SmartLiving Hub is built on the principle of sustainability. Samsung Electronics met its 2025 Galaxy for the Planet targets and aims for net zero Scope 1 and 2 emissions by 2030 (Samsung Newsroom, 2026). The Hub facilitates this with 30% energy reduction via AI, recycled materials and sustainable packaging in line with the European Commission (2023).</w:t>
      </w:r>
    </w:p>
    <w:p w14:paraId="6328A803" w14:textId="77777777" w:rsidR="00D671F8" w:rsidRDefault="00D671F8">
      <w:pPr>
        <w:spacing w:line="360" w:lineRule="auto"/>
        <w:jc w:val="both"/>
        <w:rPr>
          <w:rFonts w:ascii="Times New Roman" w:hAnsi="Times New Roman" w:cs="Times New Roman"/>
        </w:rPr>
      </w:pPr>
    </w:p>
    <w:p w14:paraId="29C26EB5" w14:textId="77777777" w:rsidR="00D671F8" w:rsidRDefault="00D671F8">
      <w:pPr>
        <w:spacing w:line="360" w:lineRule="auto"/>
        <w:jc w:val="both"/>
        <w:rPr>
          <w:rFonts w:ascii="Times New Roman" w:hAnsi="Times New Roman" w:cs="Times New Roman"/>
        </w:rPr>
      </w:pPr>
    </w:p>
    <w:p w14:paraId="231DD3A6" w14:textId="77777777" w:rsidR="00D671F8" w:rsidRDefault="00D671F8">
      <w:pPr>
        <w:spacing w:line="360" w:lineRule="auto"/>
        <w:jc w:val="both"/>
        <w:rPr>
          <w:rFonts w:ascii="Times New Roman" w:hAnsi="Times New Roman" w:cs="Times New Roman"/>
        </w:rPr>
      </w:pPr>
    </w:p>
    <w:p w14:paraId="4A4D3C21" w14:textId="77777777" w:rsidR="00D671F8" w:rsidRDefault="00D671F8">
      <w:pPr>
        <w:spacing w:line="360" w:lineRule="auto"/>
        <w:jc w:val="both"/>
        <w:rPr>
          <w:rFonts w:ascii="Times New Roman" w:hAnsi="Times New Roman" w:cs="Times New Roman"/>
        </w:rPr>
      </w:pPr>
    </w:p>
    <w:p w14:paraId="10089A01" w14:textId="77777777" w:rsidR="00D671F8" w:rsidRDefault="00D671F8">
      <w:pPr>
        <w:spacing w:line="360" w:lineRule="auto"/>
        <w:jc w:val="both"/>
        <w:rPr>
          <w:rFonts w:ascii="Times New Roman" w:hAnsi="Times New Roman" w:cs="Times New Roman"/>
        </w:rPr>
      </w:pPr>
    </w:p>
    <w:p w14:paraId="3508CDF0" w14:textId="77777777" w:rsidR="00D671F8" w:rsidRDefault="00D671F8">
      <w:pPr>
        <w:spacing w:line="360" w:lineRule="auto"/>
        <w:jc w:val="both"/>
        <w:rPr>
          <w:rFonts w:ascii="Times New Roman" w:hAnsi="Times New Roman" w:cs="Times New Roman"/>
        </w:rPr>
      </w:pPr>
    </w:p>
    <w:p w14:paraId="2DD14528" w14:textId="77777777" w:rsidR="00D671F8" w:rsidRDefault="00D671F8">
      <w:pPr>
        <w:spacing w:line="360" w:lineRule="auto"/>
        <w:jc w:val="both"/>
        <w:rPr>
          <w:rFonts w:ascii="Times New Roman" w:hAnsi="Times New Roman" w:cs="Times New Roman"/>
        </w:rPr>
      </w:pPr>
    </w:p>
    <w:p w14:paraId="5056E89F" w14:textId="77777777" w:rsidR="00D671F8" w:rsidRDefault="00D671F8">
      <w:pPr>
        <w:spacing w:line="360" w:lineRule="auto"/>
        <w:jc w:val="both"/>
        <w:rPr>
          <w:rFonts w:ascii="Times New Roman" w:hAnsi="Times New Roman" w:cs="Times New Roman"/>
        </w:rPr>
      </w:pPr>
    </w:p>
    <w:p w14:paraId="3126F47A" w14:textId="77777777" w:rsidR="00D671F8" w:rsidRDefault="00D671F8">
      <w:pPr>
        <w:spacing w:line="360" w:lineRule="auto"/>
        <w:jc w:val="both"/>
        <w:rPr>
          <w:rFonts w:ascii="Times New Roman" w:hAnsi="Times New Roman" w:cs="Times New Roman"/>
        </w:rPr>
      </w:pPr>
    </w:p>
    <w:p w14:paraId="3E7DC88F" w14:textId="77777777" w:rsidR="00D671F8" w:rsidRDefault="00000000">
      <w:pPr>
        <w:pStyle w:val="Heading1"/>
      </w:pPr>
      <w:bookmarkStart w:id="8" w:name="_Toc228485964"/>
      <w:r>
        <w:lastRenderedPageBreak/>
        <w:t>Element 2: Segmentation, Targeting, Differentiation, and Positioning (STDP) Analysis</w:t>
      </w:r>
      <w:bookmarkEnd w:id="7"/>
      <w:bookmarkEnd w:id="8"/>
    </w:p>
    <w:p w14:paraId="7A83E06D" w14:textId="77777777" w:rsidR="00D671F8" w:rsidRDefault="00000000">
      <w:pPr>
        <w:spacing w:line="360" w:lineRule="auto"/>
        <w:jc w:val="both"/>
        <w:rPr>
          <w:rFonts w:ascii="Times New Roman" w:hAnsi="Times New Roman" w:cs="Times New Roman"/>
        </w:rPr>
      </w:pPr>
      <w:r>
        <w:rPr>
          <w:rFonts w:ascii="Times New Roman" w:hAnsi="Times New Roman" w:cs="Times New Roman"/>
        </w:rPr>
        <w:t>The STDP process offers a structured approach to segmenting a market to identify the most promising consumer segments, to target the right segments, to position the product competitively and to build a successful brand position in the mind of the consumer (Kotler et al., 2010; Wedel and Kamakura, 2000). For a brand extension project as large and ambitious as the Samsung SmartLiving Hub, STDP analysis is crucial to ensure that marketing expenditure is highly targeted and that the product offering is carefully matched to consumer needs (Chernev, 2019).</w:t>
      </w:r>
    </w:p>
    <w:p w14:paraId="3045A491" w14:textId="77777777" w:rsidR="00D671F8" w:rsidRDefault="00000000">
      <w:pPr>
        <w:pStyle w:val="Heading2"/>
      </w:pPr>
      <w:bookmarkStart w:id="9" w:name="_Toc228485965"/>
      <w:r>
        <w:t>Segmentation</w:t>
      </w:r>
      <w:bookmarkEnd w:id="9"/>
    </w:p>
    <w:p w14:paraId="7AC728F6" w14:textId="77777777" w:rsidR="00D671F8" w:rsidRDefault="00000000">
      <w:pPr>
        <w:spacing w:line="360" w:lineRule="auto"/>
        <w:jc w:val="both"/>
        <w:rPr>
          <w:rFonts w:ascii="Times New Roman" w:hAnsi="Times New Roman" w:cs="Times New Roman"/>
        </w:rPr>
      </w:pPr>
      <w:r>
        <w:rPr>
          <w:rFonts w:ascii="Times New Roman" w:hAnsi="Times New Roman" w:cs="Times New Roman"/>
        </w:rPr>
        <w:t>Market segmentation - the division of a heterogenous market into sub-markets by common needs and characteristics, was first conceived by Smith (1956) and is fundamental to contemporary marketing practice. Four segmentation variables are used for the SmartLiving Hub.</w:t>
      </w:r>
    </w:p>
    <w:p w14:paraId="457B60D9" w14:textId="77777777" w:rsidR="00D671F8" w:rsidRDefault="00000000">
      <w:pPr>
        <w:spacing w:line="360" w:lineRule="auto"/>
        <w:jc w:val="center"/>
        <w:rPr>
          <w:rFonts w:ascii="Times New Roman" w:hAnsi="Times New Roman" w:cs="Times New Roman"/>
          <w:b/>
          <w:bCs/>
        </w:rPr>
      </w:pPr>
      <w:r>
        <w:rPr>
          <w:rFonts w:ascii="Times New Roman" w:hAnsi="Times New Roman" w:cs="Times New Roman"/>
          <w:b/>
          <w:bCs/>
        </w:rPr>
        <w:t>Table 1: Market Segmentation Framework — Samsung SmartLiving Hub</w:t>
      </w:r>
    </w:p>
    <w:tbl>
      <w:tblPr>
        <w:tblStyle w:val="GridTable4-Accent11"/>
        <w:tblW w:w="0" w:type="auto"/>
        <w:tblLook w:val="04A0" w:firstRow="1" w:lastRow="0" w:firstColumn="1" w:lastColumn="0" w:noHBand="0" w:noVBand="1"/>
      </w:tblPr>
      <w:tblGrid>
        <w:gridCol w:w="1723"/>
        <w:gridCol w:w="3358"/>
        <w:gridCol w:w="3935"/>
      </w:tblGrid>
      <w:tr w:rsidR="00D671F8" w14:paraId="099AF8BA" w14:textId="77777777" w:rsidTr="00D671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93F4BDC" w14:textId="77777777" w:rsidR="00D671F8" w:rsidRDefault="00000000">
            <w:pPr>
              <w:spacing w:line="360" w:lineRule="auto"/>
              <w:jc w:val="both"/>
              <w:rPr>
                <w:rFonts w:ascii="Times New Roman" w:hAnsi="Times New Roman" w:cs="Times New Roman"/>
                <w:b w:val="0"/>
                <w:bCs w:val="0"/>
              </w:rPr>
            </w:pPr>
            <w:r>
              <w:rPr>
                <w:rFonts w:ascii="Times New Roman" w:hAnsi="Times New Roman" w:cs="Times New Roman"/>
                <w:color w:val="auto"/>
              </w:rPr>
              <w:t>Variable</w:t>
            </w:r>
          </w:p>
        </w:tc>
        <w:tc>
          <w:tcPr>
            <w:tcW w:w="0" w:type="auto"/>
          </w:tcPr>
          <w:p w14:paraId="7C4E0764" w14:textId="77777777" w:rsidR="00D671F8" w:rsidRDefault="0000000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Pr>
                <w:rFonts w:ascii="Times New Roman" w:hAnsi="Times New Roman" w:cs="Times New Roman"/>
                <w:color w:val="auto"/>
              </w:rPr>
              <w:t>Key Segments</w:t>
            </w:r>
          </w:p>
        </w:tc>
        <w:tc>
          <w:tcPr>
            <w:tcW w:w="0" w:type="auto"/>
          </w:tcPr>
          <w:p w14:paraId="587E8AAD" w14:textId="77777777" w:rsidR="00D671F8" w:rsidRDefault="0000000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Pr>
                <w:rFonts w:ascii="Times New Roman" w:hAnsi="Times New Roman" w:cs="Times New Roman"/>
                <w:color w:val="auto"/>
              </w:rPr>
              <w:t>Relevance</w:t>
            </w:r>
          </w:p>
        </w:tc>
      </w:tr>
      <w:tr w:rsidR="00D671F8" w14:paraId="43DF1F80" w14:textId="77777777" w:rsidTr="00D671F8">
        <w:tc>
          <w:tcPr>
            <w:cnfStyle w:val="001000000000" w:firstRow="0" w:lastRow="0" w:firstColumn="1" w:lastColumn="0" w:oddVBand="0" w:evenVBand="0" w:oddHBand="0" w:evenHBand="0" w:firstRowFirstColumn="0" w:firstRowLastColumn="0" w:lastRowFirstColumn="0" w:lastRowLastColumn="0"/>
            <w:tcW w:w="0" w:type="auto"/>
            <w:shd w:val="clear" w:color="auto" w:fill="C1E4F5" w:themeFill="accent1" w:themeFillTint="33"/>
          </w:tcPr>
          <w:p w14:paraId="19449DF0" w14:textId="77777777" w:rsidR="00D671F8" w:rsidRDefault="00000000">
            <w:pPr>
              <w:spacing w:line="360" w:lineRule="auto"/>
              <w:jc w:val="both"/>
              <w:rPr>
                <w:rFonts w:ascii="Times New Roman" w:hAnsi="Times New Roman" w:cs="Times New Roman"/>
                <w:b w:val="0"/>
                <w:bCs w:val="0"/>
              </w:rPr>
            </w:pPr>
            <w:r>
              <w:rPr>
                <w:rFonts w:ascii="Times New Roman" w:hAnsi="Times New Roman" w:cs="Times New Roman"/>
              </w:rPr>
              <w:t>Geographic</w:t>
            </w:r>
          </w:p>
        </w:tc>
        <w:tc>
          <w:tcPr>
            <w:tcW w:w="0" w:type="auto"/>
            <w:shd w:val="clear" w:color="auto" w:fill="C1E4F5" w:themeFill="accent1" w:themeFillTint="33"/>
          </w:tcPr>
          <w:p w14:paraId="786BB3A9"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Urban/suburban (NA, Europe, Asia, UAE)</w:t>
            </w:r>
          </w:p>
        </w:tc>
        <w:tc>
          <w:tcPr>
            <w:tcW w:w="0" w:type="auto"/>
            <w:shd w:val="clear" w:color="auto" w:fill="C1E4F5" w:themeFill="accent1" w:themeFillTint="33"/>
          </w:tcPr>
          <w:p w14:paraId="56D8526E"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Strong infrastructure, high tech adoption (Statista, 2025)</w:t>
            </w:r>
          </w:p>
        </w:tc>
      </w:tr>
      <w:tr w:rsidR="00D671F8" w14:paraId="4CE56296" w14:textId="77777777" w:rsidTr="00D671F8">
        <w:tc>
          <w:tcPr>
            <w:cnfStyle w:val="001000000000" w:firstRow="0" w:lastRow="0" w:firstColumn="1" w:lastColumn="0" w:oddVBand="0" w:evenVBand="0" w:oddHBand="0" w:evenHBand="0" w:firstRowFirstColumn="0" w:firstRowLastColumn="0" w:lastRowFirstColumn="0" w:lastRowLastColumn="0"/>
            <w:tcW w:w="0" w:type="auto"/>
          </w:tcPr>
          <w:p w14:paraId="61C84DA9" w14:textId="77777777" w:rsidR="00D671F8" w:rsidRDefault="00000000">
            <w:pPr>
              <w:spacing w:line="360" w:lineRule="auto"/>
              <w:jc w:val="both"/>
              <w:rPr>
                <w:rFonts w:ascii="Times New Roman" w:hAnsi="Times New Roman" w:cs="Times New Roman"/>
                <w:b w:val="0"/>
                <w:bCs w:val="0"/>
              </w:rPr>
            </w:pPr>
            <w:r>
              <w:rPr>
                <w:rFonts w:ascii="Times New Roman" w:hAnsi="Times New Roman" w:cs="Times New Roman"/>
              </w:rPr>
              <w:t>Demographic</w:t>
            </w:r>
          </w:p>
        </w:tc>
        <w:tc>
          <w:tcPr>
            <w:tcW w:w="0" w:type="auto"/>
          </w:tcPr>
          <w:p w14:paraId="5C583644"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25–54, dual-income, homeowners</w:t>
            </w:r>
          </w:p>
        </w:tc>
        <w:tc>
          <w:tcPr>
            <w:tcW w:w="0" w:type="auto"/>
          </w:tcPr>
          <w:p w14:paraId="3F26C1CB"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Income &amp; ownership drive adoption (McKinsey, 2024)</w:t>
            </w:r>
          </w:p>
        </w:tc>
      </w:tr>
      <w:tr w:rsidR="00D671F8" w14:paraId="60042528" w14:textId="77777777" w:rsidTr="00D671F8">
        <w:tc>
          <w:tcPr>
            <w:cnfStyle w:val="001000000000" w:firstRow="0" w:lastRow="0" w:firstColumn="1" w:lastColumn="0" w:oddVBand="0" w:evenVBand="0" w:oddHBand="0" w:evenHBand="0" w:firstRowFirstColumn="0" w:firstRowLastColumn="0" w:lastRowFirstColumn="0" w:lastRowLastColumn="0"/>
            <w:tcW w:w="0" w:type="auto"/>
            <w:shd w:val="clear" w:color="auto" w:fill="C1E4F5" w:themeFill="accent1" w:themeFillTint="33"/>
          </w:tcPr>
          <w:p w14:paraId="1703E62B" w14:textId="77777777" w:rsidR="00D671F8" w:rsidRDefault="00000000">
            <w:pPr>
              <w:spacing w:line="360" w:lineRule="auto"/>
              <w:jc w:val="both"/>
              <w:rPr>
                <w:rFonts w:ascii="Times New Roman" w:hAnsi="Times New Roman" w:cs="Times New Roman"/>
                <w:b w:val="0"/>
                <w:bCs w:val="0"/>
              </w:rPr>
            </w:pPr>
            <w:r>
              <w:rPr>
                <w:rFonts w:ascii="Times New Roman" w:hAnsi="Times New Roman" w:cs="Times New Roman"/>
              </w:rPr>
              <w:t>Psychographic</w:t>
            </w:r>
          </w:p>
        </w:tc>
        <w:tc>
          <w:tcPr>
            <w:tcW w:w="0" w:type="auto"/>
            <w:shd w:val="clear" w:color="auto" w:fill="C1E4F5" w:themeFill="accent1" w:themeFillTint="33"/>
          </w:tcPr>
          <w:p w14:paraId="0BA1B2A7"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Tech-savvy, eco-conscious, convenience-led</w:t>
            </w:r>
          </w:p>
        </w:tc>
        <w:tc>
          <w:tcPr>
            <w:tcW w:w="0" w:type="auto"/>
            <w:shd w:val="clear" w:color="auto" w:fill="C1E4F5" w:themeFill="accent1" w:themeFillTint="33"/>
          </w:tcPr>
          <w:p w14:paraId="554F5887"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Aligns with premium AI positioning (Chernev, 2019)</w:t>
            </w:r>
          </w:p>
        </w:tc>
      </w:tr>
      <w:tr w:rsidR="00D671F8" w14:paraId="45A254C3" w14:textId="77777777" w:rsidTr="00D671F8">
        <w:tc>
          <w:tcPr>
            <w:cnfStyle w:val="001000000000" w:firstRow="0" w:lastRow="0" w:firstColumn="1" w:lastColumn="0" w:oddVBand="0" w:evenVBand="0" w:oddHBand="0" w:evenHBand="0" w:firstRowFirstColumn="0" w:firstRowLastColumn="0" w:lastRowFirstColumn="0" w:lastRowLastColumn="0"/>
            <w:tcW w:w="0" w:type="auto"/>
          </w:tcPr>
          <w:p w14:paraId="1A1261E0" w14:textId="77777777" w:rsidR="00D671F8" w:rsidRDefault="00000000">
            <w:pPr>
              <w:spacing w:line="360" w:lineRule="auto"/>
              <w:jc w:val="both"/>
              <w:rPr>
                <w:rFonts w:ascii="Times New Roman" w:hAnsi="Times New Roman" w:cs="Times New Roman"/>
                <w:b w:val="0"/>
                <w:bCs w:val="0"/>
              </w:rPr>
            </w:pPr>
            <w:r>
              <w:rPr>
                <w:rFonts w:ascii="Times New Roman" w:hAnsi="Times New Roman" w:cs="Times New Roman"/>
              </w:rPr>
              <w:t>Behavioural</w:t>
            </w:r>
          </w:p>
        </w:tc>
        <w:tc>
          <w:tcPr>
            <w:tcW w:w="0" w:type="auto"/>
          </w:tcPr>
          <w:p w14:paraId="4E4188E5"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Samsung users, multi-device owners</w:t>
            </w:r>
          </w:p>
        </w:tc>
        <w:tc>
          <w:tcPr>
            <w:tcW w:w="0" w:type="auto"/>
          </w:tcPr>
          <w:p w14:paraId="432D8DB6"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Higher conversion &amp; loyalty (Batra &amp; Sinha, 2000)</w:t>
            </w:r>
          </w:p>
        </w:tc>
      </w:tr>
    </w:tbl>
    <w:p w14:paraId="7F9A87EA" w14:textId="77777777" w:rsidR="00D671F8" w:rsidRDefault="00000000">
      <w:pPr>
        <w:spacing w:line="360" w:lineRule="auto"/>
        <w:jc w:val="center"/>
        <w:rPr>
          <w:rFonts w:ascii="Times New Roman" w:hAnsi="Times New Roman" w:cs="Times New Roman"/>
        </w:rPr>
      </w:pPr>
      <w:r>
        <w:rPr>
          <w:rFonts w:ascii="Times New Roman" w:hAnsi="Times New Roman" w:cs="Times New Roman"/>
          <w:i/>
          <w:iCs/>
        </w:rPr>
        <w:t>Source: Kotler et al. (2010)</w:t>
      </w:r>
    </w:p>
    <w:p w14:paraId="665D1C5C" w14:textId="77777777" w:rsidR="00D671F8" w:rsidRDefault="00000000">
      <w:pPr>
        <w:spacing w:line="360" w:lineRule="auto"/>
        <w:jc w:val="both"/>
        <w:rPr>
          <w:rFonts w:ascii="Times New Roman" w:hAnsi="Times New Roman" w:cs="Times New Roman"/>
        </w:rPr>
      </w:pPr>
      <w:r>
        <w:rPr>
          <w:rFonts w:ascii="Times New Roman" w:hAnsi="Times New Roman" w:cs="Times New Roman"/>
        </w:rPr>
        <w:t>Geographically, the primary markets are North America and Western Europe, where smart home penetration already exceeds 32% and 28% respectively (Statista, 2025). Figure 3 maps penetration by region and growth projections, showing that the emerging markets - Middle East and South Asia in particular - are secondary growth markets by 2030.</w:t>
      </w:r>
    </w:p>
    <w:p w14:paraId="1D15D51C" w14:textId="77777777" w:rsidR="00D671F8" w:rsidRDefault="00D671F8">
      <w:pPr>
        <w:spacing w:line="360" w:lineRule="auto"/>
        <w:jc w:val="both"/>
        <w:rPr>
          <w:rFonts w:ascii="Times New Roman" w:hAnsi="Times New Roman" w:cs="Times New Roman"/>
        </w:rPr>
      </w:pPr>
    </w:p>
    <w:p w14:paraId="699D44EC" w14:textId="77777777" w:rsidR="00D671F8" w:rsidRDefault="00000000">
      <w:pPr>
        <w:spacing w:line="360" w:lineRule="auto"/>
        <w:jc w:val="center"/>
        <w:rPr>
          <w:rFonts w:ascii="Times New Roman" w:hAnsi="Times New Roman" w:cs="Times New Roman"/>
        </w:rPr>
      </w:pPr>
      <w:r>
        <w:rPr>
          <w:rFonts w:ascii="Times New Roman" w:hAnsi="Times New Roman" w:cs="Times New Roman"/>
          <w:noProof/>
        </w:rPr>
        <w:lastRenderedPageBreak/>
        <w:drawing>
          <wp:inline distT="0" distB="0" distL="0" distR="0" wp14:anchorId="297C1096" wp14:editId="179521C9">
            <wp:extent cx="4813935" cy="2674620"/>
            <wp:effectExtent l="0" t="0" r="5715" b="0"/>
            <wp:docPr id="2087365200" name="/home/claude/chart5_regional.png" descr="/home/claude/chart5_regional.png" title="/home/claude/chart5_regiona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365200" name="/home/claude/chart5_regional.png" descr="/home/claude/chart5_regional.png" title="/home/claude/chart5_regional.png"/>
                    <pic:cNvPicPr>
                      <a:picLocks noChangeAspect="1" noChangeArrowheads="1"/>
                    </pic:cNvPicPr>
                  </pic:nvPicPr>
                  <pic:blipFill>
                    <a:blip r:embed="rId10"/>
                    <a:srcRect/>
                    <a:stretch>
                      <a:fillRect/>
                    </a:stretch>
                  </pic:blipFill>
                  <pic:spPr>
                    <a:xfrm>
                      <a:off x="0" y="0"/>
                      <a:ext cx="4818139" cy="2676744"/>
                    </a:xfrm>
                    <a:prstGeom prst="rect">
                      <a:avLst/>
                    </a:prstGeom>
                  </pic:spPr>
                </pic:pic>
              </a:graphicData>
            </a:graphic>
          </wp:inline>
        </w:drawing>
      </w:r>
    </w:p>
    <w:p w14:paraId="516A02F3" w14:textId="77777777" w:rsidR="00D671F8" w:rsidRDefault="00000000">
      <w:pPr>
        <w:pStyle w:val="Caption"/>
        <w:jc w:val="center"/>
        <w:rPr>
          <w:rFonts w:ascii="Times New Roman" w:hAnsi="Times New Roman" w:cs="Times New Roman"/>
          <w:b/>
          <w:bCs/>
          <w:color w:val="auto"/>
          <w:sz w:val="24"/>
          <w:szCs w:val="24"/>
        </w:rPr>
      </w:pPr>
      <w:r>
        <w:rPr>
          <w:b/>
          <w:bCs/>
        </w:rPr>
        <w:t xml:space="preserve">Figure </w:t>
      </w:r>
      <w:r>
        <w:rPr>
          <w:b/>
          <w:bCs/>
        </w:rPr>
        <w:fldChar w:fldCharType="begin"/>
      </w:r>
      <w:r>
        <w:rPr>
          <w:b/>
          <w:bCs/>
        </w:rPr>
        <w:instrText xml:space="preserve"> SEQ Figure \* ARABIC </w:instrText>
      </w:r>
      <w:r>
        <w:rPr>
          <w:b/>
          <w:bCs/>
        </w:rPr>
        <w:fldChar w:fldCharType="separate"/>
      </w:r>
      <w:r>
        <w:rPr>
          <w:b/>
          <w:bCs/>
        </w:rPr>
        <w:t>3</w:t>
      </w:r>
      <w:r>
        <w:rPr>
          <w:b/>
          <w:bCs/>
        </w:rPr>
        <w:fldChar w:fldCharType="end"/>
      </w:r>
      <w:r>
        <w:rPr>
          <w:b/>
          <w:bCs/>
        </w:rPr>
        <w:t xml:space="preserve"> </w:t>
      </w:r>
      <w:r>
        <w:rPr>
          <w:rFonts w:ascii="Times New Roman" w:hAnsi="Times New Roman" w:cs="Times New Roman"/>
          <w:b/>
          <w:bCs/>
          <w:color w:val="auto"/>
          <w:sz w:val="24"/>
          <w:szCs w:val="24"/>
        </w:rPr>
        <w:t>Smart Home Market Penetration by Region- 2025 vs 2030 Forecast.</w:t>
      </w:r>
    </w:p>
    <w:p w14:paraId="6B000FB9" w14:textId="77777777" w:rsidR="00D671F8" w:rsidRDefault="00000000">
      <w:pPr>
        <w:pStyle w:val="Caption"/>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t>Source: Statista (2025); McKinsey &amp; Company (2024)</w:t>
      </w:r>
    </w:p>
    <w:p w14:paraId="7C68182D" w14:textId="77777777" w:rsidR="00D671F8" w:rsidRDefault="00D671F8">
      <w:pPr>
        <w:spacing w:line="360" w:lineRule="auto"/>
        <w:jc w:val="both"/>
        <w:rPr>
          <w:rFonts w:ascii="Times New Roman" w:hAnsi="Times New Roman" w:cs="Times New Roman"/>
        </w:rPr>
      </w:pPr>
    </w:p>
    <w:p w14:paraId="40746CCF" w14:textId="77777777" w:rsidR="00D671F8" w:rsidRDefault="00000000">
      <w:pPr>
        <w:spacing w:line="360" w:lineRule="auto"/>
        <w:jc w:val="both"/>
        <w:rPr>
          <w:rFonts w:ascii="Times New Roman" w:hAnsi="Times New Roman" w:cs="Times New Roman"/>
        </w:rPr>
      </w:pPr>
      <w:r>
        <w:rPr>
          <w:rFonts w:ascii="Times New Roman" w:hAnsi="Times New Roman" w:cs="Times New Roman"/>
        </w:rPr>
        <w:t>Demographically, the primary target segment for the SmartLiving Hub is millennial homeowners (28-43 years) - digital natives in their peak earning and home ownership years.  this cohort has the greatest likelihood of adopting AI-enabled smart home products. Psychographically, Rogers' (2003) diffusion of innovations model suggests early adopters and early majority as the prime targets for initial market seeding, with the Hub's AI uniqueness as the persuasive element. Behaviourally, Samsung's 425 million current SmartThings users are a pre-identified, high-conversion-probability segment, as Batra and Sinha (2000) show that positive experiences with a brand is the strongest predictor of brand extension acceptance.</w:t>
      </w:r>
    </w:p>
    <w:p w14:paraId="4D7F21C8" w14:textId="77777777" w:rsidR="00D671F8" w:rsidRDefault="00000000">
      <w:pPr>
        <w:pStyle w:val="Heading2"/>
      </w:pPr>
      <w:bookmarkStart w:id="10" w:name="_Toc228485966"/>
      <w:r>
        <w:t>Targeting</w:t>
      </w:r>
      <w:bookmarkEnd w:id="10"/>
    </w:p>
    <w:p w14:paraId="213FD4AB" w14:textId="77777777" w:rsidR="00D671F8" w:rsidRDefault="00000000">
      <w:pPr>
        <w:spacing w:line="360" w:lineRule="auto"/>
        <w:jc w:val="both"/>
        <w:rPr>
          <w:rFonts w:ascii="Times New Roman" w:hAnsi="Times New Roman" w:cs="Times New Roman"/>
        </w:rPr>
      </w:pPr>
      <w:r>
        <w:rPr>
          <w:rFonts w:ascii="Times New Roman" w:hAnsi="Times New Roman" w:cs="Times New Roman"/>
        </w:rPr>
        <w:t>After segmentation, the SmartLiving Hub employs a differentiated targeting approach (Kotler et al., 2010), targeting two equally important primary segments and a secondary segment.</w:t>
      </w:r>
    </w:p>
    <w:p w14:paraId="28CE63E3" w14:textId="77777777" w:rsidR="00D671F8" w:rsidRDefault="00000000">
      <w:pPr>
        <w:spacing w:line="360" w:lineRule="auto"/>
        <w:jc w:val="center"/>
        <w:rPr>
          <w:rFonts w:ascii="Times New Roman" w:hAnsi="Times New Roman" w:cs="Times New Roman"/>
          <w:b/>
          <w:bCs/>
        </w:rPr>
      </w:pPr>
      <w:r>
        <w:rPr>
          <w:rFonts w:ascii="Times New Roman" w:hAnsi="Times New Roman" w:cs="Times New Roman"/>
          <w:b/>
          <w:bCs/>
        </w:rPr>
        <w:t>Table 2: Target Segment Profiles and Value Propositions</w:t>
      </w:r>
    </w:p>
    <w:tbl>
      <w:tblPr>
        <w:tblStyle w:val="GridTable4-Accent61"/>
        <w:tblW w:w="0" w:type="auto"/>
        <w:tblLook w:val="04A0" w:firstRow="1" w:lastRow="0" w:firstColumn="1" w:lastColumn="0" w:noHBand="0" w:noVBand="1"/>
      </w:tblPr>
      <w:tblGrid>
        <w:gridCol w:w="2244"/>
        <w:gridCol w:w="2623"/>
        <w:gridCol w:w="2920"/>
        <w:gridCol w:w="1229"/>
      </w:tblGrid>
      <w:tr w:rsidR="00D671F8" w14:paraId="7138464E" w14:textId="77777777" w:rsidTr="00D671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0DAC50C" w14:textId="77777777" w:rsidR="00D671F8" w:rsidRDefault="00000000">
            <w:pPr>
              <w:spacing w:line="360" w:lineRule="auto"/>
              <w:jc w:val="both"/>
              <w:rPr>
                <w:rFonts w:ascii="Times New Roman" w:hAnsi="Times New Roman" w:cs="Times New Roman"/>
                <w:b w:val="0"/>
                <w:bCs w:val="0"/>
              </w:rPr>
            </w:pPr>
            <w:r>
              <w:rPr>
                <w:rFonts w:ascii="Times New Roman" w:hAnsi="Times New Roman" w:cs="Times New Roman"/>
                <w:color w:val="auto"/>
              </w:rPr>
              <w:t>Segment</w:t>
            </w:r>
          </w:p>
        </w:tc>
        <w:tc>
          <w:tcPr>
            <w:tcW w:w="0" w:type="auto"/>
          </w:tcPr>
          <w:p w14:paraId="33C61F13" w14:textId="77777777" w:rsidR="00D671F8" w:rsidRDefault="0000000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Pr>
                <w:rFonts w:ascii="Times New Roman" w:hAnsi="Times New Roman" w:cs="Times New Roman"/>
                <w:color w:val="auto"/>
              </w:rPr>
              <w:t>Profile</w:t>
            </w:r>
          </w:p>
        </w:tc>
        <w:tc>
          <w:tcPr>
            <w:tcW w:w="0" w:type="auto"/>
          </w:tcPr>
          <w:p w14:paraId="52A2DAD7" w14:textId="77777777" w:rsidR="00D671F8" w:rsidRDefault="0000000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Pr>
                <w:rFonts w:ascii="Times New Roman" w:hAnsi="Times New Roman" w:cs="Times New Roman"/>
                <w:color w:val="auto"/>
              </w:rPr>
              <w:t>Value Proposition</w:t>
            </w:r>
          </w:p>
        </w:tc>
        <w:tc>
          <w:tcPr>
            <w:tcW w:w="0" w:type="auto"/>
          </w:tcPr>
          <w:p w14:paraId="4CB25A1F" w14:textId="77777777" w:rsidR="00D671F8" w:rsidRDefault="0000000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Pr>
                <w:rFonts w:ascii="Times New Roman" w:hAnsi="Times New Roman" w:cs="Times New Roman"/>
                <w:color w:val="auto"/>
              </w:rPr>
              <w:t>Priority</w:t>
            </w:r>
          </w:p>
        </w:tc>
      </w:tr>
      <w:tr w:rsidR="00D671F8" w14:paraId="7874C8CC" w14:textId="77777777" w:rsidTr="00D671F8">
        <w:tc>
          <w:tcPr>
            <w:cnfStyle w:val="001000000000" w:firstRow="0" w:lastRow="0" w:firstColumn="1" w:lastColumn="0" w:oddVBand="0" w:evenVBand="0" w:oddHBand="0" w:evenHBand="0" w:firstRowFirstColumn="0" w:firstRowLastColumn="0" w:lastRowFirstColumn="0" w:lastRowLastColumn="0"/>
            <w:tcW w:w="0" w:type="auto"/>
            <w:shd w:val="clear" w:color="auto" w:fill="D9F2D0" w:themeFill="accent6" w:themeFillTint="33"/>
          </w:tcPr>
          <w:p w14:paraId="16EDFF85" w14:textId="77777777" w:rsidR="00D671F8" w:rsidRDefault="00000000">
            <w:pPr>
              <w:spacing w:line="360" w:lineRule="auto"/>
              <w:jc w:val="both"/>
              <w:rPr>
                <w:rFonts w:ascii="Times New Roman" w:hAnsi="Times New Roman" w:cs="Times New Roman"/>
                <w:b w:val="0"/>
                <w:bCs w:val="0"/>
              </w:rPr>
            </w:pPr>
            <w:r>
              <w:rPr>
                <w:rFonts w:ascii="Times New Roman" w:hAnsi="Times New Roman" w:cs="Times New Roman"/>
              </w:rPr>
              <w:t>Connected Professionals</w:t>
            </w:r>
          </w:p>
        </w:tc>
        <w:tc>
          <w:tcPr>
            <w:tcW w:w="0" w:type="auto"/>
            <w:shd w:val="clear" w:color="auto" w:fill="D9F2D0" w:themeFill="accent6" w:themeFillTint="33"/>
          </w:tcPr>
          <w:p w14:paraId="43705B6C"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28–45, urban, high income, tech-savvy</w:t>
            </w:r>
          </w:p>
        </w:tc>
        <w:tc>
          <w:tcPr>
            <w:tcW w:w="0" w:type="auto"/>
            <w:shd w:val="clear" w:color="auto" w:fill="D9F2D0" w:themeFill="accent6" w:themeFillTint="33"/>
          </w:tcPr>
          <w:p w14:paraId="48700A5D"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AI automation, seamless control, time-saving</w:t>
            </w:r>
          </w:p>
        </w:tc>
        <w:tc>
          <w:tcPr>
            <w:tcW w:w="0" w:type="auto"/>
            <w:shd w:val="clear" w:color="auto" w:fill="D9F2D0" w:themeFill="accent6" w:themeFillTint="33"/>
          </w:tcPr>
          <w:p w14:paraId="0D4A5A3F"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Primary</w:t>
            </w:r>
          </w:p>
        </w:tc>
      </w:tr>
      <w:tr w:rsidR="00D671F8" w14:paraId="5227B73D" w14:textId="77777777" w:rsidTr="00D671F8">
        <w:tc>
          <w:tcPr>
            <w:cnfStyle w:val="001000000000" w:firstRow="0" w:lastRow="0" w:firstColumn="1" w:lastColumn="0" w:oddVBand="0" w:evenVBand="0" w:oddHBand="0" w:evenHBand="0" w:firstRowFirstColumn="0" w:firstRowLastColumn="0" w:lastRowFirstColumn="0" w:lastRowLastColumn="0"/>
            <w:tcW w:w="0" w:type="auto"/>
          </w:tcPr>
          <w:p w14:paraId="334836DE" w14:textId="77777777" w:rsidR="00D671F8" w:rsidRDefault="00000000">
            <w:pPr>
              <w:spacing w:line="360" w:lineRule="auto"/>
              <w:jc w:val="both"/>
              <w:rPr>
                <w:rFonts w:ascii="Times New Roman" w:hAnsi="Times New Roman" w:cs="Times New Roman"/>
                <w:b w:val="0"/>
                <w:bCs w:val="0"/>
              </w:rPr>
            </w:pPr>
            <w:r>
              <w:rPr>
                <w:rFonts w:ascii="Times New Roman" w:hAnsi="Times New Roman" w:cs="Times New Roman"/>
              </w:rPr>
              <w:t>Eco-Conscious Families</w:t>
            </w:r>
          </w:p>
        </w:tc>
        <w:tc>
          <w:tcPr>
            <w:tcW w:w="0" w:type="auto"/>
          </w:tcPr>
          <w:p w14:paraId="746DA6C1"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30–50, suburban, eco-focused</w:t>
            </w:r>
          </w:p>
        </w:tc>
        <w:tc>
          <w:tcPr>
            <w:tcW w:w="0" w:type="auto"/>
          </w:tcPr>
          <w:p w14:paraId="2DA33E97"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Energy savings, sustainability, security</w:t>
            </w:r>
          </w:p>
        </w:tc>
        <w:tc>
          <w:tcPr>
            <w:tcW w:w="0" w:type="auto"/>
          </w:tcPr>
          <w:p w14:paraId="6AA4DFB9"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Primary</w:t>
            </w:r>
          </w:p>
        </w:tc>
      </w:tr>
      <w:tr w:rsidR="00D671F8" w14:paraId="4F5075AB" w14:textId="77777777" w:rsidTr="00D671F8">
        <w:tc>
          <w:tcPr>
            <w:cnfStyle w:val="001000000000" w:firstRow="0" w:lastRow="0" w:firstColumn="1" w:lastColumn="0" w:oddVBand="0" w:evenVBand="0" w:oddHBand="0" w:evenHBand="0" w:firstRowFirstColumn="0" w:firstRowLastColumn="0" w:lastRowFirstColumn="0" w:lastRowLastColumn="0"/>
            <w:tcW w:w="0" w:type="auto"/>
            <w:shd w:val="clear" w:color="auto" w:fill="D9F2D0" w:themeFill="accent6" w:themeFillTint="33"/>
          </w:tcPr>
          <w:p w14:paraId="58AD82BD" w14:textId="77777777" w:rsidR="00D671F8" w:rsidRDefault="00000000">
            <w:pPr>
              <w:spacing w:line="360" w:lineRule="auto"/>
              <w:jc w:val="both"/>
              <w:rPr>
                <w:rFonts w:ascii="Times New Roman" w:hAnsi="Times New Roman" w:cs="Times New Roman"/>
                <w:b w:val="0"/>
                <w:bCs w:val="0"/>
              </w:rPr>
            </w:pPr>
            <w:r>
              <w:rPr>
                <w:rFonts w:ascii="Times New Roman" w:hAnsi="Times New Roman" w:cs="Times New Roman"/>
              </w:rPr>
              <w:lastRenderedPageBreak/>
              <w:t>Aspirational Tech Adopters</w:t>
            </w:r>
          </w:p>
        </w:tc>
        <w:tc>
          <w:tcPr>
            <w:tcW w:w="0" w:type="auto"/>
            <w:shd w:val="clear" w:color="auto" w:fill="D9F2D0" w:themeFill="accent6" w:themeFillTint="33"/>
          </w:tcPr>
          <w:p w14:paraId="137D75DD"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22–35, new homeowners, brand-driven</w:t>
            </w:r>
          </w:p>
        </w:tc>
        <w:tc>
          <w:tcPr>
            <w:tcW w:w="0" w:type="auto"/>
            <w:shd w:val="clear" w:color="auto" w:fill="D9F2D0" w:themeFill="accent6" w:themeFillTint="33"/>
          </w:tcPr>
          <w:p w14:paraId="4F1F53A9"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Affordable entry, modular smart ecosystem</w:t>
            </w:r>
          </w:p>
        </w:tc>
        <w:tc>
          <w:tcPr>
            <w:tcW w:w="0" w:type="auto"/>
            <w:shd w:val="clear" w:color="auto" w:fill="D9F2D0" w:themeFill="accent6" w:themeFillTint="33"/>
          </w:tcPr>
          <w:p w14:paraId="7FD952F5"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Secondary</w:t>
            </w:r>
          </w:p>
        </w:tc>
      </w:tr>
    </w:tbl>
    <w:p w14:paraId="5CBEF3EA" w14:textId="77777777" w:rsidR="00D671F8" w:rsidRDefault="00000000">
      <w:pPr>
        <w:spacing w:line="360" w:lineRule="auto"/>
        <w:jc w:val="center"/>
        <w:rPr>
          <w:rFonts w:ascii="Times New Roman" w:hAnsi="Times New Roman" w:cs="Times New Roman"/>
        </w:rPr>
      </w:pPr>
      <w:r>
        <w:rPr>
          <w:rFonts w:ascii="Times New Roman" w:hAnsi="Times New Roman" w:cs="Times New Roman"/>
          <w:i/>
          <w:iCs/>
        </w:rPr>
        <w:t>Source: McKinsey &amp; Company (2024) and PwC (2024)</w:t>
      </w:r>
    </w:p>
    <w:p w14:paraId="24A04D33" w14:textId="77777777" w:rsidR="00D671F8" w:rsidRDefault="00000000">
      <w:pPr>
        <w:spacing w:line="360" w:lineRule="auto"/>
        <w:jc w:val="both"/>
        <w:rPr>
          <w:rFonts w:ascii="Times New Roman" w:hAnsi="Times New Roman" w:cs="Times New Roman"/>
        </w:rPr>
      </w:pPr>
      <w:r>
        <w:rPr>
          <w:rFonts w:ascii="Times New Roman" w:hAnsi="Times New Roman" w:cs="Times New Roman"/>
        </w:rPr>
        <w:t>The segment attractiveness radar (see Figure 4 below) compares the three segments across six strategic fit criteria: geographic fit, demographic fit, psychographic fit, behavioural fit, market size and growth potential. This confirms that both Connected Professionals and Eco-Conscious Families are excellent primary targets, while Aspirational Adopters are a good volume target.</w:t>
      </w:r>
    </w:p>
    <w:p w14:paraId="34BE544D" w14:textId="77777777" w:rsidR="00D671F8" w:rsidRDefault="00000000">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4F3DE6F2" wp14:editId="14D1C455">
            <wp:extent cx="4000500" cy="4000500"/>
            <wp:effectExtent l="0" t="0" r="0" b="0"/>
            <wp:docPr id="1782336038" name="/home/claude/chart2_segmentation_radar.png" descr="/home/claude/chart2_segmentation_radar.png" title="/home/claude/chart2_segmentation_rada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336038" name="/home/claude/chart2_segmentation_radar.png" descr="/home/claude/chart2_segmentation_radar.png" title="/home/claude/chart2_segmentation_radar.png"/>
                    <pic:cNvPicPr>
                      <a:picLocks noChangeAspect="1" noChangeArrowheads="1"/>
                    </pic:cNvPicPr>
                  </pic:nvPicPr>
                  <pic:blipFill>
                    <a:blip r:embed="rId11"/>
                    <a:srcRect/>
                    <a:stretch>
                      <a:fillRect/>
                    </a:stretch>
                  </pic:blipFill>
                  <pic:spPr>
                    <a:xfrm>
                      <a:off x="0" y="0"/>
                      <a:ext cx="4000500" cy="4000500"/>
                    </a:xfrm>
                    <a:prstGeom prst="rect">
                      <a:avLst/>
                    </a:prstGeom>
                  </pic:spPr>
                </pic:pic>
              </a:graphicData>
            </a:graphic>
          </wp:inline>
        </w:drawing>
      </w:r>
    </w:p>
    <w:p w14:paraId="04B4DF59" w14:textId="77777777" w:rsidR="00D671F8" w:rsidRDefault="00000000">
      <w:pPr>
        <w:pStyle w:val="Caption"/>
        <w:jc w:val="center"/>
        <w:rPr>
          <w:rFonts w:ascii="Times New Roman" w:hAnsi="Times New Roman" w:cs="Times New Roman"/>
          <w:b/>
          <w:bCs/>
          <w:color w:val="auto"/>
          <w:sz w:val="24"/>
          <w:szCs w:val="24"/>
        </w:rPr>
      </w:pPr>
      <w:r>
        <w:rPr>
          <w:b/>
          <w:bCs/>
        </w:rPr>
        <w:t xml:space="preserve">Figure </w:t>
      </w:r>
      <w:r>
        <w:rPr>
          <w:b/>
          <w:bCs/>
        </w:rPr>
        <w:fldChar w:fldCharType="begin"/>
      </w:r>
      <w:r>
        <w:rPr>
          <w:b/>
          <w:bCs/>
        </w:rPr>
        <w:instrText xml:space="preserve"> SEQ Figure \* ARABIC </w:instrText>
      </w:r>
      <w:r>
        <w:rPr>
          <w:b/>
          <w:bCs/>
        </w:rPr>
        <w:fldChar w:fldCharType="separate"/>
      </w:r>
      <w:r>
        <w:rPr>
          <w:b/>
          <w:bCs/>
        </w:rPr>
        <w:t>4</w:t>
      </w:r>
      <w:r>
        <w:rPr>
          <w:b/>
          <w:bCs/>
        </w:rPr>
        <w:fldChar w:fldCharType="end"/>
      </w:r>
      <w:r>
        <w:rPr>
          <w:b/>
          <w:bCs/>
        </w:rPr>
        <w:t xml:space="preserve"> </w:t>
      </w:r>
      <w:r>
        <w:rPr>
          <w:rFonts w:ascii="Times New Roman" w:hAnsi="Times New Roman" w:cs="Times New Roman"/>
          <w:b/>
          <w:bCs/>
          <w:color w:val="auto"/>
          <w:sz w:val="24"/>
          <w:szCs w:val="24"/>
        </w:rPr>
        <w:t>Market Segment Attractiveness Radar — Three Key Segments Compared Across Six Dimensions.</w:t>
      </w:r>
    </w:p>
    <w:p w14:paraId="29E916DA" w14:textId="77777777" w:rsidR="00D671F8" w:rsidRDefault="00000000">
      <w:pPr>
        <w:pStyle w:val="Heading2"/>
      </w:pPr>
      <w:bookmarkStart w:id="11" w:name="_Toc228482894"/>
      <w:bookmarkStart w:id="12" w:name="_Toc228485967"/>
      <w:r>
        <w:t>Differentiation</w:t>
      </w:r>
      <w:bookmarkEnd w:id="11"/>
      <w:bookmarkEnd w:id="12"/>
    </w:p>
    <w:p w14:paraId="6E1E618A" w14:textId="77777777" w:rsidR="00D671F8" w:rsidRDefault="00000000">
      <w:pPr>
        <w:spacing w:line="360" w:lineRule="auto"/>
        <w:jc w:val="both"/>
        <w:rPr>
          <w:rFonts w:ascii="Times New Roman" w:hAnsi="Times New Roman" w:cs="Times New Roman"/>
        </w:rPr>
      </w:pPr>
      <w:r>
        <w:rPr>
          <w:rFonts w:ascii="Times New Roman" w:hAnsi="Times New Roman" w:cs="Times New Roman"/>
        </w:rPr>
        <w:t>Competitive differentiation, according to Porter (1980), is the creation of superior differentiation valued by customers. SmartLiving Hub is pursuing a multi-dimensional differentiation strategy with five strategic priorities, as outlined in Table 3. In Porter's (1980) terms, this is a superior differentiation strategy that eschews cost competition in favour of "value creation" through brand-specific AI intelligence, cyber security and sustainability.</w:t>
      </w:r>
    </w:p>
    <w:p w14:paraId="1E90DBC1" w14:textId="77777777" w:rsidR="00D671F8" w:rsidRDefault="00000000">
      <w:pPr>
        <w:spacing w:line="360" w:lineRule="auto"/>
        <w:jc w:val="center"/>
        <w:rPr>
          <w:rFonts w:ascii="Times New Roman" w:hAnsi="Times New Roman" w:cs="Times New Roman"/>
          <w:b/>
          <w:bCs/>
        </w:rPr>
      </w:pPr>
      <w:r>
        <w:rPr>
          <w:rFonts w:ascii="Times New Roman" w:hAnsi="Times New Roman" w:cs="Times New Roman"/>
          <w:b/>
          <w:bCs/>
        </w:rPr>
        <w:t>Table 3: Competitive Differentiation Framework — SmartLiving Hub vs Key Competitors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31"/>
        <w:gridCol w:w="2200"/>
        <w:gridCol w:w="1669"/>
        <w:gridCol w:w="1619"/>
        <w:gridCol w:w="1607"/>
      </w:tblGrid>
      <w:tr w:rsidR="00D671F8" w14:paraId="68AE7050" w14:textId="77777777">
        <w:trPr>
          <w:tblHeader/>
        </w:trPr>
        <w:tc>
          <w:tcPr>
            <w:tcW w:w="2000" w:type="dxa"/>
            <w:tcBorders>
              <w:top w:val="single" w:sz="4" w:space="0" w:color="0066CC"/>
              <w:left w:val="single" w:sz="4" w:space="0" w:color="0066CC"/>
              <w:bottom w:val="single" w:sz="4" w:space="0" w:color="0066CC"/>
              <w:right w:val="single" w:sz="4" w:space="0" w:color="0066CC"/>
            </w:tcBorders>
            <w:shd w:val="clear" w:color="auto" w:fill="0066CC"/>
            <w:tcMar>
              <w:top w:w="100" w:type="dxa"/>
              <w:left w:w="150" w:type="dxa"/>
              <w:bottom w:w="100" w:type="dxa"/>
              <w:right w:w="150" w:type="dxa"/>
            </w:tcMar>
            <w:vAlign w:val="center"/>
          </w:tcPr>
          <w:p w14:paraId="364B2EE4" w14:textId="77777777" w:rsidR="00D671F8" w:rsidRDefault="00000000">
            <w:pPr>
              <w:spacing w:line="276" w:lineRule="auto"/>
              <w:jc w:val="both"/>
              <w:rPr>
                <w:rFonts w:ascii="Times New Roman" w:hAnsi="Times New Roman" w:cs="Times New Roman"/>
                <w:b/>
                <w:bCs/>
              </w:rPr>
            </w:pPr>
            <w:r>
              <w:rPr>
                <w:rFonts w:ascii="Times New Roman" w:hAnsi="Times New Roman" w:cs="Times New Roman"/>
                <w:b/>
                <w:bCs/>
              </w:rPr>
              <w:lastRenderedPageBreak/>
              <w:t>Pillar</w:t>
            </w:r>
          </w:p>
        </w:tc>
        <w:tc>
          <w:tcPr>
            <w:tcW w:w="2500" w:type="dxa"/>
            <w:tcBorders>
              <w:top w:val="single" w:sz="4" w:space="0" w:color="0066CC"/>
              <w:left w:val="single" w:sz="4" w:space="0" w:color="0066CC"/>
              <w:bottom w:val="single" w:sz="4" w:space="0" w:color="0066CC"/>
              <w:right w:val="single" w:sz="4" w:space="0" w:color="0066CC"/>
            </w:tcBorders>
            <w:shd w:val="clear" w:color="auto" w:fill="0066CC"/>
            <w:tcMar>
              <w:top w:w="100" w:type="dxa"/>
              <w:left w:w="150" w:type="dxa"/>
              <w:bottom w:w="100" w:type="dxa"/>
              <w:right w:w="150" w:type="dxa"/>
            </w:tcMar>
            <w:vAlign w:val="center"/>
          </w:tcPr>
          <w:p w14:paraId="7D52A802" w14:textId="77777777" w:rsidR="00D671F8" w:rsidRDefault="00000000">
            <w:pPr>
              <w:spacing w:line="276" w:lineRule="auto"/>
              <w:jc w:val="both"/>
              <w:rPr>
                <w:rFonts w:ascii="Times New Roman" w:hAnsi="Times New Roman" w:cs="Times New Roman"/>
                <w:b/>
                <w:bCs/>
              </w:rPr>
            </w:pPr>
            <w:r>
              <w:rPr>
                <w:rFonts w:ascii="Times New Roman" w:hAnsi="Times New Roman" w:cs="Times New Roman"/>
                <w:b/>
                <w:bCs/>
              </w:rPr>
              <w:t>SmartLiving Hub</w:t>
            </w:r>
          </w:p>
        </w:tc>
        <w:tc>
          <w:tcPr>
            <w:tcW w:w="1700" w:type="dxa"/>
            <w:tcBorders>
              <w:top w:val="single" w:sz="4" w:space="0" w:color="0066CC"/>
              <w:left w:val="single" w:sz="4" w:space="0" w:color="0066CC"/>
              <w:bottom w:val="single" w:sz="4" w:space="0" w:color="0066CC"/>
              <w:right w:val="single" w:sz="4" w:space="0" w:color="0066CC"/>
            </w:tcBorders>
            <w:shd w:val="clear" w:color="auto" w:fill="0066CC"/>
            <w:tcMar>
              <w:top w:w="100" w:type="dxa"/>
              <w:left w:w="150" w:type="dxa"/>
              <w:bottom w:w="100" w:type="dxa"/>
              <w:right w:w="150" w:type="dxa"/>
            </w:tcMar>
            <w:vAlign w:val="center"/>
          </w:tcPr>
          <w:p w14:paraId="670443FE" w14:textId="77777777" w:rsidR="00D671F8" w:rsidRDefault="00000000">
            <w:pPr>
              <w:spacing w:line="276" w:lineRule="auto"/>
              <w:jc w:val="both"/>
              <w:rPr>
                <w:rFonts w:ascii="Times New Roman" w:hAnsi="Times New Roman" w:cs="Times New Roman"/>
                <w:b/>
                <w:bCs/>
              </w:rPr>
            </w:pPr>
            <w:r>
              <w:rPr>
                <w:rFonts w:ascii="Times New Roman" w:hAnsi="Times New Roman" w:cs="Times New Roman"/>
                <w:b/>
                <w:bCs/>
              </w:rPr>
              <w:t>Amazon Alexa</w:t>
            </w:r>
          </w:p>
        </w:tc>
        <w:tc>
          <w:tcPr>
            <w:tcW w:w="1700" w:type="dxa"/>
            <w:tcBorders>
              <w:top w:val="single" w:sz="4" w:space="0" w:color="0066CC"/>
              <w:left w:val="single" w:sz="4" w:space="0" w:color="0066CC"/>
              <w:bottom w:val="single" w:sz="4" w:space="0" w:color="0066CC"/>
              <w:right w:val="single" w:sz="4" w:space="0" w:color="0066CC"/>
            </w:tcBorders>
            <w:shd w:val="clear" w:color="auto" w:fill="0066CC"/>
            <w:tcMar>
              <w:top w:w="100" w:type="dxa"/>
              <w:left w:w="150" w:type="dxa"/>
              <w:bottom w:w="100" w:type="dxa"/>
              <w:right w:w="150" w:type="dxa"/>
            </w:tcMar>
            <w:vAlign w:val="center"/>
          </w:tcPr>
          <w:p w14:paraId="29B15D70" w14:textId="77777777" w:rsidR="00D671F8" w:rsidRDefault="00000000">
            <w:pPr>
              <w:spacing w:line="276" w:lineRule="auto"/>
              <w:jc w:val="both"/>
              <w:rPr>
                <w:rFonts w:ascii="Times New Roman" w:hAnsi="Times New Roman" w:cs="Times New Roman"/>
                <w:b/>
                <w:bCs/>
              </w:rPr>
            </w:pPr>
            <w:r>
              <w:rPr>
                <w:rFonts w:ascii="Times New Roman" w:hAnsi="Times New Roman" w:cs="Times New Roman"/>
                <w:b/>
                <w:bCs/>
              </w:rPr>
              <w:t>Apple HomeKit</w:t>
            </w:r>
          </w:p>
        </w:tc>
        <w:tc>
          <w:tcPr>
            <w:tcW w:w="1126" w:type="dxa"/>
            <w:tcBorders>
              <w:top w:val="single" w:sz="4" w:space="0" w:color="0066CC"/>
              <w:left w:val="single" w:sz="4" w:space="0" w:color="0066CC"/>
              <w:bottom w:val="single" w:sz="4" w:space="0" w:color="0066CC"/>
              <w:right w:val="single" w:sz="4" w:space="0" w:color="0066CC"/>
            </w:tcBorders>
            <w:shd w:val="clear" w:color="auto" w:fill="0066CC"/>
            <w:tcMar>
              <w:top w:w="100" w:type="dxa"/>
              <w:left w:w="150" w:type="dxa"/>
              <w:bottom w:w="100" w:type="dxa"/>
              <w:right w:w="150" w:type="dxa"/>
            </w:tcMar>
            <w:vAlign w:val="center"/>
          </w:tcPr>
          <w:p w14:paraId="145A5653" w14:textId="77777777" w:rsidR="00D671F8" w:rsidRDefault="00000000">
            <w:pPr>
              <w:spacing w:line="276" w:lineRule="auto"/>
              <w:jc w:val="both"/>
              <w:rPr>
                <w:rFonts w:ascii="Times New Roman" w:hAnsi="Times New Roman" w:cs="Times New Roman"/>
                <w:b/>
                <w:bCs/>
              </w:rPr>
            </w:pPr>
            <w:r>
              <w:rPr>
                <w:rFonts w:ascii="Times New Roman" w:hAnsi="Times New Roman" w:cs="Times New Roman"/>
                <w:b/>
                <w:bCs/>
              </w:rPr>
              <w:t>Google Nest</w:t>
            </w:r>
          </w:p>
        </w:tc>
      </w:tr>
      <w:tr w:rsidR="00D671F8" w14:paraId="54B57F64" w14:textId="77777777">
        <w:tc>
          <w:tcPr>
            <w:tcW w:w="2000" w:type="dxa"/>
            <w:tcBorders>
              <w:top w:val="single" w:sz="4" w:space="0" w:color="0066CC"/>
              <w:left w:val="single" w:sz="4" w:space="0" w:color="0066CC"/>
              <w:bottom w:val="single" w:sz="4" w:space="0" w:color="0066CC"/>
              <w:right w:val="single" w:sz="4" w:space="0" w:color="0066CC"/>
            </w:tcBorders>
            <w:shd w:val="clear" w:color="auto" w:fill="EBF5FB"/>
            <w:tcMar>
              <w:top w:w="60" w:type="dxa"/>
              <w:left w:w="150" w:type="dxa"/>
              <w:bottom w:w="60" w:type="dxa"/>
              <w:right w:w="150" w:type="dxa"/>
            </w:tcMar>
          </w:tcPr>
          <w:p w14:paraId="071795D1" w14:textId="77777777" w:rsidR="00D671F8" w:rsidRDefault="00000000">
            <w:pPr>
              <w:spacing w:line="276" w:lineRule="auto"/>
              <w:jc w:val="both"/>
              <w:rPr>
                <w:rFonts w:ascii="Times New Roman" w:hAnsi="Times New Roman" w:cs="Times New Roman"/>
              </w:rPr>
            </w:pPr>
            <w:r>
              <w:rPr>
                <w:rFonts w:ascii="Times New Roman" w:hAnsi="Times New Roman" w:cs="Times New Roman"/>
              </w:rPr>
              <w:t>AI Intelligence</w:t>
            </w:r>
          </w:p>
        </w:tc>
        <w:tc>
          <w:tcPr>
            <w:tcW w:w="2500" w:type="dxa"/>
            <w:tcBorders>
              <w:top w:val="single" w:sz="4" w:space="0" w:color="0066CC"/>
              <w:left w:val="single" w:sz="4" w:space="0" w:color="0066CC"/>
              <w:bottom w:val="single" w:sz="4" w:space="0" w:color="0066CC"/>
              <w:right w:val="single" w:sz="4" w:space="0" w:color="0066CC"/>
            </w:tcBorders>
            <w:shd w:val="clear" w:color="auto" w:fill="EBF5FB"/>
            <w:tcMar>
              <w:top w:w="60" w:type="dxa"/>
              <w:left w:w="150" w:type="dxa"/>
              <w:bottom w:w="60" w:type="dxa"/>
              <w:right w:w="150" w:type="dxa"/>
            </w:tcMar>
          </w:tcPr>
          <w:p w14:paraId="2EDB23DB" w14:textId="77777777" w:rsidR="00D671F8" w:rsidRDefault="00000000">
            <w:pPr>
              <w:spacing w:line="276" w:lineRule="auto"/>
              <w:jc w:val="both"/>
              <w:rPr>
                <w:rFonts w:ascii="Times New Roman" w:hAnsi="Times New Roman" w:cs="Times New Roman"/>
              </w:rPr>
            </w:pPr>
            <w:r>
              <w:rPr>
                <w:rFonts w:ascii="Times New Roman" w:hAnsi="Times New Roman" w:cs="Times New Roman"/>
              </w:rPr>
              <w:t>Galaxy AI: proactive, predictive, personalised</w:t>
            </w:r>
          </w:p>
        </w:tc>
        <w:tc>
          <w:tcPr>
            <w:tcW w:w="1700" w:type="dxa"/>
            <w:tcBorders>
              <w:top w:val="single" w:sz="4" w:space="0" w:color="0066CC"/>
              <w:left w:val="single" w:sz="4" w:space="0" w:color="0066CC"/>
              <w:bottom w:val="single" w:sz="4" w:space="0" w:color="0066CC"/>
              <w:right w:val="single" w:sz="4" w:space="0" w:color="0066CC"/>
            </w:tcBorders>
            <w:shd w:val="clear" w:color="auto" w:fill="EBF5FB"/>
            <w:tcMar>
              <w:top w:w="60" w:type="dxa"/>
              <w:left w:w="150" w:type="dxa"/>
              <w:bottom w:w="60" w:type="dxa"/>
              <w:right w:w="150" w:type="dxa"/>
            </w:tcMar>
          </w:tcPr>
          <w:p w14:paraId="27FB537D" w14:textId="77777777" w:rsidR="00D671F8" w:rsidRDefault="00000000">
            <w:pPr>
              <w:spacing w:line="276" w:lineRule="auto"/>
              <w:jc w:val="both"/>
              <w:rPr>
                <w:rFonts w:ascii="Times New Roman" w:hAnsi="Times New Roman" w:cs="Times New Roman"/>
              </w:rPr>
            </w:pPr>
            <w:r>
              <w:rPr>
                <w:rFonts w:ascii="Times New Roman" w:hAnsi="Times New Roman" w:cs="Times New Roman"/>
              </w:rPr>
              <w:t>Reactive voice commands only</w:t>
            </w:r>
          </w:p>
        </w:tc>
        <w:tc>
          <w:tcPr>
            <w:tcW w:w="1700" w:type="dxa"/>
            <w:tcBorders>
              <w:top w:val="single" w:sz="4" w:space="0" w:color="0066CC"/>
              <w:left w:val="single" w:sz="4" w:space="0" w:color="0066CC"/>
              <w:bottom w:val="single" w:sz="4" w:space="0" w:color="0066CC"/>
              <w:right w:val="single" w:sz="4" w:space="0" w:color="0066CC"/>
            </w:tcBorders>
            <w:shd w:val="clear" w:color="auto" w:fill="EBF5FB"/>
            <w:tcMar>
              <w:top w:w="60" w:type="dxa"/>
              <w:left w:w="150" w:type="dxa"/>
              <w:bottom w:w="60" w:type="dxa"/>
              <w:right w:w="150" w:type="dxa"/>
            </w:tcMar>
          </w:tcPr>
          <w:p w14:paraId="6FBEAE76" w14:textId="77777777" w:rsidR="00D671F8" w:rsidRDefault="00000000">
            <w:pPr>
              <w:spacing w:line="276" w:lineRule="auto"/>
              <w:jc w:val="both"/>
              <w:rPr>
                <w:rFonts w:ascii="Times New Roman" w:hAnsi="Times New Roman" w:cs="Times New Roman"/>
              </w:rPr>
            </w:pPr>
            <w:r>
              <w:rPr>
                <w:rFonts w:ascii="Times New Roman" w:hAnsi="Times New Roman" w:cs="Times New Roman"/>
              </w:rPr>
              <w:t>Siri: limited automation</w:t>
            </w:r>
          </w:p>
        </w:tc>
        <w:tc>
          <w:tcPr>
            <w:tcW w:w="1126" w:type="dxa"/>
            <w:tcBorders>
              <w:top w:val="single" w:sz="4" w:space="0" w:color="0066CC"/>
              <w:left w:val="single" w:sz="4" w:space="0" w:color="0066CC"/>
              <w:bottom w:val="single" w:sz="4" w:space="0" w:color="0066CC"/>
              <w:right w:val="single" w:sz="4" w:space="0" w:color="0066CC"/>
            </w:tcBorders>
            <w:shd w:val="clear" w:color="auto" w:fill="EBF5FB"/>
            <w:tcMar>
              <w:top w:w="60" w:type="dxa"/>
              <w:left w:w="150" w:type="dxa"/>
              <w:bottom w:w="60" w:type="dxa"/>
              <w:right w:w="150" w:type="dxa"/>
            </w:tcMar>
          </w:tcPr>
          <w:p w14:paraId="0137CCB9" w14:textId="77777777" w:rsidR="00D671F8" w:rsidRDefault="00000000">
            <w:pPr>
              <w:spacing w:line="276" w:lineRule="auto"/>
              <w:jc w:val="both"/>
              <w:rPr>
                <w:rFonts w:ascii="Times New Roman" w:hAnsi="Times New Roman" w:cs="Times New Roman"/>
              </w:rPr>
            </w:pPr>
            <w:r>
              <w:rPr>
                <w:rFonts w:ascii="Times New Roman" w:hAnsi="Times New Roman" w:cs="Times New Roman"/>
              </w:rPr>
              <w:t>Google AI: good but reactive</w:t>
            </w:r>
          </w:p>
        </w:tc>
      </w:tr>
      <w:tr w:rsidR="00D671F8" w14:paraId="3F9A35A4" w14:textId="77777777">
        <w:tc>
          <w:tcPr>
            <w:tcW w:w="2000" w:type="dxa"/>
            <w:tcBorders>
              <w:top w:val="single" w:sz="4" w:space="0" w:color="0066CC"/>
              <w:left w:val="single" w:sz="4" w:space="0" w:color="0066CC"/>
              <w:bottom w:val="single" w:sz="4" w:space="0" w:color="0066CC"/>
              <w:right w:val="single" w:sz="4" w:space="0" w:color="0066CC"/>
            </w:tcBorders>
            <w:shd w:val="clear" w:color="auto" w:fill="FFFFFF"/>
            <w:tcMar>
              <w:top w:w="60" w:type="dxa"/>
              <w:left w:w="150" w:type="dxa"/>
              <w:bottom w:w="60" w:type="dxa"/>
              <w:right w:w="150" w:type="dxa"/>
            </w:tcMar>
          </w:tcPr>
          <w:p w14:paraId="51E50348" w14:textId="77777777" w:rsidR="00D671F8" w:rsidRDefault="00000000">
            <w:pPr>
              <w:spacing w:line="276" w:lineRule="auto"/>
              <w:jc w:val="both"/>
              <w:rPr>
                <w:rFonts w:ascii="Times New Roman" w:hAnsi="Times New Roman" w:cs="Times New Roman"/>
              </w:rPr>
            </w:pPr>
            <w:r>
              <w:rPr>
                <w:rFonts w:ascii="Times New Roman" w:hAnsi="Times New Roman" w:cs="Times New Roman"/>
              </w:rPr>
              <w:t>Security</w:t>
            </w:r>
          </w:p>
        </w:tc>
        <w:tc>
          <w:tcPr>
            <w:tcW w:w="2500" w:type="dxa"/>
            <w:tcBorders>
              <w:top w:val="single" w:sz="4" w:space="0" w:color="0066CC"/>
              <w:left w:val="single" w:sz="4" w:space="0" w:color="0066CC"/>
              <w:bottom w:val="single" w:sz="4" w:space="0" w:color="0066CC"/>
              <w:right w:val="single" w:sz="4" w:space="0" w:color="0066CC"/>
            </w:tcBorders>
            <w:shd w:val="clear" w:color="auto" w:fill="FFFFFF"/>
            <w:tcMar>
              <w:top w:w="60" w:type="dxa"/>
              <w:left w:w="150" w:type="dxa"/>
              <w:bottom w:w="60" w:type="dxa"/>
              <w:right w:w="150" w:type="dxa"/>
            </w:tcMar>
          </w:tcPr>
          <w:p w14:paraId="59BBD24C" w14:textId="77777777" w:rsidR="00D671F8" w:rsidRDefault="00000000">
            <w:pPr>
              <w:spacing w:line="276" w:lineRule="auto"/>
              <w:jc w:val="both"/>
              <w:rPr>
                <w:rFonts w:ascii="Times New Roman" w:hAnsi="Times New Roman" w:cs="Times New Roman"/>
              </w:rPr>
            </w:pPr>
            <w:r>
              <w:rPr>
                <w:rFonts w:ascii="Times New Roman" w:hAnsi="Times New Roman" w:cs="Times New Roman"/>
              </w:rPr>
              <w:t>Knox military-grade enterprise security</w:t>
            </w:r>
          </w:p>
        </w:tc>
        <w:tc>
          <w:tcPr>
            <w:tcW w:w="1700" w:type="dxa"/>
            <w:tcBorders>
              <w:top w:val="single" w:sz="4" w:space="0" w:color="0066CC"/>
              <w:left w:val="single" w:sz="4" w:space="0" w:color="0066CC"/>
              <w:bottom w:val="single" w:sz="4" w:space="0" w:color="0066CC"/>
              <w:right w:val="single" w:sz="4" w:space="0" w:color="0066CC"/>
            </w:tcBorders>
            <w:shd w:val="clear" w:color="auto" w:fill="FFFFFF"/>
            <w:tcMar>
              <w:top w:w="60" w:type="dxa"/>
              <w:left w:w="150" w:type="dxa"/>
              <w:bottom w:w="60" w:type="dxa"/>
              <w:right w:w="150" w:type="dxa"/>
            </w:tcMar>
          </w:tcPr>
          <w:p w14:paraId="157F9217" w14:textId="77777777" w:rsidR="00D671F8" w:rsidRDefault="00000000">
            <w:pPr>
              <w:spacing w:line="276" w:lineRule="auto"/>
              <w:jc w:val="both"/>
              <w:rPr>
                <w:rFonts w:ascii="Times New Roman" w:hAnsi="Times New Roman" w:cs="Times New Roman"/>
              </w:rPr>
            </w:pPr>
            <w:r>
              <w:rPr>
                <w:rFonts w:ascii="Times New Roman" w:hAnsi="Times New Roman" w:cs="Times New Roman"/>
              </w:rPr>
              <w:t>Consumer-grade encryption</w:t>
            </w:r>
          </w:p>
        </w:tc>
        <w:tc>
          <w:tcPr>
            <w:tcW w:w="1700" w:type="dxa"/>
            <w:tcBorders>
              <w:top w:val="single" w:sz="4" w:space="0" w:color="0066CC"/>
              <w:left w:val="single" w:sz="4" w:space="0" w:color="0066CC"/>
              <w:bottom w:val="single" w:sz="4" w:space="0" w:color="0066CC"/>
              <w:right w:val="single" w:sz="4" w:space="0" w:color="0066CC"/>
            </w:tcBorders>
            <w:shd w:val="clear" w:color="auto" w:fill="FFFFFF"/>
            <w:tcMar>
              <w:top w:w="60" w:type="dxa"/>
              <w:left w:w="150" w:type="dxa"/>
              <w:bottom w:w="60" w:type="dxa"/>
              <w:right w:w="150" w:type="dxa"/>
            </w:tcMar>
          </w:tcPr>
          <w:p w14:paraId="5A144615" w14:textId="77777777" w:rsidR="00D671F8" w:rsidRDefault="00000000">
            <w:pPr>
              <w:spacing w:line="276" w:lineRule="auto"/>
              <w:jc w:val="both"/>
              <w:rPr>
                <w:rFonts w:ascii="Times New Roman" w:hAnsi="Times New Roman" w:cs="Times New Roman"/>
              </w:rPr>
            </w:pPr>
            <w:r>
              <w:rPr>
                <w:rFonts w:ascii="Times New Roman" w:hAnsi="Times New Roman" w:cs="Times New Roman"/>
              </w:rPr>
              <w:t>Strong privacy, no security certification</w:t>
            </w:r>
          </w:p>
        </w:tc>
        <w:tc>
          <w:tcPr>
            <w:tcW w:w="1126" w:type="dxa"/>
            <w:tcBorders>
              <w:top w:val="single" w:sz="4" w:space="0" w:color="0066CC"/>
              <w:left w:val="single" w:sz="4" w:space="0" w:color="0066CC"/>
              <w:bottom w:val="single" w:sz="4" w:space="0" w:color="0066CC"/>
              <w:right w:val="single" w:sz="4" w:space="0" w:color="0066CC"/>
            </w:tcBorders>
            <w:shd w:val="clear" w:color="auto" w:fill="FFFFFF"/>
            <w:tcMar>
              <w:top w:w="60" w:type="dxa"/>
              <w:left w:w="150" w:type="dxa"/>
              <w:bottom w:w="60" w:type="dxa"/>
              <w:right w:w="150" w:type="dxa"/>
            </w:tcMar>
          </w:tcPr>
          <w:p w14:paraId="56D189A4" w14:textId="77777777" w:rsidR="00D671F8" w:rsidRDefault="00000000">
            <w:pPr>
              <w:spacing w:line="276" w:lineRule="auto"/>
              <w:jc w:val="both"/>
              <w:rPr>
                <w:rFonts w:ascii="Times New Roman" w:hAnsi="Times New Roman" w:cs="Times New Roman"/>
              </w:rPr>
            </w:pPr>
            <w:r>
              <w:rPr>
                <w:rFonts w:ascii="Times New Roman" w:hAnsi="Times New Roman" w:cs="Times New Roman"/>
              </w:rPr>
              <w:t>Standard consumer security</w:t>
            </w:r>
          </w:p>
        </w:tc>
      </w:tr>
      <w:tr w:rsidR="00D671F8" w14:paraId="4CEC2B56" w14:textId="77777777">
        <w:tc>
          <w:tcPr>
            <w:tcW w:w="2000" w:type="dxa"/>
            <w:tcBorders>
              <w:top w:val="single" w:sz="4" w:space="0" w:color="0066CC"/>
              <w:left w:val="single" w:sz="4" w:space="0" w:color="0066CC"/>
              <w:bottom w:val="single" w:sz="4" w:space="0" w:color="0066CC"/>
              <w:right w:val="single" w:sz="4" w:space="0" w:color="0066CC"/>
            </w:tcBorders>
            <w:shd w:val="clear" w:color="auto" w:fill="EBF5FB"/>
            <w:tcMar>
              <w:top w:w="60" w:type="dxa"/>
              <w:left w:w="150" w:type="dxa"/>
              <w:bottom w:w="60" w:type="dxa"/>
              <w:right w:w="150" w:type="dxa"/>
            </w:tcMar>
          </w:tcPr>
          <w:p w14:paraId="1A089EFC" w14:textId="77777777" w:rsidR="00D671F8" w:rsidRDefault="00000000">
            <w:pPr>
              <w:spacing w:line="276" w:lineRule="auto"/>
              <w:jc w:val="both"/>
              <w:rPr>
                <w:rFonts w:ascii="Times New Roman" w:hAnsi="Times New Roman" w:cs="Times New Roman"/>
              </w:rPr>
            </w:pPr>
            <w:r>
              <w:rPr>
                <w:rFonts w:ascii="Times New Roman" w:hAnsi="Times New Roman" w:cs="Times New Roman"/>
              </w:rPr>
              <w:t>Ecosystem</w:t>
            </w:r>
          </w:p>
        </w:tc>
        <w:tc>
          <w:tcPr>
            <w:tcW w:w="2500" w:type="dxa"/>
            <w:tcBorders>
              <w:top w:val="single" w:sz="4" w:space="0" w:color="0066CC"/>
              <w:left w:val="single" w:sz="4" w:space="0" w:color="0066CC"/>
              <w:bottom w:val="single" w:sz="4" w:space="0" w:color="0066CC"/>
              <w:right w:val="single" w:sz="4" w:space="0" w:color="0066CC"/>
            </w:tcBorders>
            <w:shd w:val="clear" w:color="auto" w:fill="EBF5FB"/>
            <w:tcMar>
              <w:top w:w="60" w:type="dxa"/>
              <w:left w:w="150" w:type="dxa"/>
              <w:bottom w:w="60" w:type="dxa"/>
              <w:right w:w="150" w:type="dxa"/>
            </w:tcMar>
          </w:tcPr>
          <w:p w14:paraId="57C7EB2F" w14:textId="77777777" w:rsidR="00D671F8" w:rsidRDefault="00000000">
            <w:pPr>
              <w:spacing w:line="276" w:lineRule="auto"/>
              <w:jc w:val="both"/>
              <w:rPr>
                <w:rFonts w:ascii="Times New Roman" w:hAnsi="Times New Roman" w:cs="Times New Roman"/>
              </w:rPr>
            </w:pPr>
            <w:r>
              <w:rPr>
                <w:rFonts w:ascii="Times New Roman" w:hAnsi="Times New Roman" w:cs="Times New Roman"/>
              </w:rPr>
              <w:t>425M+ SmartThings users; 4,700+ devices via Matter</w:t>
            </w:r>
          </w:p>
        </w:tc>
        <w:tc>
          <w:tcPr>
            <w:tcW w:w="1700" w:type="dxa"/>
            <w:tcBorders>
              <w:top w:val="single" w:sz="4" w:space="0" w:color="0066CC"/>
              <w:left w:val="single" w:sz="4" w:space="0" w:color="0066CC"/>
              <w:bottom w:val="single" w:sz="4" w:space="0" w:color="0066CC"/>
              <w:right w:val="single" w:sz="4" w:space="0" w:color="0066CC"/>
            </w:tcBorders>
            <w:shd w:val="clear" w:color="auto" w:fill="EBF5FB"/>
            <w:tcMar>
              <w:top w:w="60" w:type="dxa"/>
              <w:left w:w="150" w:type="dxa"/>
              <w:bottom w:w="60" w:type="dxa"/>
              <w:right w:w="150" w:type="dxa"/>
            </w:tcMar>
          </w:tcPr>
          <w:p w14:paraId="2B964869" w14:textId="77777777" w:rsidR="00D671F8" w:rsidRDefault="00000000">
            <w:pPr>
              <w:spacing w:line="276" w:lineRule="auto"/>
              <w:jc w:val="both"/>
              <w:rPr>
                <w:rFonts w:ascii="Times New Roman" w:hAnsi="Times New Roman" w:cs="Times New Roman"/>
              </w:rPr>
            </w:pPr>
            <w:r>
              <w:rPr>
                <w:rFonts w:ascii="Times New Roman" w:hAnsi="Times New Roman" w:cs="Times New Roman"/>
              </w:rPr>
              <w:t>Broad but fragmented</w:t>
            </w:r>
          </w:p>
        </w:tc>
        <w:tc>
          <w:tcPr>
            <w:tcW w:w="1700" w:type="dxa"/>
            <w:tcBorders>
              <w:top w:val="single" w:sz="4" w:space="0" w:color="0066CC"/>
              <w:left w:val="single" w:sz="4" w:space="0" w:color="0066CC"/>
              <w:bottom w:val="single" w:sz="4" w:space="0" w:color="0066CC"/>
              <w:right w:val="single" w:sz="4" w:space="0" w:color="0066CC"/>
            </w:tcBorders>
            <w:shd w:val="clear" w:color="auto" w:fill="EBF5FB"/>
            <w:tcMar>
              <w:top w:w="60" w:type="dxa"/>
              <w:left w:w="150" w:type="dxa"/>
              <w:bottom w:w="60" w:type="dxa"/>
              <w:right w:w="150" w:type="dxa"/>
            </w:tcMar>
          </w:tcPr>
          <w:p w14:paraId="3F64B1EC" w14:textId="77777777" w:rsidR="00D671F8" w:rsidRDefault="00000000">
            <w:pPr>
              <w:spacing w:line="276" w:lineRule="auto"/>
              <w:jc w:val="both"/>
              <w:rPr>
                <w:rFonts w:ascii="Times New Roman" w:hAnsi="Times New Roman" w:cs="Times New Roman"/>
              </w:rPr>
            </w:pPr>
            <w:r>
              <w:rPr>
                <w:rFonts w:ascii="Times New Roman" w:hAnsi="Times New Roman" w:cs="Times New Roman"/>
              </w:rPr>
              <w:t>Apple-only; closed ecosystem</w:t>
            </w:r>
          </w:p>
        </w:tc>
        <w:tc>
          <w:tcPr>
            <w:tcW w:w="1126" w:type="dxa"/>
            <w:tcBorders>
              <w:top w:val="single" w:sz="4" w:space="0" w:color="0066CC"/>
              <w:left w:val="single" w:sz="4" w:space="0" w:color="0066CC"/>
              <w:bottom w:val="single" w:sz="4" w:space="0" w:color="0066CC"/>
              <w:right w:val="single" w:sz="4" w:space="0" w:color="0066CC"/>
            </w:tcBorders>
            <w:shd w:val="clear" w:color="auto" w:fill="EBF5FB"/>
            <w:tcMar>
              <w:top w:w="60" w:type="dxa"/>
              <w:left w:w="150" w:type="dxa"/>
              <w:bottom w:w="60" w:type="dxa"/>
              <w:right w:w="150" w:type="dxa"/>
            </w:tcMar>
          </w:tcPr>
          <w:p w14:paraId="150A730B" w14:textId="77777777" w:rsidR="00D671F8" w:rsidRDefault="00000000">
            <w:pPr>
              <w:spacing w:line="276" w:lineRule="auto"/>
              <w:jc w:val="both"/>
              <w:rPr>
                <w:rFonts w:ascii="Times New Roman" w:hAnsi="Times New Roman" w:cs="Times New Roman"/>
              </w:rPr>
            </w:pPr>
            <w:r>
              <w:rPr>
                <w:rFonts w:ascii="Times New Roman" w:hAnsi="Times New Roman" w:cs="Times New Roman"/>
              </w:rPr>
              <w:t>Google-only devices primarily</w:t>
            </w:r>
          </w:p>
        </w:tc>
      </w:tr>
      <w:tr w:rsidR="00D671F8" w14:paraId="0AE25A76" w14:textId="77777777">
        <w:tc>
          <w:tcPr>
            <w:tcW w:w="2000" w:type="dxa"/>
            <w:tcBorders>
              <w:top w:val="single" w:sz="4" w:space="0" w:color="0066CC"/>
              <w:left w:val="single" w:sz="4" w:space="0" w:color="0066CC"/>
              <w:bottom w:val="single" w:sz="4" w:space="0" w:color="0066CC"/>
              <w:right w:val="single" w:sz="4" w:space="0" w:color="0066CC"/>
            </w:tcBorders>
            <w:shd w:val="clear" w:color="auto" w:fill="FFFFFF"/>
            <w:tcMar>
              <w:top w:w="60" w:type="dxa"/>
              <w:left w:w="150" w:type="dxa"/>
              <w:bottom w:w="60" w:type="dxa"/>
              <w:right w:w="150" w:type="dxa"/>
            </w:tcMar>
          </w:tcPr>
          <w:p w14:paraId="1B4760E1" w14:textId="77777777" w:rsidR="00D671F8" w:rsidRDefault="00000000">
            <w:pPr>
              <w:spacing w:line="276" w:lineRule="auto"/>
              <w:jc w:val="both"/>
              <w:rPr>
                <w:rFonts w:ascii="Times New Roman" w:hAnsi="Times New Roman" w:cs="Times New Roman"/>
              </w:rPr>
            </w:pPr>
            <w:r>
              <w:rPr>
                <w:rFonts w:ascii="Times New Roman" w:hAnsi="Times New Roman" w:cs="Times New Roman"/>
              </w:rPr>
              <w:t>Sustainability</w:t>
            </w:r>
          </w:p>
        </w:tc>
        <w:tc>
          <w:tcPr>
            <w:tcW w:w="2500" w:type="dxa"/>
            <w:tcBorders>
              <w:top w:val="single" w:sz="4" w:space="0" w:color="0066CC"/>
              <w:left w:val="single" w:sz="4" w:space="0" w:color="0066CC"/>
              <w:bottom w:val="single" w:sz="4" w:space="0" w:color="0066CC"/>
              <w:right w:val="single" w:sz="4" w:space="0" w:color="0066CC"/>
            </w:tcBorders>
            <w:shd w:val="clear" w:color="auto" w:fill="FFFFFF"/>
            <w:tcMar>
              <w:top w:w="60" w:type="dxa"/>
              <w:left w:w="150" w:type="dxa"/>
              <w:bottom w:w="60" w:type="dxa"/>
              <w:right w:w="150" w:type="dxa"/>
            </w:tcMar>
          </w:tcPr>
          <w:p w14:paraId="1C5C5B07" w14:textId="77777777" w:rsidR="00D671F8" w:rsidRDefault="00000000">
            <w:pPr>
              <w:spacing w:line="276" w:lineRule="auto"/>
              <w:jc w:val="both"/>
              <w:rPr>
                <w:rFonts w:ascii="Times New Roman" w:hAnsi="Times New Roman" w:cs="Times New Roman"/>
              </w:rPr>
            </w:pPr>
            <w:r>
              <w:rPr>
                <w:rFonts w:ascii="Times New Roman" w:hAnsi="Times New Roman" w:cs="Times New Roman"/>
              </w:rPr>
              <w:t>30% energy saving AI; net-zero 2030; recycled materials</w:t>
            </w:r>
          </w:p>
        </w:tc>
        <w:tc>
          <w:tcPr>
            <w:tcW w:w="1700" w:type="dxa"/>
            <w:tcBorders>
              <w:top w:val="single" w:sz="4" w:space="0" w:color="0066CC"/>
              <w:left w:val="single" w:sz="4" w:space="0" w:color="0066CC"/>
              <w:bottom w:val="single" w:sz="4" w:space="0" w:color="0066CC"/>
              <w:right w:val="single" w:sz="4" w:space="0" w:color="0066CC"/>
            </w:tcBorders>
            <w:shd w:val="clear" w:color="auto" w:fill="FFFFFF"/>
            <w:tcMar>
              <w:top w:w="60" w:type="dxa"/>
              <w:left w:w="150" w:type="dxa"/>
              <w:bottom w:w="60" w:type="dxa"/>
              <w:right w:w="150" w:type="dxa"/>
            </w:tcMar>
          </w:tcPr>
          <w:p w14:paraId="1E1CD35E" w14:textId="77777777" w:rsidR="00D671F8" w:rsidRDefault="00000000">
            <w:pPr>
              <w:spacing w:line="276" w:lineRule="auto"/>
              <w:jc w:val="both"/>
              <w:rPr>
                <w:rFonts w:ascii="Times New Roman" w:hAnsi="Times New Roman" w:cs="Times New Roman"/>
              </w:rPr>
            </w:pPr>
            <w:r>
              <w:rPr>
                <w:rFonts w:ascii="Times New Roman" w:hAnsi="Times New Roman" w:cs="Times New Roman"/>
              </w:rPr>
              <w:t>Minimal commitments</w:t>
            </w:r>
          </w:p>
        </w:tc>
        <w:tc>
          <w:tcPr>
            <w:tcW w:w="1700" w:type="dxa"/>
            <w:tcBorders>
              <w:top w:val="single" w:sz="4" w:space="0" w:color="0066CC"/>
              <w:left w:val="single" w:sz="4" w:space="0" w:color="0066CC"/>
              <w:bottom w:val="single" w:sz="4" w:space="0" w:color="0066CC"/>
              <w:right w:val="single" w:sz="4" w:space="0" w:color="0066CC"/>
            </w:tcBorders>
            <w:shd w:val="clear" w:color="auto" w:fill="FFFFFF"/>
            <w:tcMar>
              <w:top w:w="60" w:type="dxa"/>
              <w:left w:w="150" w:type="dxa"/>
              <w:bottom w:w="60" w:type="dxa"/>
              <w:right w:w="150" w:type="dxa"/>
            </w:tcMar>
          </w:tcPr>
          <w:p w14:paraId="52E57CFD" w14:textId="77777777" w:rsidR="00D671F8" w:rsidRDefault="00000000">
            <w:pPr>
              <w:spacing w:line="276" w:lineRule="auto"/>
              <w:jc w:val="both"/>
              <w:rPr>
                <w:rFonts w:ascii="Times New Roman" w:hAnsi="Times New Roman" w:cs="Times New Roman"/>
              </w:rPr>
            </w:pPr>
            <w:r>
              <w:rPr>
                <w:rFonts w:ascii="Times New Roman" w:hAnsi="Times New Roman" w:cs="Times New Roman"/>
              </w:rPr>
              <w:t>Carbon neutral claims only</w:t>
            </w:r>
          </w:p>
        </w:tc>
        <w:tc>
          <w:tcPr>
            <w:tcW w:w="1126" w:type="dxa"/>
            <w:tcBorders>
              <w:top w:val="single" w:sz="4" w:space="0" w:color="0066CC"/>
              <w:left w:val="single" w:sz="4" w:space="0" w:color="0066CC"/>
              <w:bottom w:val="single" w:sz="4" w:space="0" w:color="0066CC"/>
              <w:right w:val="single" w:sz="4" w:space="0" w:color="0066CC"/>
            </w:tcBorders>
            <w:shd w:val="clear" w:color="auto" w:fill="FFFFFF"/>
            <w:tcMar>
              <w:top w:w="60" w:type="dxa"/>
              <w:left w:w="150" w:type="dxa"/>
              <w:bottom w:w="60" w:type="dxa"/>
              <w:right w:w="150" w:type="dxa"/>
            </w:tcMar>
          </w:tcPr>
          <w:p w14:paraId="48F8C675" w14:textId="77777777" w:rsidR="00D671F8" w:rsidRDefault="00000000">
            <w:pPr>
              <w:spacing w:line="276" w:lineRule="auto"/>
              <w:jc w:val="both"/>
              <w:rPr>
                <w:rFonts w:ascii="Times New Roman" w:hAnsi="Times New Roman" w:cs="Times New Roman"/>
              </w:rPr>
            </w:pPr>
            <w:r>
              <w:rPr>
                <w:rFonts w:ascii="Times New Roman" w:hAnsi="Times New Roman" w:cs="Times New Roman"/>
              </w:rPr>
              <w:t>Limited verified commitments</w:t>
            </w:r>
          </w:p>
        </w:tc>
      </w:tr>
      <w:tr w:rsidR="00D671F8" w14:paraId="62E3756E" w14:textId="77777777">
        <w:tc>
          <w:tcPr>
            <w:tcW w:w="2000" w:type="dxa"/>
            <w:tcBorders>
              <w:top w:val="single" w:sz="4" w:space="0" w:color="0066CC"/>
              <w:left w:val="single" w:sz="4" w:space="0" w:color="0066CC"/>
              <w:bottom w:val="single" w:sz="4" w:space="0" w:color="0066CC"/>
              <w:right w:val="single" w:sz="4" w:space="0" w:color="0066CC"/>
            </w:tcBorders>
            <w:shd w:val="clear" w:color="auto" w:fill="EBF5FB"/>
            <w:tcMar>
              <w:top w:w="60" w:type="dxa"/>
              <w:left w:w="150" w:type="dxa"/>
              <w:bottom w:w="60" w:type="dxa"/>
              <w:right w:w="150" w:type="dxa"/>
            </w:tcMar>
          </w:tcPr>
          <w:p w14:paraId="28B5202F" w14:textId="77777777" w:rsidR="00D671F8" w:rsidRDefault="00000000">
            <w:pPr>
              <w:spacing w:line="276" w:lineRule="auto"/>
              <w:jc w:val="both"/>
              <w:rPr>
                <w:rFonts w:ascii="Times New Roman" w:hAnsi="Times New Roman" w:cs="Times New Roman"/>
              </w:rPr>
            </w:pPr>
            <w:r>
              <w:rPr>
                <w:rFonts w:ascii="Times New Roman" w:hAnsi="Times New Roman" w:cs="Times New Roman"/>
              </w:rPr>
              <w:t>Interoperability</w:t>
            </w:r>
          </w:p>
        </w:tc>
        <w:tc>
          <w:tcPr>
            <w:tcW w:w="2500" w:type="dxa"/>
            <w:tcBorders>
              <w:top w:val="single" w:sz="4" w:space="0" w:color="0066CC"/>
              <w:left w:val="single" w:sz="4" w:space="0" w:color="0066CC"/>
              <w:bottom w:val="single" w:sz="4" w:space="0" w:color="0066CC"/>
              <w:right w:val="single" w:sz="4" w:space="0" w:color="0066CC"/>
            </w:tcBorders>
            <w:shd w:val="clear" w:color="auto" w:fill="EBF5FB"/>
            <w:tcMar>
              <w:top w:w="60" w:type="dxa"/>
              <w:left w:w="150" w:type="dxa"/>
              <w:bottom w:w="60" w:type="dxa"/>
              <w:right w:w="150" w:type="dxa"/>
            </w:tcMar>
          </w:tcPr>
          <w:p w14:paraId="47A07135" w14:textId="77777777" w:rsidR="00D671F8" w:rsidRDefault="00000000">
            <w:pPr>
              <w:spacing w:line="276" w:lineRule="auto"/>
              <w:jc w:val="both"/>
              <w:rPr>
                <w:rFonts w:ascii="Times New Roman" w:hAnsi="Times New Roman" w:cs="Times New Roman"/>
              </w:rPr>
            </w:pPr>
            <w:r>
              <w:rPr>
                <w:rFonts w:ascii="Times New Roman" w:hAnsi="Times New Roman" w:cs="Times New Roman"/>
              </w:rPr>
              <w:t>Matter protocol: open-standard cross-platform</w:t>
            </w:r>
          </w:p>
        </w:tc>
        <w:tc>
          <w:tcPr>
            <w:tcW w:w="1700" w:type="dxa"/>
            <w:tcBorders>
              <w:top w:val="single" w:sz="4" w:space="0" w:color="0066CC"/>
              <w:left w:val="single" w:sz="4" w:space="0" w:color="0066CC"/>
              <w:bottom w:val="single" w:sz="4" w:space="0" w:color="0066CC"/>
              <w:right w:val="single" w:sz="4" w:space="0" w:color="0066CC"/>
            </w:tcBorders>
            <w:shd w:val="clear" w:color="auto" w:fill="EBF5FB"/>
            <w:tcMar>
              <w:top w:w="60" w:type="dxa"/>
              <w:left w:w="150" w:type="dxa"/>
              <w:bottom w:w="60" w:type="dxa"/>
              <w:right w:w="150" w:type="dxa"/>
            </w:tcMar>
          </w:tcPr>
          <w:p w14:paraId="7123D8B1" w14:textId="77777777" w:rsidR="00D671F8" w:rsidRDefault="00000000">
            <w:pPr>
              <w:spacing w:line="276" w:lineRule="auto"/>
              <w:jc w:val="both"/>
              <w:rPr>
                <w:rFonts w:ascii="Times New Roman" w:hAnsi="Times New Roman" w:cs="Times New Roman"/>
              </w:rPr>
            </w:pPr>
            <w:r>
              <w:rPr>
                <w:rFonts w:ascii="Times New Roman" w:hAnsi="Times New Roman" w:cs="Times New Roman"/>
              </w:rPr>
              <w:t>Partial Matter support</w:t>
            </w:r>
          </w:p>
        </w:tc>
        <w:tc>
          <w:tcPr>
            <w:tcW w:w="1700" w:type="dxa"/>
            <w:tcBorders>
              <w:top w:val="single" w:sz="4" w:space="0" w:color="0066CC"/>
              <w:left w:val="single" w:sz="4" w:space="0" w:color="0066CC"/>
              <w:bottom w:val="single" w:sz="4" w:space="0" w:color="0066CC"/>
              <w:right w:val="single" w:sz="4" w:space="0" w:color="0066CC"/>
            </w:tcBorders>
            <w:shd w:val="clear" w:color="auto" w:fill="EBF5FB"/>
            <w:tcMar>
              <w:top w:w="60" w:type="dxa"/>
              <w:left w:w="150" w:type="dxa"/>
              <w:bottom w:w="60" w:type="dxa"/>
              <w:right w:w="150" w:type="dxa"/>
            </w:tcMar>
          </w:tcPr>
          <w:p w14:paraId="073CE15C" w14:textId="77777777" w:rsidR="00D671F8" w:rsidRDefault="00000000">
            <w:pPr>
              <w:spacing w:line="276" w:lineRule="auto"/>
              <w:jc w:val="both"/>
              <w:rPr>
                <w:rFonts w:ascii="Times New Roman" w:hAnsi="Times New Roman" w:cs="Times New Roman"/>
              </w:rPr>
            </w:pPr>
            <w:r>
              <w:rPr>
                <w:rFonts w:ascii="Times New Roman" w:hAnsi="Times New Roman" w:cs="Times New Roman"/>
              </w:rPr>
              <w:t>Limited Matter adoption</w:t>
            </w:r>
          </w:p>
        </w:tc>
        <w:tc>
          <w:tcPr>
            <w:tcW w:w="1126" w:type="dxa"/>
            <w:tcBorders>
              <w:top w:val="single" w:sz="4" w:space="0" w:color="0066CC"/>
              <w:left w:val="single" w:sz="4" w:space="0" w:color="0066CC"/>
              <w:bottom w:val="single" w:sz="4" w:space="0" w:color="0066CC"/>
              <w:right w:val="single" w:sz="4" w:space="0" w:color="0066CC"/>
            </w:tcBorders>
            <w:shd w:val="clear" w:color="auto" w:fill="EBF5FB"/>
            <w:tcMar>
              <w:top w:w="60" w:type="dxa"/>
              <w:left w:w="150" w:type="dxa"/>
              <w:bottom w:w="60" w:type="dxa"/>
              <w:right w:w="150" w:type="dxa"/>
            </w:tcMar>
          </w:tcPr>
          <w:p w14:paraId="459E3EFE" w14:textId="77777777" w:rsidR="00D671F8" w:rsidRDefault="00000000">
            <w:pPr>
              <w:spacing w:line="276" w:lineRule="auto"/>
              <w:jc w:val="both"/>
              <w:rPr>
                <w:rFonts w:ascii="Times New Roman" w:hAnsi="Times New Roman" w:cs="Times New Roman"/>
              </w:rPr>
            </w:pPr>
            <w:r>
              <w:rPr>
                <w:rFonts w:ascii="Times New Roman" w:hAnsi="Times New Roman" w:cs="Times New Roman"/>
              </w:rPr>
              <w:t>Partial Matter support</w:t>
            </w:r>
          </w:p>
        </w:tc>
      </w:tr>
    </w:tbl>
    <w:p w14:paraId="4B1CF106" w14:textId="77777777" w:rsidR="00D671F8" w:rsidRDefault="00000000">
      <w:pPr>
        <w:spacing w:line="360" w:lineRule="auto"/>
        <w:jc w:val="center"/>
        <w:rPr>
          <w:rFonts w:ascii="Times New Roman" w:hAnsi="Times New Roman" w:cs="Times New Roman"/>
        </w:rPr>
      </w:pPr>
      <w:r>
        <w:rPr>
          <w:rFonts w:ascii="Times New Roman" w:hAnsi="Times New Roman" w:cs="Times New Roman"/>
          <w:i/>
          <w:iCs/>
        </w:rPr>
        <w:t>Source: Porter (1980); CSA-IoT (2025); Samsung Newsroom (2026)</w:t>
      </w:r>
    </w:p>
    <w:p w14:paraId="30575AE2" w14:textId="77777777" w:rsidR="00D671F8" w:rsidRDefault="00000000">
      <w:pPr>
        <w:spacing w:line="360" w:lineRule="auto"/>
        <w:jc w:val="both"/>
        <w:rPr>
          <w:rFonts w:ascii="Times New Roman" w:hAnsi="Times New Roman" w:cs="Times New Roman"/>
        </w:rPr>
      </w:pPr>
      <w:r>
        <w:rPr>
          <w:rFonts w:ascii="Times New Roman" w:hAnsi="Times New Roman" w:cs="Times New Roman"/>
        </w:rPr>
        <w:t>Treacy and Wiersema (1993) contend that the path to sustainable competitive advantage is a dominant value discipline of operational excellence, customer intimacy or product leadership. The SmartLiving Hub seeks to lead both in product innovation (Galaxy AI, Knox security, Matter protocol) and customer intimacy (personalised AI routines, SmartHome Advisor service), a unique combination which not only sets the Hub apart from one-discipline rivals, but also creates significant switching costs for customer loyalty.</w:t>
      </w:r>
    </w:p>
    <w:p w14:paraId="22465291" w14:textId="77777777" w:rsidR="00D671F8" w:rsidRDefault="00000000">
      <w:pPr>
        <w:pStyle w:val="Heading2"/>
      </w:pPr>
      <w:bookmarkStart w:id="13" w:name="_Toc228485968"/>
      <w:r>
        <w:t>Positioning</w:t>
      </w:r>
      <w:bookmarkEnd w:id="13"/>
    </w:p>
    <w:p w14:paraId="7EDA3C92" w14:textId="77777777" w:rsidR="00D671F8" w:rsidRDefault="00000000">
      <w:pPr>
        <w:spacing w:line="360" w:lineRule="auto"/>
        <w:jc w:val="both"/>
        <w:rPr>
          <w:rFonts w:ascii="Times New Roman" w:hAnsi="Times New Roman" w:cs="Times New Roman"/>
        </w:rPr>
      </w:pPr>
      <w:r>
        <w:rPr>
          <w:rFonts w:ascii="Times New Roman" w:hAnsi="Times New Roman" w:cs="Times New Roman"/>
        </w:rPr>
        <w:t>Positioning defines the brand's location in the consumer's mind compared to other brands (Ries and Trout, 1981). The SmartLiving Hub is positioned as:</w:t>
      </w:r>
    </w:p>
    <w:p w14:paraId="15529A36" w14:textId="77777777" w:rsidR="00D671F8" w:rsidRDefault="00D671F8">
      <w:pPr>
        <w:spacing w:line="360" w:lineRule="auto"/>
        <w:jc w:val="both"/>
        <w:rPr>
          <w:rFonts w:ascii="Times New Roman" w:hAnsi="Times New Roman" w:cs="Times New Roman"/>
        </w:rPr>
      </w:pPr>
    </w:p>
    <w:p w14:paraId="1CF2D61F" w14:textId="77777777" w:rsidR="00D671F8" w:rsidRDefault="00000000">
      <w:pPr>
        <w:shd w:val="clear" w:color="auto" w:fill="D86DCB" w:themeFill="accent5" w:themeFillTint="99"/>
        <w:spacing w:line="360" w:lineRule="auto"/>
        <w:jc w:val="center"/>
        <w:rPr>
          <w:rFonts w:ascii="Times New Roman" w:hAnsi="Times New Roman" w:cs="Times New Roman"/>
          <w:b/>
          <w:bCs/>
        </w:rPr>
      </w:pPr>
      <w:r>
        <w:rPr>
          <w:rFonts w:ascii="Times New Roman" w:hAnsi="Times New Roman" w:cs="Times New Roman"/>
          <w:b/>
          <w:bCs/>
          <w:i/>
          <w:iCs/>
        </w:rPr>
        <w:t>"The most intelligent, secure, and sustainable smart home ecosystem, designed for Samsung families who demand more from their connected lives."</w:t>
      </w:r>
    </w:p>
    <w:p w14:paraId="2B0D2833" w14:textId="77777777" w:rsidR="00D671F8" w:rsidRDefault="00000000">
      <w:pPr>
        <w:pStyle w:val="Caption"/>
        <w:jc w:val="center"/>
        <w:rPr>
          <w:rFonts w:ascii="Times New Roman" w:hAnsi="Times New Roman" w:cs="Times New Roman"/>
          <w:b/>
          <w:bCs/>
          <w:color w:val="auto"/>
          <w:sz w:val="24"/>
          <w:szCs w:val="24"/>
        </w:rPr>
      </w:pPr>
      <w:r>
        <w:rPr>
          <w:b/>
          <w:bCs/>
        </w:rPr>
        <w:t xml:space="preserve">Figure </w:t>
      </w:r>
      <w:r>
        <w:rPr>
          <w:b/>
          <w:bCs/>
        </w:rPr>
        <w:fldChar w:fldCharType="begin"/>
      </w:r>
      <w:r>
        <w:rPr>
          <w:b/>
          <w:bCs/>
        </w:rPr>
        <w:instrText xml:space="preserve"> SEQ Figure \* ARABIC </w:instrText>
      </w:r>
      <w:r>
        <w:rPr>
          <w:b/>
          <w:bCs/>
        </w:rPr>
        <w:fldChar w:fldCharType="separate"/>
      </w:r>
      <w:r>
        <w:rPr>
          <w:b/>
          <w:bCs/>
        </w:rPr>
        <w:t>5</w:t>
      </w:r>
      <w:r>
        <w:rPr>
          <w:b/>
          <w:bCs/>
        </w:rPr>
        <w:fldChar w:fldCharType="end"/>
      </w:r>
      <w:r>
        <w:rPr>
          <w:b/>
          <w:bCs/>
        </w:rPr>
        <w:t xml:space="preserve"> </w:t>
      </w:r>
      <w:r>
        <w:rPr>
          <w:rFonts w:ascii="Times New Roman" w:hAnsi="Times New Roman" w:cs="Times New Roman"/>
          <w:b/>
          <w:bCs/>
          <w:color w:val="auto"/>
          <w:sz w:val="24"/>
          <w:szCs w:val="24"/>
        </w:rPr>
        <w:t>Samsung SmartLiving Hub- Positioning Statement</w:t>
      </w:r>
    </w:p>
    <w:p w14:paraId="32CBE433" w14:textId="77777777" w:rsidR="00D671F8" w:rsidRDefault="00D671F8">
      <w:pPr>
        <w:spacing w:line="360" w:lineRule="auto"/>
        <w:jc w:val="center"/>
        <w:rPr>
          <w:rFonts w:ascii="Times New Roman" w:hAnsi="Times New Roman" w:cs="Times New Roman"/>
          <w:b/>
          <w:bCs/>
        </w:rPr>
      </w:pPr>
    </w:p>
    <w:p w14:paraId="52FE50CB" w14:textId="77777777" w:rsidR="00D671F8" w:rsidRDefault="00000000">
      <w:pPr>
        <w:spacing w:line="360" w:lineRule="auto"/>
        <w:jc w:val="both"/>
        <w:rPr>
          <w:rFonts w:ascii="Times New Roman" w:hAnsi="Times New Roman" w:cs="Times New Roman"/>
        </w:rPr>
      </w:pPr>
      <w:r>
        <w:rPr>
          <w:rFonts w:ascii="Times New Roman" w:hAnsi="Times New Roman" w:cs="Times New Roman"/>
        </w:rPr>
        <w:lastRenderedPageBreak/>
        <w:t>Figure 6 below shows the SmartLiving Hub compared to some of the major competitors on two dimensions - AI Intelligence and Market Positioning (mainstream to premium). The map confirms the Hub's unique position in the premium-intelligent quadrant, above Google Nest (mainstream-intelligent), Apple HomeKit (premium-closed) and way ahead of Amazon Alexa (mainstream-reactive).</w:t>
      </w:r>
    </w:p>
    <w:p w14:paraId="016E548A" w14:textId="77777777" w:rsidR="00D671F8" w:rsidRDefault="00000000">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4E65B25E" wp14:editId="2E78908C">
            <wp:extent cx="3979545" cy="3482340"/>
            <wp:effectExtent l="0" t="0" r="1905" b="3810"/>
            <wp:docPr id="1061073690" name="/home/claude/chart4_positioning.png" descr="/home/claude/chart4_positioning.png" title="/home/claude/chart4_position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073690" name="/home/claude/chart4_positioning.png" descr="/home/claude/chart4_positioning.png" title="/home/claude/chart4_positioning.png"/>
                    <pic:cNvPicPr>
                      <a:picLocks noChangeAspect="1" noChangeArrowheads="1"/>
                    </pic:cNvPicPr>
                  </pic:nvPicPr>
                  <pic:blipFill>
                    <a:blip r:embed="rId12"/>
                    <a:srcRect/>
                    <a:stretch>
                      <a:fillRect/>
                    </a:stretch>
                  </pic:blipFill>
                  <pic:spPr>
                    <a:xfrm>
                      <a:off x="0" y="0"/>
                      <a:ext cx="3983504" cy="3485566"/>
                    </a:xfrm>
                    <a:prstGeom prst="rect">
                      <a:avLst/>
                    </a:prstGeom>
                  </pic:spPr>
                </pic:pic>
              </a:graphicData>
            </a:graphic>
          </wp:inline>
        </w:drawing>
      </w:r>
    </w:p>
    <w:p w14:paraId="00ADEEFB" w14:textId="77777777" w:rsidR="00D671F8" w:rsidRDefault="00000000">
      <w:pPr>
        <w:pStyle w:val="Caption"/>
        <w:jc w:val="center"/>
        <w:rPr>
          <w:rFonts w:ascii="Times New Roman" w:hAnsi="Times New Roman" w:cs="Times New Roman"/>
          <w:b/>
          <w:bCs/>
          <w:color w:val="auto"/>
          <w:sz w:val="24"/>
          <w:szCs w:val="24"/>
        </w:rPr>
      </w:pPr>
      <w:r>
        <w:rPr>
          <w:b/>
          <w:bCs/>
        </w:rPr>
        <w:t xml:space="preserve">Figure </w:t>
      </w:r>
      <w:r>
        <w:rPr>
          <w:b/>
          <w:bCs/>
        </w:rPr>
        <w:fldChar w:fldCharType="begin"/>
      </w:r>
      <w:r>
        <w:rPr>
          <w:b/>
          <w:bCs/>
        </w:rPr>
        <w:instrText xml:space="preserve"> SEQ Figure \* ARABIC </w:instrText>
      </w:r>
      <w:r>
        <w:rPr>
          <w:b/>
          <w:bCs/>
        </w:rPr>
        <w:fldChar w:fldCharType="separate"/>
      </w:r>
      <w:r>
        <w:rPr>
          <w:b/>
          <w:bCs/>
        </w:rPr>
        <w:t>6</w:t>
      </w:r>
      <w:r>
        <w:rPr>
          <w:b/>
          <w:bCs/>
        </w:rPr>
        <w:fldChar w:fldCharType="end"/>
      </w:r>
      <w:r>
        <w:rPr>
          <w:b/>
          <w:bCs/>
        </w:rPr>
        <w:t xml:space="preserve"> </w:t>
      </w:r>
      <w:r>
        <w:rPr>
          <w:rFonts w:ascii="Times New Roman" w:hAnsi="Times New Roman" w:cs="Times New Roman"/>
          <w:b/>
          <w:bCs/>
          <w:color w:val="auto"/>
          <w:sz w:val="24"/>
          <w:szCs w:val="24"/>
        </w:rPr>
        <w:t>Competitive Positioning Map — Smart Home Ecosystem Market (AI Intelligence vs. Premium Positioning).</w:t>
      </w:r>
    </w:p>
    <w:p w14:paraId="2BB5B32E" w14:textId="77777777" w:rsidR="00D671F8" w:rsidRDefault="00000000">
      <w:pPr>
        <w:pStyle w:val="Caption"/>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t>Source: Porter (1980)</w:t>
      </w:r>
    </w:p>
    <w:p w14:paraId="74A7C030" w14:textId="77777777" w:rsidR="00D671F8" w:rsidRDefault="00000000">
      <w:pPr>
        <w:spacing w:line="360" w:lineRule="auto"/>
        <w:jc w:val="both"/>
        <w:rPr>
          <w:rFonts w:ascii="Times New Roman" w:hAnsi="Times New Roman" w:cs="Times New Roman"/>
        </w:rPr>
      </w:pPr>
      <w:r>
        <w:rPr>
          <w:rFonts w:ascii="Times New Roman" w:hAnsi="Times New Roman" w:cs="Times New Roman"/>
        </w:rPr>
        <w:t>According to Keller (2013), positioning needs to achieve clarity (what it is), consistency (across the entire marketing mix), and credibility (with demonstrable proof points). These three factors are manifest in the SmartLiving Hub strategy: clarity via the AI-security-sustainability tri-pillar messaging; consistency via the Samsung Galaxy brand family; and credibility via Knox certifications, Matter protocol compatibility and Samsung's sustainability goals.</w:t>
      </w:r>
    </w:p>
    <w:p w14:paraId="6284E623" w14:textId="77777777" w:rsidR="00D671F8" w:rsidRDefault="00000000">
      <w:pPr>
        <w:spacing w:line="360" w:lineRule="auto"/>
        <w:jc w:val="both"/>
        <w:rPr>
          <w:rFonts w:ascii="Times New Roman" w:hAnsi="Times New Roman" w:cs="Times New Roman"/>
        </w:rPr>
      </w:pPr>
      <w:r>
        <w:rPr>
          <w:rFonts w:ascii="Times New Roman" w:hAnsi="Times New Roman" w:cs="Times New Roman"/>
        </w:rPr>
        <w:t> </w:t>
      </w:r>
    </w:p>
    <w:p w14:paraId="1F7DB624" w14:textId="77777777" w:rsidR="00D671F8" w:rsidRDefault="00D671F8">
      <w:pPr>
        <w:spacing w:line="360" w:lineRule="auto"/>
        <w:jc w:val="both"/>
        <w:rPr>
          <w:rFonts w:ascii="Times New Roman" w:hAnsi="Times New Roman" w:cs="Times New Roman"/>
        </w:rPr>
      </w:pPr>
    </w:p>
    <w:p w14:paraId="34C14C5C" w14:textId="77777777" w:rsidR="00D671F8" w:rsidRDefault="00D671F8">
      <w:pPr>
        <w:spacing w:line="360" w:lineRule="auto"/>
        <w:jc w:val="both"/>
        <w:rPr>
          <w:rFonts w:ascii="Times New Roman" w:hAnsi="Times New Roman" w:cs="Times New Roman"/>
        </w:rPr>
      </w:pPr>
    </w:p>
    <w:p w14:paraId="769B319F" w14:textId="77777777" w:rsidR="00D671F8" w:rsidRDefault="00D671F8">
      <w:pPr>
        <w:spacing w:line="360" w:lineRule="auto"/>
        <w:jc w:val="both"/>
        <w:rPr>
          <w:rFonts w:ascii="Times New Roman" w:hAnsi="Times New Roman" w:cs="Times New Roman"/>
        </w:rPr>
      </w:pPr>
    </w:p>
    <w:p w14:paraId="3ACB968D" w14:textId="77777777" w:rsidR="00D671F8" w:rsidRDefault="00D671F8">
      <w:pPr>
        <w:spacing w:line="360" w:lineRule="auto"/>
        <w:jc w:val="both"/>
        <w:rPr>
          <w:rFonts w:ascii="Times New Roman" w:hAnsi="Times New Roman" w:cs="Times New Roman"/>
        </w:rPr>
      </w:pPr>
    </w:p>
    <w:p w14:paraId="2F5B6761" w14:textId="77777777" w:rsidR="00D671F8" w:rsidRDefault="00D671F8">
      <w:pPr>
        <w:spacing w:line="360" w:lineRule="auto"/>
        <w:jc w:val="both"/>
        <w:rPr>
          <w:rFonts w:ascii="Times New Roman" w:hAnsi="Times New Roman" w:cs="Times New Roman"/>
        </w:rPr>
      </w:pPr>
    </w:p>
    <w:p w14:paraId="6099CB01" w14:textId="77777777" w:rsidR="00D671F8" w:rsidRDefault="00D671F8">
      <w:pPr>
        <w:spacing w:line="360" w:lineRule="auto"/>
        <w:jc w:val="both"/>
        <w:rPr>
          <w:rFonts w:ascii="Times New Roman" w:hAnsi="Times New Roman" w:cs="Times New Roman"/>
        </w:rPr>
      </w:pPr>
    </w:p>
    <w:p w14:paraId="070DCC3E" w14:textId="77777777" w:rsidR="00D671F8" w:rsidRDefault="00000000">
      <w:pPr>
        <w:pStyle w:val="Heading1"/>
      </w:pPr>
      <w:bookmarkStart w:id="14" w:name="_Toc228485969"/>
      <w:r>
        <w:lastRenderedPageBreak/>
        <w:t>Element 3: 7Ps Marketing Mix Strategy</w:t>
      </w:r>
      <w:bookmarkEnd w:id="14"/>
    </w:p>
    <w:p w14:paraId="37612910" w14:textId="77777777" w:rsidR="00D671F8" w:rsidRDefault="00000000">
      <w:pPr>
        <w:spacing w:line="360" w:lineRule="auto"/>
        <w:jc w:val="both"/>
        <w:rPr>
          <w:rFonts w:ascii="Times New Roman" w:hAnsi="Times New Roman" w:cs="Times New Roman"/>
        </w:rPr>
      </w:pPr>
      <w:r>
        <w:rPr>
          <w:rFonts w:ascii="Times New Roman" w:hAnsi="Times New Roman" w:cs="Times New Roman"/>
        </w:rPr>
        <w:t>This element is based on the 7Ps extended marketing mix model of the Samsung SmartLiving Hub. The 7Ps - an extension of McCarthy's (1969) 4Ps by Booms and Bitner (1981) - are well suited to the technical service-oriented Samsung SmartLiving Hub product, where the services, people and physical characteristics of the product are as important as the product itself (Lovelock and Wirtz, 2004). Figure 7 illustrates the priority of all seven elements, before each is outlined in detail.</w:t>
      </w:r>
    </w:p>
    <w:p w14:paraId="257109AE" w14:textId="77777777" w:rsidR="00D671F8" w:rsidRDefault="00D671F8">
      <w:pPr>
        <w:spacing w:line="360" w:lineRule="auto"/>
        <w:jc w:val="both"/>
        <w:rPr>
          <w:rFonts w:ascii="Times New Roman" w:hAnsi="Times New Roman" w:cs="Times New Roman"/>
        </w:rPr>
      </w:pPr>
    </w:p>
    <w:p w14:paraId="7C8D1AE5" w14:textId="77777777" w:rsidR="00D671F8" w:rsidRDefault="00000000">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624E20E0" wp14:editId="6A501F4B">
            <wp:extent cx="5143500" cy="3143250"/>
            <wp:effectExtent l="0" t="0" r="0" b="0"/>
            <wp:docPr id="1274737008" name="/home/claude/chart3_7ps.png" descr="/home/claude/chart3_7ps.png" title="/home/claude/chart3_7p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737008" name="/home/claude/chart3_7ps.png" descr="/home/claude/chart3_7ps.png" title="/home/claude/chart3_7ps.png"/>
                    <pic:cNvPicPr>
                      <a:picLocks noChangeAspect="1" noChangeArrowheads="1"/>
                    </pic:cNvPicPr>
                  </pic:nvPicPr>
                  <pic:blipFill>
                    <a:blip r:embed="rId13"/>
                    <a:srcRect/>
                    <a:stretch>
                      <a:fillRect/>
                    </a:stretch>
                  </pic:blipFill>
                  <pic:spPr>
                    <a:xfrm>
                      <a:off x="0" y="0"/>
                      <a:ext cx="5143500" cy="3143250"/>
                    </a:xfrm>
                    <a:prstGeom prst="rect">
                      <a:avLst/>
                    </a:prstGeom>
                  </pic:spPr>
                </pic:pic>
              </a:graphicData>
            </a:graphic>
          </wp:inline>
        </w:drawing>
      </w:r>
    </w:p>
    <w:p w14:paraId="4C4DB65B" w14:textId="77777777" w:rsidR="00D671F8" w:rsidRDefault="00000000">
      <w:pPr>
        <w:pStyle w:val="Caption"/>
        <w:jc w:val="center"/>
        <w:rPr>
          <w:rFonts w:ascii="Times New Roman" w:hAnsi="Times New Roman" w:cs="Times New Roman"/>
          <w:b/>
          <w:bCs/>
          <w:color w:val="auto"/>
          <w:sz w:val="24"/>
          <w:szCs w:val="24"/>
        </w:rPr>
      </w:pPr>
      <w:r>
        <w:rPr>
          <w:b/>
          <w:bCs/>
        </w:rPr>
        <w:t xml:space="preserve">Figure </w:t>
      </w:r>
      <w:r>
        <w:rPr>
          <w:b/>
          <w:bCs/>
        </w:rPr>
        <w:fldChar w:fldCharType="begin"/>
      </w:r>
      <w:r>
        <w:rPr>
          <w:b/>
          <w:bCs/>
        </w:rPr>
        <w:instrText xml:space="preserve"> SEQ Figure \* ARABIC </w:instrText>
      </w:r>
      <w:r>
        <w:rPr>
          <w:b/>
          <w:bCs/>
        </w:rPr>
        <w:fldChar w:fldCharType="separate"/>
      </w:r>
      <w:r>
        <w:rPr>
          <w:b/>
          <w:bCs/>
        </w:rPr>
        <w:t>7</w:t>
      </w:r>
      <w:r>
        <w:rPr>
          <w:b/>
          <w:bCs/>
        </w:rPr>
        <w:fldChar w:fldCharType="end"/>
      </w:r>
      <w:r>
        <w:rPr>
          <w:b/>
          <w:bCs/>
        </w:rPr>
        <w:t xml:space="preserve"> </w:t>
      </w:r>
      <w:r>
        <w:rPr>
          <w:rFonts w:ascii="Times New Roman" w:hAnsi="Times New Roman" w:cs="Times New Roman"/>
          <w:b/>
          <w:bCs/>
          <w:color w:val="auto"/>
          <w:sz w:val="24"/>
          <w:szCs w:val="24"/>
        </w:rPr>
        <w:t>Samsung SmartLiving Hub — 7Ps Strategic Priority Scores. Source: Booms and Bitner (1981)</w:t>
      </w:r>
    </w:p>
    <w:p w14:paraId="5C59A1F1" w14:textId="77777777" w:rsidR="00D671F8" w:rsidRDefault="00D671F8">
      <w:pPr>
        <w:spacing w:line="360" w:lineRule="auto"/>
        <w:jc w:val="both"/>
        <w:rPr>
          <w:rFonts w:ascii="Times New Roman" w:hAnsi="Times New Roman" w:cs="Times New Roman"/>
        </w:rPr>
      </w:pPr>
    </w:p>
    <w:p w14:paraId="75A66F11" w14:textId="77777777" w:rsidR="00D671F8" w:rsidRDefault="00000000">
      <w:pPr>
        <w:pStyle w:val="Heading2"/>
      </w:pPr>
      <w:bookmarkStart w:id="15" w:name="_Toc228482897"/>
      <w:bookmarkStart w:id="16" w:name="_Toc228485970"/>
      <w:r>
        <w:t>Product</w:t>
      </w:r>
      <w:bookmarkEnd w:id="15"/>
      <w:bookmarkEnd w:id="16"/>
    </w:p>
    <w:p w14:paraId="0CFFDB30" w14:textId="77777777" w:rsidR="00D671F8" w:rsidRDefault="00000000">
      <w:pPr>
        <w:spacing w:line="360" w:lineRule="auto"/>
        <w:jc w:val="both"/>
        <w:rPr>
          <w:rFonts w:ascii="Times New Roman" w:hAnsi="Times New Roman" w:cs="Times New Roman"/>
        </w:rPr>
      </w:pPr>
      <w:r>
        <w:rPr>
          <w:rFonts w:ascii="Times New Roman" w:hAnsi="Times New Roman" w:cs="Times New Roman"/>
        </w:rPr>
        <w:t>Underlying the marketing strategy, the SmartLiving Hub is an example of Philip Kotler et al. (2010) Three Levels of Product. The core product is Galaxy AI automation that makes home functions convenient. The product is a voice-enabled hub with Knox security, Matter and SmartThings connections. The enhanced product is installation, monitoring, warranty and upgrades. In line with David Aaker (1991), fit drives success. Samsung uses its innovation and reliability to promote Hub in three SKUs (Standard, Professional, Enterprise) to different market segments.</w:t>
      </w:r>
    </w:p>
    <w:p w14:paraId="4E88653A" w14:textId="77777777" w:rsidR="00D671F8" w:rsidRDefault="00000000">
      <w:pPr>
        <w:pStyle w:val="Heading2"/>
      </w:pPr>
      <w:bookmarkStart w:id="17" w:name="_Toc228485971"/>
      <w:r>
        <w:t>Price</w:t>
      </w:r>
      <w:bookmarkEnd w:id="17"/>
    </w:p>
    <w:p w14:paraId="61A04307" w14:textId="77777777" w:rsidR="00D671F8" w:rsidRDefault="00000000">
      <w:pPr>
        <w:spacing w:line="360" w:lineRule="auto"/>
        <w:jc w:val="both"/>
        <w:rPr>
          <w:rFonts w:ascii="Times New Roman" w:hAnsi="Times New Roman" w:cs="Times New Roman"/>
        </w:rPr>
      </w:pPr>
      <w:r>
        <w:rPr>
          <w:rFonts w:ascii="Times New Roman" w:hAnsi="Times New Roman" w:cs="Times New Roman"/>
        </w:rPr>
        <w:lastRenderedPageBreak/>
        <w:t>The SmartLiving Hub uses value-based pricing ($299-599) reflecting consumers' willingness to pay for energy, security and automation benefits (Nagle and Müller, 2024; Monroe, 1990), rather than cost-plus pricing. It is priced higher than alternatives such as Amazon Echo Hub, leveraging unique capabilities (Knox security, Galaxy AI and Matter standards). Price also aligns to an ecosystem lock-in strategy (Shapiro and Varian, 1999), promoting device bundles and subscriptions to enhance value. A 15% Samsung Members' discount is used to offer an introductory price to support penetration pricing and fast-track market entry and adoption (Kotler et al., 2010; Tellis, 1986).</w:t>
      </w:r>
    </w:p>
    <w:p w14:paraId="5C383F07" w14:textId="77777777" w:rsidR="00D671F8" w:rsidRDefault="00000000">
      <w:pPr>
        <w:pStyle w:val="Heading2"/>
      </w:pPr>
      <w:bookmarkStart w:id="18" w:name="_Toc228485972"/>
      <w:r>
        <w:t>Place (Distribution)</w:t>
      </w:r>
      <w:bookmarkEnd w:id="18"/>
    </w:p>
    <w:p w14:paraId="74D6E76D" w14:textId="77777777" w:rsidR="00D671F8" w:rsidRDefault="00000000">
      <w:pPr>
        <w:spacing w:line="360" w:lineRule="auto"/>
        <w:jc w:val="both"/>
        <w:rPr>
          <w:rFonts w:ascii="Times New Roman" w:hAnsi="Times New Roman" w:cs="Times New Roman"/>
        </w:rPr>
      </w:pPr>
      <w:r>
        <w:rPr>
          <w:rFonts w:ascii="Times New Roman" w:hAnsi="Times New Roman" w:cs="Times New Roman"/>
        </w:rPr>
        <w:t>An omnichannel approach is used, as 78% of smart home consumers conduct thorough online research prior to in-store purchases, requiring phygital channel integration support (PwC, 2024; Verhoef et al., 2015). Key channels include: (1) Samsung Experience Stores - 1,400+ global premium retail stores that allow immersive demonstrations that lead directly to purchase intent for high-involvement technology products; (2) Samsung.com direct e-commerce with AI-powered product recommendations and exclusive Samsung Members offers; and (3) Authorised premium retailers such as Best Buy (North America), Currys (UK), and MediaMarkt (Europe) to reach consumers beyond Samsung's own retail network. An alternative "B2B" channel is also deployed to property developers and smart building integrators, tapping into Samsung's existing Knox enterprise sales channels (Rosenbloom, 2013).</w:t>
      </w:r>
    </w:p>
    <w:p w14:paraId="73793269" w14:textId="77777777" w:rsidR="00D671F8" w:rsidRDefault="00000000">
      <w:pPr>
        <w:pStyle w:val="Heading2"/>
      </w:pPr>
      <w:bookmarkStart w:id="19" w:name="_Toc228485973"/>
      <w:r>
        <w:t>Promotion</w:t>
      </w:r>
      <w:bookmarkEnd w:id="19"/>
    </w:p>
    <w:p w14:paraId="0B8FE30E" w14:textId="77777777" w:rsidR="00D671F8" w:rsidRDefault="00000000">
      <w:pPr>
        <w:spacing w:line="360" w:lineRule="auto"/>
        <w:jc w:val="both"/>
        <w:rPr>
          <w:rFonts w:ascii="Times New Roman" w:hAnsi="Times New Roman" w:cs="Times New Roman"/>
        </w:rPr>
      </w:pPr>
      <w:r>
        <w:rPr>
          <w:rFonts w:ascii="Times New Roman" w:hAnsi="Times New Roman" w:cs="Times New Roman"/>
        </w:rPr>
        <w:t>A promotional strategy is based an Integrated Marketing Communications (IMC) approach (Fill, 2013), delivering consistent messaging across all customer engagement channels but also with channel-specific tactics designed for each consumer segment.</w:t>
      </w:r>
    </w:p>
    <w:p w14:paraId="2A063BC5" w14:textId="77777777" w:rsidR="00D671F8" w:rsidRDefault="00000000">
      <w:pPr>
        <w:spacing w:line="360" w:lineRule="auto"/>
        <w:jc w:val="center"/>
        <w:rPr>
          <w:rFonts w:ascii="Times New Roman" w:hAnsi="Times New Roman" w:cs="Times New Roman"/>
          <w:b/>
          <w:bCs/>
        </w:rPr>
      </w:pPr>
      <w:r>
        <w:rPr>
          <w:rFonts w:ascii="Times New Roman" w:hAnsi="Times New Roman" w:cs="Times New Roman"/>
          <w:b/>
          <w:bCs/>
        </w:rPr>
        <w:t>Table 4: Promotional Mix — Samsung SmartLiving Hub IMC Strategy</w:t>
      </w:r>
    </w:p>
    <w:tbl>
      <w:tblPr>
        <w:tblStyle w:val="GridTable41"/>
        <w:tblW w:w="0" w:type="auto"/>
        <w:tblLook w:val="04A0" w:firstRow="1" w:lastRow="0" w:firstColumn="1" w:lastColumn="0" w:noHBand="0" w:noVBand="1"/>
      </w:tblPr>
      <w:tblGrid>
        <w:gridCol w:w="1907"/>
        <w:gridCol w:w="2472"/>
        <w:gridCol w:w="2435"/>
        <w:gridCol w:w="2202"/>
      </w:tblGrid>
      <w:tr w:rsidR="00D671F8" w14:paraId="711B130B" w14:textId="77777777" w:rsidTr="00D671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C2FCA6F" w14:textId="77777777" w:rsidR="00D671F8" w:rsidRDefault="00000000">
            <w:pPr>
              <w:spacing w:line="360" w:lineRule="auto"/>
              <w:jc w:val="both"/>
              <w:rPr>
                <w:rFonts w:ascii="Times New Roman" w:hAnsi="Times New Roman" w:cs="Times New Roman"/>
                <w:b w:val="0"/>
                <w:bCs w:val="0"/>
              </w:rPr>
            </w:pPr>
            <w:r>
              <w:rPr>
                <w:rFonts w:ascii="Times New Roman" w:hAnsi="Times New Roman" w:cs="Times New Roman"/>
                <w:color w:val="auto"/>
              </w:rPr>
              <w:t>Channel</w:t>
            </w:r>
          </w:p>
        </w:tc>
        <w:tc>
          <w:tcPr>
            <w:tcW w:w="0" w:type="auto"/>
          </w:tcPr>
          <w:p w14:paraId="6075E44E" w14:textId="77777777" w:rsidR="00D671F8" w:rsidRDefault="0000000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Pr>
                <w:rFonts w:ascii="Times New Roman" w:hAnsi="Times New Roman" w:cs="Times New Roman"/>
                <w:color w:val="auto"/>
              </w:rPr>
              <w:t>Tactic</w:t>
            </w:r>
          </w:p>
        </w:tc>
        <w:tc>
          <w:tcPr>
            <w:tcW w:w="0" w:type="auto"/>
          </w:tcPr>
          <w:p w14:paraId="25C47854" w14:textId="77777777" w:rsidR="00D671F8" w:rsidRDefault="0000000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Pr>
                <w:rFonts w:ascii="Times New Roman" w:hAnsi="Times New Roman" w:cs="Times New Roman"/>
                <w:color w:val="auto"/>
              </w:rPr>
              <w:t>Target Segment</w:t>
            </w:r>
          </w:p>
        </w:tc>
        <w:tc>
          <w:tcPr>
            <w:tcW w:w="0" w:type="auto"/>
          </w:tcPr>
          <w:p w14:paraId="7D48E8E2" w14:textId="77777777" w:rsidR="00D671F8" w:rsidRDefault="0000000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Pr>
                <w:rFonts w:ascii="Times New Roman" w:hAnsi="Times New Roman" w:cs="Times New Roman"/>
                <w:color w:val="auto"/>
              </w:rPr>
              <w:t>KPI</w:t>
            </w:r>
          </w:p>
        </w:tc>
      </w:tr>
      <w:tr w:rsidR="00D671F8" w14:paraId="3C888734" w14:textId="77777777" w:rsidTr="00D671F8">
        <w:tc>
          <w:tcPr>
            <w:cnfStyle w:val="001000000000" w:firstRow="0" w:lastRow="0" w:firstColumn="1" w:lastColumn="0" w:oddVBand="0" w:evenVBand="0" w:oddHBand="0" w:evenHBand="0" w:firstRowFirstColumn="0" w:firstRowLastColumn="0" w:lastRowFirstColumn="0" w:lastRowLastColumn="0"/>
            <w:tcW w:w="0" w:type="auto"/>
            <w:shd w:val="clear" w:color="auto" w:fill="CCCCCC" w:themeFill="text1" w:themeFillTint="33"/>
          </w:tcPr>
          <w:p w14:paraId="36B69165" w14:textId="77777777" w:rsidR="00D671F8" w:rsidRDefault="00000000">
            <w:pPr>
              <w:spacing w:line="360" w:lineRule="auto"/>
              <w:jc w:val="both"/>
              <w:rPr>
                <w:rFonts w:ascii="Times New Roman" w:hAnsi="Times New Roman" w:cs="Times New Roman"/>
                <w:b w:val="0"/>
                <w:bCs w:val="0"/>
              </w:rPr>
            </w:pPr>
            <w:r>
              <w:rPr>
                <w:rFonts w:ascii="Times New Roman" w:hAnsi="Times New Roman" w:cs="Times New Roman"/>
              </w:rPr>
              <w:t>Digital / Social</w:t>
            </w:r>
          </w:p>
        </w:tc>
        <w:tc>
          <w:tcPr>
            <w:tcW w:w="0" w:type="auto"/>
            <w:shd w:val="clear" w:color="auto" w:fill="CCCCCC" w:themeFill="text1" w:themeFillTint="33"/>
          </w:tcPr>
          <w:p w14:paraId="14F4A809"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Influencer partnerships</w:t>
            </w:r>
          </w:p>
        </w:tc>
        <w:tc>
          <w:tcPr>
            <w:tcW w:w="0" w:type="auto"/>
            <w:shd w:val="clear" w:color="auto" w:fill="CCCCCC" w:themeFill="text1" w:themeFillTint="33"/>
          </w:tcPr>
          <w:p w14:paraId="08DF1AAB"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Aspirational Adopters, Professionals</w:t>
            </w:r>
          </w:p>
        </w:tc>
        <w:tc>
          <w:tcPr>
            <w:tcW w:w="0" w:type="auto"/>
            <w:shd w:val="clear" w:color="auto" w:fill="CCCCCC" w:themeFill="text1" w:themeFillTint="33"/>
          </w:tcPr>
          <w:p w14:paraId="720ECAD7"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Reach, engagement, conversion</w:t>
            </w:r>
          </w:p>
        </w:tc>
      </w:tr>
      <w:tr w:rsidR="00D671F8" w14:paraId="0BFA2F01" w14:textId="77777777" w:rsidTr="00D671F8">
        <w:tc>
          <w:tcPr>
            <w:cnfStyle w:val="001000000000" w:firstRow="0" w:lastRow="0" w:firstColumn="1" w:lastColumn="0" w:oddVBand="0" w:evenVBand="0" w:oddHBand="0" w:evenHBand="0" w:firstRowFirstColumn="0" w:firstRowLastColumn="0" w:lastRowFirstColumn="0" w:lastRowLastColumn="0"/>
            <w:tcW w:w="0" w:type="auto"/>
          </w:tcPr>
          <w:p w14:paraId="5CB79B59" w14:textId="77777777" w:rsidR="00D671F8" w:rsidRDefault="00000000">
            <w:pPr>
              <w:spacing w:line="360" w:lineRule="auto"/>
              <w:jc w:val="both"/>
              <w:rPr>
                <w:rFonts w:ascii="Times New Roman" w:hAnsi="Times New Roman" w:cs="Times New Roman"/>
                <w:b w:val="0"/>
                <w:bCs w:val="0"/>
              </w:rPr>
            </w:pPr>
            <w:r>
              <w:rPr>
                <w:rFonts w:ascii="Times New Roman" w:hAnsi="Times New Roman" w:cs="Times New Roman"/>
              </w:rPr>
              <w:t>Samsung Ecosystem</w:t>
            </w:r>
          </w:p>
        </w:tc>
        <w:tc>
          <w:tcPr>
            <w:tcW w:w="0" w:type="auto"/>
          </w:tcPr>
          <w:p w14:paraId="0ACF8DC9"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SmartThings personalised promotions</w:t>
            </w:r>
          </w:p>
        </w:tc>
        <w:tc>
          <w:tcPr>
            <w:tcW w:w="0" w:type="auto"/>
          </w:tcPr>
          <w:p w14:paraId="577F1370"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Existing users (all segments)</w:t>
            </w:r>
          </w:p>
        </w:tc>
        <w:tc>
          <w:tcPr>
            <w:tcW w:w="0" w:type="auto"/>
          </w:tcPr>
          <w:p w14:paraId="41198B1A"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CTR, conversion</w:t>
            </w:r>
          </w:p>
        </w:tc>
      </w:tr>
      <w:tr w:rsidR="00D671F8" w14:paraId="66E600AC" w14:textId="77777777" w:rsidTr="00D671F8">
        <w:tc>
          <w:tcPr>
            <w:cnfStyle w:val="001000000000" w:firstRow="0" w:lastRow="0" w:firstColumn="1" w:lastColumn="0" w:oddVBand="0" w:evenVBand="0" w:oddHBand="0" w:evenHBand="0" w:firstRowFirstColumn="0" w:firstRowLastColumn="0" w:lastRowFirstColumn="0" w:lastRowLastColumn="0"/>
            <w:tcW w:w="0" w:type="auto"/>
            <w:shd w:val="clear" w:color="auto" w:fill="CCCCCC" w:themeFill="text1" w:themeFillTint="33"/>
          </w:tcPr>
          <w:p w14:paraId="17E9E294" w14:textId="77777777" w:rsidR="00D671F8" w:rsidRDefault="00000000">
            <w:pPr>
              <w:spacing w:line="360" w:lineRule="auto"/>
              <w:jc w:val="both"/>
              <w:rPr>
                <w:rFonts w:ascii="Times New Roman" w:hAnsi="Times New Roman" w:cs="Times New Roman"/>
                <w:b w:val="0"/>
                <w:bCs w:val="0"/>
              </w:rPr>
            </w:pPr>
            <w:r>
              <w:rPr>
                <w:rFonts w:ascii="Times New Roman" w:hAnsi="Times New Roman" w:cs="Times New Roman"/>
              </w:rPr>
              <w:lastRenderedPageBreak/>
              <w:t>TV / Streaming</w:t>
            </w:r>
          </w:p>
        </w:tc>
        <w:tc>
          <w:tcPr>
            <w:tcW w:w="0" w:type="auto"/>
            <w:shd w:val="clear" w:color="auto" w:fill="CCCCCC" w:themeFill="text1" w:themeFillTint="33"/>
          </w:tcPr>
          <w:p w14:paraId="02A5F780"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Lifestyle ads (Galaxy AI)</w:t>
            </w:r>
          </w:p>
        </w:tc>
        <w:tc>
          <w:tcPr>
            <w:tcW w:w="0" w:type="auto"/>
            <w:shd w:val="clear" w:color="auto" w:fill="CCCCCC" w:themeFill="text1" w:themeFillTint="33"/>
          </w:tcPr>
          <w:p w14:paraId="341491AA"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Eco-Families, Professionals</w:t>
            </w:r>
          </w:p>
        </w:tc>
        <w:tc>
          <w:tcPr>
            <w:tcW w:w="0" w:type="auto"/>
            <w:shd w:val="clear" w:color="auto" w:fill="CCCCCC" w:themeFill="text1" w:themeFillTint="33"/>
          </w:tcPr>
          <w:p w14:paraId="1424E807"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Awareness, brand recall</w:t>
            </w:r>
          </w:p>
        </w:tc>
      </w:tr>
      <w:tr w:rsidR="00D671F8" w14:paraId="0F7570CE" w14:textId="77777777" w:rsidTr="00D671F8">
        <w:tc>
          <w:tcPr>
            <w:cnfStyle w:val="001000000000" w:firstRow="0" w:lastRow="0" w:firstColumn="1" w:lastColumn="0" w:oddVBand="0" w:evenVBand="0" w:oddHBand="0" w:evenHBand="0" w:firstRowFirstColumn="0" w:firstRowLastColumn="0" w:lastRowFirstColumn="0" w:lastRowLastColumn="0"/>
            <w:tcW w:w="0" w:type="auto"/>
          </w:tcPr>
          <w:p w14:paraId="20B4C62A" w14:textId="77777777" w:rsidR="00D671F8" w:rsidRDefault="00000000">
            <w:pPr>
              <w:spacing w:line="360" w:lineRule="auto"/>
              <w:jc w:val="both"/>
              <w:rPr>
                <w:rFonts w:ascii="Times New Roman" w:hAnsi="Times New Roman" w:cs="Times New Roman"/>
                <w:b w:val="0"/>
                <w:bCs w:val="0"/>
              </w:rPr>
            </w:pPr>
            <w:r>
              <w:rPr>
                <w:rFonts w:ascii="Times New Roman" w:hAnsi="Times New Roman" w:cs="Times New Roman"/>
              </w:rPr>
              <w:t>Sustainability PR</w:t>
            </w:r>
          </w:p>
        </w:tc>
        <w:tc>
          <w:tcPr>
            <w:tcW w:w="0" w:type="auto"/>
          </w:tcPr>
          <w:p w14:paraId="52230084"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ESG content &amp; certifications</w:t>
            </w:r>
          </w:p>
        </w:tc>
        <w:tc>
          <w:tcPr>
            <w:tcW w:w="0" w:type="auto"/>
          </w:tcPr>
          <w:p w14:paraId="23D797D4"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Eco-Conscious Families</w:t>
            </w:r>
          </w:p>
        </w:tc>
        <w:tc>
          <w:tcPr>
            <w:tcW w:w="0" w:type="auto"/>
          </w:tcPr>
          <w:p w14:paraId="20E86B9F"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Media coverage, sentiment</w:t>
            </w:r>
          </w:p>
        </w:tc>
      </w:tr>
      <w:tr w:rsidR="00D671F8" w14:paraId="3EE94149" w14:textId="77777777" w:rsidTr="00D671F8">
        <w:tc>
          <w:tcPr>
            <w:cnfStyle w:val="001000000000" w:firstRow="0" w:lastRow="0" w:firstColumn="1" w:lastColumn="0" w:oddVBand="0" w:evenVBand="0" w:oddHBand="0" w:evenHBand="0" w:firstRowFirstColumn="0" w:firstRowLastColumn="0" w:lastRowFirstColumn="0" w:lastRowLastColumn="0"/>
            <w:tcW w:w="0" w:type="auto"/>
            <w:shd w:val="clear" w:color="auto" w:fill="CCCCCC" w:themeFill="text1" w:themeFillTint="33"/>
          </w:tcPr>
          <w:p w14:paraId="27755199" w14:textId="77777777" w:rsidR="00D671F8" w:rsidRDefault="00000000">
            <w:pPr>
              <w:spacing w:line="360" w:lineRule="auto"/>
              <w:jc w:val="both"/>
              <w:rPr>
                <w:rFonts w:ascii="Times New Roman" w:hAnsi="Times New Roman" w:cs="Times New Roman"/>
                <w:b w:val="0"/>
                <w:bCs w:val="0"/>
              </w:rPr>
            </w:pPr>
            <w:r>
              <w:rPr>
                <w:rFonts w:ascii="Times New Roman" w:hAnsi="Times New Roman" w:cs="Times New Roman"/>
              </w:rPr>
              <w:t>Events / Retail</w:t>
            </w:r>
          </w:p>
        </w:tc>
        <w:tc>
          <w:tcPr>
            <w:tcW w:w="0" w:type="auto"/>
            <w:shd w:val="clear" w:color="auto" w:fill="CCCCCC" w:themeFill="text1" w:themeFillTint="33"/>
          </w:tcPr>
          <w:p w14:paraId="5AC82E5A"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Store demos &amp; tech expos</w:t>
            </w:r>
          </w:p>
        </w:tc>
        <w:tc>
          <w:tcPr>
            <w:tcW w:w="0" w:type="auto"/>
            <w:shd w:val="clear" w:color="auto" w:fill="CCCCCC" w:themeFill="text1" w:themeFillTint="33"/>
          </w:tcPr>
          <w:p w14:paraId="4CA70F62"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All segments</w:t>
            </w:r>
          </w:p>
        </w:tc>
        <w:tc>
          <w:tcPr>
            <w:tcW w:w="0" w:type="auto"/>
            <w:shd w:val="clear" w:color="auto" w:fill="CCCCCC" w:themeFill="text1" w:themeFillTint="33"/>
          </w:tcPr>
          <w:p w14:paraId="4005F087" w14:textId="77777777" w:rsidR="00D671F8" w:rsidRDefault="0000000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Footfall, conversion</w:t>
            </w:r>
          </w:p>
        </w:tc>
      </w:tr>
    </w:tbl>
    <w:p w14:paraId="157A69FC" w14:textId="77777777" w:rsidR="00D671F8" w:rsidRDefault="00D671F8">
      <w:pPr>
        <w:spacing w:line="360" w:lineRule="auto"/>
        <w:jc w:val="both"/>
        <w:rPr>
          <w:rFonts w:ascii="Times New Roman" w:hAnsi="Times New Roman" w:cs="Times New Roman"/>
          <w:i/>
          <w:iCs/>
        </w:rPr>
      </w:pPr>
    </w:p>
    <w:p w14:paraId="1440A192" w14:textId="77777777" w:rsidR="00D671F8" w:rsidRDefault="00000000">
      <w:pPr>
        <w:spacing w:line="360" w:lineRule="auto"/>
        <w:jc w:val="center"/>
        <w:rPr>
          <w:rFonts w:ascii="Times New Roman" w:hAnsi="Times New Roman" w:cs="Times New Roman"/>
          <w:b/>
          <w:bCs/>
        </w:rPr>
      </w:pPr>
      <w:r>
        <w:rPr>
          <w:rFonts w:ascii="Times New Roman" w:hAnsi="Times New Roman" w:cs="Times New Roman"/>
          <w:b/>
          <w:bCs/>
          <w:i/>
          <w:iCs/>
        </w:rPr>
        <w:t>Source: Fill (2013); De Pelsmacker et al. (2007)</w:t>
      </w:r>
    </w:p>
    <w:p w14:paraId="0E831A49" w14:textId="77777777" w:rsidR="00D671F8" w:rsidRDefault="00D671F8">
      <w:pPr>
        <w:spacing w:line="360" w:lineRule="auto"/>
        <w:jc w:val="center"/>
        <w:rPr>
          <w:rFonts w:ascii="Times New Roman" w:hAnsi="Times New Roman" w:cs="Times New Roman"/>
          <w:b/>
          <w:bCs/>
        </w:rPr>
      </w:pPr>
    </w:p>
    <w:p w14:paraId="5694177E" w14:textId="77777777" w:rsidR="00D671F8" w:rsidRDefault="00000000">
      <w:pPr>
        <w:spacing w:line="360" w:lineRule="auto"/>
        <w:jc w:val="both"/>
        <w:rPr>
          <w:rFonts w:ascii="Times New Roman" w:hAnsi="Times New Roman" w:cs="Times New Roman"/>
        </w:rPr>
      </w:pPr>
      <w:r>
        <w:rPr>
          <w:rFonts w:ascii="Times New Roman" w:hAnsi="Times New Roman" w:cs="Times New Roman"/>
        </w:rPr>
        <w:t>De Pelsmacker et al. (2007) believe that sustainability messages need to be supported by independent evidence to overcome scepticism - a condition that Samsung's 2025 Galaxy for the Planet annual report fulfils. Samsung's sponsorship of the Olympic Games also delivers unrivalled mass exposure to aspirational consumers (Samsung Newsroom, 2026).</w:t>
      </w:r>
    </w:p>
    <w:p w14:paraId="0A5626BA" w14:textId="77777777" w:rsidR="00D671F8" w:rsidRDefault="00000000">
      <w:pPr>
        <w:pStyle w:val="Heading2"/>
      </w:pPr>
      <w:bookmarkStart w:id="20" w:name="_Toc228485974"/>
      <w:r>
        <w:t>People</w:t>
      </w:r>
      <w:bookmarkEnd w:id="20"/>
    </w:p>
    <w:p w14:paraId="26185AE7" w14:textId="77777777" w:rsidR="00D671F8" w:rsidRDefault="00000000">
      <w:pPr>
        <w:spacing w:line="360" w:lineRule="auto"/>
        <w:jc w:val="both"/>
        <w:rPr>
          <w:rFonts w:ascii="Times New Roman" w:hAnsi="Times New Roman" w:cs="Times New Roman"/>
        </w:rPr>
      </w:pPr>
      <w:r>
        <w:rPr>
          <w:rFonts w:ascii="Times New Roman" w:hAnsi="Times New Roman" w:cs="Times New Roman"/>
        </w:rPr>
        <w:t xml:space="preserve">eople cover all human factors that influence consumer experience, including retail Advisors, installers and customer service (Booms and Bitner, 1981). For luxury technology ecosystems, people's service quality is a key driver of post-purchase satisfaction and brand loyalty (Parasuraman et al., 1985). Samsung has a SmartHome Advisor programme: trained experts in technical set-up and lifestyle consultancy for the smart home, available at Experience Stores and virtually. Advisors provide personalised Hub set-up, relieving installation concerns cited by McKinsey &amp; Company (2024) as the key barrier to potential smart home adopters. 24/7 customer support through AI-powered Samsung Bixby voice assistant. </w:t>
      </w:r>
    </w:p>
    <w:p w14:paraId="0F6425A4" w14:textId="77777777" w:rsidR="00D671F8" w:rsidRDefault="00000000">
      <w:pPr>
        <w:pStyle w:val="Heading2"/>
      </w:pPr>
      <w:bookmarkStart w:id="21" w:name="_Toc228485975"/>
      <w:r>
        <w:t>Process</w:t>
      </w:r>
      <w:bookmarkEnd w:id="21"/>
      <w:r>
        <w:t xml:space="preserve"> </w:t>
      </w:r>
    </w:p>
    <w:p w14:paraId="1004B044" w14:textId="77777777" w:rsidR="00D671F8" w:rsidRDefault="00000000">
      <w:pPr>
        <w:spacing w:line="360" w:lineRule="auto"/>
        <w:jc w:val="both"/>
        <w:rPr>
          <w:rFonts w:ascii="Times New Roman" w:hAnsi="Times New Roman" w:cs="Times New Roman"/>
        </w:rPr>
      </w:pPr>
      <w:r>
        <w:rPr>
          <w:rFonts w:ascii="Times New Roman" w:hAnsi="Times New Roman" w:cs="Times New Roman"/>
        </w:rPr>
        <w:t xml:space="preserve">Process is the systems and flows it is delivered through to the consumer (Zeithaml et al., 2020). Lemon and Verhoef (2016) show the quality of a customer experience is increasingly shaped by the totality of the journey quality (research-to-purchase-to-ongoing engagement), not the quality of individual "points of contact". For the SmartLiving Hub the journey has six stages: Awareness → Research → Purchase → Installation → Onboarding → Engagement. Samsung reduces friction within each stage: the Standard SKU is engineered for under two-hour DIY installation (guided by Galaxy AI onboarding); the Professional and Enterprise SKUs are Samsung installed within 48 hours. The AI onboarding experience establishes a profile of the </w:t>
      </w:r>
      <w:r>
        <w:rPr>
          <w:rFonts w:ascii="Times New Roman" w:hAnsi="Times New Roman" w:cs="Times New Roman"/>
        </w:rPr>
        <w:lastRenderedPageBreak/>
        <w:t>home within 72 hours and learns the routines of the household and optimises energy and security accordingly.</w:t>
      </w:r>
    </w:p>
    <w:p w14:paraId="1EEAD036" w14:textId="77777777" w:rsidR="00D671F8" w:rsidRDefault="00000000">
      <w:pPr>
        <w:pStyle w:val="Heading2"/>
      </w:pPr>
      <w:bookmarkStart w:id="22" w:name="_Toc228485976"/>
      <w:r>
        <w:t>Physical Evidence:</w:t>
      </w:r>
      <w:bookmarkEnd w:id="22"/>
    </w:p>
    <w:p w14:paraId="3142613D" w14:textId="77777777" w:rsidR="00D671F8" w:rsidRDefault="00000000">
      <w:pPr>
        <w:spacing w:line="360" w:lineRule="auto"/>
        <w:jc w:val="both"/>
        <w:rPr>
          <w:rFonts w:ascii="Times New Roman" w:hAnsi="Times New Roman" w:cs="Times New Roman"/>
        </w:rPr>
      </w:pPr>
      <w:r>
        <w:rPr>
          <w:rFonts w:ascii="Times New Roman" w:hAnsi="Times New Roman" w:cs="Times New Roman"/>
        </w:rPr>
        <w:t>Physical Evidence is a tangible and environmental cues that communicates quality and instill confidence - essential in technology products where pre-purchase performance is uncertain (Shostack, 1977; Zeithaml et al., 2020). Physical evidence for the SmartLiving Hub is multifaceted: high-end 100% recycled paper packaging signals sustainability via tactile cues; the Hub's minimalist premium hardware design and finish signal high quality and aesthetic fit with the home; Samsung Experience Store demonstration units allow pre-purchase experience with Galaxy AI, removing performance uncertainty. The SmartThings app is vital digital physical evidence, its user experience and AI responsiveness impact perceived Hub intelligence. Third-party verification, Matter protocol certification, Knox security and Energy Star rating - delivers independent certification and adds to consumer trust (Keller, 2013).</w:t>
      </w:r>
    </w:p>
    <w:p w14:paraId="5A992EC9" w14:textId="77777777" w:rsidR="00D671F8" w:rsidRDefault="00000000">
      <w:pPr>
        <w:spacing w:line="360" w:lineRule="auto"/>
        <w:jc w:val="center"/>
        <w:rPr>
          <w:rFonts w:ascii="Times New Roman" w:hAnsi="Times New Roman" w:cs="Times New Roman"/>
        </w:rPr>
      </w:pPr>
      <w:r>
        <w:rPr>
          <w:noProof/>
        </w:rPr>
        <w:drawing>
          <wp:inline distT="0" distB="0" distL="0" distR="0" wp14:anchorId="1ECD6BFF" wp14:editId="49B4D0C1">
            <wp:extent cx="3158490" cy="3131820"/>
            <wp:effectExtent l="0" t="0" r="3810" b="0"/>
            <wp:docPr id="1601895145" name="Picture 2" descr="7ps of Marketing Mix -Your Next Planner-Revamp Your Marketing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895145" name="Picture 2" descr="7ps of Marketing Mix -Your Next Planner-Revamp Your Marketing Strateg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3168132" cy="3141105"/>
                    </a:xfrm>
                    <a:prstGeom prst="rect">
                      <a:avLst/>
                    </a:prstGeom>
                    <a:noFill/>
                    <a:ln>
                      <a:noFill/>
                    </a:ln>
                  </pic:spPr>
                </pic:pic>
              </a:graphicData>
            </a:graphic>
          </wp:inline>
        </w:drawing>
      </w:r>
    </w:p>
    <w:p w14:paraId="41A4B5C1" w14:textId="77777777" w:rsidR="00D671F8" w:rsidRDefault="00000000">
      <w:pPr>
        <w:pStyle w:val="Caption"/>
        <w:jc w:val="center"/>
        <w:rPr>
          <w:rFonts w:ascii="Times New Roman" w:hAnsi="Times New Roman" w:cs="Times New Roman"/>
          <w:b/>
          <w:bCs/>
          <w:color w:val="auto"/>
        </w:rPr>
      </w:pPr>
      <w:r>
        <w:rPr>
          <w:b/>
          <w:bCs/>
          <w:color w:val="auto"/>
        </w:rPr>
        <w:t xml:space="preserve">Figure </w:t>
      </w:r>
      <w:r>
        <w:rPr>
          <w:b/>
          <w:bCs/>
          <w:color w:val="auto"/>
        </w:rPr>
        <w:fldChar w:fldCharType="begin"/>
      </w:r>
      <w:r>
        <w:rPr>
          <w:b/>
          <w:bCs/>
          <w:color w:val="auto"/>
        </w:rPr>
        <w:instrText xml:space="preserve"> SEQ Figure \* ARABIC </w:instrText>
      </w:r>
      <w:r>
        <w:rPr>
          <w:b/>
          <w:bCs/>
          <w:color w:val="auto"/>
        </w:rPr>
        <w:fldChar w:fldCharType="separate"/>
      </w:r>
      <w:r>
        <w:rPr>
          <w:b/>
          <w:bCs/>
          <w:color w:val="auto"/>
        </w:rPr>
        <w:t>8</w:t>
      </w:r>
      <w:r>
        <w:rPr>
          <w:b/>
          <w:bCs/>
          <w:color w:val="auto"/>
        </w:rPr>
        <w:fldChar w:fldCharType="end"/>
      </w:r>
      <w:r>
        <w:rPr>
          <w:b/>
          <w:bCs/>
          <w:color w:val="auto"/>
        </w:rPr>
        <w:t xml:space="preserve"> 7Ps Marketing Mix Strategy </w:t>
      </w:r>
      <w:r>
        <w:rPr>
          <w:rFonts w:ascii="Times New Roman" w:hAnsi="Times New Roman" w:cs="Times New Roman"/>
          <w:b/>
          <w:bCs/>
          <w:color w:val="auto"/>
        </w:rPr>
        <w:t>(Keller, 2013).</w:t>
      </w:r>
    </w:p>
    <w:p w14:paraId="66DD73B2" w14:textId="77777777" w:rsidR="00D671F8" w:rsidRDefault="00D671F8">
      <w:pPr>
        <w:spacing w:line="360" w:lineRule="auto"/>
        <w:jc w:val="center"/>
        <w:rPr>
          <w:rFonts w:ascii="Times New Roman" w:hAnsi="Times New Roman" w:cs="Times New Roman"/>
        </w:rPr>
      </w:pPr>
    </w:p>
    <w:p w14:paraId="58AC518C" w14:textId="77777777" w:rsidR="00D671F8" w:rsidRDefault="00000000">
      <w:pPr>
        <w:pStyle w:val="Heading1"/>
      </w:pPr>
      <w:bookmarkStart w:id="23" w:name="_Toc228485977"/>
      <w:bookmarkStart w:id="24" w:name="_Toc228482904"/>
      <w:r>
        <w:t>Element 4: Reflection</w:t>
      </w:r>
      <w:bookmarkEnd w:id="23"/>
      <w:bookmarkEnd w:id="24"/>
    </w:p>
    <w:p w14:paraId="65C1588D" w14:textId="77777777" w:rsidR="00D671F8" w:rsidRDefault="00000000">
      <w:pPr>
        <w:spacing w:line="360" w:lineRule="auto"/>
        <w:jc w:val="both"/>
        <w:rPr>
          <w:rFonts w:ascii="Times New Roman" w:hAnsi="Times New Roman" w:cs="Times New Roman"/>
        </w:rPr>
      </w:pPr>
      <w:r>
        <w:rPr>
          <w:rFonts w:ascii="Times New Roman" w:hAnsi="Times New Roman" w:cs="Times New Roman"/>
        </w:rPr>
        <w:t xml:space="preserve">In this reflection, Gibbs' (1988) Reflective Cycle is utilised to guide analysis. The six-stage Gibbs' model of Description, Feelings, Evaluation, Analysis, Conclusion and Action Plan </w:t>
      </w:r>
      <w:r>
        <w:rPr>
          <w:rFonts w:ascii="Times New Roman" w:hAnsi="Times New Roman" w:cs="Times New Roman"/>
        </w:rPr>
        <w:lastRenderedPageBreak/>
        <w:t>offers a systematic framework to convert work-based practice into learning and development, suitable for postgraduate reflection (Schön, 2017; Moon, 2013).</w:t>
      </w:r>
    </w:p>
    <w:p w14:paraId="456EFA41" w14:textId="77777777" w:rsidR="00D671F8" w:rsidRDefault="00000000">
      <w:pPr>
        <w:pStyle w:val="Heading2"/>
      </w:pPr>
      <w:bookmarkStart w:id="25" w:name="_Toc228485978"/>
      <w:r>
        <w:t>Description</w:t>
      </w:r>
      <w:bookmarkEnd w:id="25"/>
    </w:p>
    <w:p w14:paraId="4D837212" w14:textId="77777777" w:rsidR="00D671F8" w:rsidRDefault="00000000">
      <w:pPr>
        <w:spacing w:line="360" w:lineRule="auto"/>
        <w:jc w:val="both"/>
        <w:rPr>
          <w:rFonts w:ascii="Times New Roman" w:hAnsi="Times New Roman" w:cs="Times New Roman"/>
        </w:rPr>
      </w:pPr>
      <w:r>
        <w:rPr>
          <w:rFonts w:ascii="Times New Roman" w:hAnsi="Times New Roman" w:cs="Times New Roman"/>
        </w:rPr>
        <w:t>The project was to create a brand extension for Samsung Electronics, with the SmartLiving Hub as a smart home AI system. The deliverables were the poster, STDP analysis, 7Ps marketing mix and reflection. Poster presentation involved a brief spoken presentation with time constraints.</w:t>
      </w:r>
    </w:p>
    <w:p w14:paraId="46BBE9F1" w14:textId="77777777" w:rsidR="00D671F8" w:rsidRDefault="00000000">
      <w:pPr>
        <w:pStyle w:val="Heading2"/>
      </w:pPr>
      <w:bookmarkStart w:id="26" w:name="_Toc228485979"/>
      <w:r>
        <w:t>Feelings</w:t>
      </w:r>
      <w:bookmarkEnd w:id="26"/>
    </w:p>
    <w:p w14:paraId="320A8E61" w14:textId="77777777" w:rsidR="00D671F8" w:rsidRDefault="00000000">
      <w:pPr>
        <w:spacing w:line="360" w:lineRule="auto"/>
        <w:jc w:val="both"/>
        <w:rPr>
          <w:rFonts w:ascii="Times New Roman" w:hAnsi="Times New Roman" w:cs="Times New Roman"/>
        </w:rPr>
      </w:pPr>
      <w:r>
        <w:rPr>
          <w:rFonts w:ascii="Times New Roman" w:hAnsi="Times New Roman" w:cs="Times New Roman"/>
        </w:rPr>
        <w:t>At first, I struggled to create a unique and theoretically sound extension for such a multi-faceted brand. Exploring the smart home market and SmartThings platform boosted my confidence. The written and oral presentation process emphasised the challenge of communicating in a tight time frame.</w:t>
      </w:r>
    </w:p>
    <w:p w14:paraId="5A04F22F" w14:textId="77777777" w:rsidR="00D671F8" w:rsidRDefault="00000000">
      <w:pPr>
        <w:pStyle w:val="Heading2"/>
      </w:pPr>
      <w:bookmarkStart w:id="27" w:name="_Toc228485980"/>
      <w:r>
        <w:t>Evaluation</w:t>
      </w:r>
      <w:bookmarkEnd w:id="27"/>
    </w:p>
    <w:p w14:paraId="0ACBD1D7" w14:textId="77777777" w:rsidR="00D671F8" w:rsidRDefault="00000000">
      <w:pPr>
        <w:spacing w:line="360" w:lineRule="auto"/>
        <w:jc w:val="both"/>
        <w:rPr>
          <w:rFonts w:ascii="Times New Roman" w:hAnsi="Times New Roman" w:cs="Times New Roman"/>
        </w:rPr>
      </w:pPr>
      <w:r>
        <w:rPr>
          <w:rFonts w:ascii="Times New Roman" w:hAnsi="Times New Roman" w:cs="Times New Roman"/>
        </w:rPr>
        <w:t>The project's success was its integration of theories from Kotler et al. (2010), Porter (1980) and Booms and Bitner (1981). It provided a strategy for Samsung Electronics. But, translating in-depth research into 2,500 words was difficult and I realised a need for better data representation, which was ameliorated by the inclusion of charts.</w:t>
      </w:r>
    </w:p>
    <w:p w14:paraId="483DD3A3" w14:textId="77777777" w:rsidR="00D671F8" w:rsidRDefault="00000000">
      <w:pPr>
        <w:pStyle w:val="Heading1"/>
      </w:pPr>
      <w:bookmarkStart w:id="28" w:name="_Toc228485981"/>
      <w:r>
        <w:t>Analysis: Knowledge, Skills and Insights</w:t>
      </w:r>
      <w:bookmarkEnd w:id="28"/>
    </w:p>
    <w:p w14:paraId="06ECE657" w14:textId="77777777" w:rsidR="00D671F8" w:rsidRDefault="00000000">
      <w:pPr>
        <w:spacing w:line="360" w:lineRule="auto"/>
        <w:jc w:val="both"/>
        <w:rPr>
          <w:rFonts w:ascii="Times New Roman" w:hAnsi="Times New Roman" w:cs="Times New Roman"/>
        </w:rPr>
      </w:pPr>
      <w:r>
        <w:rPr>
          <w:rFonts w:ascii="Times New Roman" w:hAnsi="Times New Roman" w:cs="Times New Roman"/>
        </w:rPr>
        <w:t>This project improved my ability to analyse strategic marketing by applying theories such as Aaker's (1991) brand equity model, and Keller's (2013) brand resonance pyramid. Combining Porter's (1980) competitive strategy and Treacy and Wiersema's (1993) value disciplines provided insights into competitive advantage. It also enhanced my skills in blending quantitative and qualitative information for decision making. Reflection, as per Moon (2013), enhanced my learning style. Moreover, the presentation enhanced my professional presentation skills, such as organising and articulating complex ideas and engaging with the audience (Fill, 2013).</w:t>
      </w:r>
    </w:p>
    <w:p w14:paraId="494D4E14" w14:textId="77777777" w:rsidR="00D671F8" w:rsidRDefault="00000000">
      <w:pPr>
        <w:pStyle w:val="Heading1"/>
      </w:pPr>
      <w:bookmarkStart w:id="29" w:name="_Toc228485982"/>
      <w:r>
        <w:t>Conclusions and Action Plan</w:t>
      </w:r>
      <w:bookmarkEnd w:id="29"/>
    </w:p>
    <w:p w14:paraId="35B93121" w14:textId="77777777" w:rsidR="00D671F8" w:rsidRDefault="00000000">
      <w:pPr>
        <w:spacing w:line="360" w:lineRule="auto"/>
        <w:jc w:val="both"/>
        <w:rPr>
          <w:rFonts w:ascii="Times New Roman" w:hAnsi="Times New Roman" w:cs="Times New Roman"/>
        </w:rPr>
      </w:pPr>
      <w:r>
        <w:rPr>
          <w:rFonts w:ascii="Times New Roman" w:hAnsi="Times New Roman" w:cs="Times New Roman"/>
        </w:rPr>
        <w:t xml:space="preserve">This assessment was a rich, intellectual and professional learning opportunity. It reinforced the theoretical marketing knowledge, built practical strategic analysis skills and honed professional </w:t>
      </w:r>
      <w:r>
        <w:rPr>
          <w:rFonts w:ascii="Times New Roman" w:hAnsi="Times New Roman" w:cs="Times New Roman"/>
        </w:rPr>
        <w:lastRenderedPageBreak/>
        <w:t>presentation skills. The Samsung SmartLiving Hub is a strategically robust, academically rigorous and commercially valid brand extension based on rigorous implementation of well-established frameworks using market intelligence.</w:t>
      </w:r>
    </w:p>
    <w:p w14:paraId="1C9E8CFE" w14:textId="77777777" w:rsidR="00D671F8" w:rsidRDefault="00000000">
      <w:pPr>
        <w:spacing w:line="360" w:lineRule="auto"/>
        <w:jc w:val="both"/>
        <w:rPr>
          <w:rFonts w:ascii="Times New Roman" w:hAnsi="Times New Roman" w:cs="Times New Roman"/>
        </w:rPr>
      </w:pPr>
      <w:r>
        <w:rPr>
          <w:rFonts w:ascii="Times New Roman" w:hAnsi="Times New Roman" w:cs="Times New Roman"/>
        </w:rPr>
        <w:t>Three areas for further development are apparent. First, I will continue to develop skills in digital marketing analytics and AI consumer insight tools - skills that are increasingly essential marketing management skills. Second, I will build on presentation skills through case competition scenarios that mimic competitive presentations. Third, I will further explore sustainability marketing literature because of the increasing prominence of ESG-compatible marketing strategies for enhancing both consumer and institutional investor attractiveness. This portfolio has convinced me that successful postgraduate marketing strategy requires simultaneous deployment of analytical rigour, creative strategic insight and practical judgement - a trifecta of skills I aim to enhance through my MBA studies and throughout my career.</w:t>
      </w:r>
    </w:p>
    <w:p w14:paraId="0993A320" w14:textId="77777777" w:rsidR="00D671F8" w:rsidRDefault="00000000">
      <w:pPr>
        <w:spacing w:line="360" w:lineRule="auto"/>
        <w:jc w:val="both"/>
        <w:rPr>
          <w:rFonts w:ascii="Times New Roman" w:hAnsi="Times New Roman" w:cs="Times New Roman"/>
        </w:rPr>
      </w:pPr>
      <w:r>
        <w:rPr>
          <w:rFonts w:ascii="Times New Roman" w:hAnsi="Times New Roman" w:cs="Times New Roman"/>
        </w:rPr>
        <w:br w:type="page"/>
      </w:r>
    </w:p>
    <w:p w14:paraId="7FE5B499" w14:textId="77777777" w:rsidR="00D671F8" w:rsidRDefault="00000000">
      <w:pPr>
        <w:pStyle w:val="Heading1"/>
      </w:pPr>
      <w:bookmarkStart w:id="30" w:name="_Toc228485983"/>
      <w:bookmarkStart w:id="31" w:name="_Toc228482910"/>
      <w:r>
        <w:lastRenderedPageBreak/>
        <w:t>Reference List</w:t>
      </w:r>
      <w:bookmarkEnd w:id="30"/>
      <w:bookmarkEnd w:id="31"/>
    </w:p>
    <w:p w14:paraId="6D03DBC8" w14:textId="77777777" w:rsidR="005B50C4" w:rsidRDefault="005B50C4">
      <w:pPr>
        <w:spacing w:line="360" w:lineRule="auto"/>
        <w:jc w:val="both"/>
        <w:rPr>
          <w:rFonts w:ascii="Times New Roman" w:hAnsi="Times New Roman" w:cs="Times New Roman"/>
        </w:rPr>
      </w:pPr>
    </w:p>
    <w:p w14:paraId="48137653"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Aaker, D.A. and Equity, M.B., 1991. Capitalizing on the Value of a Brand Name. </w:t>
      </w:r>
      <w:r w:rsidRPr="005B50C4">
        <w:rPr>
          <w:rFonts w:ascii="Times New Roman" w:eastAsia="SimSun" w:hAnsi="Times New Roman" w:cs="Times New Roman"/>
          <w:i/>
          <w:iCs/>
          <w:color w:val="222222"/>
          <w:shd w:val="clear" w:color="auto" w:fill="FFFFFF"/>
        </w:rPr>
        <w:t>New York</w:t>
      </w:r>
      <w:r w:rsidRPr="005B50C4">
        <w:rPr>
          <w:rFonts w:ascii="Times New Roman" w:eastAsia="SimSun" w:hAnsi="Times New Roman" w:cs="Times New Roman"/>
          <w:color w:val="222222"/>
          <w:shd w:val="clear" w:color="auto" w:fill="FFFFFF"/>
        </w:rPr>
        <w:t>, </w:t>
      </w:r>
      <w:r w:rsidRPr="005B50C4">
        <w:rPr>
          <w:rFonts w:ascii="Times New Roman" w:eastAsia="SimSun" w:hAnsi="Times New Roman" w:cs="Times New Roman"/>
          <w:i/>
          <w:iCs/>
          <w:color w:val="222222"/>
          <w:shd w:val="clear" w:color="auto" w:fill="FFFFFF"/>
        </w:rPr>
        <w:t>28</w:t>
      </w:r>
      <w:r w:rsidRPr="005B50C4">
        <w:rPr>
          <w:rFonts w:ascii="Times New Roman" w:eastAsia="SimSun" w:hAnsi="Times New Roman" w:cs="Times New Roman"/>
          <w:color w:val="222222"/>
          <w:shd w:val="clear" w:color="auto" w:fill="FFFFFF"/>
        </w:rPr>
        <w:t>(1), pp.35-37.</w:t>
      </w:r>
    </w:p>
    <w:p w14:paraId="2DAF32EF"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Batra, R. and Sinha, I., 2000. Consumer-level factors moderating the success of private label brands. </w:t>
      </w:r>
      <w:r w:rsidRPr="005B50C4">
        <w:rPr>
          <w:rFonts w:ascii="Times New Roman" w:eastAsia="SimSun" w:hAnsi="Times New Roman" w:cs="Times New Roman"/>
          <w:i/>
          <w:iCs/>
          <w:color w:val="222222"/>
          <w:shd w:val="clear" w:color="auto" w:fill="FFFFFF"/>
        </w:rPr>
        <w:t>Journal of retailing</w:t>
      </w:r>
      <w:r w:rsidRPr="005B50C4">
        <w:rPr>
          <w:rFonts w:ascii="Times New Roman" w:eastAsia="SimSun" w:hAnsi="Times New Roman" w:cs="Times New Roman"/>
          <w:color w:val="222222"/>
          <w:shd w:val="clear" w:color="auto" w:fill="FFFFFF"/>
        </w:rPr>
        <w:t>, </w:t>
      </w:r>
      <w:r w:rsidRPr="005B50C4">
        <w:rPr>
          <w:rFonts w:ascii="Times New Roman" w:eastAsia="SimSun" w:hAnsi="Times New Roman" w:cs="Times New Roman"/>
          <w:i/>
          <w:iCs/>
          <w:color w:val="222222"/>
          <w:shd w:val="clear" w:color="auto" w:fill="FFFFFF"/>
        </w:rPr>
        <w:t>76</w:t>
      </w:r>
      <w:r w:rsidRPr="005B50C4">
        <w:rPr>
          <w:rFonts w:ascii="Times New Roman" w:eastAsia="SimSun" w:hAnsi="Times New Roman" w:cs="Times New Roman"/>
          <w:color w:val="222222"/>
          <w:shd w:val="clear" w:color="auto" w:fill="FFFFFF"/>
        </w:rPr>
        <w:t>(2), pp.175-191.</w:t>
      </w:r>
    </w:p>
    <w:p w14:paraId="3541BA11"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Booms, B., 1981. Marketing strategies and organizational structures for service firms. </w:t>
      </w:r>
      <w:r w:rsidRPr="005B50C4">
        <w:rPr>
          <w:rFonts w:ascii="Times New Roman" w:eastAsia="SimSun" w:hAnsi="Times New Roman" w:cs="Times New Roman"/>
          <w:i/>
          <w:iCs/>
          <w:color w:val="222222"/>
          <w:shd w:val="clear" w:color="auto" w:fill="FFFFFF"/>
        </w:rPr>
        <w:t>Marketing of services</w:t>
      </w:r>
      <w:r w:rsidRPr="005B50C4">
        <w:rPr>
          <w:rFonts w:ascii="Times New Roman" w:eastAsia="SimSun" w:hAnsi="Times New Roman" w:cs="Times New Roman"/>
          <w:color w:val="222222"/>
          <w:shd w:val="clear" w:color="auto" w:fill="FFFFFF"/>
        </w:rPr>
        <w:t>.</w:t>
      </w:r>
    </w:p>
    <w:p w14:paraId="358BDD57"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Chernev, A., 2019. </w:t>
      </w:r>
      <w:r w:rsidRPr="005B50C4">
        <w:rPr>
          <w:rFonts w:ascii="Times New Roman" w:eastAsia="SimSun" w:hAnsi="Times New Roman" w:cs="Times New Roman"/>
          <w:i/>
          <w:iCs/>
          <w:color w:val="222222"/>
          <w:shd w:val="clear" w:color="auto" w:fill="FFFFFF"/>
        </w:rPr>
        <w:t>Strategic marketing management: theory and practice</w:t>
      </w:r>
      <w:r w:rsidRPr="005B50C4">
        <w:rPr>
          <w:rFonts w:ascii="Times New Roman" w:eastAsia="SimSun" w:hAnsi="Times New Roman" w:cs="Times New Roman"/>
          <w:color w:val="222222"/>
          <w:shd w:val="clear" w:color="auto" w:fill="FFFFFF"/>
        </w:rPr>
        <w:t>. Cerebellum Press.</w:t>
      </w:r>
    </w:p>
    <w:p w14:paraId="51B7312A" w14:textId="77777777" w:rsidR="005B50C4" w:rsidRPr="005B50C4" w:rsidRDefault="005B50C4">
      <w:pPr>
        <w:spacing w:line="360" w:lineRule="auto"/>
        <w:jc w:val="both"/>
        <w:rPr>
          <w:rFonts w:ascii="Times New Roman" w:hAnsi="Times New Roman" w:cs="Times New Roman"/>
        </w:rPr>
      </w:pPr>
      <w:r w:rsidRPr="005B50C4">
        <w:rPr>
          <w:rFonts w:ascii="Times New Roman" w:hAnsi="Times New Roman" w:cs="Times New Roman"/>
        </w:rPr>
        <w:t xml:space="preserve">CSA-IoT (2025) Samsung SmartThings platform overview.  </w:t>
      </w:r>
      <w:hyperlink r:id="rId15" w:history="1">
        <w:r w:rsidRPr="005B50C4">
          <w:rPr>
            <w:rStyle w:val="Hyperlink"/>
            <w:rFonts w:ascii="Times New Roman" w:hAnsi="Times New Roman" w:cs="Times New Roman"/>
          </w:rPr>
          <w:t>https://csa-iot.org/newsroom/samsung-smartthings-transforming-standards-into-everyday-experiences/</w:t>
        </w:r>
      </w:hyperlink>
      <w:r w:rsidRPr="005B50C4">
        <w:rPr>
          <w:rFonts w:ascii="Times New Roman" w:hAnsi="Times New Roman" w:cs="Times New Roman"/>
        </w:rPr>
        <w:t xml:space="preserve"> </w:t>
      </w:r>
    </w:p>
    <w:p w14:paraId="7BE5FAEF"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De Pelsmacker, P., Geuens, M. and Van den Bergh, J., 2007. </w:t>
      </w:r>
      <w:r w:rsidRPr="005B50C4">
        <w:rPr>
          <w:rFonts w:ascii="Times New Roman" w:eastAsia="SimSun" w:hAnsi="Times New Roman" w:cs="Times New Roman"/>
          <w:i/>
          <w:iCs/>
          <w:color w:val="222222"/>
          <w:shd w:val="clear" w:color="auto" w:fill="FFFFFF"/>
        </w:rPr>
        <w:t>Marketing communications: A European perspective</w:t>
      </w:r>
      <w:r w:rsidRPr="005B50C4">
        <w:rPr>
          <w:rFonts w:ascii="Times New Roman" w:eastAsia="SimSun" w:hAnsi="Times New Roman" w:cs="Times New Roman"/>
          <w:color w:val="222222"/>
          <w:shd w:val="clear" w:color="auto" w:fill="FFFFFF"/>
        </w:rPr>
        <w:t>. Pearson education.</w:t>
      </w:r>
    </w:p>
    <w:p w14:paraId="40D8AB7E" w14:textId="77777777" w:rsidR="005B50C4" w:rsidRPr="005B50C4" w:rsidRDefault="005B50C4">
      <w:pPr>
        <w:spacing w:line="360" w:lineRule="auto"/>
        <w:jc w:val="both"/>
        <w:rPr>
          <w:rFonts w:ascii="Times New Roman" w:hAnsi="Times New Roman" w:cs="Times New Roman"/>
        </w:rPr>
      </w:pPr>
      <w:r w:rsidRPr="005B50C4">
        <w:rPr>
          <w:rFonts w:ascii="Times New Roman" w:hAnsi="Times New Roman" w:cs="Times New Roman"/>
        </w:rPr>
        <w:t xml:space="preserve">European Commission (2023) The European Green Deal: sustainability requirements for consumer products. Brussels: European Commission. </w:t>
      </w:r>
      <w:hyperlink r:id="rId16" w:history="1">
        <w:r w:rsidRPr="005B50C4">
          <w:rPr>
            <w:rStyle w:val="Hyperlink"/>
            <w:rFonts w:ascii="Times New Roman" w:hAnsi="Times New Roman" w:cs="Times New Roman"/>
          </w:rPr>
          <w:t>https://commission.europa.eu/strategy-and-policy/priorities-2019-2024/european-green-deal_en</w:t>
        </w:r>
      </w:hyperlink>
      <w:r w:rsidRPr="005B50C4">
        <w:rPr>
          <w:rFonts w:ascii="Times New Roman" w:hAnsi="Times New Roman" w:cs="Times New Roman"/>
        </w:rPr>
        <w:t xml:space="preserve"> </w:t>
      </w:r>
    </w:p>
    <w:p w14:paraId="5337E69A"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Fill, C. and Turnbull, S., 2013. Marketing Communication: Brands. </w:t>
      </w:r>
      <w:r w:rsidRPr="005B50C4">
        <w:rPr>
          <w:rFonts w:ascii="Times New Roman" w:eastAsia="SimSun" w:hAnsi="Times New Roman" w:cs="Times New Roman"/>
          <w:i/>
          <w:iCs/>
          <w:color w:val="222222"/>
          <w:shd w:val="clear" w:color="auto" w:fill="FFFFFF"/>
        </w:rPr>
        <w:t>Experiences, and Participation</w:t>
      </w:r>
      <w:r w:rsidRPr="005B50C4">
        <w:rPr>
          <w:rFonts w:ascii="Times New Roman" w:eastAsia="SimSun" w:hAnsi="Times New Roman" w:cs="Times New Roman"/>
          <w:color w:val="222222"/>
          <w:shd w:val="clear" w:color="auto" w:fill="FFFFFF"/>
        </w:rPr>
        <w:t>.</w:t>
      </w:r>
    </w:p>
    <w:p w14:paraId="22967604" w14:textId="77777777" w:rsidR="005B50C4" w:rsidRPr="005B50C4" w:rsidRDefault="005B50C4">
      <w:pPr>
        <w:spacing w:line="360" w:lineRule="auto"/>
        <w:jc w:val="both"/>
        <w:rPr>
          <w:rFonts w:ascii="Times New Roman" w:hAnsi="Times New Roman" w:cs="Times New Roman"/>
        </w:rPr>
      </w:pPr>
      <w:r w:rsidRPr="005B50C4">
        <w:rPr>
          <w:rFonts w:ascii="Times New Roman" w:hAnsi="Times New Roman" w:cs="Times New Roman"/>
        </w:rPr>
        <w:t xml:space="preserve">Fortune Business Insights (2026) Smart home market size, share and industry analysis, 2025–2034.  </w:t>
      </w:r>
      <w:hyperlink r:id="rId17" w:history="1">
        <w:r w:rsidRPr="005B50C4">
          <w:rPr>
            <w:rStyle w:val="Hyperlink"/>
            <w:rFonts w:ascii="Times New Roman" w:hAnsi="Times New Roman" w:cs="Times New Roman"/>
          </w:rPr>
          <w:t>https://www.fortunebusinessinsights.com/industry-reports/smart-home-market-101900</w:t>
        </w:r>
      </w:hyperlink>
      <w:r w:rsidRPr="005B50C4">
        <w:rPr>
          <w:rFonts w:ascii="Times New Roman" w:hAnsi="Times New Roman" w:cs="Times New Roman"/>
        </w:rPr>
        <w:t xml:space="preserve"> </w:t>
      </w:r>
    </w:p>
    <w:p w14:paraId="013A49A7" w14:textId="77777777" w:rsidR="005B50C4" w:rsidRPr="005B50C4" w:rsidRDefault="005B50C4">
      <w:pPr>
        <w:spacing w:line="360" w:lineRule="auto"/>
        <w:jc w:val="both"/>
        <w:rPr>
          <w:rFonts w:ascii="Times New Roman" w:hAnsi="Times New Roman" w:cs="Times New Roman"/>
        </w:rPr>
      </w:pPr>
      <w:r w:rsidRPr="005B50C4">
        <w:rPr>
          <w:rFonts w:ascii="Times New Roman" w:hAnsi="Times New Roman" w:cs="Times New Roman"/>
        </w:rPr>
        <w:t xml:space="preserve">Gartner (2025) Gartner hype cycle for the Internet of Things. Stamford, CT: Gartner Inc. </w:t>
      </w:r>
      <w:hyperlink r:id="rId18" w:history="1">
        <w:r w:rsidRPr="005B50C4">
          <w:rPr>
            <w:rStyle w:val="Hyperlink"/>
            <w:rFonts w:ascii="Times New Roman" w:hAnsi="Times New Roman" w:cs="Times New Roman"/>
          </w:rPr>
          <w:t>https://www.gartner.com/en/documents/6772334</w:t>
        </w:r>
      </w:hyperlink>
      <w:r w:rsidRPr="005B50C4">
        <w:rPr>
          <w:rFonts w:ascii="Times New Roman" w:hAnsi="Times New Roman" w:cs="Times New Roman"/>
        </w:rPr>
        <w:t xml:space="preserve"> </w:t>
      </w:r>
    </w:p>
    <w:p w14:paraId="3428491C"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Gibbs, G., 1988. Learning by doing: A guide to teaching and learning methods. </w:t>
      </w:r>
      <w:r w:rsidRPr="005B50C4">
        <w:rPr>
          <w:rFonts w:ascii="Times New Roman" w:eastAsia="SimSun" w:hAnsi="Times New Roman" w:cs="Times New Roman"/>
          <w:i/>
          <w:iCs/>
          <w:color w:val="222222"/>
          <w:shd w:val="clear" w:color="auto" w:fill="FFFFFF"/>
        </w:rPr>
        <w:t>Further Education Unit</w:t>
      </w:r>
      <w:r w:rsidRPr="005B50C4">
        <w:rPr>
          <w:rFonts w:ascii="Times New Roman" w:eastAsia="SimSun" w:hAnsi="Times New Roman" w:cs="Times New Roman"/>
          <w:color w:val="222222"/>
          <w:shd w:val="clear" w:color="auto" w:fill="FFFFFF"/>
        </w:rPr>
        <w:t>.</w:t>
      </w:r>
    </w:p>
    <w:p w14:paraId="08898EEB"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Keller, K.L., 2013. </w:t>
      </w:r>
      <w:r w:rsidRPr="005B50C4">
        <w:rPr>
          <w:rFonts w:ascii="Times New Roman" w:eastAsia="SimSun" w:hAnsi="Times New Roman" w:cs="Times New Roman"/>
          <w:i/>
          <w:iCs/>
          <w:color w:val="222222"/>
          <w:shd w:val="clear" w:color="auto" w:fill="FFFFFF"/>
        </w:rPr>
        <w:t>Building, Measuring, and Managing Brand Equity </w:t>
      </w:r>
      <w:r w:rsidRPr="005B50C4">
        <w:rPr>
          <w:rFonts w:ascii="Times New Roman" w:eastAsia="SimSun" w:hAnsi="Times New Roman" w:cs="Times New Roman"/>
          <w:color w:val="222222"/>
          <w:shd w:val="clear" w:color="auto" w:fill="FFFFFF"/>
        </w:rPr>
        <w:t>.</w:t>
      </w:r>
    </w:p>
    <w:p w14:paraId="203C80E3"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Kotler, P. and Armstrong, G., 2010. </w:t>
      </w:r>
      <w:r w:rsidRPr="005B50C4">
        <w:rPr>
          <w:rFonts w:ascii="Times New Roman" w:eastAsia="SimSun" w:hAnsi="Times New Roman" w:cs="Times New Roman"/>
          <w:i/>
          <w:iCs/>
          <w:color w:val="222222"/>
          <w:shd w:val="clear" w:color="auto" w:fill="FFFFFF"/>
        </w:rPr>
        <w:t>Principles of marketing</w:t>
      </w:r>
      <w:r w:rsidRPr="005B50C4">
        <w:rPr>
          <w:rFonts w:ascii="Times New Roman" w:eastAsia="SimSun" w:hAnsi="Times New Roman" w:cs="Times New Roman"/>
          <w:color w:val="222222"/>
          <w:shd w:val="clear" w:color="auto" w:fill="FFFFFF"/>
        </w:rPr>
        <w:t>. Pearson education.</w:t>
      </w:r>
    </w:p>
    <w:p w14:paraId="4C294670"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Lemon, K.N. and Verhoef, P.C., 2016. Understanding customer experience throughout the customer journey. </w:t>
      </w:r>
      <w:r w:rsidRPr="005B50C4">
        <w:rPr>
          <w:rFonts w:ascii="Times New Roman" w:eastAsia="SimSun" w:hAnsi="Times New Roman" w:cs="Times New Roman"/>
          <w:i/>
          <w:iCs/>
          <w:color w:val="222222"/>
          <w:shd w:val="clear" w:color="auto" w:fill="FFFFFF"/>
        </w:rPr>
        <w:t>Journal of marketing</w:t>
      </w:r>
      <w:r w:rsidRPr="005B50C4">
        <w:rPr>
          <w:rFonts w:ascii="Times New Roman" w:eastAsia="SimSun" w:hAnsi="Times New Roman" w:cs="Times New Roman"/>
          <w:color w:val="222222"/>
          <w:shd w:val="clear" w:color="auto" w:fill="FFFFFF"/>
        </w:rPr>
        <w:t>, </w:t>
      </w:r>
      <w:r w:rsidRPr="005B50C4">
        <w:rPr>
          <w:rFonts w:ascii="Times New Roman" w:eastAsia="SimSun" w:hAnsi="Times New Roman" w:cs="Times New Roman"/>
          <w:i/>
          <w:iCs/>
          <w:color w:val="222222"/>
          <w:shd w:val="clear" w:color="auto" w:fill="FFFFFF"/>
        </w:rPr>
        <w:t>80</w:t>
      </w:r>
      <w:r w:rsidRPr="005B50C4">
        <w:rPr>
          <w:rFonts w:ascii="Times New Roman" w:eastAsia="SimSun" w:hAnsi="Times New Roman" w:cs="Times New Roman"/>
          <w:color w:val="222222"/>
          <w:shd w:val="clear" w:color="auto" w:fill="FFFFFF"/>
        </w:rPr>
        <w:t>(6), pp.69-96.</w:t>
      </w:r>
    </w:p>
    <w:p w14:paraId="66802132"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Lovelock, C. and Wirtz, J., 2004. Services marketing: people, technology, strategy. </w:t>
      </w:r>
      <w:r w:rsidRPr="005B50C4">
        <w:rPr>
          <w:rFonts w:ascii="Times New Roman" w:eastAsia="SimSun" w:hAnsi="Times New Roman" w:cs="Times New Roman"/>
          <w:i/>
          <w:iCs/>
          <w:color w:val="222222"/>
          <w:shd w:val="clear" w:color="auto" w:fill="FFFFFF"/>
        </w:rPr>
        <w:t>Journal of Services Marketing</w:t>
      </w:r>
      <w:r w:rsidRPr="005B50C4">
        <w:rPr>
          <w:rFonts w:ascii="Times New Roman" w:eastAsia="SimSun" w:hAnsi="Times New Roman" w:cs="Times New Roman"/>
          <w:color w:val="222222"/>
          <w:shd w:val="clear" w:color="auto" w:fill="FFFFFF"/>
        </w:rPr>
        <w:t>, </w:t>
      </w:r>
      <w:r w:rsidRPr="005B50C4">
        <w:rPr>
          <w:rFonts w:ascii="Times New Roman" w:eastAsia="SimSun" w:hAnsi="Times New Roman" w:cs="Times New Roman"/>
          <w:i/>
          <w:iCs/>
          <w:color w:val="222222"/>
          <w:shd w:val="clear" w:color="auto" w:fill="FFFFFF"/>
        </w:rPr>
        <w:t>18</w:t>
      </w:r>
      <w:r w:rsidRPr="005B50C4">
        <w:rPr>
          <w:rFonts w:ascii="Times New Roman" w:eastAsia="SimSun" w:hAnsi="Times New Roman" w:cs="Times New Roman"/>
          <w:color w:val="222222"/>
          <w:shd w:val="clear" w:color="auto" w:fill="FFFFFF"/>
        </w:rPr>
        <w:t>(5), pp.413-414.</w:t>
      </w:r>
    </w:p>
    <w:p w14:paraId="5C866FE7"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McCarthy, E.J., 1969. </w:t>
      </w:r>
      <w:r w:rsidRPr="005B50C4">
        <w:rPr>
          <w:rFonts w:ascii="Times New Roman" w:eastAsia="SimSun" w:hAnsi="Times New Roman" w:cs="Times New Roman"/>
          <w:i/>
          <w:iCs/>
          <w:color w:val="222222"/>
          <w:shd w:val="clear" w:color="auto" w:fill="FFFFFF"/>
        </w:rPr>
        <w:t>Basic Marketing: A Managerial Approach</w:t>
      </w:r>
      <w:r w:rsidRPr="005B50C4">
        <w:rPr>
          <w:rFonts w:ascii="Times New Roman" w:eastAsia="SimSun" w:hAnsi="Times New Roman" w:cs="Times New Roman"/>
          <w:color w:val="222222"/>
          <w:shd w:val="clear" w:color="auto" w:fill="FFFFFF"/>
        </w:rPr>
        <w:t>. Irwin-Dorsey.</w:t>
      </w:r>
    </w:p>
    <w:p w14:paraId="2C7FCA9C" w14:textId="77777777" w:rsidR="005B50C4" w:rsidRPr="005B50C4" w:rsidRDefault="005B50C4">
      <w:pPr>
        <w:spacing w:line="360" w:lineRule="auto"/>
        <w:jc w:val="both"/>
        <w:rPr>
          <w:rFonts w:ascii="Times New Roman" w:hAnsi="Times New Roman" w:cs="Times New Roman"/>
        </w:rPr>
      </w:pPr>
      <w:r w:rsidRPr="005B50C4">
        <w:rPr>
          <w:rFonts w:ascii="Times New Roman" w:hAnsi="Times New Roman" w:cs="Times New Roman"/>
        </w:rPr>
        <w:lastRenderedPageBreak/>
        <w:t xml:space="preserve">McKinsey &amp; Company (2024) The smart home market: consumer insights and growth opportunities. </w:t>
      </w:r>
      <w:hyperlink r:id="rId19" w:history="1">
        <w:r w:rsidRPr="005B50C4">
          <w:rPr>
            <w:rStyle w:val="Hyperlink"/>
            <w:rFonts w:ascii="Times New Roman" w:hAnsi="Times New Roman" w:cs="Times New Roman"/>
          </w:rPr>
          <w:t>https://www.mckinsey.com/industries/consumer-packaged-goods/our-insights/state-of-consumer-2024</w:t>
        </w:r>
      </w:hyperlink>
      <w:r w:rsidRPr="005B50C4">
        <w:rPr>
          <w:rFonts w:ascii="Times New Roman" w:hAnsi="Times New Roman" w:cs="Times New Roman"/>
        </w:rPr>
        <w:t xml:space="preserve"> </w:t>
      </w:r>
    </w:p>
    <w:p w14:paraId="3D8C8668"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Monroe, K.B., 1990. Pricing: Making profitable decisions.</w:t>
      </w:r>
    </w:p>
    <w:p w14:paraId="530D2569"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Moon, J.A., 2013. </w:t>
      </w:r>
      <w:r w:rsidRPr="005B50C4">
        <w:rPr>
          <w:rFonts w:ascii="Times New Roman" w:eastAsia="SimSun" w:hAnsi="Times New Roman" w:cs="Times New Roman"/>
          <w:i/>
          <w:iCs/>
          <w:color w:val="222222"/>
          <w:shd w:val="clear" w:color="auto" w:fill="FFFFFF"/>
        </w:rPr>
        <w:t>A handbook of reflective and experiential learning: Theory and practice</w:t>
      </w:r>
      <w:r w:rsidRPr="005B50C4">
        <w:rPr>
          <w:rFonts w:ascii="Times New Roman" w:eastAsia="SimSun" w:hAnsi="Times New Roman" w:cs="Times New Roman"/>
          <w:color w:val="222222"/>
          <w:shd w:val="clear" w:color="auto" w:fill="FFFFFF"/>
        </w:rPr>
        <w:t>. Routledge.</w:t>
      </w:r>
    </w:p>
    <w:p w14:paraId="3A6120FC"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Nagle, T.T., 2024. The strategy and tactics of pricing.</w:t>
      </w:r>
    </w:p>
    <w:p w14:paraId="3B3B3658"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Ottman, J., 2017. </w:t>
      </w:r>
      <w:r w:rsidRPr="005B50C4">
        <w:rPr>
          <w:rFonts w:ascii="Times New Roman" w:eastAsia="SimSun" w:hAnsi="Times New Roman" w:cs="Times New Roman"/>
          <w:i/>
          <w:iCs/>
          <w:color w:val="222222"/>
          <w:shd w:val="clear" w:color="auto" w:fill="FFFFFF"/>
        </w:rPr>
        <w:t>The new rules of green marketing: Strategies, tools, and inspiration for sustainable branding</w:t>
      </w:r>
      <w:r w:rsidRPr="005B50C4">
        <w:rPr>
          <w:rFonts w:ascii="Times New Roman" w:eastAsia="SimSun" w:hAnsi="Times New Roman" w:cs="Times New Roman"/>
          <w:color w:val="222222"/>
          <w:shd w:val="clear" w:color="auto" w:fill="FFFFFF"/>
        </w:rPr>
        <w:t>. Routledge.</w:t>
      </w:r>
    </w:p>
    <w:p w14:paraId="69A09CCB"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Parasuraman, A., Zeithaml, V.A. and Berry, L.L., 1985. A conceptual model of service quality and its implications for future research. </w:t>
      </w:r>
      <w:r w:rsidRPr="005B50C4">
        <w:rPr>
          <w:rFonts w:ascii="Times New Roman" w:eastAsia="SimSun" w:hAnsi="Times New Roman" w:cs="Times New Roman"/>
          <w:i/>
          <w:iCs/>
          <w:color w:val="222222"/>
          <w:shd w:val="clear" w:color="auto" w:fill="FFFFFF"/>
        </w:rPr>
        <w:t>Journal of marketing</w:t>
      </w:r>
      <w:r w:rsidRPr="005B50C4">
        <w:rPr>
          <w:rFonts w:ascii="Times New Roman" w:eastAsia="SimSun" w:hAnsi="Times New Roman" w:cs="Times New Roman"/>
          <w:color w:val="222222"/>
          <w:shd w:val="clear" w:color="auto" w:fill="FFFFFF"/>
        </w:rPr>
        <w:t>, </w:t>
      </w:r>
      <w:r w:rsidRPr="005B50C4">
        <w:rPr>
          <w:rFonts w:ascii="Times New Roman" w:eastAsia="SimSun" w:hAnsi="Times New Roman" w:cs="Times New Roman"/>
          <w:i/>
          <w:iCs/>
          <w:color w:val="222222"/>
          <w:shd w:val="clear" w:color="auto" w:fill="FFFFFF"/>
        </w:rPr>
        <w:t>49</w:t>
      </w:r>
      <w:r w:rsidRPr="005B50C4">
        <w:rPr>
          <w:rFonts w:ascii="Times New Roman" w:eastAsia="SimSun" w:hAnsi="Times New Roman" w:cs="Times New Roman"/>
          <w:color w:val="222222"/>
          <w:shd w:val="clear" w:color="auto" w:fill="FFFFFF"/>
        </w:rPr>
        <w:t>(4), pp.41-50.</w:t>
      </w:r>
    </w:p>
    <w:p w14:paraId="51ABF4E2"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Porter, M.E. and Strategy, C., 1980. Techniques for analyzing industries and competitors. </w:t>
      </w:r>
      <w:r w:rsidRPr="005B50C4">
        <w:rPr>
          <w:rFonts w:ascii="Times New Roman" w:eastAsia="SimSun" w:hAnsi="Times New Roman" w:cs="Times New Roman"/>
          <w:i/>
          <w:iCs/>
          <w:color w:val="222222"/>
          <w:shd w:val="clear" w:color="auto" w:fill="FFFFFF"/>
        </w:rPr>
        <w:t>Competitive Strategy. New York: Free</w:t>
      </w:r>
      <w:r w:rsidRPr="005B50C4">
        <w:rPr>
          <w:rFonts w:ascii="Times New Roman" w:eastAsia="SimSun" w:hAnsi="Times New Roman" w:cs="Times New Roman"/>
          <w:color w:val="222222"/>
          <w:shd w:val="clear" w:color="auto" w:fill="FFFFFF"/>
        </w:rPr>
        <w:t>, </w:t>
      </w:r>
      <w:r w:rsidRPr="005B50C4">
        <w:rPr>
          <w:rFonts w:ascii="Times New Roman" w:eastAsia="SimSun" w:hAnsi="Times New Roman" w:cs="Times New Roman"/>
          <w:i/>
          <w:iCs/>
          <w:color w:val="222222"/>
          <w:shd w:val="clear" w:color="auto" w:fill="FFFFFF"/>
        </w:rPr>
        <w:t>1</w:t>
      </w:r>
      <w:r w:rsidRPr="005B50C4">
        <w:rPr>
          <w:rFonts w:ascii="Times New Roman" w:eastAsia="SimSun" w:hAnsi="Times New Roman" w:cs="Times New Roman"/>
          <w:color w:val="222222"/>
          <w:shd w:val="clear" w:color="auto" w:fill="FFFFFF"/>
        </w:rPr>
        <w:t>, p.76.</w:t>
      </w:r>
    </w:p>
    <w:p w14:paraId="4CDE5379" w14:textId="77777777" w:rsidR="005B50C4" w:rsidRPr="005B50C4" w:rsidRDefault="005B50C4">
      <w:pPr>
        <w:spacing w:line="360" w:lineRule="auto"/>
        <w:jc w:val="both"/>
        <w:rPr>
          <w:rFonts w:ascii="Times New Roman" w:hAnsi="Times New Roman" w:cs="Times New Roman"/>
        </w:rPr>
      </w:pPr>
      <w:r w:rsidRPr="005B50C4">
        <w:rPr>
          <w:rFonts w:ascii="Times New Roman" w:hAnsi="Times New Roman" w:cs="Times New Roman"/>
        </w:rPr>
        <w:t xml:space="preserve">PwC (2024) Consumer intelligence series: smart home. London: PricewaterhouseCoopers.  </w:t>
      </w:r>
      <w:hyperlink r:id="rId20" w:history="1">
        <w:r w:rsidRPr="005B50C4">
          <w:rPr>
            <w:rStyle w:val="Hyperlink"/>
            <w:rFonts w:ascii="Times New Roman" w:hAnsi="Times New Roman" w:cs="Times New Roman"/>
          </w:rPr>
          <w:t>https://www.pwc.com/gx/en/issues/c-suite-insights/voice-of-the-consumer-survey/2024.html</w:t>
        </w:r>
      </w:hyperlink>
      <w:r w:rsidRPr="005B50C4">
        <w:rPr>
          <w:rFonts w:ascii="Times New Roman" w:hAnsi="Times New Roman" w:cs="Times New Roman"/>
        </w:rPr>
        <w:t xml:space="preserve"> </w:t>
      </w:r>
    </w:p>
    <w:p w14:paraId="08352CD7"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Ries, A. and Trout, J., 1981. Positioning: The Battle for Your Mind. New-York: McGrew-Hill.</w:t>
      </w:r>
    </w:p>
    <w:p w14:paraId="7B05EC73"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Rogers, E., 2003. Diffusion of Innovations 5th.</w:t>
      </w:r>
    </w:p>
    <w:p w14:paraId="2D4CE865"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Rosenbloom, B., 2013. </w:t>
      </w:r>
      <w:r w:rsidRPr="005B50C4">
        <w:rPr>
          <w:rFonts w:ascii="Times New Roman" w:eastAsia="SimSun" w:hAnsi="Times New Roman" w:cs="Times New Roman"/>
          <w:i/>
          <w:iCs/>
          <w:color w:val="222222"/>
          <w:shd w:val="clear" w:color="auto" w:fill="FFFFFF"/>
        </w:rPr>
        <w:t>Marketing channels: A management view</w:t>
      </w:r>
      <w:r w:rsidRPr="005B50C4">
        <w:rPr>
          <w:rFonts w:ascii="Times New Roman" w:eastAsia="SimSun" w:hAnsi="Times New Roman" w:cs="Times New Roman"/>
          <w:color w:val="222222"/>
          <w:shd w:val="clear" w:color="auto" w:fill="FFFFFF"/>
        </w:rPr>
        <w:t>. Australia; Mason, OH: South-Western Cengage Learning.</w:t>
      </w:r>
    </w:p>
    <w:p w14:paraId="7A7C44D4" w14:textId="77777777" w:rsidR="005B50C4" w:rsidRPr="005B50C4" w:rsidRDefault="005B50C4">
      <w:pPr>
        <w:spacing w:line="360" w:lineRule="auto"/>
        <w:jc w:val="both"/>
        <w:rPr>
          <w:rFonts w:ascii="Times New Roman" w:hAnsi="Times New Roman" w:cs="Times New Roman"/>
        </w:rPr>
      </w:pPr>
      <w:r w:rsidRPr="005B50C4">
        <w:rPr>
          <w:rFonts w:ascii="Times New Roman" w:hAnsi="Times New Roman" w:cs="Times New Roman"/>
        </w:rPr>
        <w:t xml:space="preserve">Samsung Annual Report (2024) Annual report and accounts 2023/24. Suwon: Samsung Electronics. </w:t>
      </w:r>
      <w:hyperlink r:id="rId21" w:history="1">
        <w:r w:rsidRPr="005B50C4">
          <w:rPr>
            <w:rStyle w:val="Hyperlink"/>
            <w:rFonts w:ascii="Times New Roman" w:hAnsi="Times New Roman" w:cs="Times New Roman"/>
          </w:rPr>
          <w:t>https://images.samsung.com/is/content/samsung/assets/global/ir/docs/2024_con_quarter04_all.pdf</w:t>
        </w:r>
      </w:hyperlink>
      <w:r w:rsidRPr="005B50C4">
        <w:rPr>
          <w:rFonts w:ascii="Times New Roman" w:hAnsi="Times New Roman" w:cs="Times New Roman"/>
        </w:rPr>
        <w:t xml:space="preserve"> </w:t>
      </w:r>
    </w:p>
    <w:p w14:paraId="0C696690" w14:textId="77777777" w:rsidR="005B50C4" w:rsidRPr="005B50C4" w:rsidRDefault="005B50C4">
      <w:pPr>
        <w:spacing w:line="360" w:lineRule="auto"/>
        <w:jc w:val="both"/>
        <w:rPr>
          <w:rFonts w:ascii="Times New Roman" w:hAnsi="Times New Roman" w:cs="Times New Roman"/>
        </w:rPr>
      </w:pPr>
      <w:r w:rsidRPr="005B50C4">
        <w:rPr>
          <w:rFonts w:ascii="Times New Roman" w:hAnsi="Times New Roman" w:cs="Times New Roman"/>
        </w:rPr>
        <w:t xml:space="preserve">Samsung Newsroom (2026) Galaxy for the planet 2030 sustainability goals.  </w:t>
      </w:r>
      <w:hyperlink r:id="rId22" w:history="1">
        <w:r w:rsidRPr="005B50C4">
          <w:rPr>
            <w:rStyle w:val="Hyperlink"/>
            <w:rFonts w:ascii="Times New Roman" w:hAnsi="Times New Roman" w:cs="Times New Roman"/>
          </w:rPr>
          <w:t>https://news.samsung.com/global/samsung-expands-its-journey-galaxy-for-the-planet-with-new-goals-through-2030</w:t>
        </w:r>
      </w:hyperlink>
      <w:r w:rsidRPr="005B50C4">
        <w:rPr>
          <w:rFonts w:ascii="Times New Roman" w:hAnsi="Times New Roman" w:cs="Times New Roman"/>
        </w:rPr>
        <w:t xml:space="preserve"> </w:t>
      </w:r>
    </w:p>
    <w:p w14:paraId="42906B5E"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Schön, D.A., 2017. </w:t>
      </w:r>
      <w:r w:rsidRPr="005B50C4">
        <w:rPr>
          <w:rFonts w:ascii="Times New Roman" w:eastAsia="SimSun" w:hAnsi="Times New Roman" w:cs="Times New Roman"/>
          <w:i/>
          <w:iCs/>
          <w:color w:val="222222"/>
          <w:shd w:val="clear" w:color="auto" w:fill="FFFFFF"/>
        </w:rPr>
        <w:t>The reflective practitioner: How professionals think in action</w:t>
      </w:r>
      <w:r w:rsidRPr="005B50C4">
        <w:rPr>
          <w:rFonts w:ascii="Times New Roman" w:eastAsia="SimSun" w:hAnsi="Times New Roman" w:cs="Times New Roman"/>
          <w:color w:val="222222"/>
          <w:shd w:val="clear" w:color="auto" w:fill="FFFFFF"/>
        </w:rPr>
        <w:t>. Routledge.</w:t>
      </w:r>
    </w:p>
    <w:p w14:paraId="3973D2CF"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Shapiro, C. and Varian, H.R., 1999. </w:t>
      </w:r>
      <w:r w:rsidRPr="005B50C4">
        <w:rPr>
          <w:rFonts w:ascii="Times New Roman" w:eastAsia="SimSun" w:hAnsi="Times New Roman" w:cs="Times New Roman"/>
          <w:i/>
          <w:iCs/>
          <w:color w:val="222222"/>
          <w:shd w:val="clear" w:color="auto" w:fill="FFFFFF"/>
        </w:rPr>
        <w:t>Information rules: A strategic guide to the network economy</w:t>
      </w:r>
      <w:r w:rsidRPr="005B50C4">
        <w:rPr>
          <w:rFonts w:ascii="Times New Roman" w:eastAsia="SimSun" w:hAnsi="Times New Roman" w:cs="Times New Roman"/>
          <w:color w:val="222222"/>
          <w:shd w:val="clear" w:color="auto" w:fill="FFFFFF"/>
        </w:rPr>
        <w:t>. Harvard Business Press.</w:t>
      </w:r>
    </w:p>
    <w:p w14:paraId="2B6B2AFD"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Shostack, G.L., 1977. Breaking free from product marketing. </w:t>
      </w:r>
      <w:r w:rsidRPr="005B50C4">
        <w:rPr>
          <w:rFonts w:ascii="Times New Roman" w:eastAsia="SimSun" w:hAnsi="Times New Roman" w:cs="Times New Roman"/>
          <w:i/>
          <w:iCs/>
          <w:color w:val="222222"/>
          <w:shd w:val="clear" w:color="auto" w:fill="FFFFFF"/>
        </w:rPr>
        <w:t>Journal of marketing</w:t>
      </w:r>
      <w:r w:rsidRPr="005B50C4">
        <w:rPr>
          <w:rFonts w:ascii="Times New Roman" w:eastAsia="SimSun" w:hAnsi="Times New Roman" w:cs="Times New Roman"/>
          <w:color w:val="222222"/>
          <w:shd w:val="clear" w:color="auto" w:fill="FFFFFF"/>
        </w:rPr>
        <w:t>, </w:t>
      </w:r>
      <w:r w:rsidRPr="005B50C4">
        <w:rPr>
          <w:rFonts w:ascii="Times New Roman" w:eastAsia="SimSun" w:hAnsi="Times New Roman" w:cs="Times New Roman"/>
          <w:i/>
          <w:iCs/>
          <w:color w:val="222222"/>
          <w:shd w:val="clear" w:color="auto" w:fill="FFFFFF"/>
        </w:rPr>
        <w:t>41</w:t>
      </w:r>
      <w:r w:rsidRPr="005B50C4">
        <w:rPr>
          <w:rFonts w:ascii="Times New Roman" w:eastAsia="SimSun" w:hAnsi="Times New Roman" w:cs="Times New Roman"/>
          <w:color w:val="222222"/>
          <w:shd w:val="clear" w:color="auto" w:fill="FFFFFF"/>
        </w:rPr>
        <w:t>(2), pp.73-80.</w:t>
      </w:r>
    </w:p>
    <w:p w14:paraId="495CF2F1"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Smith, W.R., 1956. Product differentiation and market segmentation as alternative marketing strategies. </w:t>
      </w:r>
      <w:r w:rsidRPr="005B50C4">
        <w:rPr>
          <w:rFonts w:ascii="Times New Roman" w:eastAsia="SimSun" w:hAnsi="Times New Roman" w:cs="Times New Roman"/>
          <w:i/>
          <w:iCs/>
          <w:color w:val="222222"/>
          <w:shd w:val="clear" w:color="auto" w:fill="FFFFFF"/>
        </w:rPr>
        <w:t>Journal of marketing</w:t>
      </w:r>
      <w:r w:rsidRPr="005B50C4">
        <w:rPr>
          <w:rFonts w:ascii="Times New Roman" w:eastAsia="SimSun" w:hAnsi="Times New Roman" w:cs="Times New Roman"/>
          <w:color w:val="222222"/>
          <w:shd w:val="clear" w:color="auto" w:fill="FFFFFF"/>
        </w:rPr>
        <w:t>, </w:t>
      </w:r>
      <w:r w:rsidRPr="005B50C4">
        <w:rPr>
          <w:rFonts w:ascii="Times New Roman" w:eastAsia="SimSun" w:hAnsi="Times New Roman" w:cs="Times New Roman"/>
          <w:i/>
          <w:iCs/>
          <w:color w:val="222222"/>
          <w:shd w:val="clear" w:color="auto" w:fill="FFFFFF"/>
        </w:rPr>
        <w:t>21</w:t>
      </w:r>
      <w:r w:rsidRPr="005B50C4">
        <w:rPr>
          <w:rFonts w:ascii="Times New Roman" w:eastAsia="SimSun" w:hAnsi="Times New Roman" w:cs="Times New Roman"/>
          <w:color w:val="222222"/>
          <w:shd w:val="clear" w:color="auto" w:fill="FFFFFF"/>
        </w:rPr>
        <w:t>(1), pp.3-8.</w:t>
      </w:r>
    </w:p>
    <w:p w14:paraId="0DE0E8E3" w14:textId="77777777" w:rsidR="005B50C4" w:rsidRPr="005B50C4" w:rsidRDefault="005B50C4">
      <w:pPr>
        <w:spacing w:line="360" w:lineRule="auto"/>
        <w:jc w:val="both"/>
        <w:rPr>
          <w:rFonts w:ascii="Times New Roman" w:hAnsi="Times New Roman" w:cs="Times New Roman"/>
        </w:rPr>
      </w:pPr>
      <w:r w:rsidRPr="005B50C4">
        <w:rPr>
          <w:rFonts w:ascii="Times New Roman" w:hAnsi="Times New Roman" w:cs="Times New Roman"/>
        </w:rPr>
        <w:lastRenderedPageBreak/>
        <w:t xml:space="preserve">Statista (2025) Smart home market penetration by region.  </w:t>
      </w:r>
      <w:hyperlink r:id="rId23" w:history="1">
        <w:r w:rsidRPr="005B50C4">
          <w:rPr>
            <w:rStyle w:val="Hyperlink"/>
            <w:rFonts w:ascii="Times New Roman" w:hAnsi="Times New Roman" w:cs="Times New Roman"/>
          </w:rPr>
          <w:t>https://www.statista.com/outlook/cmo/smart-home/worldwide?srsltid=AfmBOoqvpZeEtHudImh6snjhSE4MdAR_J-xwYnCsAE6JS1uzRmNWFMDx</w:t>
        </w:r>
      </w:hyperlink>
      <w:r w:rsidRPr="005B50C4">
        <w:rPr>
          <w:rFonts w:ascii="Times New Roman" w:hAnsi="Times New Roman" w:cs="Times New Roman"/>
        </w:rPr>
        <w:t xml:space="preserve"> </w:t>
      </w:r>
    </w:p>
    <w:p w14:paraId="0852FE12"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Tellis, G.J., 1986. Beyond the many faces of price: an integration of pricing strategies. </w:t>
      </w:r>
      <w:r w:rsidRPr="005B50C4">
        <w:rPr>
          <w:rFonts w:ascii="Times New Roman" w:eastAsia="SimSun" w:hAnsi="Times New Roman" w:cs="Times New Roman"/>
          <w:i/>
          <w:iCs/>
          <w:color w:val="222222"/>
          <w:shd w:val="clear" w:color="auto" w:fill="FFFFFF"/>
        </w:rPr>
        <w:t>Journal of marketing</w:t>
      </w:r>
      <w:r w:rsidRPr="005B50C4">
        <w:rPr>
          <w:rFonts w:ascii="Times New Roman" w:eastAsia="SimSun" w:hAnsi="Times New Roman" w:cs="Times New Roman"/>
          <w:color w:val="222222"/>
          <w:shd w:val="clear" w:color="auto" w:fill="FFFFFF"/>
        </w:rPr>
        <w:t>, </w:t>
      </w:r>
      <w:r w:rsidRPr="005B50C4">
        <w:rPr>
          <w:rFonts w:ascii="Times New Roman" w:eastAsia="SimSun" w:hAnsi="Times New Roman" w:cs="Times New Roman"/>
          <w:i/>
          <w:iCs/>
          <w:color w:val="222222"/>
          <w:shd w:val="clear" w:color="auto" w:fill="FFFFFF"/>
        </w:rPr>
        <w:t>50</w:t>
      </w:r>
      <w:r w:rsidRPr="005B50C4">
        <w:rPr>
          <w:rFonts w:ascii="Times New Roman" w:eastAsia="SimSun" w:hAnsi="Times New Roman" w:cs="Times New Roman"/>
          <w:color w:val="222222"/>
          <w:shd w:val="clear" w:color="auto" w:fill="FFFFFF"/>
        </w:rPr>
        <w:t>(4), pp.146-160.</w:t>
      </w:r>
    </w:p>
    <w:p w14:paraId="72E9B574"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Treacy, M. and Wiersema, F., 1993. Customer intimacy and other value disciplines. </w:t>
      </w:r>
      <w:r w:rsidRPr="005B50C4">
        <w:rPr>
          <w:rFonts w:ascii="Times New Roman" w:eastAsia="SimSun" w:hAnsi="Times New Roman" w:cs="Times New Roman"/>
          <w:i/>
          <w:iCs/>
          <w:color w:val="222222"/>
          <w:shd w:val="clear" w:color="auto" w:fill="FFFFFF"/>
        </w:rPr>
        <w:t>Harvard business review</w:t>
      </w:r>
      <w:r w:rsidRPr="005B50C4">
        <w:rPr>
          <w:rFonts w:ascii="Times New Roman" w:eastAsia="SimSun" w:hAnsi="Times New Roman" w:cs="Times New Roman"/>
          <w:color w:val="222222"/>
          <w:shd w:val="clear" w:color="auto" w:fill="FFFFFF"/>
        </w:rPr>
        <w:t>, </w:t>
      </w:r>
      <w:r w:rsidRPr="005B50C4">
        <w:rPr>
          <w:rFonts w:ascii="Times New Roman" w:eastAsia="SimSun" w:hAnsi="Times New Roman" w:cs="Times New Roman"/>
          <w:i/>
          <w:iCs/>
          <w:color w:val="222222"/>
          <w:shd w:val="clear" w:color="auto" w:fill="FFFFFF"/>
        </w:rPr>
        <w:t>71</w:t>
      </w:r>
      <w:r w:rsidRPr="005B50C4">
        <w:rPr>
          <w:rFonts w:ascii="Times New Roman" w:eastAsia="SimSun" w:hAnsi="Times New Roman" w:cs="Times New Roman"/>
          <w:color w:val="222222"/>
          <w:shd w:val="clear" w:color="auto" w:fill="FFFFFF"/>
        </w:rPr>
        <w:t>(1), pp.84-93.’</w:t>
      </w:r>
    </w:p>
    <w:p w14:paraId="0AE316D5"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Verhoef, P.C., Kannan, P.K. and Inman, J.J., 2015. From multi-channel retailing to omni-channel retailing: introduction to the special issue on multi-channel retailing. </w:t>
      </w:r>
      <w:r w:rsidRPr="005B50C4">
        <w:rPr>
          <w:rFonts w:ascii="Times New Roman" w:eastAsia="SimSun" w:hAnsi="Times New Roman" w:cs="Times New Roman"/>
          <w:i/>
          <w:iCs/>
          <w:color w:val="222222"/>
          <w:shd w:val="clear" w:color="auto" w:fill="FFFFFF"/>
        </w:rPr>
        <w:t>Journal of retailing</w:t>
      </w:r>
      <w:r w:rsidRPr="005B50C4">
        <w:rPr>
          <w:rFonts w:ascii="Times New Roman" w:eastAsia="SimSun" w:hAnsi="Times New Roman" w:cs="Times New Roman"/>
          <w:color w:val="222222"/>
          <w:shd w:val="clear" w:color="auto" w:fill="FFFFFF"/>
        </w:rPr>
        <w:t>, </w:t>
      </w:r>
      <w:r w:rsidRPr="005B50C4">
        <w:rPr>
          <w:rFonts w:ascii="Times New Roman" w:eastAsia="SimSun" w:hAnsi="Times New Roman" w:cs="Times New Roman"/>
          <w:i/>
          <w:iCs/>
          <w:color w:val="222222"/>
          <w:shd w:val="clear" w:color="auto" w:fill="FFFFFF"/>
        </w:rPr>
        <w:t>91</w:t>
      </w:r>
      <w:r w:rsidRPr="005B50C4">
        <w:rPr>
          <w:rFonts w:ascii="Times New Roman" w:eastAsia="SimSun" w:hAnsi="Times New Roman" w:cs="Times New Roman"/>
          <w:color w:val="222222"/>
          <w:shd w:val="clear" w:color="auto" w:fill="FFFFFF"/>
        </w:rPr>
        <w:t>(2), pp.174-181.</w:t>
      </w:r>
    </w:p>
    <w:p w14:paraId="44EFAE3D"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Wedel, M. and Kamakura, W.A., 2000. </w:t>
      </w:r>
      <w:r w:rsidRPr="005B50C4">
        <w:rPr>
          <w:rFonts w:ascii="Times New Roman" w:eastAsia="SimSun" w:hAnsi="Times New Roman" w:cs="Times New Roman"/>
          <w:i/>
          <w:iCs/>
          <w:color w:val="222222"/>
          <w:shd w:val="clear" w:color="auto" w:fill="FFFFFF"/>
        </w:rPr>
        <w:t>Market segmentation: Conceptual and methodological foundations</w:t>
      </w:r>
      <w:r w:rsidRPr="005B50C4">
        <w:rPr>
          <w:rFonts w:ascii="Times New Roman" w:eastAsia="SimSun" w:hAnsi="Times New Roman" w:cs="Times New Roman"/>
          <w:color w:val="222222"/>
          <w:shd w:val="clear" w:color="auto" w:fill="FFFFFF"/>
        </w:rPr>
        <w:t>. Springer Science &amp; Business Media.</w:t>
      </w:r>
    </w:p>
    <w:p w14:paraId="39FC313A" w14:textId="77777777" w:rsidR="005B50C4" w:rsidRPr="005B50C4" w:rsidRDefault="005B50C4">
      <w:pPr>
        <w:spacing w:line="360" w:lineRule="auto"/>
        <w:jc w:val="both"/>
        <w:rPr>
          <w:rFonts w:ascii="Times New Roman" w:eastAsia="SimSun" w:hAnsi="Times New Roman" w:cs="Times New Roman"/>
          <w:color w:val="222222"/>
          <w:shd w:val="clear" w:color="auto" w:fill="FFFFFF"/>
        </w:rPr>
      </w:pPr>
      <w:r w:rsidRPr="005B50C4">
        <w:rPr>
          <w:rFonts w:ascii="Times New Roman" w:eastAsia="SimSun" w:hAnsi="Times New Roman" w:cs="Times New Roman"/>
          <w:color w:val="222222"/>
          <w:shd w:val="clear" w:color="auto" w:fill="FFFFFF"/>
        </w:rPr>
        <w:t>Zeithaml, V.A., Bitner, M.J. and Gremler, D.D., 2000. Services marketing: Integrating customer focus across the firm. </w:t>
      </w:r>
      <w:r w:rsidRPr="005B50C4">
        <w:rPr>
          <w:rFonts w:ascii="Times New Roman" w:eastAsia="SimSun" w:hAnsi="Times New Roman" w:cs="Times New Roman"/>
          <w:i/>
          <w:iCs/>
          <w:color w:val="222222"/>
          <w:shd w:val="clear" w:color="auto" w:fill="FFFFFF"/>
        </w:rPr>
        <w:t>(No Title)</w:t>
      </w:r>
      <w:r w:rsidRPr="005B50C4">
        <w:rPr>
          <w:rFonts w:ascii="Times New Roman" w:eastAsia="SimSun" w:hAnsi="Times New Roman" w:cs="Times New Roman"/>
          <w:color w:val="222222"/>
          <w:shd w:val="clear" w:color="auto" w:fill="FFFFFF"/>
        </w:rPr>
        <w:t>.</w:t>
      </w:r>
    </w:p>
    <w:sectPr w:rsidR="005B50C4" w:rsidRPr="005B50C4">
      <w:headerReference w:type="default" r:id="rId24"/>
      <w:footerReference w:type="default" r:id="rId25"/>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E20F82" w14:textId="77777777" w:rsidR="00C911F3" w:rsidRDefault="00C911F3">
      <w:r>
        <w:separator/>
      </w:r>
    </w:p>
  </w:endnote>
  <w:endnote w:type="continuationSeparator" w:id="0">
    <w:p w14:paraId="3316B92D" w14:textId="77777777" w:rsidR="00C911F3" w:rsidRDefault="00C911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9C9682" w14:textId="77777777" w:rsidR="00D671F8" w:rsidRDefault="00000000">
    <w:pPr>
      <w:pBdr>
        <w:top w:val="single" w:sz="4" w:space="1" w:color="0066CC"/>
      </w:pBdr>
      <w:spacing w:before="100"/>
      <w:jc w:val="center"/>
    </w:pPr>
    <w:r>
      <w:rPr>
        <w:color w:val="666666"/>
        <w:sz w:val="18"/>
        <w:szCs w:val="18"/>
      </w:rPr>
      <w:t xml:space="preserve">Page </w:t>
    </w:r>
    <w:r>
      <w:rPr>
        <w:color w:val="666666"/>
        <w:sz w:val="18"/>
        <w:szCs w:val="18"/>
      </w:rPr>
      <w:fldChar w:fldCharType="begin"/>
    </w:r>
    <w:r>
      <w:rPr>
        <w:color w:val="666666"/>
        <w:sz w:val="18"/>
        <w:szCs w:val="18"/>
      </w:rPr>
      <w:instrText>PAGE</w:instrText>
    </w:r>
    <w:r>
      <w:rPr>
        <w:color w:val="666666"/>
        <w:sz w:val="18"/>
        <w:szCs w:val="18"/>
      </w:rPr>
      <w:fldChar w:fldCharType="separate"/>
    </w:r>
    <w:r>
      <w:rPr>
        <w:color w:val="666666"/>
        <w:sz w:val="18"/>
        <w:szCs w:val="18"/>
      </w:rPr>
      <w:t>1</w:t>
    </w:r>
    <w:r>
      <w:rPr>
        <w:color w:val="666666"/>
        <w:sz w:val="18"/>
        <w:szCs w:val="18"/>
      </w:rPr>
      <w:fldChar w:fldCharType="end"/>
    </w:r>
    <w:r>
      <w:rPr>
        <w:color w:val="666666"/>
        <w:sz w:val="18"/>
        <w:szCs w:val="18"/>
      </w:rPr>
      <w:t xml:space="preserve"> of </w:t>
    </w:r>
    <w:r>
      <w:rPr>
        <w:color w:val="666666"/>
        <w:sz w:val="18"/>
        <w:szCs w:val="18"/>
      </w:rPr>
      <w:fldChar w:fldCharType="begin"/>
    </w:r>
    <w:r>
      <w:rPr>
        <w:color w:val="666666"/>
        <w:sz w:val="18"/>
        <w:szCs w:val="18"/>
      </w:rPr>
      <w:instrText>NUMPAGES</w:instrText>
    </w:r>
    <w:r>
      <w:rPr>
        <w:color w:val="666666"/>
        <w:sz w:val="18"/>
        <w:szCs w:val="18"/>
      </w:rPr>
      <w:fldChar w:fldCharType="separate"/>
    </w:r>
    <w:r>
      <w:rPr>
        <w:color w:val="666666"/>
        <w:sz w:val="18"/>
        <w:szCs w:val="18"/>
      </w:rPr>
      <w:t>1</w:t>
    </w:r>
    <w:r>
      <w:rPr>
        <w:color w:val="666666"/>
        <w:sz w:val="18"/>
        <w:szCs w:val="18"/>
      </w:rPr>
      <w:fldChar w:fldCharType="end"/>
    </w:r>
    <w:r>
      <w:rPr>
        <w:color w:val="666666"/>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9FBBFF" w14:textId="77777777" w:rsidR="00C911F3" w:rsidRDefault="00C911F3">
      <w:r>
        <w:separator/>
      </w:r>
    </w:p>
  </w:footnote>
  <w:footnote w:type="continuationSeparator" w:id="0">
    <w:p w14:paraId="42A6E46C" w14:textId="77777777" w:rsidR="00C911F3" w:rsidRDefault="00C911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C40857" w14:textId="77777777" w:rsidR="00D671F8" w:rsidRDefault="00000000">
    <w:pPr>
      <w:pBdr>
        <w:bottom w:val="single" w:sz="4" w:space="1" w:color="0066CC"/>
      </w:pBdr>
      <w:spacing w:after="100"/>
    </w:pPr>
    <w:r>
      <w:rPr>
        <w:color w:val="666666"/>
        <w:sz w:val="18"/>
        <w:szCs w:val="18"/>
      </w:rPr>
      <w:t xml:space="preserve">Samsung Smart Living Hub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C03C7D"/>
    <w:multiLevelType w:val="multilevel"/>
    <w:tmpl w:val="62C03C7D"/>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3577772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displayBackgroundShape/>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08FF"/>
    <w:rsid w:val="00466D46"/>
    <w:rsid w:val="0050140A"/>
    <w:rsid w:val="005B50C4"/>
    <w:rsid w:val="00711E95"/>
    <w:rsid w:val="00804D92"/>
    <w:rsid w:val="008645ED"/>
    <w:rsid w:val="00984EE4"/>
    <w:rsid w:val="009930AE"/>
    <w:rsid w:val="00A1154F"/>
    <w:rsid w:val="00A208FF"/>
    <w:rsid w:val="00A9421E"/>
    <w:rsid w:val="00C911F3"/>
    <w:rsid w:val="00D671F8"/>
    <w:rsid w:val="08176FB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DA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unhideWhenUsed="1" w:qFormat="1"/>
    <w:lsdException w:name="footer" w:unhideWhenUsed="1" w:qFormat="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qFormat="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0"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sz w:val="24"/>
      <w:szCs w:val="24"/>
    </w:rPr>
  </w:style>
  <w:style w:type="paragraph" w:styleId="Heading1">
    <w:name w:val="heading 1"/>
    <w:uiPriority w:val="9"/>
    <w:qFormat/>
    <w:pPr>
      <w:numPr>
        <w:numId w:val="1"/>
      </w:numPr>
      <w:spacing w:before="400" w:after="200"/>
      <w:outlineLvl w:val="0"/>
    </w:pPr>
    <w:rPr>
      <w:rFonts w:eastAsia="Arial" w:cs="Arial"/>
      <w:b/>
      <w:bCs/>
      <w:sz w:val="28"/>
      <w:szCs w:val="32"/>
    </w:rPr>
  </w:style>
  <w:style w:type="paragraph" w:styleId="Heading2">
    <w:name w:val="heading 2"/>
    <w:uiPriority w:val="9"/>
    <w:unhideWhenUsed/>
    <w:qFormat/>
    <w:pPr>
      <w:numPr>
        <w:ilvl w:val="1"/>
        <w:numId w:val="1"/>
      </w:numPr>
      <w:spacing w:before="280" w:after="140"/>
      <w:outlineLvl w:val="1"/>
    </w:pPr>
    <w:rPr>
      <w:rFonts w:eastAsia="Arial" w:cs="Arial"/>
      <w:b/>
      <w:bCs/>
      <w:sz w:val="24"/>
      <w:szCs w:val="26"/>
    </w:rPr>
  </w:style>
  <w:style w:type="paragraph" w:styleId="Heading3">
    <w:name w:val="heading 3"/>
    <w:uiPriority w:val="9"/>
    <w:semiHidden/>
    <w:unhideWhenUsed/>
    <w:qFormat/>
    <w:pPr>
      <w:numPr>
        <w:ilvl w:val="2"/>
        <w:numId w:val="1"/>
      </w:numPr>
      <w:spacing w:before="200" w:after="100"/>
      <w:outlineLvl w:val="2"/>
    </w:pPr>
    <w:rPr>
      <w:rFonts w:ascii="Arial" w:eastAsia="Arial" w:hAnsi="Arial" w:cs="Arial"/>
      <w:b/>
      <w:bCs/>
      <w:color w:val="1A1A2E"/>
      <w:sz w:val="24"/>
      <w:szCs w:val="24"/>
    </w:rPr>
  </w:style>
  <w:style w:type="paragraph" w:styleId="Heading4">
    <w:name w:val="heading 4"/>
    <w:uiPriority w:val="9"/>
    <w:semiHidden/>
    <w:unhideWhenUsed/>
    <w:qFormat/>
    <w:pPr>
      <w:numPr>
        <w:ilvl w:val="3"/>
        <w:numId w:val="1"/>
      </w:numPr>
      <w:outlineLvl w:val="3"/>
    </w:pPr>
    <w:rPr>
      <w:rFonts w:ascii="Arial" w:eastAsia="Arial" w:hAnsi="Arial" w:cs="Arial"/>
      <w:i/>
      <w:iCs/>
      <w:color w:val="2E74B5"/>
      <w:sz w:val="24"/>
      <w:szCs w:val="24"/>
    </w:rPr>
  </w:style>
  <w:style w:type="paragraph" w:styleId="Heading5">
    <w:name w:val="heading 5"/>
    <w:uiPriority w:val="9"/>
    <w:semiHidden/>
    <w:unhideWhenUsed/>
    <w:qFormat/>
    <w:pPr>
      <w:numPr>
        <w:ilvl w:val="4"/>
        <w:numId w:val="1"/>
      </w:numPr>
      <w:outlineLvl w:val="4"/>
    </w:pPr>
    <w:rPr>
      <w:rFonts w:ascii="Arial" w:eastAsia="Arial" w:hAnsi="Arial" w:cs="Arial"/>
      <w:color w:val="2E74B5"/>
      <w:sz w:val="24"/>
      <w:szCs w:val="24"/>
    </w:rPr>
  </w:style>
  <w:style w:type="paragraph" w:styleId="Heading6">
    <w:name w:val="heading 6"/>
    <w:uiPriority w:val="9"/>
    <w:semiHidden/>
    <w:unhideWhenUsed/>
    <w:qFormat/>
    <w:pPr>
      <w:numPr>
        <w:ilvl w:val="5"/>
        <w:numId w:val="1"/>
      </w:numPr>
      <w:outlineLvl w:val="5"/>
    </w:pPr>
    <w:rPr>
      <w:rFonts w:ascii="Arial" w:eastAsia="Arial" w:hAnsi="Arial" w:cs="Arial"/>
      <w:color w:val="1F4D78"/>
      <w:sz w:val="24"/>
      <w:szCs w:val="24"/>
    </w:rPr>
  </w:style>
  <w:style w:type="paragraph" w:styleId="Heading7">
    <w:name w:val="heading 7"/>
    <w:basedOn w:val="Normal"/>
    <w:next w:val="Normal"/>
    <w:link w:val="Heading7Char"/>
    <w:uiPriority w:val="9"/>
    <w:semiHidden/>
    <w:unhideWhenUsed/>
    <w:qFormat/>
    <w:pPr>
      <w:keepNext/>
      <w:keepLines/>
      <w:numPr>
        <w:ilvl w:val="6"/>
        <w:numId w:val="1"/>
      </w:numPr>
      <w:spacing w:before="40"/>
      <w:outlineLvl w:val="6"/>
    </w:pPr>
    <w:rPr>
      <w:rFonts w:asciiTheme="majorHAnsi" w:eastAsiaTheme="majorEastAsia" w:hAnsiTheme="majorHAnsi" w:cstheme="majorBidi"/>
      <w:i/>
      <w:iCs/>
      <w:color w:val="0A2F41" w:themeColor="accent1" w:themeShade="80"/>
    </w:rPr>
  </w:style>
  <w:style w:type="paragraph" w:styleId="Heading8">
    <w:name w:val="heading 8"/>
    <w:basedOn w:val="Normal"/>
    <w:next w:val="Normal"/>
    <w:link w:val="Heading8Char"/>
    <w:uiPriority w:val="9"/>
    <w:semiHidden/>
    <w:unhideWhenUsed/>
    <w:qFormat/>
    <w:pPr>
      <w:keepNext/>
      <w:keepLines/>
      <w:numPr>
        <w:ilvl w:val="7"/>
        <w:numId w:val="1"/>
      </w:numPr>
      <w:spacing w:before="4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pPr>
      <w:keepNext/>
      <w:keepLines/>
      <w:numPr>
        <w:ilvl w:val="8"/>
        <w:numId w:val="1"/>
      </w:numPr>
      <w:spacing w:before="4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pPr>
    <w:rPr>
      <w:i/>
      <w:iCs/>
      <w:color w:val="0E2841" w:themeColor="text2"/>
      <w:sz w:val="18"/>
      <w:szCs w:val="18"/>
    </w:rPr>
  </w:style>
  <w:style w:type="character" w:styleId="EndnoteReference">
    <w:name w:val="endnote reference"/>
    <w:uiPriority w:val="99"/>
    <w:semiHidden/>
    <w:unhideWhenUsed/>
    <w:qFormat/>
    <w:rPr>
      <w:vertAlign w:val="superscript"/>
    </w:rPr>
  </w:style>
  <w:style w:type="paragraph" w:styleId="EndnoteText">
    <w:name w:val="endnote text"/>
    <w:link w:val="EndnoteTextChar"/>
    <w:uiPriority w:val="99"/>
    <w:semiHidden/>
    <w:unhideWhenUsed/>
    <w:rPr>
      <w:rFonts w:ascii="Arial" w:eastAsia="Arial" w:hAnsi="Arial" w:cs="Arial"/>
    </w:rPr>
  </w:style>
  <w:style w:type="paragraph" w:styleId="Footer">
    <w:name w:val="footer"/>
    <w:basedOn w:val="Normal"/>
    <w:link w:val="FooterChar"/>
    <w:uiPriority w:val="99"/>
    <w:unhideWhenUsed/>
    <w:qFormat/>
    <w:pPr>
      <w:tabs>
        <w:tab w:val="center" w:pos="4680"/>
        <w:tab w:val="right" w:pos="9360"/>
      </w:tabs>
    </w:pPr>
  </w:style>
  <w:style w:type="character" w:styleId="FootnoteReference">
    <w:name w:val="footnote reference"/>
    <w:uiPriority w:val="99"/>
    <w:semiHidden/>
    <w:unhideWhenUsed/>
    <w:qFormat/>
    <w:rPr>
      <w:vertAlign w:val="superscript"/>
    </w:rPr>
  </w:style>
  <w:style w:type="paragraph" w:styleId="FootnoteText">
    <w:name w:val="footnote text"/>
    <w:link w:val="FootnoteTextChar"/>
    <w:uiPriority w:val="99"/>
    <w:semiHidden/>
    <w:unhideWhenUsed/>
    <w:qFormat/>
    <w:rPr>
      <w:rFonts w:ascii="Arial" w:eastAsia="Arial" w:hAnsi="Arial" w:cs="Arial"/>
    </w:rPr>
  </w:style>
  <w:style w:type="paragraph" w:styleId="Header">
    <w:name w:val="header"/>
    <w:basedOn w:val="Normal"/>
    <w:link w:val="HeaderChar"/>
    <w:uiPriority w:val="99"/>
    <w:unhideWhenUsed/>
    <w:qFormat/>
    <w:pPr>
      <w:tabs>
        <w:tab w:val="center" w:pos="4680"/>
        <w:tab w:val="right" w:pos="9360"/>
      </w:tabs>
    </w:pPr>
  </w:style>
  <w:style w:type="character" w:styleId="Hyperlink">
    <w:name w:val="Hyperlink"/>
    <w:uiPriority w:val="99"/>
    <w:unhideWhenUsed/>
    <w:qFormat/>
    <w:rPr>
      <w:color w:val="0563C1"/>
      <w:u w:val="single"/>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uiPriority w:val="10"/>
    <w:qFormat/>
    <w:rPr>
      <w:rFonts w:ascii="Arial" w:eastAsia="Arial" w:hAnsi="Arial" w:cs="Arial"/>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paragraph" w:customStyle="1" w:styleId="Strong1">
    <w:name w:val="Strong1"/>
    <w:qFormat/>
    <w:rPr>
      <w:rFonts w:ascii="Arial" w:eastAsia="Arial" w:hAnsi="Arial" w:cs="Arial"/>
      <w:b/>
      <w:bCs/>
      <w:sz w:val="24"/>
      <w:szCs w:val="24"/>
    </w:rPr>
  </w:style>
  <w:style w:type="paragraph" w:styleId="ListParagraph">
    <w:name w:val="List Paragraph"/>
    <w:qFormat/>
    <w:rPr>
      <w:rFonts w:ascii="Arial" w:eastAsia="Arial" w:hAnsi="Arial" w:cs="Arial"/>
      <w:sz w:val="24"/>
      <w:szCs w:val="24"/>
    </w:rPr>
  </w:style>
  <w:style w:type="character" w:customStyle="1" w:styleId="FootnoteTextChar">
    <w:name w:val="Footnote Text Char"/>
    <w:link w:val="FootnoteText"/>
    <w:uiPriority w:val="99"/>
    <w:semiHidden/>
    <w:unhideWhenUsed/>
    <w:qFormat/>
    <w:rPr>
      <w:sz w:val="20"/>
      <w:szCs w:val="20"/>
    </w:rPr>
  </w:style>
  <w:style w:type="character" w:customStyle="1" w:styleId="EndnoteTextChar">
    <w:name w:val="Endnote Text Char"/>
    <w:link w:val="EndnoteText"/>
    <w:uiPriority w:val="99"/>
    <w:semiHidden/>
    <w:unhideWhenUsed/>
    <w:qFormat/>
    <w:rPr>
      <w:sz w:val="20"/>
      <w:szCs w:val="20"/>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table" w:customStyle="1" w:styleId="GridTable4-Accent11">
    <w:name w:val="Grid Table 4 - Accent 11"/>
    <w:basedOn w:val="TableNormal"/>
    <w:uiPriority w:val="49"/>
    <w:tblPr>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customStyle="1" w:styleId="GridTable4-Accent61">
    <w:name w:val="Grid Table 4 - Accent 61"/>
    <w:basedOn w:val="TableNormal"/>
    <w:uiPriority w:val="49"/>
    <w:qFormat/>
    <w:tblPr>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customStyle="1" w:styleId="GridTable41">
    <w:name w:val="Grid Table 41"/>
    <w:basedOn w:val="TableNormal"/>
    <w:uiPriority w:val="49"/>
    <w:tblPr>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0A2F41" w:themeColor="accent1" w:themeShade="8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62626" w:themeColor="text1" w:themeTint="D9"/>
      <w:sz w:val="21"/>
      <w:szCs w:val="21"/>
    </w:rPr>
  </w:style>
  <w:style w:type="paragraph" w:customStyle="1" w:styleId="TOCHeading1">
    <w:name w:val="TOC Heading1"/>
    <w:basedOn w:val="Heading1"/>
    <w:next w:val="Normal"/>
    <w:uiPriority w:val="39"/>
    <w:unhideWhenUsed/>
    <w:qFormat/>
    <w:pPr>
      <w:keepNext/>
      <w:keepLines/>
      <w:numPr>
        <w:numId w:val="0"/>
      </w:numPr>
      <w:spacing w:before="240" w:after="0" w:line="259" w:lineRule="auto"/>
      <w:outlineLvl w:val="9"/>
    </w:pPr>
    <w:rPr>
      <w:rFonts w:asciiTheme="majorHAnsi" w:eastAsiaTheme="majorEastAsia" w:hAnsiTheme="majorHAnsi" w:cstheme="majorBidi"/>
      <w:b w:val="0"/>
      <w:bCs w:val="0"/>
      <w:color w:val="0F4761" w:themeColor="accent1" w:themeShade="BF"/>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gartner.com/en/documents/6772334"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images.samsung.com/is/content/samsung/assets/global/ir/docs/2024_con_quarter04_all.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fortunebusinessinsights.com/industry-reports/smart-home-market-101900"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commission.europa.eu/strategy-and-policy/priorities-2019-2024/european-green-deal_en" TargetMode="External"/><Relationship Id="rId20" Type="http://schemas.openxmlformats.org/officeDocument/2006/relationships/hyperlink" Target="https://www.pwc.com/gx/en/issues/c-suite-insights/voice-of-the-consumer-survey/2024.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csa-iot.org/newsroom/samsung-smartthings-transforming-standards-into-everyday-experiences/" TargetMode="External"/><Relationship Id="rId23" Type="http://schemas.openxmlformats.org/officeDocument/2006/relationships/hyperlink" Target="https://www.statista.com/outlook/cmo/smart-home/worldwide?srsltid=AfmBOoqvpZeEtHudImh6snjhSE4MdAR_J-xwYnCsAE6JS1uzRmNWFMDx" TargetMode="External"/><Relationship Id="rId10" Type="http://schemas.openxmlformats.org/officeDocument/2006/relationships/image" Target="media/image3.png"/><Relationship Id="rId19" Type="http://schemas.openxmlformats.org/officeDocument/2006/relationships/hyperlink" Target="https://www.mckinsey.com/industries/consumer-packaged-goods/our-insights/state-of-consumer-202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news.samsung.com/global/samsung-expands-its-journey-galaxy-for-the-planet-with-new-goals-through-203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A45372-C78E-44AA-A58D-D899A6ADA5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4169</Words>
  <Characters>23765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2026-05-01T07:43:00Z</dcterms:created>
  <dcterms:modified xsi:type="dcterms:W3CDTF">2026-05-01T07:43:00Z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eyJoZGlkIjoiOWNmYmExZmI3NzZiNjkwZTFlMTg2Y2QwMDRjYTYxYjcifQ==</vt:lpwstr>
  </property>
  <property fmtid="{D5CDD505-2E9C-101B-9397-08002B2CF9AE}" pid="3" name="KSOProductBuildVer">
    <vt:lpwstr>1033-12.1.0.25862</vt:lpwstr>
  </property>
  <property fmtid="{D5CDD505-2E9C-101B-9397-08002B2CF9AE}" pid="4" name="ICV">
    <vt:lpwstr>EEE622727CA749A5805E47FE979B0757_13</vt:lpwstr>
  </property>
</Properties>
</file>