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1838" w:rsidRPr="007B45C0" w:rsidRDefault="00D81838" w:rsidP="00D81838">
      <w:pPr>
        <w:spacing w:line="360" w:lineRule="auto"/>
        <w:rPr>
          <w:b/>
          <w:sz w:val="24"/>
          <w:u w:val="single"/>
        </w:rPr>
      </w:pPr>
      <w:bookmarkStart w:id="0" w:name="_Hlk14872074"/>
      <w:bookmarkEnd w:id="0"/>
      <w:r>
        <w:rPr>
          <w:b/>
          <w:sz w:val="24"/>
          <w:u w:val="single"/>
        </w:rPr>
        <w:t>Int</w:t>
      </w:r>
      <w:r w:rsidRPr="007B45C0">
        <w:rPr>
          <w:b/>
          <w:sz w:val="24"/>
          <w:u w:val="single"/>
        </w:rPr>
        <w:t xml:space="preserve">roduction </w:t>
      </w:r>
    </w:p>
    <w:p w:rsidR="00D81838" w:rsidRPr="007B45C0" w:rsidRDefault="00D81838" w:rsidP="00D81838">
      <w:pPr>
        <w:spacing w:line="360" w:lineRule="auto"/>
        <w:rPr>
          <w:sz w:val="24"/>
        </w:rPr>
      </w:pPr>
      <w:r w:rsidRPr="007B45C0">
        <w:rPr>
          <w:sz w:val="24"/>
        </w:rPr>
        <w:t>For this assignment, a group consisted of my classmates and myself have been researching the effect on inclusion and attainment when looking at child poverty, before discussing this, we must first look at what poverty is; many organisations and governments have similar definition of poverty, such as the Joseph Rowntree Foundation believes that:</w:t>
      </w:r>
    </w:p>
    <w:p w:rsidR="00D81838" w:rsidRPr="007B45C0" w:rsidRDefault="00D81838" w:rsidP="00D81838">
      <w:pPr>
        <w:spacing w:line="360" w:lineRule="auto"/>
        <w:ind w:left="720"/>
        <w:rPr>
          <w:sz w:val="24"/>
        </w:rPr>
      </w:pPr>
      <w:r w:rsidRPr="007B45C0">
        <w:rPr>
          <w:sz w:val="24"/>
        </w:rPr>
        <w:t xml:space="preserve"> Poverty affects millions of people in the UK. Poverty means not being able to heat your home, pay your rent, or buy the essentials for your children. It means waking up every day facing insecurity, uncertainty, and impossible decisions about money. It means facing marginalisation – and even discrimination – because of your financial circumstances. The constant stress it causes can lead to problems that deprive people of the chance to play a full part in society. (JRF, 2019)</w:t>
      </w:r>
    </w:p>
    <w:p w:rsidR="00D81838" w:rsidRPr="007B45C0" w:rsidRDefault="00D81838" w:rsidP="00D81838">
      <w:pPr>
        <w:spacing w:line="360" w:lineRule="auto"/>
        <w:rPr>
          <w:sz w:val="24"/>
        </w:rPr>
      </w:pPr>
      <w:r w:rsidRPr="007B45C0">
        <w:rPr>
          <w:sz w:val="24"/>
        </w:rPr>
        <w:t xml:space="preserve">The BBC quoted the World Bank Organisation on their definition of poverty where” The most commonly used way to measure poverty is based on incomes. A person is considered poor if his or her income level falls below some minimum level necessary to meet basic needs.” (World Bank Organisation, 2014, as cited by BBC, 2014). Near all the definitions of poverty that are available link the financial aspect of life to the wellbeing of the person, children and young are no exception, this frequently </w:t>
      </w:r>
      <w:r w:rsidR="00F436B7" w:rsidRPr="007B45C0">
        <w:rPr>
          <w:sz w:val="24"/>
        </w:rPr>
        <w:t>influences</w:t>
      </w:r>
      <w:r w:rsidRPr="007B45C0">
        <w:rPr>
          <w:sz w:val="24"/>
        </w:rPr>
        <w:t xml:space="preserve"> the child or young person’s education through difficulty acquiring funds for school kits and other resources required for school life. C4EO(2009) is a Centre which gathers and organises data on the nine key issues that affect families, one of which is child poverty, they recognise that poverty can have a profound impact on a child/ youth persons education, they also state that “</w:t>
      </w:r>
      <w:r w:rsidRPr="007B45C0">
        <w:t>White working-class pupils (particularly boys) are among the lowest performers in academic achievement.</w:t>
      </w:r>
      <w:r w:rsidRPr="007B45C0">
        <w:rPr>
          <w:sz w:val="24"/>
        </w:rPr>
        <w:t xml:space="preserve">” (C4EO, 2009), I can agree with this as I have undertaken voluntary work within a school and have seen a young boy fall behind in his education due to what the school believed as behaviour issues, this is further supported by Jensen(2009) where he believes that the personalities that are developed at an early age will affect the child later on in school, where a child who has had a more positive bond with their primary care givers are likely to behave better and appose to a child who has grown up exposed to atmospheres such as poverty, depression, etc.  this links to our groups main focus where we have researched into the effects of poverty on the child’s wellbeing, effort and attainment in class, where we use questionnaires sent to schools across south wales, for teaching staff to express their </w:t>
      </w:r>
      <w:r w:rsidRPr="007B45C0">
        <w:rPr>
          <w:sz w:val="24"/>
        </w:rPr>
        <w:lastRenderedPageBreak/>
        <w:t>opinions on what their definitions of poverty, what areas in school are most affected and how grants and government funding is used within the school. I will also use my own experiences within the classroom to further support our research from our questionnaire and how those schools implemented procedures and initiatives to mitigate the attainment gap within the school, in addition, I will look at Estyn’s reports into poverty and government led schemes, legislations and policies on child poverty and its effects on education and also the research of people such as Eric Jensen and his research into tackling the 7 Faces of poverty and the steps in order to promote inclusion for children, I will be using his work to address the links within the answers of the schools to the questionnaire and how similar the strategies are to that of his research. Throughout this I will analyse and break down each question of the questionnaire.</w:t>
      </w:r>
    </w:p>
    <w:p w:rsidR="00D81838" w:rsidRPr="007B45C0" w:rsidRDefault="00D81838" w:rsidP="00E01E36">
      <w:pPr>
        <w:spacing w:line="360" w:lineRule="auto"/>
        <w:rPr>
          <w:b/>
          <w:sz w:val="24"/>
          <w:u w:val="single"/>
        </w:rPr>
      </w:pPr>
    </w:p>
    <w:p w:rsidR="00E01E36" w:rsidRPr="007B45C0" w:rsidRDefault="00E01E36" w:rsidP="00E01E36">
      <w:pPr>
        <w:spacing w:line="360" w:lineRule="auto"/>
        <w:rPr>
          <w:b/>
          <w:sz w:val="24"/>
          <w:u w:val="single"/>
        </w:rPr>
      </w:pPr>
      <w:r w:rsidRPr="007B45C0">
        <w:rPr>
          <w:b/>
          <w:sz w:val="24"/>
          <w:u w:val="single"/>
        </w:rPr>
        <w:t xml:space="preserve">Main body </w:t>
      </w:r>
    </w:p>
    <w:p w:rsidR="00E01E36" w:rsidRPr="007B45C0" w:rsidRDefault="00E01E36" w:rsidP="00E01E36">
      <w:pPr>
        <w:spacing w:line="360" w:lineRule="auto"/>
        <w:rPr>
          <w:sz w:val="24"/>
        </w:rPr>
      </w:pPr>
      <w:r w:rsidRPr="007B45C0">
        <w:rPr>
          <w:sz w:val="24"/>
        </w:rPr>
        <w:t>With regards to our questionnaire, we had sent the questionnaire out to 18 schools each within 8 counties of south wales, however we had only manage to obtain 8 responses in total by our deadline, which, given by the responses from the participants, gave my classmates and I a variety of insight into how different schools operate with regards to children in poverty.</w:t>
      </w:r>
      <w:r w:rsidR="004530E6" w:rsidRPr="007B45C0">
        <w:rPr>
          <w:sz w:val="24"/>
        </w:rPr>
        <w:t xml:space="preserve"> We decided upon these areas as not only do we have experience with these counties, where it was either placement or our own schooling, we supported using these areas by looking to the number of children who were eligible for free school meals in each region of wales. This is the primary method of schools assessing and monitoring the children from a low economical background. Our research looking to Stats Wales (2018) had shown us that the two most affected regions in wales are Central South Wales and South west and Mid Wales. In 2018 within the South West and mid Wales, 17,377 children between the ages of 5 and 15 were entitled to free school meals which four of the counties in which we submitted our questionnaire encompassed 14,919 of those children, for Central South Wales the figure stand at 21,739 children with the remaining four counties making up 20,286 children entitles to free school meals. Using this information as support, we built our questionnaire and looked at material such as </w:t>
      </w:r>
      <w:r w:rsidR="004530E6" w:rsidRPr="007B45C0">
        <w:rPr>
          <w:i/>
          <w:sz w:val="24"/>
        </w:rPr>
        <w:t xml:space="preserve">Doing your research project </w:t>
      </w:r>
      <w:r w:rsidR="004530E6" w:rsidRPr="007B45C0">
        <w:rPr>
          <w:sz w:val="24"/>
        </w:rPr>
        <w:t xml:space="preserve">(Bell, 2005), </w:t>
      </w:r>
      <w:r w:rsidR="004530E6" w:rsidRPr="007B45C0">
        <w:rPr>
          <w:i/>
          <w:sz w:val="24"/>
        </w:rPr>
        <w:t xml:space="preserve">Research into questionnaire design </w:t>
      </w:r>
      <w:r w:rsidR="004530E6" w:rsidRPr="007B45C0">
        <w:rPr>
          <w:sz w:val="24"/>
        </w:rPr>
        <w:t>(</w:t>
      </w:r>
      <w:proofErr w:type="spellStart"/>
      <w:r w:rsidR="004530E6" w:rsidRPr="007B45C0">
        <w:rPr>
          <w:sz w:val="24"/>
        </w:rPr>
        <w:t>Lietz</w:t>
      </w:r>
      <w:proofErr w:type="spellEnd"/>
      <w:r w:rsidR="004530E6" w:rsidRPr="007B45C0">
        <w:rPr>
          <w:sz w:val="24"/>
        </w:rPr>
        <w:t xml:space="preserve">, 2010) and many others which I will use to support our methodology throughout the questionnaire. </w:t>
      </w:r>
    </w:p>
    <w:p w:rsidR="00E01E36" w:rsidRPr="007B45C0" w:rsidRDefault="00E01E36" w:rsidP="00E01E36">
      <w:pPr>
        <w:spacing w:line="360" w:lineRule="auto"/>
        <w:rPr>
          <w:sz w:val="24"/>
        </w:rPr>
      </w:pPr>
      <w:r w:rsidRPr="007B45C0">
        <w:rPr>
          <w:sz w:val="24"/>
        </w:rPr>
        <w:lastRenderedPageBreak/>
        <w:t xml:space="preserve">To begin the questionnaire, we decided to </w:t>
      </w:r>
      <w:r w:rsidR="004530E6" w:rsidRPr="007B45C0">
        <w:rPr>
          <w:sz w:val="24"/>
        </w:rPr>
        <w:t xml:space="preserve">ask more on the experience of the participants and </w:t>
      </w:r>
      <w:r w:rsidRPr="007B45C0">
        <w:rPr>
          <w:sz w:val="24"/>
        </w:rPr>
        <w:t xml:space="preserve">gain an insight on how long the participant has been in education, as we felt as a group, the people who had been in education for a number of years, that may lead into a greater depth of insight to child poverty as they would have seen children with multiple backgrounds in their classrooms. What we had noticed was that nearly </w:t>
      </w:r>
      <w:r w:rsidR="004530E6" w:rsidRPr="007B45C0">
        <w:rPr>
          <w:sz w:val="24"/>
        </w:rPr>
        <w:t>all</w:t>
      </w:r>
      <w:r w:rsidRPr="007B45C0">
        <w:rPr>
          <w:sz w:val="24"/>
        </w:rPr>
        <w:t xml:space="preserve"> the participants who responded to this question had answered they have been in education for 10+ years and the other participant had been in education for 6 to 10 years. Personally, I feel it would have been interesting to see the participants response should they had only been in education for 0 to 5 years, to see their opinion on the subject what methods of inclusion they are using in their classrooms</w:t>
      </w:r>
      <w:r w:rsidR="004530E6" w:rsidRPr="007B45C0">
        <w:rPr>
          <w:sz w:val="24"/>
        </w:rPr>
        <w:t>, my hope for this question was to link this with questions later on regarding additional methods of inclusion within the school and classrooms and see whether the newly qualified staff members have successfully implemented innovative teaching strategies they have acquired through they respected teaching institutes</w:t>
      </w:r>
      <w:r w:rsidRPr="007B45C0">
        <w:rPr>
          <w:sz w:val="24"/>
        </w:rPr>
        <w:t>.</w:t>
      </w:r>
      <w:r w:rsidR="004530E6" w:rsidRPr="007B45C0">
        <w:t xml:space="preserve"> </w:t>
      </w:r>
      <w:r w:rsidR="004530E6" w:rsidRPr="007B45C0">
        <w:rPr>
          <w:sz w:val="24"/>
        </w:rPr>
        <w:t xml:space="preserve">We also felt as a group that the different roles around the school would provide different perspectives with regards to children in poverty, we felt that the participants who are head teachers could provide a broader overview of the situation with regards to poverty as a whole across the school and are more likely to provide responses with regards to funding, whereas the teacher participants  are more likely to give responses more specific to the their classroom. We would then be able to use the responses from the headteachers or other members of staff and use them to make links with other answers other participants provided further into the questionnaire, where two or more headteachers or other members of staff would possibly give a similar answer, this could then show that multiple schools use similar strategies, or look at the differences between each of the responses. We were surprised for this question as we had more participants who were head teachers than we did participants who undertook different roles in the school, where we had 5 responses from head teachers, 2 from teachers and 1 participant who was a foundation phase leader, I found this particularly interesting as I feel that the foundation phase leader would respond with information that stem from the entire foundation phase as opposed to just one classroom, however it isn’t so broad as a headteachers response. </w:t>
      </w:r>
      <w:r w:rsidRPr="007B45C0">
        <w:rPr>
          <w:sz w:val="24"/>
        </w:rPr>
        <w:t>we decided to ask where their school</w:t>
      </w:r>
      <w:r w:rsidR="004530E6" w:rsidRPr="007B45C0">
        <w:rPr>
          <w:sz w:val="24"/>
        </w:rPr>
        <w:t xml:space="preserve">s are </w:t>
      </w:r>
      <w:r w:rsidRPr="007B45C0">
        <w:rPr>
          <w:sz w:val="24"/>
        </w:rPr>
        <w:t>situated as we can then look at the counties policies that are in place with poverty, we noticed half of the responses had originated from Pembrokeshire council</w:t>
      </w:r>
      <w:r w:rsidR="004530E6" w:rsidRPr="007B45C0">
        <w:rPr>
          <w:sz w:val="24"/>
        </w:rPr>
        <w:t xml:space="preserve"> to which we looked at their policy called </w:t>
      </w:r>
      <w:r w:rsidR="004530E6" w:rsidRPr="007B45C0">
        <w:rPr>
          <w:i/>
          <w:sz w:val="24"/>
        </w:rPr>
        <w:t>the Education and inclusion policy and strategy</w:t>
      </w:r>
      <w:r w:rsidR="004530E6" w:rsidRPr="007B45C0">
        <w:rPr>
          <w:sz w:val="24"/>
        </w:rPr>
        <w:t xml:space="preserve"> (2013) </w:t>
      </w:r>
      <w:r w:rsidR="004530E6" w:rsidRPr="007B45C0">
        <w:rPr>
          <w:sz w:val="24"/>
        </w:rPr>
        <w:lastRenderedPageBreak/>
        <w:t>where they provided schools and educators vital information on how to help children and young people with ALN and SEN</w:t>
      </w:r>
      <w:r w:rsidRPr="007B45C0">
        <w:rPr>
          <w:sz w:val="24"/>
        </w:rPr>
        <w:t xml:space="preserve">, 2 of the responses </w:t>
      </w:r>
      <w:r w:rsidR="004530E6" w:rsidRPr="007B45C0">
        <w:rPr>
          <w:sz w:val="24"/>
        </w:rPr>
        <w:t xml:space="preserve">originated </w:t>
      </w:r>
      <w:r w:rsidRPr="007B45C0">
        <w:rPr>
          <w:sz w:val="24"/>
        </w:rPr>
        <w:t>from Neath Port Talbot and the other 2 are situated in the Rhondda canon Taff council, each of these adhere to they own policies such as the Neath port Talbot council, where they have the entry/ exit criteria where they follow the</w:t>
      </w:r>
      <w:r w:rsidRPr="007B45C0">
        <w:rPr>
          <w:i/>
        </w:rPr>
        <w:t xml:space="preserve"> Special Educational Needs Code of Practice for Wales</w:t>
      </w:r>
      <w:r w:rsidRPr="007B45C0">
        <w:t xml:space="preserve"> (2002) where they provid</w:t>
      </w:r>
      <w:r w:rsidR="004530E6" w:rsidRPr="007B45C0">
        <w:t>ed</w:t>
      </w:r>
      <w:r w:rsidRPr="007B45C0">
        <w:t xml:space="preserve"> policies for educators with tools to help children with SEN reach their full potential, they also </w:t>
      </w:r>
      <w:r w:rsidR="004530E6" w:rsidRPr="007B45C0">
        <w:t>provided</w:t>
      </w:r>
      <w:r w:rsidRPr="007B45C0">
        <w:t xml:space="preserve"> a document called </w:t>
      </w:r>
      <w:r w:rsidRPr="007B45C0">
        <w:rPr>
          <w:i/>
        </w:rPr>
        <w:t>supporting pupils with additional learning needs</w:t>
      </w:r>
      <w:r w:rsidRPr="007B45C0">
        <w:t xml:space="preserve"> (2013) wh</w:t>
      </w:r>
      <w:r w:rsidR="004530E6" w:rsidRPr="007B45C0">
        <w:t xml:space="preserve">ich </w:t>
      </w:r>
      <w:r w:rsidRPr="007B45C0">
        <w:t>explain</w:t>
      </w:r>
      <w:r w:rsidR="004530E6" w:rsidRPr="007B45C0">
        <w:t>s</w:t>
      </w:r>
      <w:r w:rsidRPr="007B45C0">
        <w:t xml:space="preserve"> the provisions they provide for children with different ranges of additional learning</w:t>
      </w:r>
      <w:r w:rsidR="004530E6" w:rsidRPr="007B45C0">
        <w:t>.</w:t>
      </w:r>
      <w:r w:rsidRPr="007B45C0">
        <w:rPr>
          <w:sz w:val="24"/>
        </w:rPr>
        <w:t xml:space="preserve"> </w:t>
      </w:r>
      <w:r w:rsidR="004530E6" w:rsidRPr="007B45C0">
        <w:rPr>
          <w:sz w:val="24"/>
        </w:rPr>
        <w:t xml:space="preserve">As a group, discussed the use of these questions at length due to the information the participants were providing as to whether we were breaching the anonymity of the questionnaire, I expressed that even though we were asking the profession of the participant and the county the participants are situated, there was not enough information to be able to pinpoint the participants, furthermore, the platform in which we distributed the questionnaires would not reveal the participant as a person would only need the web address of the questionnaire to take part. We also assured the participants that we would securely store all information regarding their responses and once we completed the module, we would destroy the information to coincide with the Data Protection Act (2018). </w:t>
      </w:r>
    </w:p>
    <w:p w:rsidR="004530E6" w:rsidRPr="007B45C0" w:rsidRDefault="004530E6" w:rsidP="00E01E36">
      <w:pPr>
        <w:spacing w:line="360" w:lineRule="auto"/>
      </w:pPr>
    </w:p>
    <w:p w:rsidR="00E01E36" w:rsidRPr="007B45C0" w:rsidRDefault="004530E6" w:rsidP="00E01E36">
      <w:pPr>
        <w:spacing w:line="360" w:lineRule="auto"/>
        <w:rPr>
          <w:sz w:val="24"/>
        </w:rPr>
      </w:pPr>
      <w:r w:rsidRPr="007B45C0">
        <w:rPr>
          <w:sz w:val="24"/>
        </w:rPr>
        <w:t xml:space="preserve">Seeing as poverty is such a broad term </w:t>
      </w:r>
      <w:r w:rsidR="00E01E36" w:rsidRPr="007B45C0">
        <w:rPr>
          <w:sz w:val="24"/>
        </w:rPr>
        <w:t>We decided to ask this question as we felt I would be interesting to see the responses of the participants and see what they believe poverty in children is, despite the low number of participants we were pleased with the responses as they are similar to the definitions discussed prior in the introduction where, the participants all related their definitions to financial difficulty, however the responses I found interesting was the responses which define more than just money such as one response where “A lack of what is needed to thrive. This might include financial poverty, poverty of time, poverty of opportunity, poverty of nurture etc.”, this definition strongly coincides with the article 27 of the UNCRC where it states “1. States Parties recognize the right of every child to a standard of living adequate for the child’s physical, mental, spiritual, moral and social development</w:t>
      </w:r>
      <w:proofErr w:type="gramStart"/>
      <w:r w:rsidR="00E01E36" w:rsidRPr="007B45C0">
        <w:rPr>
          <w:sz w:val="24"/>
        </w:rPr>
        <w:t>.”(</w:t>
      </w:r>
      <w:proofErr w:type="gramEnd"/>
      <w:r w:rsidR="00E01E36" w:rsidRPr="007B45C0">
        <w:rPr>
          <w:sz w:val="24"/>
        </w:rPr>
        <w:t>UNCRC, 1989).</w:t>
      </w:r>
    </w:p>
    <w:p w:rsidR="00E01E36" w:rsidRPr="007B45C0" w:rsidRDefault="004530E6" w:rsidP="00E01E36">
      <w:pPr>
        <w:spacing w:line="360" w:lineRule="auto"/>
        <w:rPr>
          <w:sz w:val="24"/>
        </w:rPr>
      </w:pPr>
      <w:r w:rsidRPr="007B45C0">
        <w:rPr>
          <w:sz w:val="24"/>
        </w:rPr>
        <w:t>Further on in the questionnaire,</w:t>
      </w:r>
      <w:r w:rsidR="00E01E36" w:rsidRPr="007B45C0">
        <w:rPr>
          <w:sz w:val="24"/>
        </w:rPr>
        <w:t xml:space="preserve"> we decided to ask the participants how many children in their class receive free school meals, </w:t>
      </w:r>
      <w:r w:rsidRPr="007B45C0">
        <w:rPr>
          <w:sz w:val="24"/>
        </w:rPr>
        <w:t xml:space="preserve">half of the participants left this question, </w:t>
      </w:r>
      <w:r w:rsidR="00E01E36" w:rsidRPr="007B45C0">
        <w:rPr>
          <w:sz w:val="24"/>
        </w:rPr>
        <w:t xml:space="preserve">two </w:t>
      </w:r>
      <w:r w:rsidR="00E01E36" w:rsidRPr="007B45C0">
        <w:rPr>
          <w:sz w:val="24"/>
        </w:rPr>
        <w:lastRenderedPageBreak/>
        <w:t xml:space="preserve">participants </w:t>
      </w:r>
      <w:r w:rsidRPr="007B45C0">
        <w:rPr>
          <w:sz w:val="24"/>
        </w:rPr>
        <w:t>answered</w:t>
      </w:r>
      <w:r w:rsidR="00E01E36" w:rsidRPr="007B45C0">
        <w:rPr>
          <w:sz w:val="24"/>
        </w:rPr>
        <w:t xml:space="preserve"> there was 1 child in the class were receiving free</w:t>
      </w:r>
      <w:r w:rsidRPr="007B45C0">
        <w:rPr>
          <w:sz w:val="24"/>
        </w:rPr>
        <w:t xml:space="preserve"> school meals </w:t>
      </w:r>
      <w:r w:rsidR="00E01E36" w:rsidRPr="007B45C0">
        <w:rPr>
          <w:sz w:val="24"/>
        </w:rPr>
        <w:t>, however 1 response said that 14 children in the class were receiving free school meals</w:t>
      </w:r>
      <w:r w:rsidRPr="007B45C0">
        <w:rPr>
          <w:sz w:val="24"/>
        </w:rPr>
        <w:t xml:space="preserve"> and the others replied with 10 children</w:t>
      </w:r>
      <w:r w:rsidR="00E01E36" w:rsidRPr="007B45C0">
        <w:rPr>
          <w:sz w:val="24"/>
        </w:rPr>
        <w:t>, the</w:t>
      </w:r>
      <w:r w:rsidRPr="007B45C0">
        <w:rPr>
          <w:sz w:val="24"/>
        </w:rPr>
        <w:t>se were the</w:t>
      </w:r>
      <w:r w:rsidR="00E01E36" w:rsidRPr="007B45C0">
        <w:rPr>
          <w:sz w:val="24"/>
        </w:rPr>
        <w:t xml:space="preserve"> two largest results </w:t>
      </w:r>
      <w:r w:rsidRPr="007B45C0">
        <w:rPr>
          <w:sz w:val="24"/>
        </w:rPr>
        <w:t xml:space="preserve">which </w:t>
      </w:r>
      <w:r w:rsidR="00E01E36" w:rsidRPr="007B45C0">
        <w:rPr>
          <w:sz w:val="24"/>
        </w:rPr>
        <w:t>originated from the Pembrokeshire county region</w:t>
      </w:r>
      <w:r w:rsidRPr="007B45C0">
        <w:rPr>
          <w:sz w:val="24"/>
        </w:rPr>
        <w:t>. in relation to this question, we decided to follow up with asking the participants how many of those children were achieving their targets in both literacy and numeracy. W</w:t>
      </w:r>
      <w:r w:rsidR="00E01E36" w:rsidRPr="007B45C0">
        <w:rPr>
          <w:sz w:val="24"/>
        </w:rPr>
        <w:t>e</w:t>
      </w:r>
      <w:r w:rsidRPr="007B45C0">
        <w:rPr>
          <w:sz w:val="24"/>
        </w:rPr>
        <w:t xml:space="preserve"> found that the two free school meal results from Pembrokeshire</w:t>
      </w:r>
      <w:r w:rsidR="00E01E36" w:rsidRPr="007B45C0">
        <w:rPr>
          <w:sz w:val="24"/>
        </w:rPr>
        <w:t xml:space="preserve"> </w:t>
      </w:r>
      <w:r w:rsidRPr="007B45C0">
        <w:rPr>
          <w:sz w:val="24"/>
        </w:rPr>
        <w:t xml:space="preserve">have </w:t>
      </w:r>
      <w:r w:rsidR="00E01E36" w:rsidRPr="007B45C0">
        <w:rPr>
          <w:sz w:val="24"/>
        </w:rPr>
        <w:t>show</w:t>
      </w:r>
      <w:r w:rsidRPr="007B45C0">
        <w:rPr>
          <w:sz w:val="24"/>
        </w:rPr>
        <w:t>n</w:t>
      </w:r>
      <w:r w:rsidR="00E01E36" w:rsidRPr="007B45C0">
        <w:rPr>
          <w:sz w:val="24"/>
        </w:rPr>
        <w:t xml:space="preserve"> that 10 of the 14 children are achieving their year</w:t>
      </w:r>
      <w:r w:rsidRPr="007B45C0">
        <w:rPr>
          <w:sz w:val="24"/>
        </w:rPr>
        <w:t xml:space="preserve"> </w:t>
      </w:r>
      <w:r w:rsidR="00E01E36" w:rsidRPr="007B45C0">
        <w:rPr>
          <w:sz w:val="24"/>
        </w:rPr>
        <w:t>outcome</w:t>
      </w:r>
      <w:r w:rsidRPr="007B45C0">
        <w:rPr>
          <w:sz w:val="24"/>
        </w:rPr>
        <w:t>/</w:t>
      </w:r>
      <w:r w:rsidR="00E01E36" w:rsidRPr="007B45C0">
        <w:rPr>
          <w:sz w:val="24"/>
        </w:rPr>
        <w:t xml:space="preserve"> levels in literacy </w:t>
      </w:r>
      <w:r w:rsidRPr="007B45C0">
        <w:rPr>
          <w:sz w:val="24"/>
        </w:rPr>
        <w:t xml:space="preserve">and numeracy for the first result </w:t>
      </w:r>
      <w:r w:rsidR="00E01E36" w:rsidRPr="007B45C0">
        <w:rPr>
          <w:sz w:val="24"/>
        </w:rPr>
        <w:t xml:space="preserve">and the second </w:t>
      </w:r>
      <w:r w:rsidRPr="007B45C0">
        <w:rPr>
          <w:sz w:val="24"/>
        </w:rPr>
        <w:t>6 out of 10</w:t>
      </w:r>
      <w:r w:rsidR="00E01E36" w:rsidRPr="007B45C0">
        <w:rPr>
          <w:sz w:val="24"/>
        </w:rPr>
        <w:t xml:space="preserve"> children are achieving their outcome</w:t>
      </w:r>
      <w:r w:rsidRPr="007B45C0">
        <w:rPr>
          <w:sz w:val="24"/>
        </w:rPr>
        <w:t>/</w:t>
      </w:r>
      <w:r w:rsidR="00E01E36" w:rsidRPr="007B45C0">
        <w:rPr>
          <w:sz w:val="24"/>
        </w:rPr>
        <w:t>levels.</w:t>
      </w:r>
      <w:r w:rsidRPr="007B45C0">
        <w:rPr>
          <w:sz w:val="24"/>
        </w:rPr>
        <w:t xml:space="preserve"> From a personal perspective I can understand how that even though children are eligible for free school meals does not necessarily mean that children are not going to achieve their outcome/level, throughout my experience in school I was a children who received free school meals yet I achieved my outcome levels, however I am not discouraging the research of C4EO(2009) and Jensen(2009), as it is very plausible that the remaining four children many be affected by the atmospheres they were exposed to growing up may result in them not achieving their outcome/level, yet it is difficult to determine without investigating said children further.</w:t>
      </w:r>
      <w:r w:rsidR="00172634" w:rsidRPr="007B45C0">
        <w:rPr>
          <w:sz w:val="24"/>
        </w:rPr>
        <w:t xml:space="preserve"> The E</w:t>
      </w:r>
      <w:r w:rsidR="007E7B09" w:rsidRPr="007B45C0">
        <w:rPr>
          <w:sz w:val="24"/>
        </w:rPr>
        <w:t>ducation Endowment Foundation (2018) further support Jensen and C4EO, where they say, “</w:t>
      </w:r>
      <w:r w:rsidR="007E7B09" w:rsidRPr="007B45C0">
        <w:t>The attainment gap is largest for children and young people eligible for free school meals (the best available proxy measure of economic disadvantage) and those assessed with special educational needs</w:t>
      </w:r>
      <w:proofErr w:type="gramStart"/>
      <w:r w:rsidR="007E7B09" w:rsidRPr="007B45C0">
        <w:t>.”(</w:t>
      </w:r>
      <w:proofErr w:type="gramEnd"/>
      <w:r w:rsidR="007E7B09" w:rsidRPr="007B45C0">
        <w:t>EEF, 2018).</w:t>
      </w:r>
    </w:p>
    <w:p w:rsidR="00E01E36" w:rsidRPr="007B45C0" w:rsidRDefault="00E01E36" w:rsidP="00E01E36">
      <w:pPr>
        <w:spacing w:line="360" w:lineRule="auto"/>
      </w:pPr>
      <w:r w:rsidRPr="007B45C0">
        <w:rPr>
          <w:sz w:val="24"/>
        </w:rPr>
        <w:t xml:space="preserve">As a group, we decided upon this question as we were curious if other areas of the curriculum were affected by poverty, some of these areas included, Physical Education, Science, Technology, etc. we were interested to see whether other school had similar situations to our personal classroom experiences, where I have been situated in schools where they have provided school sports kits to children whose family couldn’t afford them, the responses of this question seem to point in a similar direction where 4 of the 6 responses believed physical education is heavily affected, the other two subjects participants believe are affected are technology and science with 1 response each, my personal experience with this is that children who are from a low economical background aren’t given the chance to explore these subjects and often when exposed to these subjects often believe they cannot achieve the same level as their peers, Eric Jensen addresses this in his book </w:t>
      </w:r>
      <w:r w:rsidRPr="007B45C0">
        <w:rPr>
          <w:i/>
          <w:sz w:val="24"/>
        </w:rPr>
        <w:t xml:space="preserve">faces of </w:t>
      </w:r>
      <w:r w:rsidRPr="007B45C0">
        <w:rPr>
          <w:sz w:val="24"/>
        </w:rPr>
        <w:t xml:space="preserve">poverty (E. Jensen, 2013, pp. 24-30) as one of the differences between </w:t>
      </w:r>
      <w:r w:rsidRPr="007B45C0">
        <w:rPr>
          <w:sz w:val="24"/>
        </w:rPr>
        <w:lastRenderedPageBreak/>
        <w:t>middle-class and low income children is the amount of effort they display, he believes that making the learning the child’ idea will promote enthusiasm for that child.</w:t>
      </w:r>
    </w:p>
    <w:p w:rsidR="004530E6" w:rsidRPr="007B45C0" w:rsidRDefault="004530E6" w:rsidP="00E01E36">
      <w:pPr>
        <w:spacing w:line="360" w:lineRule="auto"/>
        <w:rPr>
          <w:b/>
          <w:sz w:val="24"/>
        </w:rPr>
      </w:pPr>
    </w:p>
    <w:p w:rsidR="00E01E36" w:rsidRPr="007B45C0" w:rsidRDefault="00E01E36" w:rsidP="00E01E36">
      <w:pPr>
        <w:spacing w:line="360" w:lineRule="auto"/>
        <w:rPr>
          <w:sz w:val="24"/>
        </w:rPr>
      </w:pPr>
      <w:r w:rsidRPr="007B45C0">
        <w:rPr>
          <w:sz w:val="24"/>
        </w:rPr>
        <w:t xml:space="preserve">When asking this question, we felt that the participants would simply say they strongly agree that children from a low economical background are included in the classroom, however, one participant chose the ‘agree’ option, this gave me the impression that the participant believes that not all of these children are being included, whether that is during classroom time or whether it the social element to a child’ life. </w:t>
      </w:r>
      <w:r w:rsidR="004530E6" w:rsidRPr="007B45C0">
        <w:rPr>
          <w:sz w:val="24"/>
        </w:rPr>
        <w:t>We had decided to follow up with a question about</w:t>
      </w:r>
      <w:r w:rsidRPr="007B45C0">
        <w:rPr>
          <w:sz w:val="24"/>
        </w:rPr>
        <w:t xml:space="preserve"> what the participant provides to help promote inclusion, where we could look at the methods and compare them to government policies and reflect using our own experiences.</w:t>
      </w:r>
    </w:p>
    <w:p w:rsidR="00E01E36" w:rsidRPr="007B45C0" w:rsidRDefault="00E01E36" w:rsidP="00E01E36">
      <w:pPr>
        <w:spacing w:after="0" w:line="360" w:lineRule="auto"/>
        <w:rPr>
          <w:sz w:val="24"/>
        </w:rPr>
      </w:pPr>
    </w:p>
    <w:p w:rsidR="00E01E36" w:rsidRPr="007B45C0" w:rsidRDefault="00E01E36" w:rsidP="00E01E36">
      <w:pPr>
        <w:spacing w:after="0" w:line="360" w:lineRule="auto"/>
      </w:pPr>
    </w:p>
    <w:p w:rsidR="00E01E36" w:rsidRPr="007B45C0" w:rsidRDefault="00E01E36" w:rsidP="00E01E36">
      <w:pPr>
        <w:spacing w:line="360" w:lineRule="auto"/>
        <w:rPr>
          <w:sz w:val="24"/>
        </w:rPr>
      </w:pPr>
    </w:p>
    <w:p w:rsidR="004530E6" w:rsidRPr="007B45C0" w:rsidRDefault="004530E6" w:rsidP="00E01E36">
      <w:pPr>
        <w:spacing w:line="360" w:lineRule="auto"/>
        <w:rPr>
          <w:sz w:val="24"/>
        </w:rPr>
      </w:pPr>
      <w:r w:rsidRPr="007B45C0">
        <w:rPr>
          <w:noProof/>
        </w:rPr>
        <w:drawing>
          <wp:inline distT="0" distB="0" distL="0" distR="0" wp14:anchorId="3512518F" wp14:editId="2A01C177">
            <wp:extent cx="4638675" cy="3019425"/>
            <wp:effectExtent l="0" t="0" r="9525" b="9525"/>
            <wp:docPr id="1" name="Chart 1">
              <a:extLst xmlns:a="http://schemas.openxmlformats.org/drawingml/2006/main">
                <a:ext uri="{FF2B5EF4-FFF2-40B4-BE49-F238E27FC236}">
                  <a16:creationId xmlns:a16="http://schemas.microsoft.com/office/drawing/2014/main" id="{F76F1A71-4F27-4E23-A05C-FB7EAA3C27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E01E36" w:rsidRPr="007B45C0" w:rsidRDefault="00E01E36" w:rsidP="00E01E36">
      <w:pPr>
        <w:spacing w:line="360" w:lineRule="auto"/>
        <w:rPr>
          <w:sz w:val="24"/>
        </w:rPr>
      </w:pPr>
      <w:r w:rsidRPr="007B45C0">
        <w:rPr>
          <w:sz w:val="24"/>
        </w:rPr>
        <w:t>Fig. 1</w:t>
      </w:r>
    </w:p>
    <w:p w:rsidR="00E01E36" w:rsidRPr="007B45C0" w:rsidRDefault="00E01E36" w:rsidP="00E01E36">
      <w:pPr>
        <w:spacing w:line="360" w:lineRule="auto"/>
        <w:rPr>
          <w:sz w:val="24"/>
        </w:rPr>
      </w:pPr>
      <w:r w:rsidRPr="007B45C0">
        <w:rPr>
          <w:sz w:val="24"/>
        </w:rPr>
        <w:t xml:space="preserve">Figure 1 shows us the most commonly used method amongst the participants to promote inclusion within the classrooms in schools, where providing in class support and reading recovery are the two most used </w:t>
      </w:r>
      <w:r w:rsidR="004530E6" w:rsidRPr="007B45C0">
        <w:rPr>
          <w:sz w:val="24"/>
        </w:rPr>
        <w:t>in</w:t>
      </w:r>
      <w:r w:rsidRPr="007B45C0">
        <w:rPr>
          <w:sz w:val="24"/>
        </w:rPr>
        <w:t xml:space="preserve"> schools</w:t>
      </w:r>
      <w:r w:rsidR="004530E6" w:rsidRPr="007B45C0">
        <w:rPr>
          <w:sz w:val="24"/>
        </w:rPr>
        <w:t>. During my time on PTE</w:t>
      </w:r>
      <w:r w:rsidRPr="007B45C0">
        <w:rPr>
          <w:sz w:val="24"/>
        </w:rPr>
        <w:t xml:space="preserve">, </w:t>
      </w:r>
      <w:r w:rsidR="004530E6" w:rsidRPr="007B45C0">
        <w:rPr>
          <w:sz w:val="24"/>
        </w:rPr>
        <w:t xml:space="preserve">I saw such strategies </w:t>
      </w:r>
      <w:r w:rsidR="004530E6" w:rsidRPr="007B45C0">
        <w:rPr>
          <w:sz w:val="24"/>
        </w:rPr>
        <w:lastRenderedPageBreak/>
        <w:t xml:space="preserve">used with children for example, ELSA which is used for emotional learning support which is one response a participant gave, however, much like the second ‘Other’ responses, the schemes and strategies were not tailored specifically for children who were affected by poverty. </w:t>
      </w:r>
      <w:r w:rsidRPr="007B45C0">
        <w:rPr>
          <w:sz w:val="24"/>
        </w:rPr>
        <w:t>the class providing clothing, such as, providing PE kits / swimming costumes and wellies are the second most common methods of inclusion. The participants also had the option of providing their own examples of inclusion, one of these examples addressed that the school would use the pupil development grant (PDG/springboard) for family engagement activities, the questionnaire will later address the pupil development</w:t>
      </w:r>
      <w:r w:rsidR="004530E6" w:rsidRPr="007B45C0">
        <w:rPr>
          <w:sz w:val="24"/>
        </w:rPr>
        <w:t xml:space="preserve"> grant.</w:t>
      </w:r>
    </w:p>
    <w:p w:rsidR="004B4216" w:rsidRPr="007B45C0" w:rsidRDefault="004B4216" w:rsidP="00E01E36">
      <w:pPr>
        <w:spacing w:line="360" w:lineRule="auto"/>
        <w:rPr>
          <w:b/>
          <w:sz w:val="24"/>
        </w:rPr>
      </w:pPr>
    </w:p>
    <w:p w:rsidR="002E0900" w:rsidRPr="007B45C0" w:rsidRDefault="004530E6" w:rsidP="00E01E36">
      <w:pPr>
        <w:spacing w:line="360" w:lineRule="auto"/>
        <w:rPr>
          <w:sz w:val="24"/>
        </w:rPr>
      </w:pPr>
      <w:r w:rsidRPr="007B45C0">
        <w:rPr>
          <w:sz w:val="24"/>
        </w:rPr>
        <w:t xml:space="preserve">We then </w:t>
      </w:r>
      <w:r w:rsidR="00B71D03" w:rsidRPr="007B45C0">
        <w:rPr>
          <w:sz w:val="24"/>
        </w:rPr>
        <w:t>asked the participant</w:t>
      </w:r>
      <w:r w:rsidR="00C56E35" w:rsidRPr="007B45C0">
        <w:rPr>
          <w:sz w:val="24"/>
        </w:rPr>
        <w:t xml:space="preserve"> if they</w:t>
      </w:r>
      <w:r w:rsidR="00B71D03" w:rsidRPr="007B45C0">
        <w:rPr>
          <w:sz w:val="24"/>
        </w:rPr>
        <w:t xml:space="preserve"> </w:t>
      </w:r>
      <w:r w:rsidR="00E01E36" w:rsidRPr="007B45C0">
        <w:rPr>
          <w:sz w:val="24"/>
        </w:rPr>
        <w:t>were aware of any funding that the school received, to which all the participants selected ‘yes’, we felt the need to include this question within our questionnaire should a member of teaching staff be unaware of funding they receive, that could have been a used to analyse perhaps why they would not know.</w:t>
      </w:r>
      <w:r w:rsidRPr="007B45C0">
        <w:rPr>
          <w:sz w:val="24"/>
        </w:rPr>
        <w:t xml:space="preserve"> </w:t>
      </w:r>
      <w:r w:rsidR="00C56E35" w:rsidRPr="007B45C0">
        <w:rPr>
          <w:sz w:val="24"/>
        </w:rPr>
        <w:t xml:space="preserve">We then followed up with asking if </w:t>
      </w:r>
      <w:r w:rsidR="00E01E36" w:rsidRPr="007B45C0">
        <w:rPr>
          <w:sz w:val="24"/>
        </w:rPr>
        <w:t xml:space="preserve">the school received funding from the pupil development grant specifically, to which, all 8 participants selected ‘yes’, </w:t>
      </w:r>
      <w:r w:rsidR="004B4216" w:rsidRPr="007B45C0">
        <w:rPr>
          <w:sz w:val="24"/>
        </w:rPr>
        <w:t>later</w:t>
      </w:r>
      <w:r w:rsidR="00E01E36" w:rsidRPr="007B45C0">
        <w:rPr>
          <w:sz w:val="24"/>
        </w:rPr>
        <w:t xml:space="preserve"> in the questionnaire, 1 participant goes as far as sharing the percentage of the pupil development grant is used on specifically children from low economic backgrounds. </w:t>
      </w:r>
      <w:r w:rsidR="004B4216" w:rsidRPr="007B45C0">
        <w:rPr>
          <w:sz w:val="24"/>
        </w:rPr>
        <w:t xml:space="preserve">We then added </w:t>
      </w:r>
      <w:r w:rsidR="00172634" w:rsidRPr="007B45C0">
        <w:rPr>
          <w:sz w:val="24"/>
        </w:rPr>
        <w:t>whether</w:t>
      </w:r>
      <w:r w:rsidR="00E01E36" w:rsidRPr="007B45C0">
        <w:rPr>
          <w:sz w:val="24"/>
        </w:rPr>
        <w:t xml:space="preserve"> there was any other funding they were aware that the school </w:t>
      </w:r>
      <w:r w:rsidR="004B4216" w:rsidRPr="007B45C0">
        <w:rPr>
          <w:sz w:val="24"/>
        </w:rPr>
        <w:t>receives,</w:t>
      </w:r>
      <w:r w:rsidR="00E01E36" w:rsidRPr="007B45C0">
        <w:rPr>
          <w:sz w:val="24"/>
        </w:rPr>
        <w:t xml:space="preserve"> and we had in response a mixed series of responses as 3 </w:t>
      </w:r>
      <w:r w:rsidR="004B4216" w:rsidRPr="007B45C0">
        <w:rPr>
          <w:sz w:val="24"/>
        </w:rPr>
        <w:t>participants</w:t>
      </w:r>
      <w:r w:rsidR="00E01E36" w:rsidRPr="007B45C0">
        <w:rPr>
          <w:sz w:val="24"/>
        </w:rPr>
        <w:t xml:space="preserve"> stated ‘yes’, 3 participants stated ‘no’, however, 2 participants were unsure on whether the school received any additional funding</w:t>
      </w:r>
      <w:r w:rsidR="004B4216" w:rsidRPr="007B45C0">
        <w:rPr>
          <w:sz w:val="24"/>
        </w:rPr>
        <w:t>.</w:t>
      </w:r>
      <w:r w:rsidRPr="007B45C0">
        <w:rPr>
          <w:sz w:val="24"/>
        </w:rPr>
        <w:t xml:space="preserve"> </w:t>
      </w:r>
      <w:r w:rsidR="004B4216" w:rsidRPr="007B45C0">
        <w:rPr>
          <w:sz w:val="24"/>
        </w:rPr>
        <w:t>We then asked</w:t>
      </w:r>
      <w:r w:rsidR="00E01E36" w:rsidRPr="007B45C0">
        <w:rPr>
          <w:sz w:val="24"/>
        </w:rPr>
        <w:t xml:space="preserve"> whether the grants and funding they receive was used specifically on the children who are from a low economical background</w:t>
      </w:r>
      <w:r w:rsidR="002E0900" w:rsidRPr="007B45C0">
        <w:rPr>
          <w:sz w:val="24"/>
        </w:rPr>
        <w:t>.</w:t>
      </w:r>
      <w:r w:rsidR="00E01E36" w:rsidRPr="007B45C0">
        <w:rPr>
          <w:sz w:val="24"/>
        </w:rPr>
        <w:t xml:space="preserve"> </w:t>
      </w:r>
      <w:r w:rsidR="002E0900" w:rsidRPr="007B45C0">
        <w:rPr>
          <w:sz w:val="24"/>
        </w:rPr>
        <w:t>N</w:t>
      </w:r>
      <w:r w:rsidR="00E01E36" w:rsidRPr="007B45C0">
        <w:rPr>
          <w:sz w:val="24"/>
        </w:rPr>
        <w:t xml:space="preserve">early </w:t>
      </w:r>
      <w:r w:rsidR="00F436B7" w:rsidRPr="007B45C0">
        <w:rPr>
          <w:sz w:val="24"/>
        </w:rPr>
        <w:t>all</w:t>
      </w:r>
      <w:r w:rsidR="00E01E36" w:rsidRPr="007B45C0">
        <w:rPr>
          <w:sz w:val="24"/>
        </w:rPr>
        <w:t xml:space="preserve"> the participants had answered ‘always’ to the question however one answered only ‘occasionally’ the funding is used for children in a low economical background, this leave the impression that not </w:t>
      </w:r>
      <w:r w:rsidR="00F436B7" w:rsidRPr="007B45C0">
        <w:rPr>
          <w:sz w:val="24"/>
        </w:rPr>
        <w:t>all</w:t>
      </w:r>
      <w:r w:rsidR="00E01E36" w:rsidRPr="007B45C0">
        <w:rPr>
          <w:sz w:val="24"/>
        </w:rPr>
        <w:t xml:space="preserve"> the funding is allocated to </w:t>
      </w:r>
      <w:r w:rsidR="002E0900" w:rsidRPr="007B45C0">
        <w:rPr>
          <w:sz w:val="24"/>
        </w:rPr>
        <w:t>afore mentioned children.</w:t>
      </w:r>
      <w:r w:rsidR="00172634" w:rsidRPr="007B45C0">
        <w:rPr>
          <w:sz w:val="24"/>
        </w:rPr>
        <w:t xml:space="preserve"> </w:t>
      </w:r>
      <w:r w:rsidR="002E0900" w:rsidRPr="007B45C0">
        <w:rPr>
          <w:sz w:val="24"/>
        </w:rPr>
        <w:t>W</w:t>
      </w:r>
      <w:r w:rsidR="007E7B09" w:rsidRPr="007B45C0">
        <w:rPr>
          <w:sz w:val="24"/>
        </w:rPr>
        <w:t xml:space="preserve">hich leaves the </w:t>
      </w:r>
      <w:r w:rsidR="002E0900" w:rsidRPr="007B45C0">
        <w:rPr>
          <w:sz w:val="24"/>
        </w:rPr>
        <w:t>question as to where the rest of the funding goes? In hindsight, an additional question could have been asked following questions 12 where, we could have asked to the type of funding the school receives, which would help explain why the participant had</w:t>
      </w:r>
      <w:r w:rsidR="00674828" w:rsidRPr="007B45C0">
        <w:rPr>
          <w:sz w:val="24"/>
        </w:rPr>
        <w:t xml:space="preserve"> put ‘occasionally’ within question 13.</w:t>
      </w:r>
    </w:p>
    <w:p w:rsidR="00E01E36" w:rsidRPr="007B45C0" w:rsidRDefault="006A1229" w:rsidP="00E01E36">
      <w:pPr>
        <w:spacing w:line="360" w:lineRule="auto"/>
        <w:rPr>
          <w:sz w:val="24"/>
        </w:rPr>
      </w:pPr>
      <w:r w:rsidRPr="007B45C0">
        <w:rPr>
          <w:sz w:val="24"/>
        </w:rPr>
        <w:t xml:space="preserve">Throughout this questionnaire, I have discussed some of the methodology we as a group used, such as anonymity and the use of corresponding questions, where we have tried to connect multiply questions where available, however one of the questions that we </w:t>
      </w:r>
      <w:r w:rsidRPr="007B45C0">
        <w:rPr>
          <w:sz w:val="24"/>
        </w:rPr>
        <w:lastRenderedPageBreak/>
        <w:t>discussed is more of a sensitive issue as we asked the participants about the school budget and the percent which is used on the support for children from a low economical background, Bell</w:t>
      </w:r>
      <w:r w:rsidR="00421EB0" w:rsidRPr="007B45C0">
        <w:rPr>
          <w:sz w:val="24"/>
        </w:rPr>
        <w:t xml:space="preserve"> </w:t>
      </w:r>
      <w:r w:rsidRPr="007B45C0">
        <w:rPr>
          <w:sz w:val="24"/>
        </w:rPr>
        <w:t>(2005) believe that more sensitive questions should be reserved towards the end of the questionnaire, I agreed with bell but I also felt that this question</w:t>
      </w:r>
      <w:r w:rsidR="00DD110C" w:rsidRPr="007B45C0">
        <w:rPr>
          <w:sz w:val="24"/>
        </w:rPr>
        <w:t xml:space="preserve"> would be best to tie into the theme of funding/grants, to which the group agreed, so we reserved this question for after. The number of responses surprised me as we had </w:t>
      </w:r>
      <w:r w:rsidR="00E01E36" w:rsidRPr="007B45C0">
        <w:rPr>
          <w:sz w:val="24"/>
        </w:rPr>
        <w:t xml:space="preserve"> 6 responses </w:t>
      </w:r>
      <w:r w:rsidR="00DD110C" w:rsidRPr="007B45C0">
        <w:rPr>
          <w:sz w:val="24"/>
        </w:rPr>
        <w:t>out of the 8 participants due to the sensitivity of the question</w:t>
      </w:r>
      <w:r w:rsidR="00E01E36" w:rsidRPr="007B45C0">
        <w:rPr>
          <w:sz w:val="24"/>
        </w:rPr>
        <w:t xml:space="preserve"> however, </w:t>
      </w:r>
      <w:r w:rsidR="00DD110C" w:rsidRPr="007B45C0">
        <w:rPr>
          <w:sz w:val="24"/>
        </w:rPr>
        <w:t>I</w:t>
      </w:r>
      <w:r w:rsidR="00E01E36" w:rsidRPr="007B45C0">
        <w:rPr>
          <w:sz w:val="24"/>
        </w:rPr>
        <w:t xml:space="preserve"> initially found it difficult to analyse some of the responses, however I mentioned earlier</w:t>
      </w:r>
      <w:r w:rsidR="00DD110C" w:rsidRPr="007B45C0">
        <w:rPr>
          <w:sz w:val="24"/>
        </w:rPr>
        <w:t xml:space="preserve"> discussing a previous question regarding provisions within the classroom for children</w:t>
      </w:r>
      <w:r w:rsidR="00E01E36" w:rsidRPr="007B45C0">
        <w:rPr>
          <w:sz w:val="24"/>
        </w:rPr>
        <w:t>, 1 of the participants had responded with the exact number they allocate to funding children from low economic backgrounds which they allocate 17% of their budget to free school meals (FSM) which is £35,000 from the PDG as shown in figure 2, the remainder of the participants either unsure of the total percentage or range between 0.003% to 10% of their budget.</w:t>
      </w:r>
      <w:r w:rsidR="000C78E2" w:rsidRPr="007B45C0">
        <w:rPr>
          <w:sz w:val="24"/>
        </w:rPr>
        <w:t xml:space="preserve"> In my opinion, perhaps the type of question we should have </w:t>
      </w:r>
      <w:r w:rsidR="00940077" w:rsidRPr="007B45C0">
        <w:rPr>
          <w:sz w:val="24"/>
        </w:rPr>
        <w:t>used was</w:t>
      </w:r>
      <w:r w:rsidR="000C78E2" w:rsidRPr="007B45C0">
        <w:rPr>
          <w:sz w:val="24"/>
        </w:rPr>
        <w:t xml:space="preserve"> a category question as apposed to the short text </w:t>
      </w:r>
      <w:r w:rsidR="00940077" w:rsidRPr="007B45C0">
        <w:rPr>
          <w:sz w:val="24"/>
        </w:rPr>
        <w:t>type question. I feel that when given categories such as: between 0% and 25%, 26% and 50%, 51% and 75% and 76% to 100%, the participant would feel they could give an answer without revealing the exact percentage. This would also save the participants being held accountable for giving an exact percentage, when they might not have the exact information.</w:t>
      </w:r>
      <w:r w:rsidR="00C917CE" w:rsidRPr="007B45C0">
        <w:rPr>
          <w:sz w:val="24"/>
        </w:rPr>
        <w:t xml:space="preserve"> This type of question would also be better represented on a graph, as appose to figure 2.</w:t>
      </w:r>
    </w:p>
    <w:p w:rsidR="00E01E36" w:rsidRPr="007B45C0" w:rsidRDefault="00E01E36" w:rsidP="00E01E36">
      <w:pPr>
        <w:spacing w:line="360" w:lineRule="auto"/>
      </w:pPr>
      <w:r w:rsidRPr="007B45C0">
        <w:rPr>
          <w:noProof/>
        </w:rPr>
        <w:lastRenderedPageBreak/>
        <w:drawing>
          <wp:inline distT="0" distB="0" distL="0" distR="0" wp14:anchorId="3F707EB6" wp14:editId="59B9D013">
            <wp:extent cx="5731514" cy="3195956"/>
            <wp:effectExtent l="0" t="0" r="2536" b="4444"/>
            <wp:docPr id="2" name="Picture 3" descr="C:\Users\tom\AppData\Local\Microsoft\Windows\INetCache\Content.MSO\ED4FB78E.t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731514" cy="3195956"/>
                    </a:xfrm>
                    <a:prstGeom prst="rect">
                      <a:avLst/>
                    </a:prstGeom>
                    <a:noFill/>
                    <a:ln>
                      <a:noFill/>
                      <a:prstDash/>
                    </a:ln>
                  </pic:spPr>
                </pic:pic>
              </a:graphicData>
            </a:graphic>
          </wp:inline>
        </w:drawing>
      </w:r>
    </w:p>
    <w:p w:rsidR="00E01E36" w:rsidRPr="007B45C0" w:rsidRDefault="00E01E36" w:rsidP="00E01E36">
      <w:pPr>
        <w:spacing w:line="360" w:lineRule="auto"/>
        <w:rPr>
          <w:sz w:val="24"/>
        </w:rPr>
      </w:pPr>
      <w:r w:rsidRPr="007B45C0">
        <w:rPr>
          <w:sz w:val="24"/>
        </w:rPr>
        <w:t xml:space="preserve">Fig. 2 </w:t>
      </w:r>
    </w:p>
    <w:p w:rsidR="00FF6623" w:rsidRPr="007B45C0" w:rsidRDefault="00E9292E" w:rsidP="00FF6623">
      <w:pPr>
        <w:spacing w:line="360" w:lineRule="auto"/>
        <w:rPr>
          <w:sz w:val="24"/>
        </w:rPr>
      </w:pPr>
      <w:r w:rsidRPr="007B45C0">
        <w:rPr>
          <w:sz w:val="24"/>
        </w:rPr>
        <w:t xml:space="preserve"> </w:t>
      </w:r>
      <w:r w:rsidR="00576AB5" w:rsidRPr="007B45C0">
        <w:rPr>
          <w:sz w:val="24"/>
        </w:rPr>
        <w:t xml:space="preserve">After discussing the use of corresponding questioning within our questionnaire, we had also decided upon the use of non-corresponding questions, in this instance we asked the participants if they agreed with </w:t>
      </w:r>
      <w:r w:rsidR="00AD7707" w:rsidRPr="007B45C0">
        <w:rPr>
          <w:sz w:val="24"/>
        </w:rPr>
        <w:t>Horgan (</w:t>
      </w:r>
      <w:r w:rsidR="00576AB5" w:rsidRPr="007B45C0">
        <w:rPr>
          <w:sz w:val="24"/>
        </w:rPr>
        <w:t xml:space="preserve">2007)’ statement on the links between </w:t>
      </w:r>
      <w:r w:rsidR="00AD7707" w:rsidRPr="007B45C0">
        <w:rPr>
          <w:sz w:val="24"/>
        </w:rPr>
        <w:t>areas with a high level of deprivation and lower levels of attainment in education. Figure 3 shows the responses of the participants and what I found interesting was that two of the participants disagreed with the statement.</w:t>
      </w:r>
      <w:r w:rsidR="00576AB5" w:rsidRPr="007B45C0">
        <w:rPr>
          <w:sz w:val="24"/>
        </w:rPr>
        <w:t xml:space="preserve"> </w:t>
      </w:r>
      <w:r w:rsidR="00C917CE" w:rsidRPr="007B45C0">
        <w:rPr>
          <w:sz w:val="24"/>
        </w:rPr>
        <w:t>whereas</w:t>
      </w:r>
      <w:r w:rsidR="00FF6623" w:rsidRPr="007B45C0">
        <w:rPr>
          <w:sz w:val="24"/>
        </w:rPr>
        <w:t xml:space="preserve"> I can see the view point of the participants who both disagreed and strongly disagreed as I have seen scenarios where children do not come from low economic backgrounds and still have low outcome levels on my teaching practice, however, as a person who has seen the effects from a teacher’s perspective</w:t>
      </w:r>
      <w:r w:rsidR="00081BE0" w:rsidRPr="007B45C0">
        <w:rPr>
          <w:sz w:val="24"/>
        </w:rPr>
        <w:t xml:space="preserve"> as I had undertaken my PTE in school that was situated in a very deprived area, I found that numerous children from the local area that were situated in my class were struggling maintaining quality in their work, such as homework, due to a situation within the home</w:t>
      </w:r>
      <w:r w:rsidR="00FF6623" w:rsidRPr="007B45C0">
        <w:rPr>
          <w:sz w:val="24"/>
        </w:rPr>
        <w:t xml:space="preserve">. there are clear links between higher deprived areas and lower </w:t>
      </w:r>
      <w:r w:rsidR="00CD009C" w:rsidRPr="007B45C0">
        <w:rPr>
          <w:sz w:val="24"/>
        </w:rPr>
        <w:t>attainment,</w:t>
      </w:r>
      <w:r w:rsidR="00FF6623" w:rsidRPr="007B45C0">
        <w:rPr>
          <w:sz w:val="24"/>
        </w:rPr>
        <w:t xml:space="preserve"> and this is further supported by Eric Jensen’s difference 3: </w:t>
      </w:r>
      <w:r w:rsidR="002D4B06" w:rsidRPr="007B45C0">
        <w:rPr>
          <w:sz w:val="24"/>
        </w:rPr>
        <w:t>E</w:t>
      </w:r>
      <w:r w:rsidR="00FF6623" w:rsidRPr="007B45C0">
        <w:rPr>
          <w:sz w:val="24"/>
        </w:rPr>
        <w:t>ffort</w:t>
      </w:r>
      <w:r w:rsidR="002D4B06" w:rsidRPr="007B45C0">
        <w:rPr>
          <w:sz w:val="24"/>
        </w:rPr>
        <w:t xml:space="preserve"> and difference 5: Cognition</w:t>
      </w:r>
      <w:r w:rsidR="00FF6623" w:rsidRPr="007B45C0">
        <w:rPr>
          <w:sz w:val="24"/>
        </w:rPr>
        <w:t xml:space="preserve"> in </w:t>
      </w:r>
      <w:r w:rsidR="00FF6623" w:rsidRPr="007B45C0">
        <w:rPr>
          <w:i/>
          <w:sz w:val="24"/>
        </w:rPr>
        <w:t>Faces of poverty (</w:t>
      </w:r>
      <w:r w:rsidR="00FF6623" w:rsidRPr="007B45C0">
        <w:rPr>
          <w:sz w:val="24"/>
        </w:rPr>
        <w:t>E. Jensen, 2013, pp. 24-30</w:t>
      </w:r>
      <w:r w:rsidR="00FF6623" w:rsidRPr="007B45C0">
        <w:rPr>
          <w:i/>
          <w:sz w:val="24"/>
        </w:rPr>
        <w:t>).</w:t>
      </w:r>
      <w:r w:rsidR="00AD7707" w:rsidRPr="007B45C0">
        <w:rPr>
          <w:sz w:val="24"/>
        </w:rPr>
        <w:t xml:space="preserve"> </w:t>
      </w:r>
      <w:r w:rsidR="002D4B06" w:rsidRPr="007B45C0">
        <w:rPr>
          <w:sz w:val="24"/>
        </w:rPr>
        <w:t>Where he discusses how children from a low socioeconomic background show signs of cognitive problems such as shorter attention spans and are easily distractible, they find it difficult to generate solutions to a problem and struggle in monitoring and upholding quality in their work</w:t>
      </w:r>
      <w:r w:rsidR="00081BE0" w:rsidRPr="007B45C0">
        <w:rPr>
          <w:sz w:val="24"/>
        </w:rPr>
        <w:t>.</w:t>
      </w:r>
      <w:r w:rsidR="00053306" w:rsidRPr="007B45C0">
        <w:rPr>
          <w:sz w:val="24"/>
        </w:rPr>
        <w:t xml:space="preserve"> Estyn (2010) released a report </w:t>
      </w:r>
      <w:r w:rsidR="00053306" w:rsidRPr="007B45C0">
        <w:rPr>
          <w:sz w:val="24"/>
        </w:rPr>
        <w:lastRenderedPageBreak/>
        <w:t>regarding taking child poverty in school where they also addressed</w:t>
      </w:r>
      <w:r w:rsidR="002D4B06" w:rsidRPr="007B45C0">
        <w:rPr>
          <w:sz w:val="24"/>
        </w:rPr>
        <w:t xml:space="preserve"> </w:t>
      </w:r>
      <w:r w:rsidR="00053306" w:rsidRPr="007B45C0">
        <w:rPr>
          <w:sz w:val="24"/>
        </w:rPr>
        <w:t>that “</w:t>
      </w:r>
      <w:r w:rsidR="00053306" w:rsidRPr="007B45C0">
        <w:t>There is a strong statistical link between poverty and low educational attainment. In general, pupils from poorer families are still far more likely to attain at lower levels than other pupils</w:t>
      </w:r>
      <w:proofErr w:type="gramStart"/>
      <w:r w:rsidR="00053306" w:rsidRPr="007B45C0">
        <w:rPr>
          <w:sz w:val="24"/>
        </w:rPr>
        <w:t>”,(</w:t>
      </w:r>
      <w:proofErr w:type="gramEnd"/>
      <w:r w:rsidR="00053306" w:rsidRPr="007B45C0">
        <w:rPr>
          <w:sz w:val="24"/>
        </w:rPr>
        <w:t>Estyn, 2010).</w:t>
      </w:r>
    </w:p>
    <w:p w:rsidR="00E01E36" w:rsidRPr="007B45C0" w:rsidRDefault="00E01E36" w:rsidP="00E01E36">
      <w:pPr>
        <w:spacing w:line="360" w:lineRule="auto"/>
        <w:rPr>
          <w:b/>
          <w:sz w:val="24"/>
        </w:rPr>
      </w:pPr>
    </w:p>
    <w:p w:rsidR="00FF6623" w:rsidRPr="007B45C0" w:rsidRDefault="00FF6623" w:rsidP="00E01E36">
      <w:pPr>
        <w:spacing w:line="360" w:lineRule="auto"/>
        <w:rPr>
          <w:sz w:val="24"/>
        </w:rPr>
      </w:pPr>
      <w:r w:rsidRPr="007B45C0">
        <w:rPr>
          <w:noProof/>
        </w:rPr>
        <w:drawing>
          <wp:inline distT="0" distB="0" distL="0" distR="0" wp14:anchorId="5E0544AD" wp14:editId="2C3C54FF">
            <wp:extent cx="4572000" cy="2646045"/>
            <wp:effectExtent l="0" t="0" r="0" b="1905"/>
            <wp:docPr id="7" name="Chart 7">
              <a:extLst xmlns:a="http://schemas.openxmlformats.org/drawingml/2006/main">
                <a:ext uri="{FF2B5EF4-FFF2-40B4-BE49-F238E27FC236}">
                  <a16:creationId xmlns:a16="http://schemas.microsoft.com/office/drawing/2014/main" id="{F9081C91-04E9-4EDC-B702-E26081E971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FF6623" w:rsidRPr="007B45C0" w:rsidRDefault="00FF6623" w:rsidP="00E01E36">
      <w:pPr>
        <w:spacing w:line="360" w:lineRule="auto"/>
        <w:rPr>
          <w:sz w:val="24"/>
        </w:rPr>
      </w:pPr>
      <w:r w:rsidRPr="007B45C0">
        <w:rPr>
          <w:sz w:val="24"/>
        </w:rPr>
        <w:t xml:space="preserve">Fig. </w:t>
      </w:r>
      <w:r w:rsidR="00C917CE" w:rsidRPr="007B45C0">
        <w:rPr>
          <w:sz w:val="24"/>
        </w:rPr>
        <w:t>3</w:t>
      </w:r>
    </w:p>
    <w:p w:rsidR="00B34A83" w:rsidRPr="007B45C0" w:rsidRDefault="00E01E36" w:rsidP="00B34A83">
      <w:pPr>
        <w:spacing w:line="360" w:lineRule="auto"/>
        <w:rPr>
          <w:sz w:val="24"/>
        </w:rPr>
      </w:pPr>
      <w:r w:rsidRPr="007B45C0">
        <w:rPr>
          <w:sz w:val="24"/>
        </w:rPr>
        <w:t xml:space="preserve">Much like our previous questions that linked to personal classroom experiences, we decided to ask the participants as to what challenges that impact a child from a low economical background, the most opted choice was by all 8 of the participants where they believed that children from poverty lack parental involvement  as seen in figure </w:t>
      </w:r>
      <w:r w:rsidR="00081BE0" w:rsidRPr="007B45C0">
        <w:rPr>
          <w:sz w:val="24"/>
        </w:rPr>
        <w:t>4</w:t>
      </w:r>
      <w:r w:rsidRPr="007B45C0">
        <w:rPr>
          <w:sz w:val="24"/>
        </w:rPr>
        <w:t>, however two barriers that need addressing is the language development, and emotional concerns which 7 out of 8 participants agreed on, the lack of parental involvement can cause these additional barriers due to the parents/ guardians refusing to further strengthen their language skills outside of school, which could lead to the emotional challenge during school, where the child will find it difficult to communicate and interact with their peer, which could cause links to further problems such as behavioural issues and achievement gaps widening for them and causing them to develop lower expectations from themselves, reverting back to the “I give up ” statement highlighted by Jensen(2013</w:t>
      </w:r>
      <w:r w:rsidR="00081BE0" w:rsidRPr="007B45C0">
        <w:rPr>
          <w:sz w:val="24"/>
        </w:rPr>
        <w:t>).</w:t>
      </w:r>
      <w:r w:rsidR="00B34A83" w:rsidRPr="007B45C0">
        <w:rPr>
          <w:sz w:val="24"/>
        </w:rPr>
        <w:t xml:space="preserve"> </w:t>
      </w:r>
      <w:r w:rsidR="00B34A83" w:rsidRPr="007B45C0">
        <w:rPr>
          <w:sz w:val="24"/>
        </w:rPr>
        <w:t>While out on teaching practice, my group and I noticed a series of school’s initiatives taking place within our schools, we decided to include this question to gather further information</w:t>
      </w:r>
      <w:r w:rsidR="00B34A83" w:rsidRPr="007B45C0">
        <w:rPr>
          <w:sz w:val="24"/>
        </w:rPr>
        <w:t xml:space="preserve"> to which we could link to the question regarding challenges.</w:t>
      </w:r>
      <w:r w:rsidR="00B34A83" w:rsidRPr="007B45C0">
        <w:rPr>
          <w:sz w:val="24"/>
        </w:rPr>
        <w:t xml:space="preserve"> in figure 5 , we see that, the literacy support is the most commonly used </w:t>
      </w:r>
      <w:r w:rsidR="00B34A83" w:rsidRPr="007B45C0">
        <w:rPr>
          <w:sz w:val="24"/>
        </w:rPr>
        <w:lastRenderedPageBreak/>
        <w:t xml:space="preserve">initiative within schools and I have </w:t>
      </w:r>
      <w:r w:rsidR="00B34A83" w:rsidRPr="007B45C0">
        <w:rPr>
          <w:sz w:val="24"/>
        </w:rPr>
        <w:t>seen</w:t>
      </w:r>
      <w:r w:rsidR="00B34A83" w:rsidRPr="007B45C0">
        <w:rPr>
          <w:sz w:val="24"/>
        </w:rPr>
        <w:t xml:space="preserve"> the effectiveness of literacy support, as I’ve seen some of the lowest ability children in classes escalate to one of the top readers in the class with assistance from this initiative, however, I also believe that the use of breakfast club, lunch and snacks and extra-curricular activities, boosts the child’s well- being and gives them something to look forward to, where they can receive the nurture that they may not have back home</w:t>
      </w:r>
      <w:r w:rsidR="00B34A83" w:rsidRPr="007B45C0">
        <w:rPr>
          <w:sz w:val="24"/>
        </w:rPr>
        <w:t>. linking this to the lack of parental involvement, as discussed earlier, I was told on numerous occasions on PTE that us as teachers/ school staff are potentially the only stable role model for children, especially those whose families are suffering from poverty</w:t>
      </w:r>
      <w:r w:rsidR="00B34A83" w:rsidRPr="007B45C0">
        <w:rPr>
          <w:sz w:val="24"/>
        </w:rPr>
        <w:t xml:space="preserve">. Additional initiative the schools undertake are numeracy support, similarly to the literacy sessions, the initiatives in place to catch children up and develop their confidence with numbers. </w:t>
      </w:r>
      <w:r w:rsidR="00E70209" w:rsidRPr="007B45C0">
        <w:rPr>
          <w:sz w:val="24"/>
        </w:rPr>
        <w:t xml:space="preserve">We also asked the participants if they had any initiatives they would like to see in place to which we had 5 responses one of which being ‘more work with the family – family learning’, I feel this would be a useful in tackling the challenges regarding parental involvement, as the parents/ carers can then see what is required </w:t>
      </w:r>
      <w:r w:rsidR="00447BAF" w:rsidRPr="007B45C0">
        <w:rPr>
          <w:sz w:val="24"/>
        </w:rPr>
        <w:t xml:space="preserve">to assist the child’s development of skills. The remained of the comments were regarding funding, involving early interventions and mindfulness, funding for free breakfast club and funding for children to attend residential trips. </w:t>
      </w:r>
      <w:r w:rsidR="00A11197" w:rsidRPr="007B45C0">
        <w:rPr>
          <w:sz w:val="24"/>
        </w:rPr>
        <w:t>Personally,</w:t>
      </w:r>
      <w:r w:rsidR="00447BAF" w:rsidRPr="007B45C0">
        <w:rPr>
          <w:sz w:val="24"/>
        </w:rPr>
        <w:t xml:space="preserve"> I agree with all of these recommendations as from what personal experience have show me is that a child that can attend simple morning sessions of breakfast club or a </w:t>
      </w:r>
      <w:proofErr w:type="gramStart"/>
      <w:r w:rsidR="00447BAF" w:rsidRPr="007B45C0">
        <w:rPr>
          <w:sz w:val="24"/>
        </w:rPr>
        <w:t>2-3 day</w:t>
      </w:r>
      <w:proofErr w:type="gramEnd"/>
      <w:r w:rsidR="00447BAF" w:rsidRPr="007B45C0">
        <w:rPr>
          <w:sz w:val="24"/>
        </w:rPr>
        <w:t xml:space="preserve"> residential trips provide</w:t>
      </w:r>
      <w:r w:rsidR="00A11197" w:rsidRPr="007B45C0">
        <w:rPr>
          <w:sz w:val="24"/>
        </w:rPr>
        <w:t>s</w:t>
      </w:r>
      <w:r w:rsidR="00447BAF" w:rsidRPr="007B45C0">
        <w:rPr>
          <w:sz w:val="24"/>
        </w:rPr>
        <w:t xml:space="preserve"> children with the crucial social skills</w:t>
      </w:r>
      <w:r w:rsidR="00A11197" w:rsidRPr="007B45C0">
        <w:rPr>
          <w:sz w:val="24"/>
        </w:rPr>
        <w:t xml:space="preserve"> to interact with their peers which five of the participants highlighted.</w:t>
      </w:r>
    </w:p>
    <w:p w:rsidR="00B34A83" w:rsidRPr="007B45C0" w:rsidRDefault="00B34A83" w:rsidP="00B34A83">
      <w:pPr>
        <w:spacing w:line="360" w:lineRule="auto"/>
        <w:rPr>
          <w:sz w:val="24"/>
        </w:rPr>
      </w:pPr>
      <w:r w:rsidRPr="007B45C0">
        <w:rPr>
          <w:noProof/>
        </w:rPr>
        <w:drawing>
          <wp:inline distT="0" distB="0" distL="0" distR="0" wp14:anchorId="4327430B" wp14:editId="5443C9CC">
            <wp:extent cx="5731510" cy="2950845"/>
            <wp:effectExtent l="0" t="0" r="2540" b="1905"/>
            <wp:docPr id="3" name="Picture 1" descr="C:\Users\tom\AppData\Local\Microsoft\Windows\INetCache\Content.MSO\90F71922.t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0" cy="2950845"/>
                    </a:xfrm>
                    <a:prstGeom prst="rect">
                      <a:avLst/>
                    </a:prstGeom>
                    <a:noFill/>
                    <a:ln>
                      <a:noFill/>
                      <a:prstDash/>
                    </a:ln>
                  </pic:spPr>
                </pic:pic>
              </a:graphicData>
            </a:graphic>
          </wp:inline>
        </w:drawing>
      </w:r>
    </w:p>
    <w:p w:rsidR="00B34A83" w:rsidRPr="007B45C0" w:rsidRDefault="00B34A83" w:rsidP="00B34A83">
      <w:pPr>
        <w:spacing w:line="360" w:lineRule="auto"/>
        <w:rPr>
          <w:sz w:val="24"/>
        </w:rPr>
      </w:pPr>
      <w:r w:rsidRPr="007B45C0">
        <w:rPr>
          <w:sz w:val="24"/>
        </w:rPr>
        <w:lastRenderedPageBreak/>
        <w:t xml:space="preserve">Fig .4 </w:t>
      </w:r>
    </w:p>
    <w:p w:rsidR="00B34A83" w:rsidRPr="007B45C0" w:rsidRDefault="00B34A83" w:rsidP="00B34A83">
      <w:pPr>
        <w:spacing w:line="360" w:lineRule="auto"/>
      </w:pPr>
      <w:r w:rsidRPr="007B45C0">
        <w:rPr>
          <w:noProof/>
        </w:rPr>
        <w:drawing>
          <wp:inline distT="0" distB="0" distL="0" distR="0" wp14:anchorId="34DAF0B4" wp14:editId="4E510181">
            <wp:extent cx="5731514" cy="3195956"/>
            <wp:effectExtent l="0" t="0" r="2536" b="4444"/>
            <wp:docPr id="8" name="Picture 8" descr="C:\Users\tom\AppData\Local\Microsoft\Windows\INetCache\Content.MSO\38C09ACC.t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3195956"/>
                    </a:xfrm>
                    <a:prstGeom prst="rect">
                      <a:avLst/>
                    </a:prstGeom>
                    <a:noFill/>
                    <a:ln>
                      <a:noFill/>
                      <a:prstDash/>
                    </a:ln>
                  </pic:spPr>
                </pic:pic>
              </a:graphicData>
            </a:graphic>
          </wp:inline>
        </w:drawing>
      </w:r>
    </w:p>
    <w:p w:rsidR="00B34A83" w:rsidRPr="007B45C0" w:rsidRDefault="00B34A83" w:rsidP="00B34A83">
      <w:pPr>
        <w:spacing w:line="360" w:lineRule="auto"/>
        <w:rPr>
          <w:sz w:val="24"/>
        </w:rPr>
      </w:pPr>
      <w:r w:rsidRPr="007B45C0">
        <w:rPr>
          <w:sz w:val="24"/>
        </w:rPr>
        <w:t>Fig. 5</w:t>
      </w:r>
    </w:p>
    <w:p w:rsidR="00E01E36" w:rsidRPr="007B45C0" w:rsidRDefault="00E01E36" w:rsidP="00E01E36">
      <w:pPr>
        <w:spacing w:line="360" w:lineRule="auto"/>
      </w:pPr>
    </w:p>
    <w:p w:rsidR="00E01E36" w:rsidRPr="007B45C0" w:rsidRDefault="00E01E36" w:rsidP="00E01E36">
      <w:pPr>
        <w:spacing w:line="360" w:lineRule="auto"/>
      </w:pPr>
    </w:p>
    <w:p w:rsidR="00E01E36" w:rsidRPr="007B45C0" w:rsidRDefault="00E01E36" w:rsidP="00E01E36">
      <w:pPr>
        <w:spacing w:line="360" w:lineRule="auto"/>
        <w:rPr>
          <w:b/>
          <w:sz w:val="24"/>
        </w:rPr>
      </w:pPr>
    </w:p>
    <w:p w:rsidR="00F436B7" w:rsidRPr="007B45C0" w:rsidRDefault="00F436B7" w:rsidP="00D81838">
      <w:pPr>
        <w:spacing w:line="360" w:lineRule="auto"/>
        <w:rPr>
          <w:b/>
          <w:sz w:val="24"/>
        </w:rPr>
      </w:pPr>
    </w:p>
    <w:p w:rsidR="00D81838" w:rsidRPr="007B45C0" w:rsidRDefault="00D81838" w:rsidP="00D81838">
      <w:pPr>
        <w:spacing w:line="360" w:lineRule="auto"/>
        <w:rPr>
          <w:b/>
          <w:sz w:val="24"/>
          <w:u w:val="single"/>
        </w:rPr>
      </w:pPr>
      <w:r w:rsidRPr="007B45C0">
        <w:rPr>
          <w:b/>
          <w:sz w:val="24"/>
          <w:u w:val="single"/>
        </w:rPr>
        <w:t xml:space="preserve">Conclusion </w:t>
      </w:r>
    </w:p>
    <w:p w:rsidR="00D81838" w:rsidRPr="007B45C0" w:rsidRDefault="00D81838" w:rsidP="00D81838">
      <w:pPr>
        <w:spacing w:line="360" w:lineRule="auto"/>
        <w:rPr>
          <w:sz w:val="24"/>
        </w:rPr>
      </w:pPr>
      <w:r w:rsidRPr="007B45C0">
        <w:rPr>
          <w:sz w:val="24"/>
        </w:rPr>
        <w:t xml:space="preserve">In my opinion, questionnaires are an effective way in which you can gain a large quantity of responses, if done properly, however, questionnaire can provide some inaccurate results as some people may be biased towards some of the questions, also there is a balance required when issuing questionnaires as if you are too direct with asking people to participate, then they may feel uncomfortable and either avoid the questionnaire or may be unable to provide a meaningful answer, whereas if one was too casual in asking then the participants are more than likely to forget without a reminder on when the responses are needed. Some alterations I would make in the future would be to firstly release the questionnaire earlier as we only gave the schools approximately 2 weeks before the closing deadline, the reason for this is that the participants would feel less pressured into completing the questionnaire is </w:t>
      </w:r>
      <w:r w:rsidRPr="007B45C0">
        <w:rPr>
          <w:sz w:val="24"/>
        </w:rPr>
        <w:lastRenderedPageBreak/>
        <w:t xml:space="preserve">such a short period of time, in addition, I would include a question into firstly, parental engagement and what additional steps would the school and teaching staff take to educate the parents in developing skills for their children outside of school, secondly, a question into the further insight into the attendance rate of children in low economic backgrounds, where we as a group could have looked at the period of time in which they miss during the academic year and how that relates to the subjects they are missing and thirdly the inclusion of a question regarding free school meals, where we look at the stigma that is linked to FSM, and how that stigma could be reduced for families and their children, however despite the number of corrections I would make to the questionnaire, I still believe it I an effective for of data gathering as people are more inclined to be honest when the answers are anonymous. To conclude children from low economic backgrounds are not always attaining lower than their peers, however there is both theoretical and practical evidence of poverty affecting a child’ </w:t>
      </w:r>
      <w:r w:rsidR="00F436B7" w:rsidRPr="007B45C0">
        <w:rPr>
          <w:sz w:val="24"/>
        </w:rPr>
        <w:t>wellbeing</w:t>
      </w:r>
      <w:r w:rsidRPr="007B45C0">
        <w:rPr>
          <w:sz w:val="24"/>
        </w:rPr>
        <w:t xml:space="preserve"> in a school environment. </w:t>
      </w:r>
    </w:p>
    <w:p w:rsidR="007B45C0" w:rsidRDefault="007B45C0" w:rsidP="00F436B7">
      <w:pPr>
        <w:spacing w:line="360" w:lineRule="auto"/>
        <w:rPr>
          <w:b/>
          <w:sz w:val="24"/>
          <w:u w:val="single"/>
        </w:rPr>
      </w:pPr>
    </w:p>
    <w:p w:rsidR="007B45C0" w:rsidRDefault="007B45C0" w:rsidP="00F436B7">
      <w:pPr>
        <w:spacing w:line="360" w:lineRule="auto"/>
        <w:rPr>
          <w:b/>
          <w:sz w:val="24"/>
          <w:u w:val="single"/>
        </w:rPr>
      </w:pPr>
    </w:p>
    <w:p w:rsidR="007B45C0" w:rsidRDefault="007B45C0" w:rsidP="00F436B7">
      <w:pPr>
        <w:spacing w:line="360" w:lineRule="auto"/>
        <w:rPr>
          <w:b/>
          <w:sz w:val="24"/>
          <w:u w:val="single"/>
        </w:rPr>
      </w:pPr>
    </w:p>
    <w:p w:rsidR="007B45C0" w:rsidRDefault="007B45C0" w:rsidP="00F436B7">
      <w:pPr>
        <w:spacing w:line="360" w:lineRule="auto"/>
        <w:rPr>
          <w:b/>
          <w:sz w:val="24"/>
          <w:u w:val="single"/>
        </w:rPr>
      </w:pPr>
    </w:p>
    <w:p w:rsidR="007B45C0" w:rsidRDefault="007B45C0" w:rsidP="00F436B7">
      <w:pPr>
        <w:spacing w:line="360" w:lineRule="auto"/>
        <w:rPr>
          <w:b/>
          <w:sz w:val="24"/>
          <w:u w:val="single"/>
        </w:rPr>
      </w:pPr>
    </w:p>
    <w:p w:rsidR="007B45C0" w:rsidRDefault="007B45C0" w:rsidP="00F436B7">
      <w:pPr>
        <w:spacing w:line="360" w:lineRule="auto"/>
        <w:rPr>
          <w:b/>
          <w:sz w:val="24"/>
          <w:u w:val="single"/>
        </w:rPr>
      </w:pPr>
    </w:p>
    <w:p w:rsidR="007B45C0" w:rsidRDefault="007B45C0" w:rsidP="00F436B7">
      <w:pPr>
        <w:spacing w:line="360" w:lineRule="auto"/>
        <w:rPr>
          <w:b/>
          <w:sz w:val="24"/>
          <w:u w:val="single"/>
        </w:rPr>
      </w:pPr>
    </w:p>
    <w:p w:rsidR="007B45C0" w:rsidRDefault="007B45C0" w:rsidP="00F436B7">
      <w:pPr>
        <w:spacing w:line="360" w:lineRule="auto"/>
        <w:rPr>
          <w:b/>
          <w:sz w:val="24"/>
          <w:u w:val="single"/>
        </w:rPr>
      </w:pPr>
    </w:p>
    <w:p w:rsidR="007B45C0" w:rsidRDefault="007B45C0" w:rsidP="00F436B7">
      <w:pPr>
        <w:spacing w:line="360" w:lineRule="auto"/>
        <w:rPr>
          <w:b/>
          <w:sz w:val="24"/>
          <w:u w:val="single"/>
        </w:rPr>
      </w:pPr>
    </w:p>
    <w:p w:rsidR="007B45C0" w:rsidRDefault="007B45C0" w:rsidP="00F436B7">
      <w:pPr>
        <w:spacing w:line="360" w:lineRule="auto"/>
        <w:rPr>
          <w:b/>
          <w:sz w:val="24"/>
          <w:u w:val="single"/>
        </w:rPr>
      </w:pPr>
    </w:p>
    <w:p w:rsidR="007B45C0" w:rsidRDefault="007B45C0" w:rsidP="00F436B7">
      <w:pPr>
        <w:spacing w:line="360" w:lineRule="auto"/>
        <w:rPr>
          <w:b/>
          <w:sz w:val="24"/>
          <w:u w:val="single"/>
        </w:rPr>
      </w:pPr>
    </w:p>
    <w:p w:rsidR="007B45C0" w:rsidRDefault="007B45C0" w:rsidP="00F436B7">
      <w:pPr>
        <w:spacing w:line="360" w:lineRule="auto"/>
        <w:rPr>
          <w:b/>
          <w:sz w:val="24"/>
          <w:u w:val="single"/>
        </w:rPr>
      </w:pPr>
    </w:p>
    <w:p w:rsidR="007B45C0" w:rsidRDefault="007B45C0" w:rsidP="00F436B7">
      <w:pPr>
        <w:spacing w:line="360" w:lineRule="auto"/>
        <w:rPr>
          <w:b/>
          <w:sz w:val="24"/>
          <w:u w:val="single"/>
        </w:rPr>
      </w:pPr>
    </w:p>
    <w:p w:rsidR="00F436B7" w:rsidRPr="007B45C0" w:rsidRDefault="00F436B7" w:rsidP="00F436B7">
      <w:pPr>
        <w:spacing w:line="360" w:lineRule="auto"/>
      </w:pPr>
      <w:bookmarkStart w:id="1" w:name="_GoBack"/>
      <w:bookmarkEnd w:id="1"/>
      <w:r w:rsidRPr="007B45C0">
        <w:rPr>
          <w:b/>
          <w:sz w:val="24"/>
          <w:u w:val="single"/>
        </w:rPr>
        <w:lastRenderedPageBreak/>
        <w:t>Reference list</w:t>
      </w:r>
    </w:p>
    <w:p w:rsidR="007B45C0" w:rsidRPr="007B45C0" w:rsidRDefault="007B45C0" w:rsidP="00F436B7">
      <w:pPr>
        <w:pStyle w:val="ListParagraph"/>
        <w:numPr>
          <w:ilvl w:val="0"/>
          <w:numId w:val="1"/>
        </w:numPr>
        <w:spacing w:line="360" w:lineRule="auto"/>
      </w:pPr>
      <w:r w:rsidRPr="007B45C0">
        <w:rPr>
          <w:rFonts w:ascii="Arial" w:hAnsi="Arial" w:cs="Arial"/>
          <w:sz w:val="20"/>
          <w:szCs w:val="20"/>
          <w:shd w:val="clear" w:color="auto" w:fill="FFFFFF"/>
        </w:rPr>
        <w:t>Bbc.co.uk. (2014). </w:t>
      </w:r>
      <w:r w:rsidRPr="007B45C0">
        <w:rPr>
          <w:rFonts w:ascii="Arial" w:hAnsi="Arial" w:cs="Arial"/>
          <w:i/>
          <w:iCs/>
          <w:sz w:val="20"/>
          <w:szCs w:val="20"/>
          <w:shd w:val="clear" w:color="auto" w:fill="FFFFFF"/>
        </w:rPr>
        <w:t>BBC - Poverty - Definitions</w:t>
      </w:r>
      <w:r w:rsidRPr="007B45C0">
        <w:rPr>
          <w:rFonts w:ascii="Arial" w:hAnsi="Arial" w:cs="Arial"/>
          <w:sz w:val="20"/>
          <w:szCs w:val="20"/>
          <w:shd w:val="clear" w:color="auto" w:fill="FFFFFF"/>
        </w:rPr>
        <w:t>. [online] Available at: https://www.bbc.co.uk/scotland/education/ms/wealth/def_of_poverty/definitions.shtml [Accessed 28 Apr. 2019].</w:t>
      </w:r>
    </w:p>
    <w:p w:rsidR="007B45C0" w:rsidRPr="007B45C0" w:rsidRDefault="007B45C0" w:rsidP="00147C93">
      <w:pPr>
        <w:pStyle w:val="ListParagraph"/>
        <w:numPr>
          <w:ilvl w:val="0"/>
          <w:numId w:val="1"/>
        </w:numPr>
        <w:spacing w:line="360" w:lineRule="auto"/>
      </w:pPr>
      <w:r w:rsidRPr="007B45C0">
        <w:rPr>
          <w:rFonts w:ascii="Arial" w:hAnsi="Arial" w:cs="Arial"/>
          <w:sz w:val="20"/>
          <w:szCs w:val="20"/>
          <w:shd w:val="clear" w:color="auto" w:fill="FFFFFF"/>
        </w:rPr>
        <w:t>BELL. (2005). </w:t>
      </w:r>
      <w:r w:rsidRPr="007B45C0">
        <w:rPr>
          <w:rFonts w:ascii="Arial" w:hAnsi="Arial" w:cs="Arial"/>
          <w:i/>
          <w:iCs/>
          <w:sz w:val="20"/>
          <w:szCs w:val="20"/>
          <w:shd w:val="clear" w:color="auto" w:fill="FFFFFF"/>
        </w:rPr>
        <w:t>Doing Your Research Project</w:t>
      </w:r>
      <w:r w:rsidRPr="007B45C0">
        <w:rPr>
          <w:rFonts w:ascii="Arial" w:hAnsi="Arial" w:cs="Arial"/>
          <w:sz w:val="20"/>
          <w:szCs w:val="20"/>
          <w:shd w:val="clear" w:color="auto" w:fill="FFFFFF"/>
        </w:rPr>
        <w:t>. 4th ed. Buckingham: Open University Press.</w:t>
      </w:r>
    </w:p>
    <w:p w:rsidR="007B45C0" w:rsidRPr="007B45C0" w:rsidRDefault="007B45C0" w:rsidP="00147C93">
      <w:pPr>
        <w:pStyle w:val="ListParagraph"/>
        <w:numPr>
          <w:ilvl w:val="0"/>
          <w:numId w:val="1"/>
        </w:numPr>
        <w:spacing w:line="360" w:lineRule="auto"/>
      </w:pPr>
      <w:r w:rsidRPr="007B45C0">
        <w:rPr>
          <w:rFonts w:ascii="Arial" w:hAnsi="Arial" w:cs="Arial"/>
          <w:sz w:val="20"/>
          <w:szCs w:val="20"/>
          <w:shd w:val="clear" w:color="auto" w:fill="FFFFFF"/>
        </w:rPr>
        <w:t>Education Endowment Foundation (2018). </w:t>
      </w:r>
      <w:r w:rsidRPr="007B45C0">
        <w:rPr>
          <w:rFonts w:ascii="Arial" w:hAnsi="Arial" w:cs="Arial"/>
          <w:i/>
          <w:iCs/>
          <w:sz w:val="20"/>
          <w:szCs w:val="20"/>
          <w:shd w:val="clear" w:color="auto" w:fill="FFFFFF"/>
        </w:rPr>
        <w:t>The Attainment Gap</w:t>
      </w:r>
      <w:r w:rsidRPr="007B45C0">
        <w:rPr>
          <w:rFonts w:ascii="Arial" w:hAnsi="Arial" w:cs="Arial"/>
          <w:sz w:val="20"/>
          <w:szCs w:val="20"/>
          <w:shd w:val="clear" w:color="auto" w:fill="FFFFFF"/>
        </w:rPr>
        <w:t>. [online] London: Education Endowment Foundation. Available at: https://educationendowmentfoundation.org.uk/public/files/Annual_Reports/EEF_Attainment_Gap_Report_2018_-_print.pdf [Accessed 23 Jul. 2019].</w:t>
      </w:r>
    </w:p>
    <w:p w:rsidR="007B45C0" w:rsidRPr="007B45C0" w:rsidRDefault="007B45C0" w:rsidP="00147C93">
      <w:pPr>
        <w:pStyle w:val="ListParagraph"/>
        <w:numPr>
          <w:ilvl w:val="0"/>
          <w:numId w:val="1"/>
        </w:numPr>
        <w:spacing w:line="360" w:lineRule="auto"/>
      </w:pPr>
      <w:r w:rsidRPr="007B45C0">
        <w:rPr>
          <w:rFonts w:ascii="Arial" w:hAnsi="Arial" w:cs="Arial"/>
          <w:sz w:val="20"/>
          <w:szCs w:val="20"/>
          <w:shd w:val="clear" w:color="auto" w:fill="FFFFFF"/>
        </w:rPr>
        <w:t>Estyn (2010). </w:t>
      </w:r>
      <w:r w:rsidRPr="007B45C0">
        <w:rPr>
          <w:rFonts w:ascii="Arial" w:hAnsi="Arial" w:cs="Arial"/>
          <w:i/>
          <w:iCs/>
          <w:sz w:val="20"/>
          <w:szCs w:val="20"/>
          <w:shd w:val="clear" w:color="auto" w:fill="FFFFFF"/>
        </w:rPr>
        <w:t>Tackling child poverty and disadvantage in school</w:t>
      </w:r>
      <w:r w:rsidRPr="007B45C0">
        <w:rPr>
          <w:rFonts w:ascii="Arial" w:hAnsi="Arial" w:cs="Arial"/>
          <w:sz w:val="20"/>
          <w:szCs w:val="20"/>
          <w:shd w:val="clear" w:color="auto" w:fill="FFFFFF"/>
        </w:rPr>
        <w:t>. [online] Cardiff: Estyn. Available at: https://dera.ioe.ac.uk/904/1/Tackling_child_poverty_and_disadvantage_in_schools_January_2010.pdf [Accessed 23 Jul. 2019].</w:t>
      </w:r>
    </w:p>
    <w:p w:rsidR="007B45C0" w:rsidRPr="007B45C0" w:rsidRDefault="007B45C0" w:rsidP="007B45C0">
      <w:pPr>
        <w:pStyle w:val="ListParagraph"/>
        <w:numPr>
          <w:ilvl w:val="0"/>
          <w:numId w:val="1"/>
        </w:numPr>
        <w:spacing w:line="360" w:lineRule="auto"/>
      </w:pPr>
      <w:r w:rsidRPr="007B45C0">
        <w:rPr>
          <w:rFonts w:ascii="Arial" w:hAnsi="Arial" w:cs="Arial"/>
          <w:sz w:val="20"/>
          <w:szCs w:val="20"/>
          <w:shd w:val="clear" w:color="auto" w:fill="FFFFFF"/>
        </w:rPr>
        <w:t>Horgan, G. (2007). </w:t>
      </w:r>
      <w:r w:rsidRPr="007B45C0">
        <w:rPr>
          <w:rFonts w:ascii="Arial" w:hAnsi="Arial" w:cs="Arial"/>
          <w:i/>
          <w:iCs/>
          <w:sz w:val="20"/>
          <w:szCs w:val="20"/>
          <w:shd w:val="clear" w:color="auto" w:fill="FFFFFF"/>
        </w:rPr>
        <w:t>The impact of poverty on young children’s experience of school</w:t>
      </w:r>
      <w:r w:rsidRPr="007B45C0">
        <w:rPr>
          <w:rFonts w:ascii="Arial" w:hAnsi="Arial" w:cs="Arial"/>
          <w:sz w:val="20"/>
          <w:szCs w:val="20"/>
          <w:shd w:val="clear" w:color="auto" w:fill="FFFFFF"/>
        </w:rPr>
        <w:t>. [online] York. Available at: https://www.jrf.org.uk/sites/default/files/jrf/migrated/files/2098-poverty-children-school.pdf [Accessed 23 Jul. 2019].</w:t>
      </w:r>
    </w:p>
    <w:p w:rsidR="007B45C0" w:rsidRPr="007B45C0" w:rsidRDefault="007B45C0" w:rsidP="00CB10FA">
      <w:pPr>
        <w:pStyle w:val="ListParagraph"/>
        <w:numPr>
          <w:ilvl w:val="0"/>
          <w:numId w:val="1"/>
        </w:numPr>
        <w:spacing w:line="360" w:lineRule="auto"/>
      </w:pPr>
      <w:r w:rsidRPr="007B45C0">
        <w:rPr>
          <w:rFonts w:ascii="Arial" w:hAnsi="Arial" w:cs="Arial"/>
          <w:sz w:val="20"/>
          <w:szCs w:val="20"/>
          <w:shd w:val="clear" w:color="auto" w:fill="FFFFFF"/>
        </w:rPr>
        <w:t>Jensen, E. (2019). </w:t>
      </w:r>
      <w:r w:rsidRPr="007B45C0">
        <w:rPr>
          <w:rFonts w:ascii="Arial" w:hAnsi="Arial" w:cs="Arial"/>
          <w:i/>
          <w:iCs/>
          <w:sz w:val="20"/>
          <w:szCs w:val="20"/>
          <w:shd w:val="clear" w:color="auto" w:fill="FFFFFF"/>
        </w:rPr>
        <w:t>Teaching with Poverty in mind</w:t>
      </w:r>
      <w:r w:rsidRPr="007B45C0">
        <w:rPr>
          <w:rFonts w:ascii="Arial" w:hAnsi="Arial" w:cs="Arial"/>
          <w:sz w:val="20"/>
          <w:szCs w:val="20"/>
          <w:shd w:val="clear" w:color="auto" w:fill="FFFFFF"/>
        </w:rPr>
        <w:t>. [online] Ascd.org. Available at: http://www.ascd.org/publications/books/109074/chapters/How-Poverty-Affects-Behavior-and-Academic-Performance.aspx [Accessed 23 Jul. 2019].</w:t>
      </w:r>
    </w:p>
    <w:p w:rsidR="007B45C0" w:rsidRPr="007B45C0" w:rsidRDefault="007B45C0" w:rsidP="00F436B7">
      <w:pPr>
        <w:pStyle w:val="ListParagraph"/>
        <w:numPr>
          <w:ilvl w:val="0"/>
          <w:numId w:val="1"/>
        </w:numPr>
        <w:spacing w:line="360" w:lineRule="auto"/>
      </w:pPr>
      <w:r w:rsidRPr="007B45C0">
        <w:rPr>
          <w:rFonts w:ascii="Arial" w:hAnsi="Arial" w:cs="Arial"/>
          <w:sz w:val="20"/>
          <w:szCs w:val="20"/>
          <w:shd w:val="clear" w:color="auto" w:fill="FFFFFF"/>
        </w:rPr>
        <w:t>Jensen, E., 2013. How poverty affects classroom engagement. </w:t>
      </w:r>
      <w:r w:rsidRPr="007B45C0">
        <w:rPr>
          <w:rFonts w:ascii="Arial" w:hAnsi="Arial" w:cs="Arial"/>
          <w:i/>
          <w:iCs/>
          <w:sz w:val="20"/>
          <w:szCs w:val="20"/>
          <w:shd w:val="clear" w:color="auto" w:fill="FFFFFF"/>
        </w:rPr>
        <w:t>Educational Leadership</w:t>
      </w:r>
      <w:r w:rsidRPr="007B45C0">
        <w:rPr>
          <w:rFonts w:ascii="Arial" w:hAnsi="Arial" w:cs="Arial"/>
          <w:sz w:val="20"/>
          <w:szCs w:val="20"/>
          <w:shd w:val="clear" w:color="auto" w:fill="FFFFFF"/>
        </w:rPr>
        <w:t>, </w:t>
      </w:r>
      <w:r w:rsidRPr="007B45C0">
        <w:rPr>
          <w:rFonts w:ascii="Arial" w:hAnsi="Arial" w:cs="Arial"/>
          <w:i/>
          <w:iCs/>
          <w:sz w:val="20"/>
          <w:szCs w:val="20"/>
          <w:shd w:val="clear" w:color="auto" w:fill="FFFFFF"/>
        </w:rPr>
        <w:t>70</w:t>
      </w:r>
      <w:r w:rsidRPr="007B45C0">
        <w:rPr>
          <w:rFonts w:ascii="Arial" w:hAnsi="Arial" w:cs="Arial"/>
          <w:sz w:val="20"/>
          <w:szCs w:val="20"/>
          <w:shd w:val="clear" w:color="auto" w:fill="FFFFFF"/>
        </w:rPr>
        <w:t>(8), pp.24-30.</w:t>
      </w:r>
    </w:p>
    <w:p w:rsidR="007B45C0" w:rsidRPr="007B45C0" w:rsidRDefault="007B45C0" w:rsidP="00F436B7">
      <w:pPr>
        <w:pStyle w:val="ListParagraph"/>
        <w:numPr>
          <w:ilvl w:val="0"/>
          <w:numId w:val="1"/>
        </w:numPr>
        <w:spacing w:line="360" w:lineRule="auto"/>
      </w:pPr>
      <w:r w:rsidRPr="007B45C0">
        <w:rPr>
          <w:rFonts w:ascii="Arial" w:hAnsi="Arial" w:cs="Arial"/>
          <w:sz w:val="20"/>
          <w:szCs w:val="20"/>
          <w:shd w:val="clear" w:color="auto" w:fill="FFFFFF"/>
        </w:rPr>
        <w:t>JRF. (2019). </w:t>
      </w:r>
      <w:r w:rsidRPr="007B45C0">
        <w:rPr>
          <w:rFonts w:ascii="Arial" w:hAnsi="Arial" w:cs="Arial"/>
          <w:i/>
          <w:iCs/>
          <w:sz w:val="20"/>
          <w:szCs w:val="20"/>
          <w:shd w:val="clear" w:color="auto" w:fill="FFFFFF"/>
        </w:rPr>
        <w:t xml:space="preserve">What is </w:t>
      </w:r>
      <w:proofErr w:type="gramStart"/>
      <w:r w:rsidRPr="007B45C0">
        <w:rPr>
          <w:rFonts w:ascii="Arial" w:hAnsi="Arial" w:cs="Arial"/>
          <w:i/>
          <w:iCs/>
          <w:sz w:val="20"/>
          <w:szCs w:val="20"/>
          <w:shd w:val="clear" w:color="auto" w:fill="FFFFFF"/>
        </w:rPr>
        <w:t>poverty?</w:t>
      </w:r>
      <w:r w:rsidRPr="007B45C0">
        <w:rPr>
          <w:rFonts w:ascii="Arial" w:hAnsi="Arial" w:cs="Arial"/>
          <w:sz w:val="20"/>
          <w:szCs w:val="20"/>
          <w:shd w:val="clear" w:color="auto" w:fill="FFFFFF"/>
        </w:rPr>
        <w:t>.</w:t>
      </w:r>
      <w:proofErr w:type="gramEnd"/>
      <w:r w:rsidRPr="007B45C0">
        <w:rPr>
          <w:rFonts w:ascii="Arial" w:hAnsi="Arial" w:cs="Arial"/>
          <w:sz w:val="20"/>
          <w:szCs w:val="20"/>
          <w:shd w:val="clear" w:color="auto" w:fill="FFFFFF"/>
        </w:rPr>
        <w:t xml:space="preserve"> [online] Available at: https://www.jrf.org.uk/our-work/what-is-poverty [Accessed 28 Apr. 2019].</w:t>
      </w:r>
    </w:p>
    <w:p w:rsidR="007B45C0" w:rsidRPr="007B45C0" w:rsidRDefault="007B45C0" w:rsidP="00147C93">
      <w:pPr>
        <w:pStyle w:val="ListParagraph"/>
        <w:numPr>
          <w:ilvl w:val="0"/>
          <w:numId w:val="1"/>
        </w:numPr>
        <w:spacing w:line="360" w:lineRule="auto"/>
      </w:pPr>
      <w:r w:rsidRPr="007B45C0">
        <w:rPr>
          <w:rFonts w:ascii="Arial" w:hAnsi="Arial" w:cs="Arial"/>
          <w:sz w:val="20"/>
          <w:szCs w:val="20"/>
          <w:shd w:val="clear" w:color="auto" w:fill="FFFFFF"/>
        </w:rPr>
        <w:t>Legislation.gov.uk. (2018). </w:t>
      </w:r>
      <w:r w:rsidRPr="007B45C0">
        <w:rPr>
          <w:rFonts w:ascii="Arial" w:hAnsi="Arial" w:cs="Arial"/>
          <w:i/>
          <w:iCs/>
          <w:sz w:val="20"/>
          <w:szCs w:val="20"/>
          <w:shd w:val="clear" w:color="auto" w:fill="FFFFFF"/>
        </w:rPr>
        <w:t>Data Protection Act 2018</w:t>
      </w:r>
      <w:r w:rsidRPr="007B45C0">
        <w:rPr>
          <w:rFonts w:ascii="Arial" w:hAnsi="Arial" w:cs="Arial"/>
          <w:sz w:val="20"/>
          <w:szCs w:val="20"/>
          <w:shd w:val="clear" w:color="auto" w:fill="FFFFFF"/>
        </w:rPr>
        <w:t>. [online] Available at: http://www.legislation.gov.uk/ukpga/2018/12/section/35/enacted [Accessed 23 Jul. 2019].</w:t>
      </w:r>
    </w:p>
    <w:p w:rsidR="007B45C0" w:rsidRPr="007B45C0" w:rsidRDefault="007B45C0" w:rsidP="00147C93">
      <w:pPr>
        <w:pStyle w:val="ListParagraph"/>
        <w:numPr>
          <w:ilvl w:val="0"/>
          <w:numId w:val="1"/>
        </w:numPr>
        <w:spacing w:line="360" w:lineRule="auto"/>
      </w:pPr>
      <w:proofErr w:type="spellStart"/>
      <w:r w:rsidRPr="007B45C0">
        <w:rPr>
          <w:rFonts w:ascii="Arial" w:hAnsi="Arial" w:cs="Arial"/>
          <w:sz w:val="20"/>
          <w:szCs w:val="20"/>
          <w:shd w:val="clear" w:color="auto" w:fill="FFFFFF"/>
        </w:rPr>
        <w:t>Lietz</w:t>
      </w:r>
      <w:proofErr w:type="spellEnd"/>
      <w:r w:rsidRPr="007B45C0">
        <w:rPr>
          <w:rFonts w:ascii="Arial" w:hAnsi="Arial" w:cs="Arial"/>
          <w:sz w:val="20"/>
          <w:szCs w:val="20"/>
          <w:shd w:val="clear" w:color="auto" w:fill="FFFFFF"/>
        </w:rPr>
        <w:t>, P. (2010). Research into Questionnaire Design: A Summary of the Literature. </w:t>
      </w:r>
      <w:r w:rsidRPr="007B45C0">
        <w:rPr>
          <w:rFonts w:ascii="Arial" w:hAnsi="Arial" w:cs="Arial"/>
          <w:i/>
          <w:iCs/>
          <w:sz w:val="20"/>
          <w:szCs w:val="20"/>
          <w:shd w:val="clear" w:color="auto" w:fill="FFFFFF"/>
        </w:rPr>
        <w:t>International Journal of Market Research</w:t>
      </w:r>
      <w:r w:rsidRPr="007B45C0">
        <w:rPr>
          <w:rFonts w:ascii="Arial" w:hAnsi="Arial" w:cs="Arial"/>
          <w:sz w:val="20"/>
          <w:szCs w:val="20"/>
          <w:shd w:val="clear" w:color="auto" w:fill="FFFFFF"/>
        </w:rPr>
        <w:t>, [online] 52(2), pp.249-272. Available at: https://pdfs.semanticscholar.org/3c20/d5e328a5c538cb638dd46222f8de18af4164.pdf [Accessed 23 Jul. 2019].</w:t>
      </w:r>
    </w:p>
    <w:p w:rsidR="007B45C0" w:rsidRPr="007B45C0" w:rsidRDefault="007B45C0" w:rsidP="00F436B7">
      <w:pPr>
        <w:pStyle w:val="ListParagraph"/>
        <w:numPr>
          <w:ilvl w:val="0"/>
          <w:numId w:val="1"/>
        </w:numPr>
        <w:spacing w:line="360" w:lineRule="auto"/>
      </w:pPr>
      <w:r w:rsidRPr="007B45C0">
        <w:rPr>
          <w:rFonts w:ascii="Arial" w:hAnsi="Arial" w:cs="Arial"/>
          <w:sz w:val="20"/>
          <w:szCs w:val="20"/>
          <w:shd w:val="clear" w:color="auto" w:fill="FFFFFF"/>
        </w:rPr>
        <w:t>Neath Port Talbot County Borough Council (2013). </w:t>
      </w:r>
      <w:r w:rsidRPr="007B45C0">
        <w:rPr>
          <w:rFonts w:ascii="Arial" w:hAnsi="Arial" w:cs="Arial"/>
          <w:i/>
          <w:iCs/>
          <w:sz w:val="20"/>
          <w:szCs w:val="20"/>
          <w:shd w:val="clear" w:color="auto" w:fill="FFFFFF"/>
        </w:rPr>
        <w:t>Entry/ Exit Criteria</w:t>
      </w:r>
      <w:r w:rsidRPr="007B45C0">
        <w:rPr>
          <w:rFonts w:ascii="Arial" w:hAnsi="Arial" w:cs="Arial"/>
          <w:sz w:val="20"/>
          <w:szCs w:val="20"/>
          <w:shd w:val="clear" w:color="auto" w:fill="FFFFFF"/>
        </w:rPr>
        <w:t>. Port Talbot: Neath Port Talbot County Borough Council, p.1</w:t>
      </w:r>
    </w:p>
    <w:p w:rsidR="007B45C0" w:rsidRPr="007B45C0" w:rsidRDefault="007B45C0" w:rsidP="00F436B7">
      <w:pPr>
        <w:pStyle w:val="ListParagraph"/>
        <w:numPr>
          <w:ilvl w:val="0"/>
          <w:numId w:val="1"/>
        </w:numPr>
        <w:spacing w:line="360" w:lineRule="auto"/>
      </w:pPr>
      <w:r w:rsidRPr="007B45C0">
        <w:rPr>
          <w:rFonts w:ascii="Arial" w:hAnsi="Arial" w:cs="Arial"/>
          <w:sz w:val="20"/>
          <w:szCs w:val="20"/>
          <w:shd w:val="clear" w:color="auto" w:fill="FFFFFF"/>
        </w:rPr>
        <w:t>Neath Port Talbot County Borough Council (2013). </w:t>
      </w:r>
      <w:r w:rsidRPr="007B45C0">
        <w:rPr>
          <w:rFonts w:ascii="Arial" w:hAnsi="Arial" w:cs="Arial"/>
          <w:i/>
          <w:iCs/>
          <w:sz w:val="20"/>
          <w:szCs w:val="20"/>
          <w:shd w:val="clear" w:color="auto" w:fill="FFFFFF"/>
        </w:rPr>
        <w:t xml:space="preserve">supporting children with additional </w:t>
      </w:r>
      <w:proofErr w:type="spellStart"/>
      <w:r w:rsidRPr="007B45C0">
        <w:rPr>
          <w:rFonts w:ascii="Arial" w:hAnsi="Arial" w:cs="Arial"/>
          <w:i/>
          <w:iCs/>
          <w:sz w:val="20"/>
          <w:szCs w:val="20"/>
          <w:shd w:val="clear" w:color="auto" w:fill="FFFFFF"/>
        </w:rPr>
        <w:t>learing</w:t>
      </w:r>
      <w:proofErr w:type="spellEnd"/>
      <w:r w:rsidRPr="007B45C0">
        <w:rPr>
          <w:rFonts w:ascii="Arial" w:hAnsi="Arial" w:cs="Arial"/>
          <w:i/>
          <w:iCs/>
          <w:sz w:val="20"/>
          <w:szCs w:val="20"/>
          <w:shd w:val="clear" w:color="auto" w:fill="FFFFFF"/>
        </w:rPr>
        <w:t xml:space="preserve"> needs</w:t>
      </w:r>
      <w:r w:rsidRPr="007B45C0">
        <w:rPr>
          <w:rFonts w:ascii="Arial" w:hAnsi="Arial" w:cs="Arial"/>
          <w:sz w:val="20"/>
          <w:szCs w:val="20"/>
          <w:shd w:val="clear" w:color="auto" w:fill="FFFFFF"/>
        </w:rPr>
        <w:t>. Port Talbot: Neath Port Talbot County Borough Council.</w:t>
      </w:r>
    </w:p>
    <w:p w:rsidR="007B45C0" w:rsidRPr="007B45C0" w:rsidRDefault="007B45C0" w:rsidP="00F436B7">
      <w:pPr>
        <w:pStyle w:val="ListParagraph"/>
        <w:numPr>
          <w:ilvl w:val="0"/>
          <w:numId w:val="1"/>
        </w:numPr>
        <w:spacing w:line="360" w:lineRule="auto"/>
      </w:pPr>
      <w:r w:rsidRPr="007B45C0">
        <w:rPr>
          <w:rFonts w:ascii="Arial" w:hAnsi="Arial" w:cs="Arial"/>
          <w:sz w:val="20"/>
          <w:szCs w:val="20"/>
          <w:shd w:val="clear" w:color="auto" w:fill="FFFFFF"/>
        </w:rPr>
        <w:t>Pembroke County Council (2019). </w:t>
      </w:r>
      <w:r w:rsidRPr="007B45C0">
        <w:rPr>
          <w:rFonts w:ascii="Arial" w:hAnsi="Arial" w:cs="Arial"/>
          <w:i/>
          <w:iCs/>
          <w:sz w:val="20"/>
          <w:szCs w:val="20"/>
          <w:shd w:val="clear" w:color="auto" w:fill="FFFFFF"/>
        </w:rPr>
        <w:t xml:space="preserve">Education and Inclusion Policy and </w:t>
      </w:r>
      <w:proofErr w:type="spellStart"/>
      <w:r w:rsidRPr="007B45C0">
        <w:rPr>
          <w:rFonts w:ascii="Arial" w:hAnsi="Arial" w:cs="Arial"/>
          <w:i/>
          <w:iCs/>
          <w:sz w:val="20"/>
          <w:szCs w:val="20"/>
          <w:shd w:val="clear" w:color="auto" w:fill="FFFFFF"/>
        </w:rPr>
        <w:t>Stratergy</w:t>
      </w:r>
      <w:proofErr w:type="spellEnd"/>
      <w:r w:rsidRPr="007B45C0">
        <w:rPr>
          <w:rFonts w:ascii="Arial" w:hAnsi="Arial" w:cs="Arial"/>
          <w:sz w:val="20"/>
          <w:szCs w:val="20"/>
          <w:shd w:val="clear" w:color="auto" w:fill="FFFFFF"/>
        </w:rPr>
        <w:t xml:space="preserve">. Pembroke: Pembroke County Council. </w:t>
      </w:r>
    </w:p>
    <w:p w:rsidR="007B45C0" w:rsidRPr="007B45C0" w:rsidRDefault="007B45C0" w:rsidP="00147C93">
      <w:pPr>
        <w:pStyle w:val="ListParagraph"/>
        <w:numPr>
          <w:ilvl w:val="0"/>
          <w:numId w:val="1"/>
        </w:numPr>
        <w:spacing w:line="360" w:lineRule="auto"/>
      </w:pPr>
      <w:proofErr w:type="spellStart"/>
      <w:r w:rsidRPr="007B45C0">
        <w:rPr>
          <w:rFonts w:ascii="Arial" w:hAnsi="Arial" w:cs="Arial"/>
          <w:sz w:val="20"/>
          <w:szCs w:val="20"/>
          <w:shd w:val="clear" w:color="auto" w:fill="FFFFFF"/>
        </w:rPr>
        <w:t>Statswales.gov.wales</w:t>
      </w:r>
      <w:proofErr w:type="spellEnd"/>
      <w:r w:rsidRPr="007B45C0">
        <w:rPr>
          <w:rFonts w:ascii="Arial" w:hAnsi="Arial" w:cs="Arial"/>
          <w:sz w:val="20"/>
          <w:szCs w:val="20"/>
          <w:shd w:val="clear" w:color="auto" w:fill="FFFFFF"/>
        </w:rPr>
        <w:t>. (2018). </w:t>
      </w:r>
      <w:r w:rsidRPr="007B45C0">
        <w:rPr>
          <w:rFonts w:ascii="Arial" w:hAnsi="Arial" w:cs="Arial"/>
          <w:i/>
          <w:iCs/>
          <w:sz w:val="20"/>
          <w:szCs w:val="20"/>
          <w:shd w:val="clear" w:color="auto" w:fill="FFFFFF"/>
        </w:rPr>
        <w:t>Pupils aged 5-15 eligible for free school meals by local authority, region and year</w:t>
      </w:r>
      <w:r w:rsidRPr="007B45C0">
        <w:rPr>
          <w:rFonts w:ascii="Arial" w:hAnsi="Arial" w:cs="Arial"/>
          <w:sz w:val="20"/>
          <w:szCs w:val="20"/>
          <w:shd w:val="clear" w:color="auto" w:fill="FFFFFF"/>
        </w:rPr>
        <w:t>. [online] Available at: https://statswales.gov.wales/Catalogue/Education-and-Skills/Schools-and-Teachers/Schools-</w:t>
      </w:r>
      <w:r w:rsidRPr="007B45C0">
        <w:rPr>
          <w:rFonts w:ascii="Arial" w:hAnsi="Arial" w:cs="Arial"/>
          <w:sz w:val="20"/>
          <w:szCs w:val="20"/>
          <w:shd w:val="clear" w:color="auto" w:fill="FFFFFF"/>
        </w:rPr>
        <w:lastRenderedPageBreak/>
        <w:t>Census/Pupil-Level-Annual-School-Census/Provision-of-Meals-and-Milk/pupilsaged5to15eligibleforfreeschoolmeals-by-localauthorityregion-year [Accessed 23 Jul. 2019].</w:t>
      </w:r>
    </w:p>
    <w:p w:rsidR="007B45C0" w:rsidRPr="007B45C0" w:rsidRDefault="007B45C0" w:rsidP="00147C93">
      <w:pPr>
        <w:pStyle w:val="ListParagraph"/>
        <w:numPr>
          <w:ilvl w:val="0"/>
          <w:numId w:val="1"/>
        </w:numPr>
        <w:spacing w:line="360" w:lineRule="auto"/>
      </w:pPr>
      <w:r w:rsidRPr="007B45C0">
        <w:rPr>
          <w:rFonts w:ascii="Arial" w:hAnsi="Arial" w:cs="Arial"/>
          <w:sz w:val="20"/>
          <w:szCs w:val="20"/>
          <w:shd w:val="clear" w:color="auto" w:fill="FFFFFF"/>
        </w:rPr>
        <w:t>The Centre for Excellence and Outcomes in Children and Young People’s Services (2011). </w:t>
      </w:r>
      <w:r w:rsidRPr="007B45C0">
        <w:rPr>
          <w:rFonts w:ascii="Arial" w:hAnsi="Arial" w:cs="Arial"/>
          <w:i/>
          <w:iCs/>
          <w:sz w:val="20"/>
          <w:szCs w:val="20"/>
          <w:shd w:val="clear" w:color="auto" w:fill="FFFFFF"/>
        </w:rPr>
        <w:t>Effective classroom strategies for closing the gap in educational achievement for children and young people living in poverty, including white working-class boys</w:t>
      </w:r>
      <w:r w:rsidRPr="007B45C0">
        <w:rPr>
          <w:rFonts w:ascii="Arial" w:hAnsi="Arial" w:cs="Arial"/>
          <w:sz w:val="20"/>
          <w:szCs w:val="20"/>
          <w:shd w:val="clear" w:color="auto" w:fill="FFFFFF"/>
        </w:rPr>
        <w:t>. [online] London: The Centre for Excellence and Outcomes in Children and Young People’s Services. Available at: https://www.york.ac.uk/media/iee/documents/Closing%20the%20Gap.pdf [Accessed 23 Jul. 2019].</w:t>
      </w:r>
    </w:p>
    <w:p w:rsidR="007B45C0" w:rsidRPr="007B45C0" w:rsidRDefault="007B45C0" w:rsidP="00F436B7">
      <w:pPr>
        <w:pStyle w:val="ListParagraph"/>
        <w:numPr>
          <w:ilvl w:val="0"/>
          <w:numId w:val="1"/>
        </w:numPr>
        <w:spacing w:line="360" w:lineRule="auto"/>
      </w:pPr>
      <w:r w:rsidRPr="007B45C0">
        <w:rPr>
          <w:rFonts w:ascii="Arial" w:hAnsi="Arial" w:cs="Arial"/>
          <w:sz w:val="20"/>
          <w:szCs w:val="20"/>
          <w:shd w:val="clear" w:color="auto" w:fill="FFFFFF"/>
        </w:rPr>
        <w:t>United Nations (1989). </w:t>
      </w:r>
      <w:r w:rsidRPr="007B45C0">
        <w:rPr>
          <w:rFonts w:ascii="Arial" w:hAnsi="Arial" w:cs="Arial"/>
          <w:i/>
          <w:iCs/>
          <w:sz w:val="20"/>
          <w:szCs w:val="20"/>
          <w:shd w:val="clear" w:color="auto" w:fill="FFFFFF"/>
        </w:rPr>
        <w:t>United Nations Convention on the Rights of the Child</w:t>
      </w:r>
      <w:r w:rsidRPr="007B45C0">
        <w:rPr>
          <w:rFonts w:ascii="Arial" w:hAnsi="Arial" w:cs="Arial"/>
          <w:sz w:val="20"/>
          <w:szCs w:val="20"/>
          <w:shd w:val="clear" w:color="auto" w:fill="FFFFFF"/>
        </w:rPr>
        <w:t>. Geneva: United Nations, p.9.</w:t>
      </w:r>
    </w:p>
    <w:sectPr w:rsidR="007B45C0" w:rsidRPr="007B45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410A31"/>
    <w:multiLevelType w:val="hybridMultilevel"/>
    <w:tmpl w:val="4B125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E36"/>
    <w:rsid w:val="00053306"/>
    <w:rsid w:val="00081BE0"/>
    <w:rsid w:val="000A39F7"/>
    <w:rsid w:val="000C78E2"/>
    <w:rsid w:val="0011269B"/>
    <w:rsid w:val="00117C79"/>
    <w:rsid w:val="00147C93"/>
    <w:rsid w:val="00172634"/>
    <w:rsid w:val="002B6A26"/>
    <w:rsid w:val="002D4B06"/>
    <w:rsid w:val="002E0900"/>
    <w:rsid w:val="00421EB0"/>
    <w:rsid w:val="00447BAF"/>
    <w:rsid w:val="004530E6"/>
    <w:rsid w:val="004B4216"/>
    <w:rsid w:val="00521922"/>
    <w:rsid w:val="00576AB5"/>
    <w:rsid w:val="00602D15"/>
    <w:rsid w:val="0063684C"/>
    <w:rsid w:val="00674828"/>
    <w:rsid w:val="006A1229"/>
    <w:rsid w:val="007B45C0"/>
    <w:rsid w:val="007E7B09"/>
    <w:rsid w:val="00940077"/>
    <w:rsid w:val="009730DC"/>
    <w:rsid w:val="00A11197"/>
    <w:rsid w:val="00AD7707"/>
    <w:rsid w:val="00B34A83"/>
    <w:rsid w:val="00B71D03"/>
    <w:rsid w:val="00B97407"/>
    <w:rsid w:val="00C56E35"/>
    <w:rsid w:val="00C917CE"/>
    <w:rsid w:val="00CB10FA"/>
    <w:rsid w:val="00CD009C"/>
    <w:rsid w:val="00D81838"/>
    <w:rsid w:val="00DD110C"/>
    <w:rsid w:val="00E01E36"/>
    <w:rsid w:val="00E70209"/>
    <w:rsid w:val="00E9292E"/>
    <w:rsid w:val="00F436B7"/>
    <w:rsid w:val="00FF1DA9"/>
    <w:rsid w:val="00FF6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5872F"/>
  <w15:chartTrackingRefBased/>
  <w15:docId w15:val="{48ADD3F5-8243-4C81-A7D5-B7B898729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01E36"/>
    <w:pPr>
      <w:suppressAutoHyphens/>
      <w:autoSpaceDN w:val="0"/>
      <w:spacing w:line="251"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01E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1E36"/>
    <w:rPr>
      <w:rFonts w:ascii="Segoe UI" w:eastAsia="Calibri" w:hAnsi="Segoe UI" w:cs="Segoe UI"/>
      <w:sz w:val="18"/>
      <w:szCs w:val="18"/>
    </w:rPr>
  </w:style>
  <w:style w:type="paragraph" w:styleId="ListParagraph">
    <w:name w:val="List Paragraph"/>
    <w:basedOn w:val="Normal"/>
    <w:uiPriority w:val="34"/>
    <w:qFormat/>
    <w:rsid w:val="00F436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chart" Target="charts/chart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chart" Target="charts/chart1.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D:\User%20Data\Downloads\Questionnaire%20%20(Responses)%20-%20with%20tabl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Methods</a:t>
            </a:r>
            <a:r>
              <a:rPr lang="en-GB" baseline="0"/>
              <a:t> of inclusion within the classroom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Sheet9!$B$1</c:f>
              <c:strCache>
                <c:ptCount val="1"/>
                <c:pt idx="0">
                  <c:v>Number of responses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B3A-4AD3-8A30-47948E367AC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B3A-4AD3-8A30-47948E367AC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B3A-4AD3-8A30-47948E367AC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B3A-4AD3-8A30-47948E367AC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B3A-4AD3-8A30-47948E367AC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B3A-4AD3-8A30-47948E367AC9}"/>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2B3A-4AD3-8A30-47948E367AC9}"/>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2B3A-4AD3-8A30-47948E367AC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Sheet9!$A$2:$A$9</c:f>
              <c:strCache>
                <c:ptCount val="8"/>
                <c:pt idx="0">
                  <c:v>provide PE kit/swinng costume</c:v>
                </c:pt>
                <c:pt idx="1">
                  <c:v>Free snacks</c:v>
                </c:pt>
                <c:pt idx="2">
                  <c:v>Rain coats</c:v>
                </c:pt>
                <c:pt idx="3">
                  <c:v>Wellies</c:v>
                </c:pt>
                <c:pt idx="4">
                  <c:v>provide school uniform</c:v>
                </c:pt>
                <c:pt idx="5">
                  <c:v>In class support</c:v>
                </c:pt>
                <c:pt idx="6">
                  <c:v>Reading recovery</c:v>
                </c:pt>
                <c:pt idx="7">
                  <c:v>Other</c:v>
                </c:pt>
              </c:strCache>
            </c:strRef>
          </c:cat>
          <c:val>
            <c:numRef>
              <c:f>Sheet9!$B$2:$B$9</c:f>
              <c:numCache>
                <c:formatCode>General</c:formatCode>
                <c:ptCount val="8"/>
                <c:pt idx="0">
                  <c:v>5</c:v>
                </c:pt>
                <c:pt idx="1">
                  <c:v>3</c:v>
                </c:pt>
                <c:pt idx="2">
                  <c:v>4</c:v>
                </c:pt>
                <c:pt idx="3">
                  <c:v>5</c:v>
                </c:pt>
                <c:pt idx="4">
                  <c:v>3</c:v>
                </c:pt>
                <c:pt idx="5">
                  <c:v>6</c:v>
                </c:pt>
                <c:pt idx="6">
                  <c:v>6</c:v>
                </c:pt>
                <c:pt idx="7">
                  <c:v>2</c:v>
                </c:pt>
              </c:numCache>
            </c:numRef>
          </c:val>
          <c:extLst>
            <c:ext xmlns:c16="http://schemas.microsoft.com/office/drawing/2014/chart" uri="{C3380CC4-5D6E-409C-BE32-E72D297353CC}">
              <c16:uniqueId val="{00000010-2B3A-4AD3-8A30-47948E367AC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[Questionnaire  (Responses) - with tables.xlsx]Sheet5!PivotTable47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Opinions to the</a:t>
            </a:r>
            <a:r>
              <a:rPr lang="en-US" sz="1200" baseline="0"/>
              <a:t> 9% decrease in the attainment gap  between those eligable for free school meals and those who are not. </a:t>
            </a:r>
            <a:r>
              <a:rPr lang="en-US" sz="1200"/>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pivotFmt>
      <c:pivotFmt>
        <c:idx val="3"/>
        <c:spPr>
          <a:solidFill>
            <a:schemeClr val="accent1"/>
          </a:solidFill>
          <a:ln>
            <a:noFill/>
          </a:ln>
          <a:effectLst/>
        </c:spPr>
      </c:pivotFmt>
      <c:pivotFmt>
        <c:idx val="4"/>
        <c:spPr>
          <a:solidFill>
            <a:schemeClr val="accent1"/>
          </a:solidFill>
          <a:ln>
            <a:noFill/>
          </a:ln>
          <a:effectLst/>
        </c:spPr>
      </c:pivotFmt>
      <c:pivotFmt>
        <c:idx val="5"/>
        <c:spPr>
          <a:solidFill>
            <a:schemeClr val="accent1"/>
          </a:solidFill>
          <a:ln>
            <a:noFill/>
          </a:ln>
          <a:effectLst/>
        </c:spPr>
      </c:pivotFmt>
      <c:pivotFmt>
        <c:idx val="6"/>
        <c:spPr>
          <a:solidFill>
            <a:schemeClr val="accent1"/>
          </a:solidFill>
          <a:ln>
            <a:noFill/>
          </a:ln>
          <a:effectLst/>
        </c:spPr>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pivotFmt>
      <c:pivotFmt>
        <c:idx val="9"/>
        <c:spPr>
          <a:solidFill>
            <a:schemeClr val="accent1"/>
          </a:solidFill>
          <a:ln>
            <a:noFill/>
          </a:ln>
          <a:effectLst/>
        </c:spPr>
      </c:pivotFmt>
      <c:pivotFmt>
        <c:idx val="10"/>
        <c:spPr>
          <a:solidFill>
            <a:schemeClr val="accent1"/>
          </a:solidFill>
          <a:ln>
            <a:noFill/>
          </a:ln>
          <a:effectLst/>
        </c:spPr>
      </c:pivotFmt>
      <c:pivotFmt>
        <c:idx val="11"/>
        <c:spPr>
          <a:solidFill>
            <a:schemeClr val="accent1"/>
          </a:solidFill>
          <a:ln>
            <a:noFill/>
          </a:ln>
          <a:effectLst/>
        </c:spPr>
      </c:pivotFmt>
      <c:pivotFmt>
        <c:idx val="12"/>
        <c:spPr>
          <a:solidFill>
            <a:schemeClr val="accent1"/>
          </a:solidFill>
          <a:ln>
            <a:noFill/>
          </a:ln>
          <a:effectLst/>
        </c:spPr>
      </c:pivotFmt>
    </c:pivotFmts>
    <c:plotArea>
      <c:layout/>
      <c:pieChart>
        <c:varyColors val="1"/>
        <c:ser>
          <c:idx val="0"/>
          <c:order val="0"/>
          <c:tx>
            <c:strRef>
              <c:f>Sheet5!$B$3</c:f>
              <c:strCache>
                <c:ptCount val="1"/>
                <c:pt idx="0">
                  <c:v>Total</c:v>
                </c:pt>
              </c:strCache>
            </c:strRef>
          </c:tx>
          <c:dPt>
            <c:idx val="0"/>
            <c:bubble3D val="0"/>
            <c:spPr>
              <a:solidFill>
                <a:schemeClr val="accent1"/>
              </a:solidFill>
              <a:ln>
                <a:noFill/>
              </a:ln>
              <a:effectLst/>
            </c:spPr>
            <c:extLst>
              <c:ext xmlns:c16="http://schemas.microsoft.com/office/drawing/2014/chart" uri="{C3380CC4-5D6E-409C-BE32-E72D297353CC}">
                <c16:uniqueId val="{00000001-8A5A-41B7-97F7-342684CC689B}"/>
              </c:ext>
            </c:extLst>
          </c:dPt>
          <c:dPt>
            <c:idx val="1"/>
            <c:bubble3D val="0"/>
            <c:spPr>
              <a:solidFill>
                <a:schemeClr val="accent2"/>
              </a:solidFill>
              <a:ln>
                <a:noFill/>
              </a:ln>
              <a:effectLst/>
            </c:spPr>
            <c:extLst>
              <c:ext xmlns:c16="http://schemas.microsoft.com/office/drawing/2014/chart" uri="{C3380CC4-5D6E-409C-BE32-E72D297353CC}">
                <c16:uniqueId val="{00000003-8A5A-41B7-97F7-342684CC689B}"/>
              </c:ext>
            </c:extLst>
          </c:dPt>
          <c:dPt>
            <c:idx val="2"/>
            <c:bubble3D val="0"/>
            <c:spPr>
              <a:solidFill>
                <a:schemeClr val="accent3"/>
              </a:solidFill>
              <a:ln>
                <a:noFill/>
              </a:ln>
              <a:effectLst/>
            </c:spPr>
            <c:extLst>
              <c:ext xmlns:c16="http://schemas.microsoft.com/office/drawing/2014/chart" uri="{C3380CC4-5D6E-409C-BE32-E72D297353CC}">
                <c16:uniqueId val="{00000005-8A5A-41B7-97F7-342684CC689B}"/>
              </c:ext>
            </c:extLst>
          </c:dPt>
          <c:dPt>
            <c:idx val="3"/>
            <c:bubble3D val="0"/>
            <c:spPr>
              <a:solidFill>
                <a:schemeClr val="accent4"/>
              </a:solidFill>
              <a:ln>
                <a:noFill/>
              </a:ln>
              <a:effectLst/>
            </c:spPr>
            <c:extLst>
              <c:ext xmlns:c16="http://schemas.microsoft.com/office/drawing/2014/chart" uri="{C3380CC4-5D6E-409C-BE32-E72D297353CC}">
                <c16:uniqueId val="{00000007-8A5A-41B7-97F7-342684CC689B}"/>
              </c:ext>
            </c:extLst>
          </c:dPt>
          <c:dPt>
            <c:idx val="4"/>
            <c:bubble3D val="0"/>
            <c:spPr>
              <a:solidFill>
                <a:schemeClr val="accent5"/>
              </a:solidFill>
              <a:ln>
                <a:noFill/>
              </a:ln>
              <a:effectLst/>
            </c:spPr>
            <c:extLst>
              <c:ext xmlns:c16="http://schemas.microsoft.com/office/drawing/2014/chart" uri="{C3380CC4-5D6E-409C-BE32-E72D297353CC}">
                <c16:uniqueId val="{00000009-8A5A-41B7-97F7-342684CC689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Sheet5!$A$4:$A$8</c:f>
              <c:strCache>
                <c:ptCount val="5"/>
                <c:pt idx="0">
                  <c:v>Agree</c:v>
                </c:pt>
                <c:pt idx="1">
                  <c:v>Disagree</c:v>
                </c:pt>
                <c:pt idx="2">
                  <c:v>Neither agree nor disagree</c:v>
                </c:pt>
                <c:pt idx="3">
                  <c:v>Strongly agree</c:v>
                </c:pt>
                <c:pt idx="4">
                  <c:v>Strongly disagree</c:v>
                </c:pt>
              </c:strCache>
            </c:strRef>
          </c:cat>
          <c:val>
            <c:numRef>
              <c:f>Sheet5!$B$4:$B$8</c:f>
              <c:numCache>
                <c:formatCode>General</c:formatCode>
                <c:ptCount val="5"/>
                <c:pt idx="0">
                  <c:v>1</c:v>
                </c:pt>
                <c:pt idx="1">
                  <c:v>1</c:v>
                </c:pt>
                <c:pt idx="2">
                  <c:v>1</c:v>
                </c:pt>
                <c:pt idx="3">
                  <c:v>3</c:v>
                </c:pt>
                <c:pt idx="4">
                  <c:v>2</c:v>
                </c:pt>
              </c:numCache>
            </c:numRef>
          </c:val>
          <c:extLst>
            <c:ext xmlns:c16="http://schemas.microsoft.com/office/drawing/2014/chart" uri="{C3380CC4-5D6E-409C-BE32-E72D297353CC}">
              <c16:uniqueId val="{0000000A-8A5A-41B7-97F7-342684CC689B}"/>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15</Pages>
  <Words>4360</Words>
  <Characters>24854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llewellyn</dc:creator>
  <cp:keywords/>
  <dc:description/>
  <cp:lastModifiedBy>tom llewellyn</cp:lastModifiedBy>
  <cp:revision>2</cp:revision>
  <dcterms:created xsi:type="dcterms:W3CDTF">2019-07-24T18:01:00Z</dcterms:created>
  <dcterms:modified xsi:type="dcterms:W3CDTF">2019-07-24T18:01:00Z</dcterms:modified>
</cp:coreProperties>
</file>