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dxa"/>
        <w:tblInd w:w="-1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45"/>
        <w:gridCol w:w="1620"/>
        <w:gridCol w:w="285"/>
        <w:gridCol w:w="1695"/>
      </w:tblGrid>
      <w:tr w:rsidR="007E023A" w:rsidRPr="00F85F33" w:rsidTr="005808F7">
        <w:trPr>
          <w:trHeight w:val="840"/>
        </w:trPr>
        <w:tc>
          <w:tcPr>
            <w:tcW w:w="8745" w:type="dxa"/>
            <w:gridSpan w:val="4"/>
            <w:tcBorders>
              <w:top w:val="single" w:sz="6" w:space="0" w:color="auto"/>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color w:val="000000"/>
                <w:sz w:val="24"/>
                <w:szCs w:val="24"/>
                <w:lang w:val="cy-GB" w:eastAsia="en-GB"/>
              </w:rPr>
              <w:t>Assignment feedback </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jc w:val="center"/>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7E023A" w:rsidRPr="00F85F33"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7E023A" w:rsidRPr="00F85F33" w:rsidTr="005808F7">
        <w:trPr>
          <w:trHeight w:val="360"/>
        </w:trPr>
        <w:tc>
          <w:tcPr>
            <w:tcW w:w="8745" w:type="dxa"/>
            <w:gridSpan w:val="4"/>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Name: </w:t>
            </w:r>
            <w:r w:rsidRPr="00F85F33">
              <w:rPr>
                <w:rFonts w:ascii="Calibri" w:eastAsia="Times New Roman" w:hAnsi="Calibri" w:cs="Times New Roman"/>
                <w:color w:val="0070C0"/>
                <w:sz w:val="24"/>
                <w:szCs w:val="24"/>
                <w:lang w:eastAsia="en-GB"/>
              </w:rPr>
              <w:t>Kirsty Parkes</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University Email: </w:t>
            </w: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r>
      <w:tr w:rsidR="007E023A" w:rsidRPr="00F85F33" w:rsidTr="005808F7">
        <w:trPr>
          <w:trHeight w:val="840"/>
        </w:trPr>
        <w:tc>
          <w:tcPr>
            <w:tcW w:w="5145" w:type="dxa"/>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code: </w:t>
            </w:r>
            <w:r>
              <w:rPr>
                <w:rFonts w:ascii="Calibri" w:eastAsia="Times New Roman" w:hAnsi="Calibri" w:cs="Times New Roman"/>
                <w:color w:val="0070C0"/>
                <w:sz w:val="24"/>
                <w:szCs w:val="24"/>
                <w:lang w:eastAsia="en-GB"/>
              </w:rPr>
              <w:t>HPAR4004</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7E023A" w:rsidRPr="00F85F33" w:rsidRDefault="007E023A" w:rsidP="007E023A">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Module title: </w:t>
            </w:r>
            <w:r>
              <w:rPr>
                <w:rFonts w:ascii="Calibri" w:eastAsia="Times New Roman" w:hAnsi="Calibri" w:cs="Times New Roman"/>
                <w:color w:val="0070C0"/>
                <w:sz w:val="24"/>
                <w:szCs w:val="24"/>
                <w:lang w:eastAsia="en-GB"/>
              </w:rPr>
              <w:t>Land, Sea and Skyscapes.</w:t>
            </w:r>
            <w:r w:rsidRPr="00F85F33">
              <w:rPr>
                <w:rFonts w:ascii="Calibri" w:eastAsia="Times New Roman" w:hAnsi="Calibri" w:cs="Times New Roman"/>
                <w:sz w:val="24"/>
                <w:szCs w:val="24"/>
                <w:lang w:eastAsia="en-GB"/>
              </w:rPr>
              <w:t> </w:t>
            </w:r>
          </w:p>
        </w:tc>
        <w:tc>
          <w:tcPr>
            <w:tcW w:w="1905" w:type="dxa"/>
            <w:gridSpan w:val="2"/>
            <w:tcBorders>
              <w:top w:val="nil"/>
              <w:left w:val="nil"/>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Student ID number:</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1600408</w:t>
            </w:r>
            <w:r w:rsidRPr="00F85F33">
              <w:rPr>
                <w:rFonts w:ascii="Calibri" w:eastAsia="Times New Roman" w:hAnsi="Calibri" w:cs="Times New Roman"/>
                <w:sz w:val="24"/>
                <w:szCs w:val="24"/>
                <w:lang w:eastAsia="en-GB"/>
              </w:rPr>
              <w:t> </w:t>
            </w:r>
          </w:p>
        </w:tc>
        <w:tc>
          <w:tcPr>
            <w:tcW w:w="1695" w:type="dxa"/>
            <w:tcBorders>
              <w:top w:val="nil"/>
              <w:left w:val="nil"/>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Educational support needs:</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color w:val="0070C0"/>
                <w:sz w:val="24"/>
                <w:szCs w:val="24"/>
                <w:lang w:eastAsia="en-GB"/>
              </w:rPr>
              <w:t>Yes</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7E023A" w:rsidRPr="00F85F33" w:rsidTr="005808F7">
        <w:trPr>
          <w:trHeight w:val="840"/>
        </w:trPr>
        <w:tc>
          <w:tcPr>
            <w:tcW w:w="8745" w:type="dxa"/>
            <w:gridSpan w:val="4"/>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title: </w:t>
            </w:r>
            <w:r>
              <w:rPr>
                <w:rFonts w:ascii="Calibri" w:eastAsia="Times New Roman" w:hAnsi="Calibri" w:cs="Times New Roman"/>
                <w:color w:val="0070C0"/>
                <w:sz w:val="24"/>
                <w:szCs w:val="24"/>
                <w:lang w:eastAsia="en-GB"/>
              </w:rPr>
              <w:t>Molluscs.</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due date: </w:t>
            </w:r>
            <w:r w:rsidRPr="00F85F33">
              <w:rPr>
                <w:rFonts w:ascii="Calibri" w:eastAsia="Times New Roman" w:hAnsi="Calibri" w:cs="Times New Roman"/>
                <w:color w:val="0070C0"/>
                <w:sz w:val="24"/>
                <w:szCs w:val="24"/>
                <w:lang w:eastAsia="en-GB"/>
              </w:rPr>
              <w:t>19/07/19 (retake).</w:t>
            </w:r>
            <w:r w:rsidRPr="00F85F33">
              <w:rPr>
                <w:rFonts w:ascii="Calibri" w:eastAsia="Times New Roman" w:hAnsi="Calibri" w:cs="Times New Roman"/>
                <w:sz w:val="24"/>
                <w:szCs w:val="24"/>
                <w:lang w:eastAsia="en-GB"/>
              </w:rPr>
              <w:t> </w:t>
            </w:r>
          </w:p>
        </w:tc>
      </w:tr>
      <w:tr w:rsidR="007E023A" w:rsidRPr="00F85F33" w:rsidTr="005808F7">
        <w:trPr>
          <w:trHeight w:val="495"/>
        </w:trPr>
        <w:tc>
          <w:tcPr>
            <w:tcW w:w="8745" w:type="dxa"/>
            <w:gridSpan w:val="4"/>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Assignment Number: </w:t>
            </w:r>
            <w:r>
              <w:rPr>
                <w:rFonts w:ascii="Calibri" w:eastAsia="Times New Roman" w:hAnsi="Calibri" w:cs="Times New Roman"/>
                <w:color w:val="0070C0"/>
                <w:sz w:val="24"/>
                <w:szCs w:val="24"/>
                <w:lang w:eastAsia="en-GB"/>
              </w:rPr>
              <w:t>3</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(i.e. 1,2,3)</w:t>
            </w:r>
            <w:r w:rsidRPr="00F85F33">
              <w:rPr>
                <w:rFonts w:ascii="Calibri" w:eastAsia="Times New Roman" w:hAnsi="Calibri" w:cs="Times New Roman"/>
                <w:sz w:val="24"/>
                <w:szCs w:val="24"/>
                <w:lang w:eastAsia="en-GB"/>
              </w:rPr>
              <w:t> </w:t>
            </w:r>
          </w:p>
        </w:tc>
      </w:tr>
      <w:tr w:rsidR="007E023A" w:rsidRPr="00F85F33" w:rsidTr="005808F7">
        <w:trPr>
          <w:trHeight w:val="6165"/>
        </w:trPr>
        <w:tc>
          <w:tcPr>
            <w:tcW w:w="8745" w:type="dxa"/>
            <w:gridSpan w:val="4"/>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7E023A" w:rsidRPr="00F85F33" w:rsidTr="005808F7">
        <w:tc>
          <w:tcPr>
            <w:tcW w:w="6765" w:type="dxa"/>
            <w:gridSpan w:val="2"/>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Marker’s  signature: </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c>
          <w:tcPr>
            <w:tcW w:w="1980" w:type="dxa"/>
            <w:gridSpan w:val="2"/>
            <w:tcBorders>
              <w:top w:val="nil"/>
              <w:left w:val="nil"/>
              <w:bottom w:val="single" w:sz="6" w:space="0" w:color="auto"/>
              <w:right w:val="single" w:sz="6" w:space="0" w:color="auto"/>
            </w:tcBorders>
            <w:shd w:val="clear" w:color="auto" w:fill="auto"/>
            <w:hideMark/>
          </w:tcPr>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Date:</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r w:rsidR="007E023A" w:rsidRPr="00F85F33" w:rsidTr="005808F7">
        <w:tc>
          <w:tcPr>
            <w:tcW w:w="8745" w:type="dxa"/>
            <w:gridSpan w:val="4"/>
            <w:tcBorders>
              <w:top w:val="nil"/>
              <w:left w:val="single" w:sz="6" w:space="0" w:color="auto"/>
              <w:bottom w:val="single" w:sz="6" w:space="0" w:color="auto"/>
              <w:right w:val="single" w:sz="6" w:space="0" w:color="auto"/>
            </w:tcBorders>
            <w:shd w:val="clear" w:color="auto" w:fill="auto"/>
            <w:hideMark/>
          </w:tcPr>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i/>
                <w:iCs/>
                <w:color w:val="000000"/>
                <w:sz w:val="24"/>
                <w:szCs w:val="24"/>
                <w:lang w:eastAsia="en-GB"/>
              </w:rPr>
              <w:t>Provisional.</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b/>
                <w:bCs/>
                <w:i/>
                <w:iCs/>
                <w:color w:val="000000"/>
                <w:sz w:val="24"/>
                <w:szCs w:val="24"/>
                <w:lang w:eastAsia="en-GB"/>
              </w:rPr>
              <w:t>NB.</w:t>
            </w:r>
            <w:r w:rsidRPr="00F85F33">
              <w:rPr>
                <w:rFonts w:ascii="Calibri" w:eastAsia="Times New Roman" w:hAnsi="Calibri" w:cs="Times New Roman"/>
                <w:i/>
                <w:iCs/>
                <w:color w:val="000000"/>
                <w:sz w:val="24"/>
                <w:szCs w:val="24"/>
                <w:lang w:eastAsia="en-GB"/>
              </w:rPr>
              <w:t>  All marks are provisional until confirmed by the final examination board. </w:t>
            </w:r>
            <w:r w:rsidRPr="00F85F33">
              <w:rPr>
                <w:rFonts w:ascii="Calibri" w:eastAsia="Times New Roman" w:hAnsi="Calibri" w:cs="Times New Roman"/>
                <w:sz w:val="24"/>
                <w:szCs w:val="24"/>
                <w:lang w:eastAsia="en-GB"/>
              </w:rPr>
              <w:t> </w:t>
            </w:r>
          </w:p>
          <w:p w:rsidR="007E023A" w:rsidRPr="00F85F33" w:rsidRDefault="007E023A" w:rsidP="005808F7">
            <w:pPr>
              <w:spacing w:after="0" w:line="240" w:lineRule="auto"/>
              <w:ind w:left="135" w:right="30"/>
              <w:textAlignment w:val="baseline"/>
              <w:rPr>
                <w:rFonts w:ascii="Times New Roman" w:eastAsia="Times New Roman" w:hAnsi="Times New Roman" w:cs="Times New Roman"/>
                <w:sz w:val="24"/>
                <w:szCs w:val="24"/>
                <w:lang w:eastAsia="en-GB"/>
              </w:rPr>
            </w:pPr>
            <w:r w:rsidRPr="00F85F33">
              <w:rPr>
                <w:rFonts w:ascii="Calibri" w:eastAsia="Times New Roman" w:hAnsi="Calibri" w:cs="Times New Roman"/>
                <w:sz w:val="24"/>
                <w:szCs w:val="24"/>
                <w:lang w:eastAsia="en-GB"/>
              </w:rPr>
              <w:t> </w:t>
            </w:r>
          </w:p>
        </w:tc>
      </w:tr>
    </w:tbl>
    <w:p w:rsidR="007E023A" w:rsidRDefault="007E023A" w:rsidP="007E023A">
      <w:pPr>
        <w:rPr>
          <w:rFonts w:asciiTheme="majorHAnsi" w:eastAsiaTheme="majorEastAsia" w:hAnsiTheme="majorHAnsi" w:cstheme="majorBidi"/>
          <w:color w:val="17365D" w:themeColor="text2" w:themeShade="BF"/>
          <w:spacing w:val="5"/>
          <w:kern w:val="28"/>
          <w:szCs w:val="52"/>
        </w:rPr>
      </w:pPr>
      <w:r>
        <w:br w:type="page"/>
      </w:r>
    </w:p>
    <w:p w:rsidR="00834AB5" w:rsidRDefault="003534CD" w:rsidP="003534CD">
      <w:pPr>
        <w:pStyle w:val="Title"/>
        <w:rPr>
          <w:sz w:val="40"/>
        </w:rPr>
      </w:pPr>
      <w:r w:rsidRPr="003534CD">
        <w:rPr>
          <w:sz w:val="40"/>
        </w:rPr>
        <w:lastRenderedPageBreak/>
        <w:t>Reconstructing Landscapes: Molluscan Evidence.</w:t>
      </w:r>
    </w:p>
    <w:p w:rsidR="003534CD" w:rsidRDefault="008F6EBF" w:rsidP="003534CD">
      <w:r>
        <w:t>Molluscan species</w:t>
      </w:r>
      <w:r w:rsidR="008E7B75">
        <w:t xml:space="preserve"> inhabit different habitats </w:t>
      </w:r>
      <w:r>
        <w:t>depending on</w:t>
      </w:r>
      <w:r w:rsidR="008E7B75">
        <w:t xml:space="preserve"> environmental</w:t>
      </w:r>
      <w:r>
        <w:t xml:space="preserve"> and </w:t>
      </w:r>
      <w:r w:rsidR="008E7B75">
        <w:t xml:space="preserve">ecological preferences. Archaeologists collect molluscs by laboratory processing and microscope sorting soil samples. Through this, we are able to reconstruct the landscape by looking at what environment is suitable for the </w:t>
      </w:r>
      <w:r w:rsidR="002274C1">
        <w:t>species/taxon</w:t>
      </w:r>
      <w:r w:rsidR="008E7B75">
        <w:t>.</w:t>
      </w:r>
    </w:p>
    <w:p w:rsidR="002274C1" w:rsidRPr="003534CD" w:rsidRDefault="002274C1" w:rsidP="003534CD"/>
    <w:p w:rsidR="00127E99" w:rsidRDefault="00127E99" w:rsidP="00127E99">
      <w:pPr>
        <w:spacing w:after="0"/>
        <w:ind w:left="720" w:hanging="720"/>
      </w:pPr>
      <w:r>
        <w:t xml:space="preserve">This diagram includes five graphs each for </w:t>
      </w:r>
      <w:r w:rsidR="00064623">
        <w:t>EDII</w:t>
      </w:r>
      <w:r>
        <w:t xml:space="preserve"> and </w:t>
      </w:r>
      <w:r w:rsidR="00064623">
        <w:t>EDIV</w:t>
      </w:r>
      <w:r>
        <w:t>, each set of data is</w:t>
      </w:r>
    </w:p>
    <w:p w:rsidR="002274C1" w:rsidRDefault="0013073E" w:rsidP="006F4D11">
      <w:r>
        <w:t>ordered by context</w:t>
      </w:r>
      <w:r w:rsidR="000068B4">
        <w:t xml:space="preserve">. </w:t>
      </w:r>
      <w:r w:rsidR="00FF7EC0">
        <w:t>T</w:t>
      </w:r>
      <w:r w:rsidR="00501B75">
        <w:t>he first two are histograms on the amount of molluscan residue</w:t>
      </w:r>
      <w:r w:rsidR="003908E5">
        <w:t xml:space="preserve"> in grams</w:t>
      </w:r>
      <w:r w:rsidR="00501B75">
        <w:t xml:space="preserve"> per 500g soil sample</w:t>
      </w:r>
      <w:r w:rsidR="003908E5">
        <w:t>;</w:t>
      </w:r>
      <w:r w:rsidR="00501B75">
        <w:t xml:space="preserve"> the first shows residues larger than 2.0mm and the second shows residues from 0.5-2.0mm.</w:t>
      </w:r>
      <w:r w:rsidR="003908E5">
        <w:t xml:space="preserve"> The third is a histogram showing what percentage of the</w:t>
      </w:r>
      <w:r w:rsidR="007023C3">
        <w:t xml:space="preserve"> collective</w:t>
      </w:r>
      <w:r w:rsidR="003908E5">
        <w:t xml:space="preserve"> </w:t>
      </w:r>
      <w:r w:rsidR="007023C3">
        <w:t>residue</w:t>
      </w:r>
      <w:r w:rsidR="003908E5">
        <w:t xml:space="preserve"> each species makes up</w:t>
      </w:r>
      <w:r>
        <w:t xml:space="preserve">, they are ordered by </w:t>
      </w:r>
      <w:r w:rsidR="000069CF">
        <w:t>taxa</w:t>
      </w:r>
      <w:r>
        <w:t xml:space="preserve">- woodland species, intermediate species and </w:t>
      </w:r>
      <w:r w:rsidR="009462D5">
        <w:t>open-country</w:t>
      </w:r>
      <w:r>
        <w:t xml:space="preserve"> species</w:t>
      </w:r>
      <w:r w:rsidR="003908E5">
        <w:t>.</w:t>
      </w:r>
      <w:r>
        <w:t xml:space="preserve"> The fourth graph is a stacked histogram which uses th</w:t>
      </w:r>
      <w:r w:rsidR="00DB3813">
        <w:t>e third graph’s</w:t>
      </w:r>
      <w:r>
        <w:t xml:space="preserve"> data to show </w:t>
      </w:r>
      <w:r w:rsidR="00DB3813">
        <w:t xml:space="preserve">the percentage of each sample shade-loving, intermediate and </w:t>
      </w:r>
      <w:r w:rsidR="009462D5">
        <w:t>open-country</w:t>
      </w:r>
      <w:r w:rsidR="00DB3813">
        <w:t xml:space="preserve"> species make up. The fifth is a </w:t>
      </w:r>
      <w:r w:rsidR="002274C1">
        <w:t>line-graph</w:t>
      </w:r>
      <w:r w:rsidR="00DB3813">
        <w:t xml:space="preserve"> which uses the data from the third and/or fourth graph to show </w:t>
      </w:r>
      <w:r w:rsidR="00E36DA5">
        <w:t xml:space="preserve">species </w:t>
      </w:r>
      <w:r w:rsidR="00DB3813">
        <w:t>diversity</w:t>
      </w:r>
      <w:r w:rsidR="00E36DA5">
        <w:t xml:space="preserve"> in the soil samples</w:t>
      </w:r>
      <w:r w:rsidR="00E156A7">
        <w:t>.</w:t>
      </w:r>
      <w:r w:rsidR="00E927BF">
        <w:t xml:space="preserve"> Diversity peaks when one taxon</w:t>
      </w:r>
      <w:r w:rsidR="00505395">
        <w:t xml:space="preserve"> is becoming less frequent, and another is becoming more frequent.</w:t>
      </w:r>
    </w:p>
    <w:p w:rsidR="002274C1" w:rsidRDefault="002274C1" w:rsidP="006F4D11"/>
    <w:p w:rsidR="002274C1" w:rsidRDefault="00515892" w:rsidP="006F4D11">
      <w:r>
        <w:t xml:space="preserve">In </w:t>
      </w:r>
      <w:r w:rsidR="00064623">
        <w:t>EDII</w:t>
      </w:r>
      <w:r>
        <w:t>, woodland species are dominant from the upper half of context 130</w:t>
      </w:r>
      <w:r w:rsidR="00064623">
        <w:t>-</w:t>
      </w:r>
      <w:r w:rsidR="008110B9">
        <w:t>116</w:t>
      </w:r>
      <w:r>
        <w:t>.</w:t>
      </w:r>
      <w:r w:rsidR="00333531">
        <w:t xml:space="preserve"> Woodland species thrive in shaded areas dense with trees and vegetation. </w:t>
      </w:r>
      <w:r w:rsidR="00E43D5B">
        <w:t>Deforestation is the most common cause of woodland species decline</w:t>
      </w:r>
      <w:r w:rsidR="00333531">
        <w:t xml:space="preserve"> and</w:t>
      </w:r>
      <w:r w:rsidR="00E43D5B">
        <w:t>,</w:t>
      </w:r>
      <w:r w:rsidR="00333531">
        <w:t xml:space="preserve"> considering there was a stepped incline and fairly rapid decline, it is likely that there was some deforestation in contexts below 130, and a re-occurrence of this in context 113.</w:t>
      </w:r>
      <w:r>
        <w:t xml:space="preserve"> This is also the context range which marks the lowest</w:t>
      </w:r>
      <w:r w:rsidR="00333531">
        <w:t xml:space="preserve"> point for </w:t>
      </w:r>
      <w:r w:rsidR="009462D5">
        <w:t>open-country</w:t>
      </w:r>
      <w:r w:rsidR="00333531">
        <w:t xml:space="preserve"> species, which</w:t>
      </w:r>
      <w:r>
        <w:t xml:space="preserve"> are dominant in the lower half of context 130, and context 115</w:t>
      </w:r>
      <w:r w:rsidR="00064623">
        <w:t>-</w:t>
      </w:r>
      <w:r w:rsidR="008110B9">
        <w:t>111</w:t>
      </w:r>
      <w:r>
        <w:t xml:space="preserve">. </w:t>
      </w:r>
      <w:r w:rsidR="009462D5">
        <w:t>Open-country</w:t>
      </w:r>
      <w:r w:rsidR="00333531">
        <w:t xml:space="preserve"> species thrive in areas with lots of sunlight and open environments, which </w:t>
      </w:r>
      <w:r w:rsidR="00FC5EDB">
        <w:t>explains the correlation between woodland</w:t>
      </w:r>
      <w:r w:rsidR="00333531">
        <w:t xml:space="preserve"> decline</w:t>
      </w:r>
      <w:r w:rsidR="00FC5EDB">
        <w:t xml:space="preserve"> and</w:t>
      </w:r>
      <w:r w:rsidR="00333531">
        <w:t xml:space="preserve"> </w:t>
      </w:r>
      <w:r w:rsidR="009462D5">
        <w:t>open-country</w:t>
      </w:r>
      <w:r w:rsidR="00333531">
        <w:t xml:space="preserve"> increase.  </w:t>
      </w:r>
      <w:r>
        <w:t xml:space="preserve">Intermediate species </w:t>
      </w:r>
      <w:r w:rsidR="00173DB7">
        <w:t>remain steady</w:t>
      </w:r>
      <w:r>
        <w:t xml:space="preserve"> throughout the graph, peaking in context 112</w:t>
      </w:r>
      <w:r w:rsidR="00F96472">
        <w:t>-</w:t>
      </w:r>
      <w:r>
        <w:t xml:space="preserve">111. </w:t>
      </w:r>
      <w:r w:rsidR="001F7BCD">
        <w:t>Intermediate species thrive in freshwater or brackish environments,</w:t>
      </w:r>
      <w:r w:rsidR="00BA41F7">
        <w:t xml:space="preserve"> so there must have been some sort of stream or river running through the site. </w:t>
      </w:r>
      <w:r w:rsidR="00F96472">
        <w:t>I</w:t>
      </w:r>
      <w:r w:rsidR="00BA41F7">
        <w:t>t is likely that the reason intermediate species were unaffected is that,</w:t>
      </w:r>
      <w:r w:rsidR="001F7BCD">
        <w:t xml:space="preserve"> through deforestation</w:t>
      </w:r>
      <w:r w:rsidR="00BA41F7">
        <w:t>,</w:t>
      </w:r>
      <w:r w:rsidR="001F7BCD">
        <w:t xml:space="preserve"> the water remained a constant.</w:t>
      </w:r>
      <w:r w:rsidR="001E2F71">
        <w:br/>
      </w:r>
      <w:r>
        <w:t xml:space="preserve">In </w:t>
      </w:r>
      <w:r w:rsidR="00064623">
        <w:t>EDIV</w:t>
      </w:r>
      <w:r>
        <w:t xml:space="preserve"> woodland species are at their highest point from context 254 to the lower and middle parts of conte</w:t>
      </w:r>
      <w:r w:rsidR="008110B9">
        <w:t>xt 252</w:t>
      </w:r>
      <w:r>
        <w:t>.</w:t>
      </w:r>
      <w:r w:rsidR="00985CF9">
        <w:t xml:space="preserve"> Throughout these contexts, they are never dominant, which suggests there was never dense woodland, and whatever</w:t>
      </w:r>
      <w:r w:rsidR="00704DB1">
        <w:t xml:space="preserve"> woodland was</w:t>
      </w:r>
      <w:r w:rsidR="00985CF9">
        <w:t xml:space="preserve"> there</w:t>
      </w:r>
      <w:r w:rsidR="00704DB1">
        <w:t xml:space="preserve"> at the beginning</w:t>
      </w:r>
      <w:r w:rsidR="00985CF9">
        <w:t xml:space="preserve"> was removed.</w:t>
      </w:r>
      <w:r>
        <w:t xml:space="preserve"> This is also the context range which marks the lowest point for all </w:t>
      </w:r>
      <w:r w:rsidR="009462D5">
        <w:t>open-country</w:t>
      </w:r>
      <w:r>
        <w:t xml:space="preserve"> species except from vallonia costata who maintain at least 30% throughout.</w:t>
      </w:r>
      <w:r w:rsidR="004E36E1">
        <w:t xml:space="preserve"> This suggests there may have been an open woodland environment, as these do not thrive in shade.</w:t>
      </w:r>
      <w:r w:rsidR="009C3D6E">
        <w:t xml:space="preserve"> </w:t>
      </w:r>
      <w:r w:rsidR="009462D5">
        <w:t>Open-country</w:t>
      </w:r>
      <w:r>
        <w:t xml:space="preserve"> species are dominant from the uppermost part of context 252</w:t>
      </w:r>
      <w:r w:rsidR="00064623">
        <w:t>-</w:t>
      </w:r>
      <w:r>
        <w:t>251. This is also the context range at which woodland species are at their lowest point</w:t>
      </w:r>
      <w:r w:rsidR="00CF637A">
        <w:t>, so the incline is likely related to deforestation</w:t>
      </w:r>
      <w:r>
        <w:t>.</w:t>
      </w:r>
      <w:r w:rsidR="009C3D6E">
        <w:t xml:space="preserve"> </w:t>
      </w:r>
      <w:r>
        <w:t>Intermediate species maintain a steady quantity until they drop in the uppermost part of context 252</w:t>
      </w:r>
      <w:r w:rsidR="00064623">
        <w:t>-</w:t>
      </w:r>
      <w:r>
        <w:t>251.</w:t>
      </w:r>
      <w:r w:rsidR="009C3D6E">
        <w:t xml:space="preserve"> Unlike with </w:t>
      </w:r>
      <w:r w:rsidR="00064623">
        <w:t>EDII</w:t>
      </w:r>
      <w:r w:rsidR="009C3D6E">
        <w:t xml:space="preserve">, intermediate species seem to decline at the same rate as woodland species. </w:t>
      </w:r>
      <w:r w:rsidR="00F96472">
        <w:t>The</w:t>
      </w:r>
      <w:r w:rsidR="009C3D6E">
        <w:t xml:space="preserve"> deforestation in this area likely affected their water source; either that or the change in the environment was of a </w:t>
      </w:r>
      <w:r w:rsidR="009C3D6E">
        <w:lastRenderedPageBreak/>
        <w:t>different</w:t>
      </w:r>
      <w:r w:rsidR="0006711C">
        <w:t xml:space="preserve"> type</w:t>
      </w:r>
      <w:r w:rsidR="009C3D6E">
        <w:t xml:space="preserve"> and</w:t>
      </w:r>
      <w:r w:rsidR="0006711C">
        <w:t>/or a</w:t>
      </w:r>
      <w:r w:rsidR="009C3D6E">
        <w:t xml:space="preserve"> larger scale.</w:t>
      </w:r>
      <w:r w:rsidR="001E2F71">
        <w:br/>
      </w:r>
      <w:r w:rsidRPr="007B5DDD">
        <w:t xml:space="preserve">The most dominant woodland species is </w:t>
      </w:r>
      <w:r w:rsidRPr="007B5DDD">
        <w:rPr>
          <w:i/>
        </w:rPr>
        <w:t>carychium tridentalum</w:t>
      </w:r>
      <w:r w:rsidRPr="007B5DDD">
        <w:t xml:space="preserve"> which peaks in </w:t>
      </w:r>
      <w:r w:rsidR="00064623">
        <w:t>EDII</w:t>
      </w:r>
      <w:r w:rsidRPr="007B5DDD">
        <w:t xml:space="preserve"> at </w:t>
      </w:r>
      <w:r w:rsidR="00B833F9">
        <w:t>context 116</w:t>
      </w:r>
      <w:r w:rsidRPr="007B5DDD">
        <w:t>, and</w:t>
      </w:r>
      <w:r w:rsidR="00B833F9">
        <w:t xml:space="preserve"> in </w:t>
      </w:r>
      <w:r w:rsidR="00064623">
        <w:t>EDIV</w:t>
      </w:r>
      <w:r w:rsidR="00B833F9">
        <w:t xml:space="preserve"> at </w:t>
      </w:r>
      <w:r w:rsidRPr="007B5DDD">
        <w:t xml:space="preserve">context 252. </w:t>
      </w:r>
      <w:r w:rsidR="00142706" w:rsidRPr="007B5DDD">
        <w:t>According to Gustafsson</w:t>
      </w:r>
      <w:r w:rsidR="00A32831" w:rsidRPr="007B5DDD">
        <w:t xml:space="preserve"> et al</w:t>
      </w:r>
      <w:r w:rsidR="00315B88" w:rsidRPr="007B5DDD">
        <w:t xml:space="preserve"> </w:t>
      </w:r>
      <w:r w:rsidR="00315B88" w:rsidRPr="007B5DDD">
        <w:rPr>
          <w:i/>
        </w:rPr>
        <w:t>(</w:t>
      </w:r>
      <w:r w:rsidR="00142706" w:rsidRPr="007B5DDD">
        <w:rPr>
          <w:i/>
        </w:rPr>
        <w:t>Gustafsson</w:t>
      </w:r>
      <w:r w:rsidR="00A32831" w:rsidRPr="007B5DDD">
        <w:rPr>
          <w:i/>
        </w:rPr>
        <w:t>, D. R. et al, 2008</w:t>
      </w:r>
      <w:r w:rsidR="00315B88" w:rsidRPr="007B5DDD">
        <w:rPr>
          <w:i/>
        </w:rPr>
        <w:t xml:space="preserve">), </w:t>
      </w:r>
      <w:r w:rsidR="00315B88" w:rsidRPr="007B5DDD">
        <w:t>one requirement for this species to thrive is the presence of black worm faeces</w:t>
      </w:r>
      <w:r w:rsidR="00B763DA" w:rsidRPr="007B5DDD">
        <w:t xml:space="preserve"> on leaves. According to Welter Schultes</w:t>
      </w:r>
      <w:r w:rsidR="00315B88" w:rsidRPr="007B5DDD">
        <w:t xml:space="preserve"> </w:t>
      </w:r>
      <w:r w:rsidR="00315B88" w:rsidRPr="007B5DDD">
        <w:rPr>
          <w:i/>
        </w:rPr>
        <w:t>(</w:t>
      </w:r>
      <w:r w:rsidR="00B763DA" w:rsidRPr="007B5DDD">
        <w:rPr>
          <w:i/>
        </w:rPr>
        <w:t>Welter Schultes, F, 2013</w:t>
      </w:r>
      <w:r w:rsidR="001A3AE4" w:rsidRPr="007B5DDD">
        <w:rPr>
          <w:i/>
        </w:rPr>
        <w:t>a</w:t>
      </w:r>
      <w:r w:rsidR="00315B88" w:rsidRPr="007B5DDD">
        <w:rPr>
          <w:i/>
        </w:rPr>
        <w:t xml:space="preserve">), </w:t>
      </w:r>
      <w:r w:rsidR="00315B88" w:rsidRPr="007B5DDD">
        <w:t xml:space="preserve">black worms need to be in marshy or swampy conditions, which suggests that at this point in time the environment was so. </w:t>
      </w:r>
      <w:r w:rsidRPr="007B5DDD">
        <w:t xml:space="preserve">The most dominant </w:t>
      </w:r>
      <w:r w:rsidR="009462D5">
        <w:t>open-country</w:t>
      </w:r>
      <w:r w:rsidRPr="007B5DDD">
        <w:t xml:space="preserve"> species is </w:t>
      </w:r>
      <w:r w:rsidR="001A3AE4" w:rsidRPr="007B5DDD">
        <w:rPr>
          <w:i/>
        </w:rPr>
        <w:t>vallonia</w:t>
      </w:r>
      <w:r w:rsidRPr="007B5DDD">
        <w:rPr>
          <w:i/>
        </w:rPr>
        <w:t xml:space="preserve"> excentrica</w:t>
      </w:r>
      <w:r w:rsidRPr="007B5DDD">
        <w:t xml:space="preserve"> which peaks at</w:t>
      </w:r>
      <w:r w:rsidR="00B833F9">
        <w:t xml:space="preserve"> context 115</w:t>
      </w:r>
      <w:r w:rsidRPr="007B5DDD">
        <w:t xml:space="preserve"> </w:t>
      </w:r>
      <w:r w:rsidR="001A3AE4" w:rsidRPr="007B5DDD">
        <w:t xml:space="preserve">in </w:t>
      </w:r>
      <w:r w:rsidR="00064623">
        <w:t>EDII</w:t>
      </w:r>
      <w:r w:rsidR="001A3AE4" w:rsidRPr="007B5DDD">
        <w:t xml:space="preserve"> </w:t>
      </w:r>
      <w:r w:rsidR="00B833F9">
        <w:t xml:space="preserve">and </w:t>
      </w:r>
      <w:r w:rsidRPr="007B5DDD">
        <w:t>context 251</w:t>
      </w:r>
      <w:r w:rsidR="001A3AE4" w:rsidRPr="007B5DDD">
        <w:t xml:space="preserve"> in </w:t>
      </w:r>
      <w:r w:rsidR="00064623">
        <w:t>EDIV</w:t>
      </w:r>
      <w:r w:rsidRPr="007B5DDD">
        <w:t>.</w:t>
      </w:r>
      <w:r w:rsidR="001A3AE4" w:rsidRPr="007B5DDD">
        <w:t xml:space="preserve"> According to Welter Schultes </w:t>
      </w:r>
      <w:r w:rsidR="001A3AE4" w:rsidRPr="007B5DDD">
        <w:rPr>
          <w:i/>
        </w:rPr>
        <w:t>(Welter Schultes, F, 2013b)</w:t>
      </w:r>
      <w:r w:rsidR="00370839" w:rsidRPr="007B5DDD">
        <w:rPr>
          <w:i/>
        </w:rPr>
        <w:t>,</w:t>
      </w:r>
      <w:r w:rsidRPr="007B5DDD">
        <w:t xml:space="preserve"> </w:t>
      </w:r>
      <w:r w:rsidR="00370839" w:rsidRPr="007B5DDD">
        <w:t xml:space="preserve">these only thrive in very dry habitats, which indicates a fairly sudden change in climate, considering how </w:t>
      </w:r>
      <w:r w:rsidR="00370839" w:rsidRPr="007B5DDD">
        <w:rPr>
          <w:i/>
        </w:rPr>
        <w:t>carychium tridentalum</w:t>
      </w:r>
      <w:r w:rsidR="00370839" w:rsidRPr="007B5DDD">
        <w:t xml:space="preserve"> thrive in swampy places.</w:t>
      </w:r>
      <w:r w:rsidRPr="007B5DDD">
        <w:t xml:space="preserve"> </w:t>
      </w:r>
      <w:r w:rsidR="00370839" w:rsidRPr="007B5DDD">
        <w:t>The most dominant i</w:t>
      </w:r>
      <w:r w:rsidRPr="007B5DDD">
        <w:t>ntermediate</w:t>
      </w:r>
      <w:r w:rsidR="00370839" w:rsidRPr="007B5DDD">
        <w:t xml:space="preserve"> species is</w:t>
      </w:r>
      <w:r w:rsidRPr="007B5DDD">
        <w:t xml:space="preserve"> </w:t>
      </w:r>
      <w:r w:rsidRPr="007B5DDD">
        <w:rPr>
          <w:i/>
        </w:rPr>
        <w:t>trichia hispida</w:t>
      </w:r>
      <w:r w:rsidRPr="007B5DDD">
        <w:t xml:space="preserve"> </w:t>
      </w:r>
      <w:r w:rsidR="00370839" w:rsidRPr="007B5DDD">
        <w:t>which peaks at</w:t>
      </w:r>
      <w:r w:rsidR="008110B9">
        <w:t xml:space="preserve"> context 111</w:t>
      </w:r>
      <w:r w:rsidR="00370839" w:rsidRPr="007B5DDD">
        <w:t xml:space="preserve"> </w:t>
      </w:r>
      <w:r w:rsidR="008110B9">
        <w:t>(</w:t>
      </w:r>
      <w:r w:rsidRPr="007B5DDD">
        <w:t>~5cm</w:t>
      </w:r>
      <w:r w:rsidR="00370839" w:rsidRPr="007B5DDD">
        <w:t xml:space="preserve"> below ground</w:t>
      </w:r>
      <w:r w:rsidR="008110B9">
        <w:t>)</w:t>
      </w:r>
      <w:r w:rsidR="00B833F9">
        <w:t xml:space="preserve"> </w:t>
      </w:r>
      <w:r w:rsidR="00370839" w:rsidRPr="007B5DDD">
        <w:t xml:space="preserve">in </w:t>
      </w:r>
      <w:r w:rsidR="00064623">
        <w:t>EDII</w:t>
      </w:r>
      <w:r w:rsidRPr="007B5DDD">
        <w:t>,</w:t>
      </w:r>
      <w:r w:rsidR="00370839" w:rsidRPr="007B5DDD">
        <w:t xml:space="preserve"> and also peaks at</w:t>
      </w:r>
      <w:r w:rsidRPr="007B5DDD">
        <w:t xml:space="preserve"> </w:t>
      </w:r>
      <w:r w:rsidR="008110B9">
        <w:t>context 252 (</w:t>
      </w:r>
      <w:r w:rsidRPr="007B5DDD">
        <w:t>5cm</w:t>
      </w:r>
      <w:r w:rsidR="00370839" w:rsidRPr="007B5DDD">
        <w:t xml:space="preserve"> below ground</w:t>
      </w:r>
      <w:r w:rsidR="008110B9">
        <w:t xml:space="preserve">) </w:t>
      </w:r>
      <w:r w:rsidR="00370839" w:rsidRPr="007B5DDD">
        <w:t xml:space="preserve">in </w:t>
      </w:r>
      <w:r w:rsidR="00064623">
        <w:t>EDIV</w:t>
      </w:r>
      <w:r w:rsidRPr="007B5DDD">
        <w:t>.</w:t>
      </w:r>
      <w:r w:rsidR="00D41153" w:rsidRPr="007B5DDD">
        <w:t xml:space="preserve"> </w:t>
      </w:r>
      <w:r w:rsidR="001A3AE4" w:rsidRPr="007B5DDD">
        <w:t xml:space="preserve">According to Welter Schultes </w:t>
      </w:r>
      <w:r w:rsidR="001A3AE4" w:rsidRPr="007B5DDD">
        <w:rPr>
          <w:i/>
        </w:rPr>
        <w:t>(Welter Schultes, F, 2013c)</w:t>
      </w:r>
      <w:r w:rsidR="002A6F53" w:rsidRPr="007B5DDD">
        <w:rPr>
          <w:i/>
        </w:rPr>
        <w:t xml:space="preserve">, </w:t>
      </w:r>
      <w:r w:rsidR="002A6F53" w:rsidRPr="007B5DDD">
        <w:t xml:space="preserve">they thrive in most humid habitats and can tolerate dry habitats but not very dry habitats. </w:t>
      </w:r>
      <w:r w:rsidR="00CB6D13" w:rsidRPr="007B5DDD">
        <w:t>This explains why they were present in most contexts, and suggests that</w:t>
      </w:r>
      <w:r w:rsidR="00520D5A">
        <w:t xml:space="preserve"> it became very dry</w:t>
      </w:r>
      <w:r w:rsidR="00CB6D13" w:rsidRPr="007B5DDD">
        <w:t xml:space="preserve"> above 5cm in </w:t>
      </w:r>
      <w:r w:rsidR="00064623">
        <w:t>EDIV</w:t>
      </w:r>
      <w:r w:rsidR="00CB6D13" w:rsidRPr="007B5DDD">
        <w:t xml:space="preserve"> (the point at which they declined).</w:t>
      </w:r>
      <w:r w:rsidR="002274C1">
        <w:br/>
      </w:r>
    </w:p>
    <w:p w:rsidR="006F4D11" w:rsidRDefault="001E2F71" w:rsidP="006F4D11">
      <w:r>
        <w:rPr>
          <w:noProof/>
          <w:lang w:eastAsia="en-GB"/>
        </w:rPr>
        <mc:AlternateContent>
          <mc:Choice Requires="wps">
            <w:drawing>
              <wp:anchor distT="0" distB="0" distL="114300" distR="114300" simplePos="0" relativeHeight="251660288" behindDoc="0" locked="0" layoutInCell="1" allowOverlap="1" wp14:anchorId="5B80B203" wp14:editId="7339F3DB">
                <wp:simplePos x="0" y="0"/>
                <wp:positionH relativeFrom="column">
                  <wp:posOffset>2934335</wp:posOffset>
                </wp:positionH>
                <wp:positionV relativeFrom="paragraph">
                  <wp:posOffset>4950460</wp:posOffset>
                </wp:positionV>
                <wp:extent cx="2981325" cy="541655"/>
                <wp:effectExtent l="0" t="0" r="9525"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325" cy="541655"/>
                        </a:xfrm>
                        <a:prstGeom prst="rect">
                          <a:avLst/>
                        </a:prstGeom>
                        <a:solidFill>
                          <a:srgbClr val="FFFFFF"/>
                        </a:solidFill>
                        <a:ln w="9525">
                          <a:noFill/>
                          <a:miter lim="800000"/>
                          <a:headEnd/>
                          <a:tailEnd/>
                        </a:ln>
                      </wps:spPr>
                      <wps:txbx>
                        <w:txbxContent>
                          <w:p w:rsidR="00FE7CAB" w:rsidRPr="008B48C6" w:rsidRDefault="00FE7CAB" w:rsidP="00FE7CAB">
                            <w:r>
                              <w:t>(</w:t>
                            </w:r>
                            <w:r>
                              <w:rPr>
                                <w:i/>
                              </w:rPr>
                              <w:t xml:space="preserve">Figure 1- </w:t>
                            </w:r>
                            <w:r w:rsidR="002274C1">
                              <w:t>scatter line-</w:t>
                            </w:r>
                            <w:r w:rsidRPr="008B48C6">
                              <w:t>graph of temperature in the UK- see Bibliography:</w:t>
                            </w:r>
                            <w:r>
                              <w:rPr>
                                <w:i/>
                              </w:rPr>
                              <w:t xml:space="preserve"> Williams, O., 2009</w:t>
                            </w:r>
                            <w:r w:rsidRPr="008B48C6">
                              <w:t>)</w:t>
                            </w:r>
                          </w:p>
                          <w:p w:rsidR="00FE7CAB" w:rsidRDefault="00FE7C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31.05pt;margin-top:389.8pt;width:234.75pt;height:4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" stroked="f">
                <v:textbox>
                  <w:txbxContent>
                    <w:p w:rsidR="00FE7CAB" w:rsidRPr="008B48C6" w:rsidRDefault="00FE7CAB" w:rsidP="00FE7CAB">
                      <w:r>
                        <w:t>(</w:t>
                      </w:r>
                      <w:r>
                        <w:rPr>
                          <w:i/>
                        </w:rPr>
                        <w:t xml:space="preserve">Figure 1- </w:t>
                      </w:r>
                      <w:r w:rsidR="002274C1">
                        <w:t>scatter line-</w:t>
                      </w:r>
                      <w:r w:rsidRPr="008B48C6">
                        <w:t>graph of temperature in the UK- see Bibliography:</w:t>
                      </w:r>
                      <w:r>
                        <w:rPr>
                          <w:i/>
                        </w:rPr>
                        <w:t xml:space="preserve"> Williams, O., 2009</w:t>
                      </w:r>
                      <w:r w:rsidRPr="008B48C6">
                        <w:t>)</w:t>
                      </w:r>
                    </w:p>
                    <w:p w:rsidR="00FE7CAB" w:rsidRDefault="00FE7CAB"/>
                  </w:txbxContent>
                </v:textbox>
              </v:shape>
            </w:pict>
          </mc:Fallback>
        </mc:AlternateContent>
      </w:r>
      <w:r w:rsidR="00FE7CAB">
        <w:rPr>
          <w:noProof/>
          <w:lang w:eastAsia="en-GB"/>
        </w:rPr>
        <w:drawing>
          <wp:anchor distT="0" distB="0" distL="114300" distR="114300" simplePos="0" relativeHeight="251658240" behindDoc="1" locked="0" layoutInCell="1" allowOverlap="1" wp14:anchorId="377CD032" wp14:editId="4A4BDD96">
            <wp:simplePos x="0" y="0"/>
            <wp:positionH relativeFrom="column">
              <wp:posOffset>3020060</wp:posOffset>
            </wp:positionH>
            <wp:positionV relativeFrom="paragraph">
              <wp:posOffset>2390775</wp:posOffset>
            </wp:positionV>
            <wp:extent cx="2827020" cy="2445385"/>
            <wp:effectExtent l="0" t="0" r="0" b="0"/>
            <wp:wrapTight wrapText="bothSides">
              <wp:wrapPolygon edited="0">
                <wp:start x="0" y="0"/>
                <wp:lineTo x="0" y="21370"/>
                <wp:lineTo x="21396" y="21370"/>
                <wp:lineTo x="213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827020" cy="2445385"/>
                    </a:xfrm>
                    <a:prstGeom prst="rect">
                      <a:avLst/>
                    </a:prstGeom>
                  </pic:spPr>
                </pic:pic>
              </a:graphicData>
            </a:graphic>
            <wp14:sizeRelH relativeFrom="page">
              <wp14:pctWidth>0</wp14:pctWidth>
            </wp14:sizeRelH>
            <wp14:sizeRelV relativeFrom="page">
              <wp14:pctHeight>0</wp14:pctHeight>
            </wp14:sizeRelV>
          </wp:anchor>
        </w:drawing>
      </w:r>
      <w:r w:rsidR="00E6073D">
        <w:rPr>
          <w:noProof/>
          <w:lang w:eastAsia="en-GB"/>
        </w:rPr>
        <w:t>We date</w:t>
      </w:r>
      <w:r w:rsidR="00EB1341">
        <w:t xml:space="preserve"> this is by linking the </w:t>
      </w:r>
      <w:r w:rsidR="00E6073D">
        <w:t>woodland species’ decline</w:t>
      </w:r>
      <w:r w:rsidR="00EB1341">
        <w:t xml:space="preserve"> to events involving deforestation</w:t>
      </w:r>
      <w:r w:rsidR="008B48C6">
        <w:t xml:space="preserve"> and the decline in </w:t>
      </w:r>
      <w:r w:rsidR="00E6073D">
        <w:t xml:space="preserve">intermediate species to </w:t>
      </w:r>
      <w:r w:rsidR="008B48C6">
        <w:t xml:space="preserve">factors that </w:t>
      </w:r>
      <w:r w:rsidR="00E6073D">
        <w:t>cause</w:t>
      </w:r>
      <w:r w:rsidR="008B48C6">
        <w:t xml:space="preserve"> very dry</w:t>
      </w:r>
      <w:r w:rsidR="00E6073D">
        <w:t xml:space="preserve"> conditions</w:t>
      </w:r>
      <w:r w:rsidR="008B48C6">
        <w:t>.</w:t>
      </w:r>
      <w:r>
        <w:t xml:space="preserve"> </w:t>
      </w:r>
      <w:r w:rsidR="000F5D5D">
        <w:br/>
      </w:r>
      <w:r w:rsidR="009D7C55">
        <w:t xml:space="preserve">According to Michael Williams </w:t>
      </w:r>
      <w:r w:rsidR="009D7C55">
        <w:rPr>
          <w:i/>
        </w:rPr>
        <w:t>(Williams, M., 2003)</w:t>
      </w:r>
      <w:r w:rsidR="000F5D5D">
        <w:rPr>
          <w:i/>
        </w:rPr>
        <w:t>,</w:t>
      </w:r>
      <w:r w:rsidR="009D7C55">
        <w:rPr>
          <w:i/>
        </w:rPr>
        <w:t xml:space="preserve"> </w:t>
      </w:r>
      <w:r w:rsidR="000F5D5D">
        <w:t xml:space="preserve">while deforestation is somewhat of a constant in the history of Britain, the two largest instances was the Neolithic elm decline and the emergency felling in the </w:t>
      </w:r>
      <w:r w:rsidR="00FE7CAB">
        <w:t>F</w:t>
      </w:r>
      <w:r w:rsidR="000F5D5D">
        <w:t xml:space="preserve">irst and </w:t>
      </w:r>
      <w:r w:rsidR="00FE7CAB">
        <w:t>S</w:t>
      </w:r>
      <w:r w:rsidR="000F5D5D">
        <w:t xml:space="preserve">econd </w:t>
      </w:r>
      <w:r w:rsidR="00FE7CAB">
        <w:t>W</w:t>
      </w:r>
      <w:r w:rsidR="000F5D5D">
        <w:t xml:space="preserve">orld </w:t>
      </w:r>
      <w:r w:rsidR="00FE7CAB">
        <w:t>W</w:t>
      </w:r>
      <w:r w:rsidR="000F5D5D">
        <w:t xml:space="preserve">ars. </w:t>
      </w:r>
      <w:r w:rsidR="00FE7CAB">
        <w:t>A possible chronological narrative could be</w:t>
      </w:r>
      <w:r w:rsidR="000F5D5D">
        <w:t xml:space="preserve">, considering there are two main points in </w:t>
      </w:r>
      <w:r w:rsidR="00064623">
        <w:t>EDII</w:t>
      </w:r>
      <w:r w:rsidR="000F5D5D">
        <w:t xml:space="preserve"> where woodland species decline and </w:t>
      </w:r>
      <w:r w:rsidR="009462D5">
        <w:t>open-country</w:t>
      </w:r>
      <w:r w:rsidR="000F5D5D">
        <w:t xml:space="preserve"> species</w:t>
      </w:r>
      <w:r w:rsidR="009D7C55">
        <w:t xml:space="preserve"> </w:t>
      </w:r>
      <w:r w:rsidR="003D5FCD">
        <w:t xml:space="preserve">increase, that the increase </w:t>
      </w:r>
      <w:r w:rsidR="008C4D43">
        <w:t>in</w:t>
      </w:r>
      <w:r w:rsidR="003D5FCD">
        <w:t xml:space="preserve"> woodland species/decrease of </w:t>
      </w:r>
      <w:r w:rsidR="009462D5">
        <w:t>open-country</w:t>
      </w:r>
      <w:r w:rsidR="003D5FCD">
        <w:t xml:space="preserve"> species in </w:t>
      </w:r>
      <w:r w:rsidR="008C4D43">
        <w:t>the upper</w:t>
      </w:r>
      <w:r w:rsidR="003D5FCD">
        <w:t xml:space="preserve"> half of context 130 is following the end of the elm decline, and the </w:t>
      </w:r>
      <w:r w:rsidR="008C4D43">
        <w:t xml:space="preserve">decrease of woodland species/increase of </w:t>
      </w:r>
      <w:r w:rsidR="009462D5">
        <w:t>open-country</w:t>
      </w:r>
      <w:r w:rsidR="008C4D43">
        <w:t xml:space="preserve"> species</w:t>
      </w:r>
      <w:r w:rsidR="00FE7CAB">
        <w:t xml:space="preserve"> in context 113</w:t>
      </w:r>
      <w:r w:rsidR="008C4D43">
        <w:t xml:space="preserve"> is due to deforestation in the second world war.</w:t>
      </w:r>
      <w:r w:rsidR="00FE7CAB">
        <w:br/>
        <w:t xml:space="preserve">In regards to </w:t>
      </w:r>
      <w:r w:rsidR="00064623">
        <w:t>EDIV</w:t>
      </w:r>
      <w:r w:rsidR="00FE7CAB">
        <w:t xml:space="preserve">, considering the contexts are not very deep, it is fair to assume the deforestation would also be relating to the World Wars. In regards to the dryness, the decline in </w:t>
      </w:r>
      <w:r w:rsidR="00FE7CAB" w:rsidRPr="007B5DDD">
        <w:rPr>
          <w:i/>
        </w:rPr>
        <w:t>trichia hispida</w:t>
      </w:r>
      <w:r w:rsidR="00FE7CAB">
        <w:t xml:space="preserve"> reaches its lowest point closer to the surface than that of the woodland species. That leads me to believe it was due to exposure to conditions that would dry it out. </w:t>
      </w:r>
      <w:r w:rsidR="00FE7CAB">
        <w:br/>
        <w:t xml:space="preserve">In </w:t>
      </w:r>
      <w:r w:rsidR="00896725" w:rsidRPr="00896725">
        <w:rPr>
          <w:i/>
        </w:rPr>
        <w:t>F</w:t>
      </w:r>
      <w:r w:rsidR="00FE7CAB" w:rsidRPr="00896725">
        <w:rPr>
          <w:i/>
        </w:rPr>
        <w:t>igure 1</w:t>
      </w:r>
      <w:r w:rsidR="00FE7CAB">
        <w:t xml:space="preserve">, you can see that </w:t>
      </w:r>
      <w:r>
        <w:t xml:space="preserve">two of the hottest years from 1914 to this day were 1976 and 1983. </w:t>
      </w:r>
      <w:r w:rsidR="000506B3">
        <w:t>We could date</w:t>
      </w:r>
      <w:r>
        <w:t xml:space="preserve"> the decline in</w:t>
      </w:r>
      <w:r w:rsidRPr="001E2F71">
        <w:rPr>
          <w:i/>
        </w:rPr>
        <w:t xml:space="preserve"> </w:t>
      </w:r>
      <w:r w:rsidRPr="007B5DDD">
        <w:rPr>
          <w:i/>
        </w:rPr>
        <w:t>trichia hispida</w:t>
      </w:r>
      <w:r>
        <w:t xml:space="preserve"> </w:t>
      </w:r>
      <w:r w:rsidR="000506B3">
        <w:t>to the</w:t>
      </w:r>
      <w:r>
        <w:t xml:space="preserve"> change in environment occurring between 1976 and 1983</w:t>
      </w:r>
      <w:r w:rsidR="00E6073D">
        <w:t>, considering the diagram is from 1993</w:t>
      </w:r>
      <w:r>
        <w:t>.</w:t>
      </w:r>
      <w:r w:rsidR="006F4D11">
        <w:br w:type="page"/>
      </w:r>
    </w:p>
    <w:p w:rsidR="003534CD" w:rsidRDefault="006F4D11" w:rsidP="006F4D11">
      <w:pPr>
        <w:pStyle w:val="Heading1"/>
      </w:pPr>
      <w:r>
        <w:lastRenderedPageBreak/>
        <w:t>Bibliography</w:t>
      </w:r>
    </w:p>
    <w:p w:rsidR="008B48C6" w:rsidRDefault="008B48C6" w:rsidP="006F4D11">
      <w:r>
        <w:t xml:space="preserve">Gustafsson, D. R. et al. (2008). </w:t>
      </w:r>
      <w:r w:rsidR="00872567" w:rsidRPr="00872567">
        <w:t xml:space="preserve">Genetic variation in the popular lab worm </w:t>
      </w:r>
      <w:r w:rsidR="00872567" w:rsidRPr="003E1300">
        <w:rPr>
          <w:i/>
        </w:rPr>
        <w:t xml:space="preserve">Lumbriculus variegatus </w:t>
      </w:r>
      <w:r w:rsidR="00872567" w:rsidRPr="003E1300">
        <w:t>(</w:t>
      </w:r>
      <w:r w:rsidR="00872567" w:rsidRPr="003E1300">
        <w:rPr>
          <w:i/>
        </w:rPr>
        <w:t>Annelida: Clitellata: Lumbriculidae</w:t>
      </w:r>
      <w:r w:rsidR="00872567" w:rsidRPr="00872567">
        <w:t>) reveals cryptic speciation</w:t>
      </w:r>
      <w:r w:rsidR="00872567">
        <w:t xml:space="preserve">. </w:t>
      </w:r>
      <w:r w:rsidR="00872567" w:rsidRPr="002E0A03">
        <w:rPr>
          <w:i/>
        </w:rPr>
        <w:t>Molecular Phylogenetics and Evolution</w:t>
      </w:r>
      <w:r w:rsidR="002E0A03">
        <w:t xml:space="preserve"> </w:t>
      </w:r>
      <w:r w:rsidR="00872567">
        <w:t>(Vol. 51, No. 2, pp. 182-189)</w:t>
      </w:r>
      <w:r w:rsidR="002E0A03">
        <w:t>.</w:t>
      </w:r>
      <w:r w:rsidR="00872567" w:rsidRPr="00872567">
        <w:t xml:space="preserve"> </w:t>
      </w:r>
      <w:r w:rsidR="002E0A03">
        <w:t>Oxford, UK: Elsevier.</w:t>
      </w:r>
    </w:p>
    <w:p w:rsidR="008B48C6" w:rsidRPr="003E1300" w:rsidRDefault="007F4172" w:rsidP="006F4D11">
      <w:r>
        <w:t>Welter Schultes, F. (2013a</w:t>
      </w:r>
      <w:r w:rsidR="008B48C6">
        <w:t>).</w:t>
      </w:r>
      <w:r w:rsidR="003E1300">
        <w:t xml:space="preserve"> </w:t>
      </w:r>
      <w:r w:rsidR="003E1300" w:rsidRPr="003E1300">
        <w:t xml:space="preserve">Species summary for </w:t>
      </w:r>
      <w:r w:rsidR="003E1300" w:rsidRPr="003E1300">
        <w:rPr>
          <w:i/>
        </w:rPr>
        <w:t>Vallonia excentrica</w:t>
      </w:r>
      <w:r w:rsidR="003E1300">
        <w:t>.</w:t>
      </w:r>
      <w:r w:rsidR="003E1300" w:rsidRPr="003E1300">
        <w:t xml:space="preserve"> </w:t>
      </w:r>
      <w:r w:rsidR="003E1300">
        <w:t>Retrieved from:</w:t>
      </w:r>
      <w:r w:rsidR="008B48C6">
        <w:t xml:space="preserve"> </w:t>
      </w:r>
      <w:hyperlink r:id="rId6" w:history="1">
        <w:r w:rsidR="008B48C6">
          <w:rPr>
            <w:rStyle w:val="Hyperlink"/>
          </w:rPr>
          <w:t>http://www.animalbase.uni-goettingen.de/zooweb/servlet/AnimalBase/home/species?id=1215</w:t>
        </w:r>
      </w:hyperlink>
      <w:r w:rsidR="003E1300">
        <w:rPr>
          <w:rStyle w:val="Hyperlink"/>
          <w:u w:val="none"/>
        </w:rPr>
        <w:t>.</w:t>
      </w:r>
    </w:p>
    <w:p w:rsidR="008B48C6" w:rsidRPr="003E1300" w:rsidRDefault="007F4172" w:rsidP="006F4D11">
      <w:r>
        <w:t>Welter Schultes, F. (2013b</w:t>
      </w:r>
      <w:r w:rsidR="008B48C6">
        <w:t xml:space="preserve">). </w:t>
      </w:r>
      <w:r w:rsidR="003E1300" w:rsidRPr="003E1300">
        <w:t>Species summary for </w:t>
      </w:r>
      <w:r w:rsidR="003E1300" w:rsidRPr="003E1300">
        <w:rPr>
          <w:i/>
          <w:iCs/>
        </w:rPr>
        <w:t>Trochulus hispidus</w:t>
      </w:r>
      <w:r w:rsidR="003E1300">
        <w:rPr>
          <w:i/>
          <w:iCs/>
        </w:rPr>
        <w:t xml:space="preserve">. </w:t>
      </w:r>
      <w:r w:rsidR="003E1300">
        <w:t xml:space="preserve">Retrieved from: </w:t>
      </w:r>
      <w:hyperlink r:id="rId7" w:history="1">
        <w:r w:rsidR="008B48C6">
          <w:rPr>
            <w:rStyle w:val="Hyperlink"/>
          </w:rPr>
          <w:t>http://www.animalbase.uni-goettingen.de/zooweb/servlet/AnimalBase/home/species?id=1327</w:t>
        </w:r>
      </w:hyperlink>
      <w:r w:rsidR="003E1300">
        <w:rPr>
          <w:rStyle w:val="Hyperlink"/>
          <w:u w:val="none"/>
        </w:rPr>
        <w:t>.</w:t>
      </w:r>
    </w:p>
    <w:p w:rsidR="008B48C6" w:rsidRPr="003E1300" w:rsidRDefault="008B48C6" w:rsidP="006F4D11">
      <w:r>
        <w:t>Welter Schultes, F. (2013</w:t>
      </w:r>
      <w:r w:rsidR="007F4172">
        <w:t>c</w:t>
      </w:r>
      <w:r>
        <w:t>).</w:t>
      </w:r>
      <w:r w:rsidR="003E1300" w:rsidRPr="003E1300">
        <w:rPr>
          <w:color w:val="000000"/>
          <w:sz w:val="36"/>
          <w:szCs w:val="36"/>
          <w:shd w:val="clear" w:color="auto" w:fill="EAD2AD"/>
        </w:rPr>
        <w:t xml:space="preserve"> </w:t>
      </w:r>
      <w:r w:rsidR="003E1300" w:rsidRPr="003E1300">
        <w:t>Species summary for </w:t>
      </w:r>
      <w:r w:rsidR="003E1300" w:rsidRPr="003E1300">
        <w:rPr>
          <w:i/>
          <w:iCs/>
        </w:rPr>
        <w:t>Carychium tridentatum</w:t>
      </w:r>
      <w:r w:rsidR="003E1300">
        <w:rPr>
          <w:i/>
          <w:iCs/>
        </w:rPr>
        <w:t>.</w:t>
      </w:r>
      <w:r>
        <w:t xml:space="preserve"> </w:t>
      </w:r>
      <w:r w:rsidR="003E1300">
        <w:t xml:space="preserve">Retrieved from: </w:t>
      </w:r>
      <w:hyperlink r:id="rId8" w:history="1">
        <w:r>
          <w:rPr>
            <w:rStyle w:val="Hyperlink"/>
          </w:rPr>
          <w:t>http://www.animalbase.uni-goettingen.de/zooweb/servlet/AnimalBase/home/species?id=1829</w:t>
        </w:r>
      </w:hyperlink>
      <w:r w:rsidR="003E1300">
        <w:rPr>
          <w:rStyle w:val="Hyperlink"/>
          <w:u w:val="none"/>
        </w:rPr>
        <w:t>.</w:t>
      </w:r>
    </w:p>
    <w:p w:rsidR="003E1300" w:rsidRDefault="009D7C55" w:rsidP="006F4D11">
      <w:r>
        <w:t xml:space="preserve">Williams, M. (2003). </w:t>
      </w:r>
      <w:r w:rsidR="003E1300" w:rsidRPr="003E1300">
        <w:t>Deforesting the Earth: From Prehistory to Global Crisis</w:t>
      </w:r>
      <w:r w:rsidR="003E1300">
        <w:t>. Chicago, US: The University of Chicago Press.</w:t>
      </w:r>
    </w:p>
    <w:p w:rsidR="009D7C55" w:rsidRDefault="008B48C6" w:rsidP="006F4D11">
      <w:pPr>
        <w:rPr>
          <w:rStyle w:val="Hyperlink"/>
        </w:rPr>
      </w:pPr>
      <w:r>
        <w:t>Williams, O. (2009).</w:t>
      </w:r>
      <w:r w:rsidR="007A0E25">
        <w:t xml:space="preserve"> </w:t>
      </w:r>
      <w:r w:rsidR="007A0E25" w:rsidRPr="007A0E25">
        <w:t>Heatwave history in graphics</w:t>
      </w:r>
      <w:r w:rsidR="007A0E25">
        <w:t>. Retrieved from:</w:t>
      </w:r>
      <w:r>
        <w:t xml:space="preserve"> </w:t>
      </w:r>
      <w:hyperlink r:id="rId9" w:history="1">
        <w:r>
          <w:rPr>
            <w:rStyle w:val="Hyperlink"/>
          </w:rPr>
          <w:t>http://news.bbc.co.uk/1/hi/uk/8127386.stm</w:t>
        </w:r>
      </w:hyperlink>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Default="00462228" w:rsidP="006F4D11">
      <w:pPr>
        <w:rPr>
          <w:rStyle w:val="Hyperlink"/>
        </w:rPr>
      </w:pPr>
    </w:p>
    <w:p w:rsidR="00462228" w:rsidRPr="006F4D11" w:rsidRDefault="00462228" w:rsidP="00462228">
      <w:pPr>
        <w:pStyle w:val="Heading2"/>
        <w:jc w:val="right"/>
      </w:pPr>
      <w:r>
        <w:t>Word count: 1,000</w:t>
      </w:r>
      <w:r w:rsidR="00A4021C">
        <w:t>.</w:t>
      </w:r>
      <w:bookmarkStart w:id="0" w:name="_GoBack"/>
      <w:bookmarkEnd w:id="0"/>
    </w:p>
    <w:sectPr w:rsidR="00462228" w:rsidRPr="006F4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4CD"/>
    <w:rsid w:val="000068B4"/>
    <w:rsid w:val="000069CF"/>
    <w:rsid w:val="000506B3"/>
    <w:rsid w:val="00064623"/>
    <w:rsid w:val="0006711C"/>
    <w:rsid w:val="00096F93"/>
    <w:rsid w:val="000A2CFF"/>
    <w:rsid w:val="000C3E55"/>
    <w:rsid w:val="000F5D5D"/>
    <w:rsid w:val="00127E99"/>
    <w:rsid w:val="0013073E"/>
    <w:rsid w:val="00142706"/>
    <w:rsid w:val="00173DB7"/>
    <w:rsid w:val="001866B1"/>
    <w:rsid w:val="001A3AE4"/>
    <w:rsid w:val="001E2F71"/>
    <w:rsid w:val="001F6CD3"/>
    <w:rsid w:val="001F7BCD"/>
    <w:rsid w:val="002274C1"/>
    <w:rsid w:val="0023101C"/>
    <w:rsid w:val="002359B7"/>
    <w:rsid w:val="002A6F53"/>
    <w:rsid w:val="002B3A46"/>
    <w:rsid w:val="002E0A03"/>
    <w:rsid w:val="00315B88"/>
    <w:rsid w:val="00333531"/>
    <w:rsid w:val="003534CD"/>
    <w:rsid w:val="00370839"/>
    <w:rsid w:val="003908E5"/>
    <w:rsid w:val="003D4DA3"/>
    <w:rsid w:val="003D5FCD"/>
    <w:rsid w:val="003E1300"/>
    <w:rsid w:val="003F5BBA"/>
    <w:rsid w:val="00462228"/>
    <w:rsid w:val="004D4161"/>
    <w:rsid w:val="004D4E08"/>
    <w:rsid w:val="004E36E1"/>
    <w:rsid w:val="00501B75"/>
    <w:rsid w:val="00505395"/>
    <w:rsid w:val="00515892"/>
    <w:rsid w:val="00520D5A"/>
    <w:rsid w:val="005343CB"/>
    <w:rsid w:val="00606D98"/>
    <w:rsid w:val="00631E7E"/>
    <w:rsid w:val="006805AF"/>
    <w:rsid w:val="006F4D11"/>
    <w:rsid w:val="007023C3"/>
    <w:rsid w:val="00704DB1"/>
    <w:rsid w:val="00720EE5"/>
    <w:rsid w:val="007A0E25"/>
    <w:rsid w:val="007B5DDD"/>
    <w:rsid w:val="007E023A"/>
    <w:rsid w:val="007E0F63"/>
    <w:rsid w:val="007E75BE"/>
    <w:rsid w:val="007F4172"/>
    <w:rsid w:val="0080159F"/>
    <w:rsid w:val="008110B9"/>
    <w:rsid w:val="00834AB5"/>
    <w:rsid w:val="00835603"/>
    <w:rsid w:val="00872567"/>
    <w:rsid w:val="00880E8B"/>
    <w:rsid w:val="00896725"/>
    <w:rsid w:val="00897D8E"/>
    <w:rsid w:val="008B48C6"/>
    <w:rsid w:val="008C4D43"/>
    <w:rsid w:val="008E7B75"/>
    <w:rsid w:val="008F6EBF"/>
    <w:rsid w:val="009364FD"/>
    <w:rsid w:val="009462D5"/>
    <w:rsid w:val="00985CF9"/>
    <w:rsid w:val="009C3D6E"/>
    <w:rsid w:val="009D7C55"/>
    <w:rsid w:val="009F78DB"/>
    <w:rsid w:val="00A10423"/>
    <w:rsid w:val="00A32831"/>
    <w:rsid w:val="00A4021C"/>
    <w:rsid w:val="00AD091F"/>
    <w:rsid w:val="00B47820"/>
    <w:rsid w:val="00B763DA"/>
    <w:rsid w:val="00B833F9"/>
    <w:rsid w:val="00B93466"/>
    <w:rsid w:val="00BA41F7"/>
    <w:rsid w:val="00BE6E0B"/>
    <w:rsid w:val="00C71EB1"/>
    <w:rsid w:val="00CB6D13"/>
    <w:rsid w:val="00CC5320"/>
    <w:rsid w:val="00CF637A"/>
    <w:rsid w:val="00D41153"/>
    <w:rsid w:val="00D60887"/>
    <w:rsid w:val="00D62A20"/>
    <w:rsid w:val="00DB3813"/>
    <w:rsid w:val="00E156A7"/>
    <w:rsid w:val="00E36DA5"/>
    <w:rsid w:val="00E43D5B"/>
    <w:rsid w:val="00E6073D"/>
    <w:rsid w:val="00E82803"/>
    <w:rsid w:val="00E90721"/>
    <w:rsid w:val="00E927BF"/>
    <w:rsid w:val="00EB1341"/>
    <w:rsid w:val="00EE2C09"/>
    <w:rsid w:val="00F61777"/>
    <w:rsid w:val="00F74830"/>
    <w:rsid w:val="00F96472"/>
    <w:rsid w:val="00FC5EDB"/>
    <w:rsid w:val="00FE6DB6"/>
    <w:rsid w:val="00FE7CAB"/>
    <w:rsid w:val="00FF7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534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22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34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534C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534C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6F4D11"/>
    <w:rPr>
      <w:color w:val="0000FF"/>
      <w:u w:val="single"/>
    </w:rPr>
  </w:style>
  <w:style w:type="paragraph" w:styleId="BalloonText">
    <w:name w:val="Balloon Text"/>
    <w:basedOn w:val="Normal"/>
    <w:link w:val="BalloonTextChar"/>
    <w:uiPriority w:val="99"/>
    <w:semiHidden/>
    <w:unhideWhenUsed/>
    <w:rsid w:val="008B4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8C6"/>
    <w:rPr>
      <w:rFonts w:ascii="Tahoma" w:hAnsi="Tahoma" w:cs="Tahoma"/>
      <w:sz w:val="16"/>
      <w:szCs w:val="16"/>
    </w:rPr>
  </w:style>
  <w:style w:type="character" w:customStyle="1" w:styleId="Heading2Char">
    <w:name w:val="Heading 2 Char"/>
    <w:basedOn w:val="DefaultParagraphFont"/>
    <w:link w:val="Heading2"/>
    <w:uiPriority w:val="9"/>
    <w:rsid w:val="00462228"/>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534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22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34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534C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3534C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6F4D11"/>
    <w:rPr>
      <w:color w:val="0000FF"/>
      <w:u w:val="single"/>
    </w:rPr>
  </w:style>
  <w:style w:type="paragraph" w:styleId="BalloonText">
    <w:name w:val="Balloon Text"/>
    <w:basedOn w:val="Normal"/>
    <w:link w:val="BalloonTextChar"/>
    <w:uiPriority w:val="99"/>
    <w:semiHidden/>
    <w:unhideWhenUsed/>
    <w:rsid w:val="008B48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8C6"/>
    <w:rPr>
      <w:rFonts w:ascii="Tahoma" w:hAnsi="Tahoma" w:cs="Tahoma"/>
      <w:sz w:val="16"/>
      <w:szCs w:val="16"/>
    </w:rPr>
  </w:style>
  <w:style w:type="character" w:customStyle="1" w:styleId="Heading2Char">
    <w:name w:val="Heading 2 Char"/>
    <w:basedOn w:val="DefaultParagraphFont"/>
    <w:link w:val="Heading2"/>
    <w:uiPriority w:val="9"/>
    <w:rsid w:val="00462228"/>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6565382">
      <w:bodyDiv w:val="1"/>
      <w:marLeft w:val="0"/>
      <w:marRight w:val="0"/>
      <w:marTop w:val="0"/>
      <w:marBottom w:val="0"/>
      <w:divBdr>
        <w:top w:val="none" w:sz="0" w:space="0" w:color="auto"/>
        <w:left w:val="none" w:sz="0" w:space="0" w:color="auto"/>
        <w:bottom w:val="none" w:sz="0" w:space="0" w:color="auto"/>
        <w:right w:val="none" w:sz="0" w:space="0" w:color="auto"/>
      </w:divBdr>
    </w:div>
    <w:div w:id="2068339513">
      <w:bodyDiv w:val="1"/>
      <w:marLeft w:val="0"/>
      <w:marRight w:val="0"/>
      <w:marTop w:val="0"/>
      <w:marBottom w:val="0"/>
      <w:divBdr>
        <w:top w:val="none" w:sz="0" w:space="0" w:color="auto"/>
        <w:left w:val="none" w:sz="0" w:space="0" w:color="auto"/>
        <w:bottom w:val="none" w:sz="0" w:space="0" w:color="auto"/>
        <w:right w:val="none" w:sz="0" w:space="0" w:color="auto"/>
      </w:divBdr>
      <w:divsChild>
        <w:div w:id="212272747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imalbase.uni-goettingen.de/zooweb/servlet/AnimalBase/home/species?id=1829" TargetMode="External"/><Relationship Id="rId3" Type="http://schemas.openxmlformats.org/officeDocument/2006/relationships/settings" Target="settings.xml"/><Relationship Id="rId7" Type="http://schemas.openxmlformats.org/officeDocument/2006/relationships/hyperlink" Target="http://www.animalbase.uni-goettingen.de/zooweb/servlet/AnimalBase/home/species?id=1327"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www.animalbase.uni-goettingen.de/zooweb/servlet/AnimalBase/home/species?id=1215"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news.bbc.co.uk/1/hi/uk/8127386.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1752</TotalTime>
  <Pages>4</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92</cp:revision>
  <dcterms:created xsi:type="dcterms:W3CDTF">2019-08-02T19:09:00Z</dcterms:created>
  <dcterms:modified xsi:type="dcterms:W3CDTF">2019-08-04T20:51:00Z</dcterms:modified>
</cp:coreProperties>
</file>