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943ED04" w14:textId="44BBF02E" w:rsidR="007901F5" w:rsidRPr="00343E39" w:rsidRDefault="00D147A2">
      <w:pPr>
        <w:rPr>
          <w:b/>
          <w:bCs/>
          <w:sz w:val="24"/>
          <w:szCs w:val="24"/>
        </w:rPr>
      </w:pPr>
      <w:r w:rsidRPr="00343E39">
        <w:rPr>
          <w:b/>
          <w:bCs/>
          <w:sz w:val="24"/>
          <w:szCs w:val="24"/>
        </w:rPr>
        <w:t xml:space="preserve">The life, death </w:t>
      </w:r>
      <w:r w:rsidR="00927911">
        <w:rPr>
          <w:b/>
          <w:bCs/>
          <w:sz w:val="24"/>
          <w:szCs w:val="24"/>
        </w:rPr>
        <w:t xml:space="preserve">and resurrection </w:t>
      </w:r>
      <w:r w:rsidRPr="00343E39">
        <w:rPr>
          <w:b/>
          <w:bCs/>
          <w:sz w:val="24"/>
          <w:szCs w:val="24"/>
        </w:rPr>
        <w:t>of Jesus and its significance as explored through the Gospel of John.</w:t>
      </w:r>
    </w:p>
    <w:p w14:paraId="4C85900F" w14:textId="2607AD79" w:rsidR="00D147A2" w:rsidRPr="00343E39" w:rsidRDefault="00D147A2">
      <w:pPr>
        <w:rPr>
          <w:b/>
          <w:bCs/>
        </w:rPr>
      </w:pPr>
      <w:r w:rsidRPr="00343E39">
        <w:rPr>
          <w:b/>
          <w:bCs/>
        </w:rPr>
        <w:t>Intro</w:t>
      </w:r>
      <w:r w:rsidR="009F25CB" w:rsidRPr="00343E39">
        <w:rPr>
          <w:b/>
          <w:bCs/>
        </w:rPr>
        <w:t>duction</w:t>
      </w:r>
      <w:r w:rsidR="00343E39">
        <w:rPr>
          <w:b/>
          <w:bCs/>
        </w:rPr>
        <w:t>:</w:t>
      </w:r>
    </w:p>
    <w:p w14:paraId="75A05486" w14:textId="0AC124B2" w:rsidR="00D147A2" w:rsidRDefault="006E68A4">
      <w:r>
        <w:t xml:space="preserve">The life of Jesus has been explored through the lens of all four Gospels in the New Testament where </w:t>
      </w:r>
      <w:proofErr w:type="gramStart"/>
      <w:r>
        <w:t>it is clear that much</w:t>
      </w:r>
      <w:proofErr w:type="gramEnd"/>
      <w:r>
        <w:t xml:space="preserve"> can be said of the significance of events that occur throughout the writings of each gospel. Looking more closely at the Gospel of John and the way in which the life, ministry and death of Jesus has impacted the study of Christology</w:t>
      </w:r>
      <w:r w:rsidR="009F25CB">
        <w:t>, with its significance in understanding the role of Jesus not only for this text but for Christianity as a religion. What is important to mention therefore is this path that is set out for Jesus, where his life consists of numerous aspects of teaching, preaching and miraculous events. With all of this, the Gospel of John explores much of Jesus’ life and the significance of such events not only for the early followers of Jesus but also for the path to be followed by millions globally up to present day. It is important to acknowledge that there are key events in the life of Jesus that indicate early on what his path in life is to be and then the declaration by Jesus, the final purpose of his mission on earth</w:t>
      </w:r>
      <w:r w:rsidR="00343E39">
        <w:t xml:space="preserve">. In this essay, I will explore the life and various teachings of Jesus where the significance of miraculous deeds and the disciple’s belief in Jesus builds onto the next aspect of Jesus’ mission on earth. With this, the significance not only of Jesus’ birth and miracles but also the importance of Jesus’ final mission of sacrifice on the cross and resurrection. The life of Jesus up to this point all leads to the eventual death and resurrection in the Gospel of John where this significance for understanding Christology will also be explored.    </w:t>
      </w:r>
      <w:r w:rsidR="009F25CB">
        <w:t xml:space="preserve">    </w:t>
      </w:r>
    </w:p>
    <w:p w14:paraId="24F1FAE0" w14:textId="44F56253" w:rsidR="00D147A2" w:rsidRPr="00C6536C" w:rsidRDefault="00D147A2">
      <w:pPr>
        <w:rPr>
          <w:b/>
          <w:bCs/>
        </w:rPr>
      </w:pPr>
      <w:r w:rsidRPr="00C6536C">
        <w:rPr>
          <w:b/>
          <w:bCs/>
        </w:rPr>
        <w:t>Section 1-</w:t>
      </w:r>
      <w:r w:rsidR="00C6536C" w:rsidRPr="00C6536C">
        <w:rPr>
          <w:b/>
          <w:bCs/>
        </w:rPr>
        <w:t xml:space="preserve"> The Life and Miraculous Works of Jesus</w:t>
      </w:r>
    </w:p>
    <w:p w14:paraId="10F5D0BA" w14:textId="55374ED8" w:rsidR="00DB20CD" w:rsidRDefault="00343E39">
      <w:r>
        <w:t xml:space="preserve">It can be immediately understood that </w:t>
      </w:r>
      <w:r w:rsidR="00D90A9E">
        <w:t xml:space="preserve">in the Gospel of John, it begins with the notion that the Word of God was ‘in the beginning’ where this word was eventually made human. Through Jesus this aspect of God’s power and knowledge can be explored </w:t>
      </w:r>
      <w:r w:rsidR="005A280A">
        <w:t>where it is noted that “the word became flesh,” essentially beginning with the significance of Jesus being sent by God to earth as his Son. (Jn.1:1-18) With this, it can also be highlighted how “the narrator introduces Jesus as the Word who was God and was with God in the beginning, the creative agent through whom all things came into being,”</w:t>
      </w:r>
      <w:r w:rsidR="005A280A">
        <w:rPr>
          <w:rStyle w:val="FootnoteReference"/>
        </w:rPr>
        <w:footnoteReference w:id="1"/>
      </w:r>
      <w:r w:rsidR="005A280A">
        <w:t xml:space="preserve"> where this also signifies this instant connection between this man born through the Word of God and what is eventually going to lead to the miraculous works and life of this man. What is failed to be mentioned however is the initial birth of Jesus in this gospel, where the narrative leads straight to the testimony of John in the opening, where the key point of Jesus’ importance is first mentioned; “And I myself have seen and have testified that this is the Son of God.” (Jn1:34) </w:t>
      </w:r>
      <w:r w:rsidR="00F833FA">
        <w:t>With this statement, it is evident that there was something important to come from Jesus, where he did not initially state these words himself however it was recognised in him that there was a purpose and a meaning to his life and presence on earth. It is important to consider the way that the gospel of John has set this understanding of Jesus and his importance within the first chapter of the gospel, where Daniel L Migliore also highlights that “when a Christian theology must include many topics, the decisive basis and criterion of all that it says is the person and work of Jesus Christ.”</w:t>
      </w:r>
      <w:r w:rsidR="00F833FA">
        <w:rPr>
          <w:rStyle w:val="FootnoteReference"/>
        </w:rPr>
        <w:footnoteReference w:id="2"/>
      </w:r>
      <w:r w:rsidR="00F833FA">
        <w:t xml:space="preserve"> This further adds to the discussion of the importance firstly of establishing the significance of Jesus from the beginning of the gospel, where it is introducing an important person without revealing what is important or what the eventual goal of having this being on earth is yet. </w:t>
      </w:r>
      <w:r w:rsidR="0031229C">
        <w:t>Furthermore, it can also be noted by Migliore</w:t>
      </w:r>
      <w:r w:rsidR="00E92762">
        <w:t xml:space="preserve"> that “it is in the telling </w:t>
      </w:r>
      <w:r w:rsidR="009F3D45">
        <w:t>of the story of Jesus, in the narration of the whole gospel</w:t>
      </w:r>
      <w:r w:rsidR="005544AC">
        <w:t xml:space="preserve">- his message, </w:t>
      </w:r>
      <w:r w:rsidR="005544AC">
        <w:lastRenderedPageBreak/>
        <w:t xml:space="preserve">ministry, passion and resurrection- that we hold together the person </w:t>
      </w:r>
      <w:r w:rsidR="00B03047">
        <w:t>and work of Jesus.”</w:t>
      </w:r>
      <w:r w:rsidR="00B03047">
        <w:rPr>
          <w:rStyle w:val="FootnoteReference"/>
        </w:rPr>
        <w:footnoteReference w:id="3"/>
      </w:r>
      <w:r w:rsidR="00B03047">
        <w:t xml:space="preserve"> </w:t>
      </w:r>
      <w:r w:rsidR="00B90F76">
        <w:t xml:space="preserve">This statement further adds to this </w:t>
      </w:r>
      <w:r w:rsidR="003246F2">
        <w:t xml:space="preserve">notion that </w:t>
      </w:r>
      <w:r w:rsidR="009449F2">
        <w:t xml:space="preserve">all of what Jesus says and does, culminates in this narrative through the gospel of John and ultimately is all in place for </w:t>
      </w:r>
      <w:r w:rsidR="00DD6F4C">
        <w:t xml:space="preserve">a specific reason: that Jesus’ life is to come to an end in order to </w:t>
      </w:r>
      <w:r w:rsidR="00700EBE">
        <w:t>allow for</w:t>
      </w:r>
      <w:r w:rsidR="00DD6F4C">
        <w:t xml:space="preserve"> the resurrection and </w:t>
      </w:r>
      <w:r w:rsidR="00700EBE">
        <w:t xml:space="preserve">eventual reconnection with God through his death. </w:t>
      </w:r>
      <w:r w:rsidR="00B90F76">
        <w:t xml:space="preserve"> </w:t>
      </w:r>
    </w:p>
    <w:p w14:paraId="2C892782" w14:textId="29E27D34" w:rsidR="00E62BA5" w:rsidRDefault="008D32BA">
      <w:r>
        <w:t>Jesus’ baptism is equally of importance when it comes to his life and experiences where this is explored in Jn.</w:t>
      </w:r>
      <w:r w:rsidR="005B4B47">
        <w:t xml:space="preserve">1:29-34. </w:t>
      </w:r>
      <w:r w:rsidR="00250918">
        <w:t xml:space="preserve">This is the first mention of the Holy Spirit </w:t>
      </w:r>
      <w:r w:rsidR="00B73F23">
        <w:t xml:space="preserve">in relation to Jesus, where </w:t>
      </w:r>
      <w:r w:rsidR="005C40C4">
        <w:t xml:space="preserve">it is stated that: “And John testified, ‘I saw </w:t>
      </w:r>
      <w:r w:rsidR="006E6853">
        <w:t>the Spirit descending from heaven like a dove, and it remained on him.”</w:t>
      </w:r>
      <w:r w:rsidR="00E215D2">
        <w:t xml:space="preserve"> (Jn.1:32) </w:t>
      </w:r>
      <w:r w:rsidR="00141B74">
        <w:t xml:space="preserve">With this, it is clear here that although, as previously mentioned, John does not begin with the significance of Jesus’ birth, it is </w:t>
      </w:r>
      <w:r w:rsidR="006A27AA">
        <w:t xml:space="preserve">more evident that from this point onwards, with Jesus’ baptism and acknowledgement </w:t>
      </w:r>
      <w:r w:rsidR="00E74D52">
        <w:t>by John the Baptist of his divinity, this makes clear the significance of his baptism</w:t>
      </w:r>
      <w:r w:rsidR="00DC2341">
        <w:t xml:space="preserve"> and for what is to eventually come with his resurrection. </w:t>
      </w:r>
      <w:r w:rsidR="00051B45">
        <w:t>Alan Richardson comments also on Jesus’ baptism, highlighting that “</w:t>
      </w:r>
      <w:r w:rsidR="00AE1BD0">
        <w:t xml:space="preserve">the baptism of Jesus </w:t>
      </w:r>
      <w:r w:rsidR="0082154A">
        <w:t xml:space="preserve">is, then, a foreshadowing of his death. The objection that the sinless one needs no baptism </w:t>
      </w:r>
      <w:r w:rsidR="00B77ABA">
        <w:t xml:space="preserve">of repentance is the same objection as that which was made against the doctrine </w:t>
      </w:r>
      <w:r w:rsidR="005E3715">
        <w:t>that the Messiah must suffer.”</w:t>
      </w:r>
      <w:r w:rsidR="005E3715">
        <w:rPr>
          <w:rStyle w:val="FootnoteReference"/>
        </w:rPr>
        <w:footnoteReference w:id="4"/>
      </w:r>
      <w:r w:rsidR="00376B3F">
        <w:t xml:space="preserve"> </w:t>
      </w:r>
      <w:r w:rsidR="007539F0">
        <w:t xml:space="preserve">This emphasises the significance of this event where </w:t>
      </w:r>
      <w:r w:rsidR="00EC51B4">
        <w:t xml:space="preserve">even Jesus had to be baptised </w:t>
      </w:r>
      <w:proofErr w:type="gramStart"/>
      <w:r w:rsidR="00EC51B4">
        <w:t>in order for</w:t>
      </w:r>
      <w:proofErr w:type="gramEnd"/>
      <w:r w:rsidR="00EC51B4">
        <w:t xml:space="preserve"> himself to be able to enter the kingdom of God. As explored in </w:t>
      </w:r>
      <w:r w:rsidR="00424051">
        <w:t>Jn.3:</w:t>
      </w:r>
      <w:r w:rsidR="00364D63">
        <w:t>5, Jesus sa</w:t>
      </w:r>
      <w:r w:rsidR="00EF3427">
        <w:t xml:space="preserve">id to Nicodemus that “very truly, I tell you, </w:t>
      </w:r>
      <w:r w:rsidR="00435BFF">
        <w:t xml:space="preserve">no one can enter the kingdom of God without being born of water and Spirit,” where </w:t>
      </w:r>
      <w:r w:rsidR="00873E01">
        <w:t>these further highlights</w:t>
      </w:r>
      <w:r w:rsidR="00435BFF">
        <w:t xml:space="preserve"> </w:t>
      </w:r>
      <w:r w:rsidR="00E32CEE">
        <w:t xml:space="preserve">the </w:t>
      </w:r>
      <w:r w:rsidR="00A907EC">
        <w:t xml:space="preserve">importance of this water baptism </w:t>
      </w:r>
      <w:r w:rsidR="007211D3">
        <w:t>for Jesus and subsequent followers, where he even undertook this</w:t>
      </w:r>
      <w:r w:rsidR="00FB3C06">
        <w:t xml:space="preserve">. </w:t>
      </w:r>
      <w:r w:rsidR="00DE621C">
        <w:t>Richardson also highlights importantly that “</w:t>
      </w:r>
      <w:r w:rsidR="00266512">
        <w:t xml:space="preserve">in the recent past it has been widely assumed that the significance of the baptism </w:t>
      </w:r>
      <w:r w:rsidR="00DF4CBD">
        <w:t xml:space="preserve">of Jesus by John in the River Jordan lay in the fact that Jesus then underwent </w:t>
      </w:r>
      <w:r w:rsidR="00E37FAD">
        <w:t xml:space="preserve">a deep religious experience which convinced him of his divine </w:t>
      </w:r>
      <w:r w:rsidR="00C8758A">
        <w:t>mission.”</w:t>
      </w:r>
      <w:r w:rsidR="00C8758A">
        <w:rPr>
          <w:rStyle w:val="FootnoteReference"/>
        </w:rPr>
        <w:footnoteReference w:id="5"/>
      </w:r>
      <w:r w:rsidR="00B738C5">
        <w:t xml:space="preserve"> This further signifies the potential start of </w:t>
      </w:r>
      <w:r w:rsidR="008D28FA">
        <w:t xml:space="preserve">Jesus’ acknowledgement </w:t>
      </w:r>
      <w:r w:rsidR="00873E01">
        <w:t>of what his life was</w:t>
      </w:r>
      <w:r w:rsidR="00022914">
        <w:t xml:space="preserve"> and </w:t>
      </w:r>
      <w:r w:rsidR="00873E01">
        <w:t>wh</w:t>
      </w:r>
      <w:r w:rsidR="00022914">
        <w:t>y</w:t>
      </w:r>
      <w:r w:rsidR="00873E01">
        <w:t xml:space="preserve"> </w:t>
      </w:r>
      <w:r w:rsidR="00903717">
        <w:t xml:space="preserve">it is important in understanding that this mission was to be completed </w:t>
      </w:r>
      <w:r w:rsidR="00677C5D">
        <w:t xml:space="preserve">for a reason. </w:t>
      </w:r>
    </w:p>
    <w:p w14:paraId="7CFF1ED4" w14:textId="3DC030B4" w:rsidR="00302B4C" w:rsidRDefault="00DB20CD">
      <w:r>
        <w:t>When it comes to understanding this person of Jesus initially, not much can be taken from the gospel, although Dietrich Bonhoeffer highlights an important detail about Jesus, where he states that “he is the God who has become man as we have become man.”</w:t>
      </w:r>
      <w:r>
        <w:rPr>
          <w:rStyle w:val="FootnoteReference"/>
        </w:rPr>
        <w:footnoteReference w:id="6"/>
      </w:r>
      <w:r>
        <w:t xml:space="preserve"> With this statement, it is evident therefore that the knowledge of Jesus’ entry to the world is significant in his life where he is instantly recognised as being the ‘son of God’ in the gospel of John but also important</w:t>
      </w:r>
      <w:r w:rsidR="00F13C34">
        <w:t xml:space="preserve"> to mention is</w:t>
      </w:r>
      <w:r>
        <w:t xml:space="preserve"> that Bonhoeffer highlights that Jesus is a human as much as he is divine; as all humans are born so was Jesus and therefore gives him a greater importance. </w:t>
      </w:r>
      <w:r w:rsidR="00027DA3">
        <w:t>Jesus’ life, in this sense, is already being noted for the significance where this knowledge of God becoming man is important for understanding the works and missions that is to come through Jesus.</w:t>
      </w:r>
      <w:r w:rsidR="00302B4C">
        <w:t xml:space="preserve"> Alister E McGrath </w:t>
      </w:r>
      <w:r w:rsidR="00C8113E">
        <w:t xml:space="preserve">also comments on this by stating that “for many Christians, </w:t>
      </w:r>
      <w:r w:rsidR="001069F9">
        <w:t>the term ‘son of man’ stands as a natural counterpart to ‘son of God</w:t>
      </w:r>
      <w:r w:rsidR="00E45070">
        <w:t xml:space="preserve">’. It is an affirmation of the humanity of Christ, just as the latter </w:t>
      </w:r>
      <w:r w:rsidR="00FC0E7C">
        <w:t>term is a complementary affirmation of his divinity.”</w:t>
      </w:r>
      <w:r w:rsidR="00FC0E7C">
        <w:rPr>
          <w:rStyle w:val="FootnoteReference"/>
        </w:rPr>
        <w:footnoteReference w:id="7"/>
      </w:r>
      <w:r w:rsidR="00694BFE">
        <w:t xml:space="preserve"> </w:t>
      </w:r>
      <w:r w:rsidR="00582CB8">
        <w:t>This statement</w:t>
      </w:r>
      <w:r w:rsidR="0055744F">
        <w:t xml:space="preserve"> </w:t>
      </w:r>
      <w:r w:rsidR="00B71A6B">
        <w:t xml:space="preserve">is used in this sense to </w:t>
      </w:r>
      <w:r w:rsidR="00610808">
        <w:t>understand</w:t>
      </w:r>
      <w:r w:rsidR="00B71A6B">
        <w:t xml:space="preserve"> that although </w:t>
      </w:r>
      <w:proofErr w:type="gramStart"/>
      <w:r w:rsidR="00B71A6B">
        <w:t>it is clear that Jesus</w:t>
      </w:r>
      <w:proofErr w:type="gramEnd"/>
      <w:r w:rsidR="00B71A6B">
        <w:t xml:space="preserve"> is born of human parents, it is through his birth that we find this distinction to other humans and</w:t>
      </w:r>
      <w:r w:rsidR="00AA789A">
        <w:t>,</w:t>
      </w:r>
      <w:r w:rsidR="00B71A6B">
        <w:t xml:space="preserve"> </w:t>
      </w:r>
      <w:r w:rsidR="00AA789A">
        <w:t>therefore, what is eventually to come through Jesus’ miracles and teachings</w:t>
      </w:r>
      <w:r w:rsidR="00610808">
        <w:t xml:space="preserve"> in his life. </w:t>
      </w:r>
      <w:r w:rsidR="00DA3B07">
        <w:t xml:space="preserve">Porter </w:t>
      </w:r>
      <w:r w:rsidR="00B71514">
        <w:t xml:space="preserve">explores this further by noting that “John sees Jesus as the functionary of God, his earthly </w:t>
      </w:r>
      <w:r w:rsidR="0002334E">
        <w:t xml:space="preserve">agent who was sent to </w:t>
      </w:r>
      <w:r w:rsidR="0002334E">
        <w:lastRenderedPageBreak/>
        <w:t>accomplish the Father’s work,”</w:t>
      </w:r>
      <w:r w:rsidR="0002334E">
        <w:rPr>
          <w:rStyle w:val="FootnoteReference"/>
        </w:rPr>
        <w:footnoteReference w:id="8"/>
      </w:r>
      <w:r w:rsidR="0002334E">
        <w:t xml:space="preserve"> where </w:t>
      </w:r>
      <w:r w:rsidR="0036187D">
        <w:t>this highlights also on th</w:t>
      </w:r>
      <w:r w:rsidR="00D33F48">
        <w:t>e</w:t>
      </w:r>
      <w:r w:rsidR="0036187D">
        <w:t xml:space="preserve"> </w:t>
      </w:r>
      <w:r w:rsidR="00D303BF">
        <w:t>uni</w:t>
      </w:r>
      <w:r w:rsidR="00D33F48">
        <w:t xml:space="preserve">son </w:t>
      </w:r>
      <w:r w:rsidR="00794F25">
        <w:t xml:space="preserve">of such aspects of </w:t>
      </w:r>
      <w:r w:rsidR="0045434A">
        <w:t>Jesus’</w:t>
      </w:r>
      <w:r w:rsidR="00794F25">
        <w:t xml:space="preserve"> personality, where he can be both seen as a human doing God’s heavenly work</w:t>
      </w:r>
      <w:r w:rsidR="0045434A">
        <w:t xml:space="preserve"> on </w:t>
      </w:r>
      <w:proofErr w:type="gramStart"/>
      <w:r w:rsidR="0045434A">
        <w:t>earth;</w:t>
      </w:r>
      <w:proofErr w:type="gramEnd"/>
      <w:r w:rsidR="0045434A">
        <w:t xml:space="preserve"> containing the elements of humanity and also that of divine nature. </w:t>
      </w:r>
    </w:p>
    <w:p w14:paraId="43FCC8AE" w14:textId="4F3FB20F" w:rsidR="00D147A2" w:rsidRDefault="008C6E3B">
      <w:r>
        <w:t xml:space="preserve">Another aspect of Jesus’ life that is important to mention is of his healing works, which occur in the Gospel of John </w:t>
      </w:r>
      <w:r w:rsidR="00A819F3">
        <w:t xml:space="preserve">on multiple occasions, ranging from curing the sick, </w:t>
      </w:r>
      <w:r w:rsidR="00CE3394">
        <w:t xml:space="preserve">healing the deaf and blind and even reviving the dead. </w:t>
      </w:r>
      <w:r w:rsidR="00676881">
        <w:t>On one occasion, in Jn.</w:t>
      </w:r>
      <w:r w:rsidR="0063496F">
        <w:t>5:1-18</w:t>
      </w:r>
      <w:r w:rsidR="00190400">
        <w:t xml:space="preserve">, Jesus healed a sick man on the Sabbath, where this is seen as blasphemous </w:t>
      </w:r>
      <w:r w:rsidR="006C2A5E">
        <w:t>to the Jewish people listening to what had happened. However, Jesus rebukes this by adding: “</w:t>
      </w:r>
      <w:r w:rsidR="00801EEC">
        <w:t xml:space="preserve">my Father is still working, and I am also working,” which </w:t>
      </w:r>
      <w:r w:rsidR="00A92827">
        <w:t xml:space="preserve">shows that Jesus is </w:t>
      </w:r>
      <w:r w:rsidR="00C11807">
        <w:t xml:space="preserve">continuing in the work of his Father during times that he is also working, </w:t>
      </w:r>
      <w:r w:rsidR="00977E81">
        <w:t xml:space="preserve">alluding to the connection between Jesus and God. </w:t>
      </w:r>
      <w:r w:rsidR="000B1447">
        <w:t>James F McGrath adds to this by saying that “in John, through the inclusion of the Sabbath</w:t>
      </w:r>
      <w:r w:rsidR="00926DC5">
        <w:t xml:space="preserve"> motif, the issue is brought into focus by means of a claim that Jesus, like God, can work on the Sabbath</w:t>
      </w:r>
      <w:r w:rsidR="002E2863">
        <w:t>.”</w:t>
      </w:r>
      <w:r w:rsidR="002E2863">
        <w:rPr>
          <w:rStyle w:val="FootnoteReference"/>
        </w:rPr>
        <w:footnoteReference w:id="9"/>
      </w:r>
      <w:r w:rsidR="00EB4D00">
        <w:t xml:space="preserve"> Furthermore, this </w:t>
      </w:r>
      <w:r w:rsidR="00A52688">
        <w:t>adds to the way in which Jesus was able to perform his healing work on a Sabbath day, as God on earth</w:t>
      </w:r>
      <w:r w:rsidR="00927CF7">
        <w:t xml:space="preserve">, this is what his Father would have been doing also. </w:t>
      </w:r>
      <w:r w:rsidR="007D7930">
        <w:t xml:space="preserve">Alongside this miraculous </w:t>
      </w:r>
      <w:r w:rsidR="008D29DB">
        <w:t xml:space="preserve">aspect of Jesus, that shows his divine nature, it can also be explored through Jesus’ humanity, where </w:t>
      </w:r>
      <w:r w:rsidR="00B72FB6">
        <w:t xml:space="preserve">Alister E McGrath comments that “if Jesus Christ differed </w:t>
      </w:r>
      <w:r w:rsidR="00FD210A">
        <w:t xml:space="preserve">from other human beings, it was in relation to the extent </w:t>
      </w:r>
      <w:r w:rsidR="009F0728">
        <w:t>to which he possessed certain qualities- qualities which were, in principle</w:t>
      </w:r>
      <w:r w:rsidR="00C16511">
        <w:t>, capable of being imitated or acquired by everyone else.”</w:t>
      </w:r>
      <w:r w:rsidR="00C16511">
        <w:rPr>
          <w:rStyle w:val="FootnoteReference"/>
        </w:rPr>
        <w:footnoteReference w:id="10"/>
      </w:r>
      <w:r w:rsidR="00FC2ECC">
        <w:t xml:space="preserve"> </w:t>
      </w:r>
      <w:r w:rsidR="00DC5143">
        <w:t xml:space="preserve">With this, </w:t>
      </w:r>
      <w:r w:rsidR="00607A0C">
        <w:t xml:space="preserve">much of what Jesus taught can be achieved by humans, where he himself experienced human emotions, feelings and experiences such as </w:t>
      </w:r>
      <w:r w:rsidR="00B01D02">
        <w:t>thirst (Jn.4:7), tiredness (Jn.</w:t>
      </w:r>
      <w:r w:rsidR="00CA4351">
        <w:t>4:6), human emotions (Jn.2:15)</w:t>
      </w:r>
      <w:r w:rsidR="00175731">
        <w:t xml:space="preserve"> and finally </w:t>
      </w:r>
      <w:r w:rsidR="00803548">
        <w:t xml:space="preserve">through death </w:t>
      </w:r>
      <w:r w:rsidR="00D15C33">
        <w:t xml:space="preserve">(Jn.19:17-24). </w:t>
      </w:r>
      <w:r w:rsidR="00F0607C">
        <w:t xml:space="preserve">The final act of death, an experience that all humans eventually </w:t>
      </w:r>
      <w:r w:rsidR="005C721B">
        <w:t xml:space="preserve">and </w:t>
      </w:r>
      <w:proofErr w:type="gramStart"/>
      <w:r w:rsidR="005C721B">
        <w:t>definitely will</w:t>
      </w:r>
      <w:proofErr w:type="gramEnd"/>
      <w:r w:rsidR="005C721B">
        <w:t xml:space="preserve"> undertake, this aspect of Jesus’ life enables him to experience the full </w:t>
      </w:r>
      <w:r w:rsidR="007F2C09">
        <w:t xml:space="preserve">journey of life, from birth, life and then death, that is </w:t>
      </w:r>
      <w:r w:rsidR="00CE3C1C">
        <w:t xml:space="preserve">for any human. With this, however, the exception also comes with his resurrection where </w:t>
      </w:r>
      <w:r w:rsidR="00290DAF">
        <w:t xml:space="preserve">this aspect is considered more divinely given rather than humanly possible, where Jesus </w:t>
      </w:r>
      <w:r w:rsidR="005D2B0C">
        <w:t>subsequently</w:t>
      </w:r>
      <w:r w:rsidR="00290DAF">
        <w:t xml:space="preserve"> maintains </w:t>
      </w:r>
      <w:r w:rsidR="005D2B0C">
        <w:t xml:space="preserve">both elements of divinity and humanity. </w:t>
      </w:r>
      <w:r w:rsidR="00B01D02">
        <w:t xml:space="preserve"> </w:t>
      </w:r>
    </w:p>
    <w:p w14:paraId="678121E7" w14:textId="4B7E5AA8" w:rsidR="00D147A2" w:rsidRPr="00016F1C" w:rsidRDefault="00D147A2">
      <w:pPr>
        <w:rPr>
          <w:b/>
          <w:bCs/>
        </w:rPr>
      </w:pPr>
      <w:r w:rsidRPr="00C6536C">
        <w:rPr>
          <w:b/>
          <w:bCs/>
        </w:rPr>
        <w:t>Section 2</w:t>
      </w:r>
      <w:r w:rsidR="00C6536C" w:rsidRPr="00C6536C">
        <w:rPr>
          <w:b/>
          <w:bCs/>
        </w:rPr>
        <w:t>-</w:t>
      </w:r>
      <w:r w:rsidR="00C6536C">
        <w:t xml:space="preserve"> </w:t>
      </w:r>
      <w:r w:rsidR="00016F1C" w:rsidRPr="00016F1C">
        <w:rPr>
          <w:b/>
          <w:bCs/>
        </w:rPr>
        <w:t>The Death and Resurrection of Jesus.</w:t>
      </w:r>
    </w:p>
    <w:p w14:paraId="28758A18" w14:textId="7519E813" w:rsidR="009C6852" w:rsidRDefault="00BE3C47">
      <w:r>
        <w:t xml:space="preserve">Bonhoeffer makes a great point about </w:t>
      </w:r>
      <w:r w:rsidR="00016F1C">
        <w:t>Jesus’</w:t>
      </w:r>
      <w:r>
        <w:t xml:space="preserve"> </w:t>
      </w:r>
      <w:r w:rsidR="00B82283">
        <w:t xml:space="preserve">condemnation to death, where he states that “he has anguish as we do, it is his anguish. He </w:t>
      </w:r>
      <w:r w:rsidR="00496514">
        <w:t>is tempted as we are, it is his temptation. He is condemned as we are, but because he is condemned, we are saved through him</w:t>
      </w:r>
      <w:r w:rsidR="009A686E">
        <w:t>.”</w:t>
      </w:r>
      <w:r w:rsidR="009A686E">
        <w:rPr>
          <w:rStyle w:val="FootnoteReference"/>
        </w:rPr>
        <w:footnoteReference w:id="11"/>
      </w:r>
      <w:r w:rsidR="009A686E">
        <w:t xml:space="preserve"> This statement is </w:t>
      </w:r>
      <w:r w:rsidR="00016F1C">
        <w:t xml:space="preserve">important to firstly </w:t>
      </w:r>
      <w:r w:rsidR="005B0F94">
        <w:t>understand that Jesus was also a human as we are, experienced human loss, pain, weakness, suffering</w:t>
      </w:r>
      <w:r w:rsidR="005073F5">
        <w:t xml:space="preserve"> and eventually death. This does not matter, however,</w:t>
      </w:r>
      <w:r w:rsidR="004F2A3E">
        <w:t xml:space="preserve"> as through this death all other life can be created anew and brought through Jesus’ sacrifice. </w:t>
      </w:r>
      <w:r w:rsidR="00117F22">
        <w:t>As McGrath mentions that “</w:t>
      </w:r>
      <w:r w:rsidR="00ED48F0">
        <w:t xml:space="preserve">true knowledge of God and salvation must both therefore </w:t>
      </w:r>
      <w:r w:rsidR="002A1697">
        <w:t>come from outside the human situation,”</w:t>
      </w:r>
      <w:r w:rsidR="002A1697">
        <w:rPr>
          <w:rStyle w:val="FootnoteReference"/>
        </w:rPr>
        <w:footnoteReference w:id="12"/>
      </w:r>
      <w:r w:rsidR="002A1697">
        <w:t xml:space="preserve">  </w:t>
      </w:r>
      <w:r w:rsidR="0029605B">
        <w:t xml:space="preserve">this further implies that this understanding of Jesus </w:t>
      </w:r>
      <w:r w:rsidR="00DA6661">
        <w:t xml:space="preserve">and why Jesus came as a human was the only way that both God could become a part of creation on earth </w:t>
      </w:r>
      <w:proofErr w:type="gramStart"/>
      <w:r w:rsidR="00DA6661">
        <w:t>and also</w:t>
      </w:r>
      <w:proofErr w:type="gramEnd"/>
      <w:r w:rsidR="00DA6661">
        <w:t xml:space="preserve"> for the salvation of humanity</w:t>
      </w:r>
      <w:r w:rsidR="005521FF">
        <w:t>, through God in Jesus.</w:t>
      </w:r>
      <w:r w:rsidR="0029605B">
        <w:t xml:space="preserve"> </w:t>
      </w:r>
      <w:r w:rsidR="00610808">
        <w:t xml:space="preserve">Where Jesus’ early life and teachings are significant in getting to know the way in which Jesus </w:t>
      </w:r>
      <w:r w:rsidR="00D22914">
        <w:t xml:space="preserve">built his reputation in the ancient world, it is also crucial to highlight the next chapter of Jesus’ mission. With this, </w:t>
      </w:r>
      <w:r w:rsidR="0047232C">
        <w:t xml:space="preserve">it is important to also highlight the build up to Jesus’ death and </w:t>
      </w:r>
      <w:r w:rsidR="00F1074D">
        <w:t xml:space="preserve">eventual resurrection </w:t>
      </w:r>
      <w:r w:rsidR="00F1074D">
        <w:lastRenderedPageBreak/>
        <w:t xml:space="preserve">to come, where McGrath highlights that “a central theme </w:t>
      </w:r>
      <w:r w:rsidR="00520B9A">
        <w:t>of mainstream Christian thought is that salvation, in the Christian sense of the term</w:t>
      </w:r>
      <w:r w:rsidR="00B31305">
        <w:t>, is manifested in and through, and constituted on the basis of, the life, death, and resurrection</w:t>
      </w:r>
      <w:r w:rsidR="001E589D">
        <w:t xml:space="preserve"> of Jesus Christ.”</w:t>
      </w:r>
      <w:r w:rsidR="001E589D">
        <w:rPr>
          <w:rStyle w:val="FootnoteReference"/>
        </w:rPr>
        <w:footnoteReference w:id="13"/>
      </w:r>
      <w:r w:rsidR="001E589D">
        <w:t xml:space="preserve"> </w:t>
      </w:r>
      <w:r w:rsidR="00BD0CA1">
        <w:t xml:space="preserve">There are </w:t>
      </w:r>
      <w:r w:rsidR="000C57B7">
        <w:t xml:space="preserve">many times in the Gospel of John where it is made reference to </w:t>
      </w:r>
      <w:r w:rsidR="003F7856">
        <w:t xml:space="preserve">Jesus’ eventual death, including Jn. 3:14, Jn. </w:t>
      </w:r>
      <w:r w:rsidR="00434173">
        <w:t>8:21-30</w:t>
      </w:r>
      <w:r w:rsidR="00262FA0">
        <w:t>, Jn. 10:</w:t>
      </w:r>
      <w:r w:rsidR="0022482D">
        <w:t>1-18</w:t>
      </w:r>
      <w:r w:rsidR="000B1E9B">
        <w:t xml:space="preserve"> and finally in his </w:t>
      </w:r>
      <w:r w:rsidR="00011D6A">
        <w:t>leaving discourses with the disciples in Jn.12-</w:t>
      </w:r>
      <w:r w:rsidR="00911B86">
        <w:t>17</w:t>
      </w:r>
      <w:r w:rsidR="006546E4">
        <w:t xml:space="preserve">. Importantly to highlight first is how Jesus states his </w:t>
      </w:r>
      <w:r w:rsidR="00B34A1E">
        <w:t xml:space="preserve">death in such ways to the people he is telling, from </w:t>
      </w:r>
      <w:r w:rsidR="00EE580B">
        <w:t>‘being lifted</w:t>
      </w:r>
      <w:r w:rsidR="009B5238">
        <w:t xml:space="preserve"> up</w:t>
      </w:r>
      <w:r w:rsidR="00454BB9">
        <w:t>,</w:t>
      </w:r>
      <w:r w:rsidR="00A818A7">
        <w:t xml:space="preserve">’ </w:t>
      </w:r>
      <w:r w:rsidR="00454BB9">
        <w:t xml:space="preserve">further adding to this knowledge that </w:t>
      </w:r>
      <w:r w:rsidR="00223E92">
        <w:t>what is eventually to come, Jesus is preparing his disciples on what they can continue in his absence and that they will not be left fully alone, but that they will be guided further into a life without the physical Jesus.</w:t>
      </w:r>
      <w:r w:rsidR="00EA0673">
        <w:t xml:space="preserve"> </w:t>
      </w:r>
    </w:p>
    <w:p w14:paraId="6DD232A0" w14:textId="790AEB1A" w:rsidR="004F2A3E" w:rsidRDefault="00EA0156">
      <w:r>
        <w:t xml:space="preserve">Gerald </w:t>
      </w:r>
      <w:proofErr w:type="spellStart"/>
      <w:r>
        <w:t>O’Collins</w:t>
      </w:r>
      <w:proofErr w:type="spellEnd"/>
      <w:r>
        <w:t xml:space="preserve"> </w:t>
      </w:r>
      <w:r w:rsidR="000774D8">
        <w:t>highlights an important aspect of Jesus’ path towards his eventual end, where he states that “</w:t>
      </w:r>
      <w:r w:rsidR="0097460A">
        <w:t xml:space="preserve">by continuing his ministry, going to Jerusalem, and facing his opponents, Jesus </w:t>
      </w:r>
      <w:r w:rsidR="00C36BF7">
        <w:t>indirectly brought about the fatal situation.”</w:t>
      </w:r>
      <w:r w:rsidR="00C36BF7">
        <w:rPr>
          <w:rStyle w:val="FootnoteReference"/>
        </w:rPr>
        <w:footnoteReference w:id="14"/>
      </w:r>
      <w:r w:rsidR="00C36BF7">
        <w:t xml:space="preserve"> </w:t>
      </w:r>
      <w:r w:rsidR="00177CEB">
        <w:t xml:space="preserve">With this, it is evident that </w:t>
      </w:r>
      <w:proofErr w:type="spellStart"/>
      <w:r w:rsidR="00177CEB">
        <w:t>O’Collins</w:t>
      </w:r>
      <w:proofErr w:type="spellEnd"/>
      <w:r w:rsidR="00177CEB">
        <w:t xml:space="preserve"> is sure that </w:t>
      </w:r>
      <w:r w:rsidR="00143838">
        <w:t xml:space="preserve">by Jesus willingly going to Jerusalem and subsequently being arrested, that this brought about his fate, however Jesus knew of his fate prior to going to Jerusalem. Therefore, this was only a part of his journey that was meant to be eventually </w:t>
      </w:r>
      <w:r w:rsidR="00A65728">
        <w:t xml:space="preserve">which is why Jesus followed through with what he was meant to do. </w:t>
      </w:r>
      <w:r w:rsidR="00E10F33">
        <w:t xml:space="preserve">Alan Richardson </w:t>
      </w:r>
      <w:r w:rsidR="00A65728">
        <w:t xml:space="preserve">also </w:t>
      </w:r>
      <w:r w:rsidR="00E70A73">
        <w:t>highlights on the importance of this discourse, as he adds that “</w:t>
      </w:r>
      <w:r w:rsidR="003B50C9">
        <w:t xml:space="preserve">the Passion story was from the beginning an essential part of the Gospel preaching, </w:t>
      </w:r>
      <w:r w:rsidR="00A60FB5">
        <w:t>and from the beginning it was found to have a wonderful power to convince men’s hearts.”</w:t>
      </w:r>
      <w:r w:rsidR="00A60FB5">
        <w:rPr>
          <w:rStyle w:val="FootnoteReference"/>
        </w:rPr>
        <w:footnoteReference w:id="15"/>
      </w:r>
      <w:r w:rsidR="000718BD">
        <w:t xml:space="preserve"> This statement also highlights the significance of why the passion narrative is essential </w:t>
      </w:r>
      <w:r w:rsidR="008D4725">
        <w:t xml:space="preserve">to understanding this eventual mission and end goal that was intended for Jesus, </w:t>
      </w:r>
      <w:r w:rsidR="007E11F6">
        <w:t xml:space="preserve">where </w:t>
      </w:r>
      <w:r w:rsidR="00175021">
        <w:t xml:space="preserve">it is clear that the intention of the sacrifice of </w:t>
      </w:r>
      <w:r w:rsidR="007B04C8">
        <w:t>Jesus</w:t>
      </w:r>
      <w:r w:rsidR="00175021">
        <w:t xml:space="preserve"> was </w:t>
      </w:r>
      <w:r w:rsidR="007B04C8">
        <w:t xml:space="preserve">the main goal in his mission. </w:t>
      </w:r>
      <w:r w:rsidR="00933B26">
        <w:t>Jn.19:</w:t>
      </w:r>
      <w:r w:rsidR="00F419B9">
        <w:t xml:space="preserve">17 differs from the other gospels in this sense that there is no mention of </w:t>
      </w:r>
      <w:r w:rsidR="00774DA3">
        <w:t xml:space="preserve">Simon of Cyrene, who helped Jesus carry his cross to Golgotha. In this narrative, </w:t>
      </w:r>
      <w:r w:rsidR="009A453D">
        <w:t>it states that “</w:t>
      </w:r>
      <w:r w:rsidR="00B20134">
        <w:t>so they took Jesus; and carrying the cross by himself</w:t>
      </w:r>
      <w:r w:rsidR="00156D36">
        <w:t>, he went out to what is called the Place of the Skull</w:t>
      </w:r>
      <w:r w:rsidR="00E135A5">
        <w:t xml:space="preserve">, which in Hebrew is called Golgotha.” (Jn.19:16-17) </w:t>
      </w:r>
      <w:r w:rsidR="002651D0">
        <w:t xml:space="preserve">To John, therefore, the divinity of Jesus is evident here where he purposely omits a helper from the narrative, </w:t>
      </w:r>
      <w:r w:rsidR="001508C0">
        <w:t>showing that Jesus did not need any help to carry his own cross as he had the strength of God with him</w:t>
      </w:r>
      <w:r w:rsidR="00E1757C">
        <w:t xml:space="preserve">. </w:t>
      </w:r>
    </w:p>
    <w:p w14:paraId="440AA1E3" w14:textId="4F79284B" w:rsidR="00D147A2" w:rsidRDefault="00A818A7">
      <w:r>
        <w:t>Stanley Porter comments on Jn.12</w:t>
      </w:r>
      <w:r w:rsidR="00DB4CA1">
        <w:t xml:space="preserve">:24-26 where he mentions that “using the image of wheat, which must die in order </w:t>
      </w:r>
      <w:r w:rsidR="00500D44">
        <w:t xml:space="preserve">to bear fruit, the fourth gospel puts the suffering of Jesus’ followers </w:t>
      </w:r>
      <w:r w:rsidR="004C6F76">
        <w:t>in the same sphere of Jesus’ noble death,”</w:t>
      </w:r>
      <w:r w:rsidR="004C6F76">
        <w:rPr>
          <w:rStyle w:val="FootnoteReference"/>
        </w:rPr>
        <w:footnoteReference w:id="16"/>
      </w:r>
      <w:r w:rsidR="0057490D">
        <w:t xml:space="preserve"> this further adds to the significance of why Jesus’ death was eventual and </w:t>
      </w:r>
      <w:r w:rsidR="001E1D81">
        <w:t xml:space="preserve">ultimately essential in the salvation of not only the followers of Jesus but for humanity. </w:t>
      </w:r>
      <w:r w:rsidR="004A0E9F">
        <w:t xml:space="preserve">Jean Zumstein also comments on this aspect where </w:t>
      </w:r>
      <w:r w:rsidR="00C54B47">
        <w:t xml:space="preserve">it is highlighted that “by referring to </w:t>
      </w:r>
      <w:r w:rsidR="00E8332C">
        <w:t xml:space="preserve">Jesus’ death and not to his resurrection with the terminology of elevation and glorification, </w:t>
      </w:r>
      <w:r w:rsidR="00335B92">
        <w:t>the gospel says that the cross is a productive event, the place of victory rather than of a defeat.”</w:t>
      </w:r>
      <w:r w:rsidR="00335B92">
        <w:rPr>
          <w:rStyle w:val="FootnoteReference"/>
        </w:rPr>
        <w:footnoteReference w:id="17"/>
      </w:r>
      <w:r w:rsidR="00D13659">
        <w:t xml:space="preserve"> </w:t>
      </w:r>
      <w:r w:rsidR="00617C29">
        <w:t xml:space="preserve">This further adds to the narrative in the Gospel of John where the death of Jesus was not only necessary but was also not definitively the end, where </w:t>
      </w:r>
      <w:r w:rsidR="008353A2">
        <w:t>it is important to consider the implications of</w:t>
      </w:r>
      <w:r w:rsidR="00EA0673">
        <w:t xml:space="preserve"> what was to come next. </w:t>
      </w:r>
      <w:r w:rsidR="00D171E2">
        <w:t>Jesus’ words at his death are stated in Jn</w:t>
      </w:r>
      <w:r w:rsidR="001A2ECC">
        <w:t>.19</w:t>
      </w:r>
      <w:r w:rsidR="00E87CA1">
        <w:t xml:space="preserve">:30: ‘when Jesus had received the </w:t>
      </w:r>
      <w:r w:rsidR="00554FE5">
        <w:t xml:space="preserve">wine, he said, ‘it is finished.’ Then he bowed his head </w:t>
      </w:r>
      <w:r w:rsidR="00567F6E">
        <w:t>and gave up his spirit,” further highlighting how even though this is considered the end</w:t>
      </w:r>
      <w:r w:rsidR="00524FFD">
        <w:t xml:space="preserve"> of his life, he is not </w:t>
      </w:r>
      <w:r w:rsidR="00524FFD">
        <w:lastRenderedPageBreak/>
        <w:t xml:space="preserve">angry, sad or doubtful, he is aware that what he had set out to achieve has been achieved and his mission is complete through this act. </w:t>
      </w:r>
      <w:r w:rsidR="00912440">
        <w:t>Porter also adds to this by stating that “</w:t>
      </w:r>
      <w:r w:rsidR="00D71805">
        <w:t xml:space="preserve">the Gospel narrative ascribes meaning to their suffering, showing </w:t>
      </w:r>
      <w:r w:rsidR="008733AD">
        <w:t xml:space="preserve">how the suffering of Jesus and persecution </w:t>
      </w:r>
      <w:r w:rsidR="005849D6">
        <w:t>were a part of bringing about God’s mission to the world.”</w:t>
      </w:r>
      <w:r w:rsidR="005849D6">
        <w:rPr>
          <w:rStyle w:val="FootnoteReference"/>
        </w:rPr>
        <w:footnoteReference w:id="18"/>
      </w:r>
      <w:r w:rsidR="00FA7DBE">
        <w:t xml:space="preserve"> </w:t>
      </w:r>
      <w:r w:rsidR="00235EBC">
        <w:t xml:space="preserve">With this, it further </w:t>
      </w:r>
      <w:r w:rsidR="001A6B65">
        <w:t>signifies that although suffering and death can be seen as a negative outcome of Jesus’ life, this was only the beginning of a new chapter in Christianity as we know it today.</w:t>
      </w:r>
    </w:p>
    <w:p w14:paraId="2B279B98" w14:textId="1E07EF66" w:rsidR="00235EBC" w:rsidRDefault="00B776B1">
      <w:r>
        <w:t>As Jesus ‘gave up his spirit</w:t>
      </w:r>
      <w:r w:rsidR="004B139C">
        <w:t xml:space="preserve">’, D Moody Smith states that “theologically perceived, Jesus’ death is the crucial </w:t>
      </w:r>
      <w:r w:rsidR="005E1797">
        <w:t xml:space="preserve">moment of God’s revelation and judgement in and through him… even as </w:t>
      </w:r>
      <w:r w:rsidR="00CD79D6">
        <w:t>it opens the way to the future as the time of the risen</w:t>
      </w:r>
      <w:r w:rsidR="0084426F">
        <w:t xml:space="preserve"> and ascended Christ (20:17) and of the Spirit-Paraclete </w:t>
      </w:r>
      <w:r w:rsidR="007507CE">
        <w:t>who continues and extends his revelation.”</w:t>
      </w:r>
      <w:r w:rsidR="007507CE">
        <w:rPr>
          <w:rStyle w:val="FootnoteReference"/>
        </w:rPr>
        <w:footnoteReference w:id="19"/>
      </w:r>
      <w:r w:rsidR="00D8008C">
        <w:t xml:space="preserve"> </w:t>
      </w:r>
      <w:r w:rsidR="00474373">
        <w:t xml:space="preserve">With this statement, it is evident also that </w:t>
      </w:r>
      <w:r w:rsidR="00B36766">
        <w:t xml:space="preserve">much can be said from </w:t>
      </w:r>
      <w:r w:rsidR="00A1217D">
        <w:t xml:space="preserve">understanding this aspect as a way in which Jesus is perceived as </w:t>
      </w:r>
      <w:r w:rsidR="00B953AD">
        <w:t xml:space="preserve">the one who will </w:t>
      </w:r>
      <w:r w:rsidR="009F2017">
        <w:t xml:space="preserve">return again after completing his mission. </w:t>
      </w:r>
      <w:r w:rsidR="00E4774A">
        <w:t xml:space="preserve">Bonhoeffer explores this further where he </w:t>
      </w:r>
      <w:r w:rsidR="00524729">
        <w:t>mentions that “as the one who bears our sin, and no one else, he is sinless, holy, eternal</w:t>
      </w:r>
      <w:r w:rsidR="00540A56">
        <w:t>, the Lord, the Son of the Father,”</w:t>
      </w:r>
      <w:r w:rsidR="00540A56">
        <w:rPr>
          <w:rStyle w:val="FootnoteReference"/>
        </w:rPr>
        <w:footnoteReference w:id="20"/>
      </w:r>
      <w:r w:rsidR="00FC75CB">
        <w:t xml:space="preserve"> </w:t>
      </w:r>
      <w:r w:rsidR="002F3BDC">
        <w:t>this further highlight</w:t>
      </w:r>
      <w:r w:rsidR="0008196B">
        <w:t xml:space="preserve"> how the eventual death and resurrection of Jesus </w:t>
      </w:r>
      <w:r w:rsidR="003B24C4">
        <w:t xml:space="preserve">as being the end to his mission and finally being returned to </w:t>
      </w:r>
      <w:r w:rsidR="002844B0">
        <w:t>God in peace.</w:t>
      </w:r>
      <w:r w:rsidR="002F3BDC">
        <w:t xml:space="preserve"> </w:t>
      </w:r>
      <w:r w:rsidR="00D05B29">
        <w:t xml:space="preserve">McGrath also adds to this where he </w:t>
      </w:r>
      <w:r w:rsidR="008B38EB">
        <w:t>mentions the way in which the importance of the coming of the Holy Spirit, through Jesus’ death, was only possible; “</w:t>
      </w:r>
      <w:r w:rsidR="002362B4">
        <w:t>an important way of understanding the presence of God in Christ is by viewing Jesus as the bearer of the Holy Spirit.”</w:t>
      </w:r>
      <w:r w:rsidR="002362B4">
        <w:rPr>
          <w:rStyle w:val="FootnoteReference"/>
        </w:rPr>
        <w:footnoteReference w:id="21"/>
      </w:r>
      <w:r w:rsidR="002844B0">
        <w:t xml:space="preserve"> </w:t>
      </w:r>
      <w:r w:rsidR="00745990">
        <w:t xml:space="preserve">With this statement, it is evident therefore that on Jesus’ death, it was essential through this action that the Holy Spirit was then </w:t>
      </w:r>
      <w:r w:rsidR="005E70AC">
        <w:t xml:space="preserve">able to come </w:t>
      </w:r>
      <w:r w:rsidR="00184C8C">
        <w:t xml:space="preserve">as </w:t>
      </w:r>
      <w:r w:rsidR="007B08E3">
        <w:t>his successor</w:t>
      </w:r>
      <w:r w:rsidR="002D1B68">
        <w:t xml:space="preserve">, as Moody </w:t>
      </w:r>
      <w:r w:rsidR="00CF41BE">
        <w:t xml:space="preserve">Smith adds: “John presents the Spirit-Paraclete as the successor of Jesus who carries </w:t>
      </w:r>
      <w:r w:rsidR="00886195">
        <w:t xml:space="preserve">on his revelatory work, sustaining the disciples </w:t>
      </w:r>
      <w:r w:rsidR="00A07C94">
        <w:t>after the rupture represented by Jesus’ death.”</w:t>
      </w:r>
      <w:r w:rsidR="00A07C94">
        <w:rPr>
          <w:rStyle w:val="FootnoteReference"/>
        </w:rPr>
        <w:footnoteReference w:id="22"/>
      </w:r>
      <w:r w:rsidR="00577873">
        <w:t xml:space="preserve"> With this, it is evident therefore that with the death of Jesus, this allowed for the </w:t>
      </w:r>
      <w:r w:rsidR="00CC7424">
        <w:t>spirit to come in Jesus’ place and guide the rest of humanity</w:t>
      </w:r>
      <w:r w:rsidR="00A7154F">
        <w:t>,</w:t>
      </w:r>
      <w:r w:rsidR="00CC7424">
        <w:t xml:space="preserve"> from the time of Jesus’ death</w:t>
      </w:r>
      <w:r w:rsidR="00A7154F">
        <w:t>,</w:t>
      </w:r>
      <w:r w:rsidR="00C73412">
        <w:t xml:space="preserve"> in his works and teachings</w:t>
      </w:r>
      <w:r w:rsidR="00A7154F">
        <w:t xml:space="preserve"> and to guide future generations to come.</w:t>
      </w:r>
    </w:p>
    <w:p w14:paraId="4CB88CCB" w14:textId="5DC801DE" w:rsidR="00D147A2" w:rsidRPr="00C6536C" w:rsidRDefault="00D147A2">
      <w:pPr>
        <w:rPr>
          <w:b/>
          <w:bCs/>
        </w:rPr>
      </w:pPr>
      <w:r w:rsidRPr="00C6536C">
        <w:rPr>
          <w:b/>
          <w:bCs/>
        </w:rPr>
        <w:t>Conclusion</w:t>
      </w:r>
    </w:p>
    <w:p w14:paraId="535FBB7B" w14:textId="2469D20D" w:rsidR="00D147A2" w:rsidRDefault="00343E39">
      <w:r>
        <w:t xml:space="preserve">As explored throughout this essay, it is evident that there are many aspects relating to the life, works and eventual death and resurrection of Jesus that fully explores this significance, in the Gospel of John, where </w:t>
      </w:r>
      <w:r w:rsidR="008621BC">
        <w:t xml:space="preserve">there was a purpose to his life and understanding this purpose is the main essence of understanding Christology. Where it is important to highlight the many significant aspects of Jesus’ life and works, where this was the beginning of his mission, however it is ultimately ended with the realisation of the true mission of Jesus where there is a larger message to be brought. Although immediately the miraculous birth of Jesus begins his path in life, it is eventually the significance leading up to the final goal that is most important within Christology in understanding both the reasons for Jesus’ life work and crucially his final message to be left after his resurrection to the world and what has come from this across history. Where it is evident that the early life work and teachings of Jesus are important in one sense to knowing Jesus’ way of life however what is eventually crucial to understanding why Jesus’ life was set out in the way that it was, it is important to highlight the significance of his </w:t>
      </w:r>
      <w:r w:rsidR="008621BC">
        <w:lastRenderedPageBreak/>
        <w:t>death and subsequent resurrection that solidifies the whole meaning of his life and purpose for humanity.</w:t>
      </w:r>
      <w:r w:rsidR="00713907">
        <w:t xml:space="preserve"> It is </w:t>
      </w:r>
      <w:r w:rsidR="00272844">
        <w:t xml:space="preserve">after the farewell discourses that we finally get to learn of the actual end that is expected of Jesus, where not only had he sacrificed himself for the </w:t>
      </w:r>
      <w:r w:rsidR="00AC5703">
        <w:t xml:space="preserve">greater good of humanity but how this sacrifice can aid the coming generations to come from this event. It is also important that while looking at the life, works, death and resurrection of Jesus, that much can be said of the necessity of his coming to earth, as the mediator between God and humanity, where </w:t>
      </w:r>
      <w:r w:rsidR="000E67EB">
        <w:t xml:space="preserve">the ultimate sacrifice was essentially necessary for the rest of humanity. </w:t>
      </w:r>
      <w:r w:rsidR="004124BC">
        <w:t xml:space="preserve">In this sense, what has been highlighted within this essay is the significance of </w:t>
      </w:r>
      <w:r w:rsidR="0029132F">
        <w:t xml:space="preserve">why Jesus’ life and subsequent events that resulted in his death and eventual resurrection have all </w:t>
      </w:r>
      <w:r w:rsidR="008E2648">
        <w:t xml:space="preserve">got a purpose. This purpose, therefore, aims to highlight how Jesus’ early life and experiences have led him to </w:t>
      </w:r>
      <w:r w:rsidR="00B008DA">
        <w:t>his death and completing his mission on earth for the future generations to come</w:t>
      </w:r>
      <w:r w:rsidR="00170831">
        <w:t xml:space="preserve">, through his work. </w:t>
      </w:r>
    </w:p>
    <w:p w14:paraId="02EC2A7D" w14:textId="77777777" w:rsidR="00D147A2" w:rsidRDefault="00D147A2"/>
    <w:p w14:paraId="1EEC28A8" w14:textId="77777777" w:rsidR="00D147A2" w:rsidRDefault="00D147A2"/>
    <w:p w14:paraId="10A2EE91" w14:textId="77777777" w:rsidR="00D147A2" w:rsidRDefault="00D147A2"/>
    <w:p w14:paraId="7CF63012" w14:textId="77777777" w:rsidR="00D147A2" w:rsidRDefault="00D147A2"/>
    <w:p w14:paraId="73CAFBC5" w14:textId="77777777" w:rsidR="00D147A2" w:rsidRDefault="00D147A2"/>
    <w:p w14:paraId="5198F773" w14:textId="77777777" w:rsidR="00D147A2" w:rsidRDefault="00D147A2"/>
    <w:p w14:paraId="3873833B" w14:textId="77777777" w:rsidR="00D147A2" w:rsidRDefault="00D147A2"/>
    <w:p w14:paraId="7F34D34B" w14:textId="77777777" w:rsidR="00D147A2" w:rsidRDefault="00D147A2"/>
    <w:p w14:paraId="55D108D7" w14:textId="77777777" w:rsidR="00D147A2" w:rsidRDefault="00D147A2"/>
    <w:p w14:paraId="561DB618" w14:textId="77777777" w:rsidR="00D147A2" w:rsidRDefault="00D147A2"/>
    <w:p w14:paraId="3AE14B48" w14:textId="77777777" w:rsidR="00D147A2" w:rsidRDefault="00D147A2"/>
    <w:p w14:paraId="781BCF5E" w14:textId="77777777" w:rsidR="00D147A2" w:rsidRDefault="00D147A2"/>
    <w:p w14:paraId="3EF21E0C" w14:textId="77777777" w:rsidR="00D147A2" w:rsidRDefault="00D147A2"/>
    <w:p w14:paraId="2A2AB3A0" w14:textId="77777777" w:rsidR="00D147A2" w:rsidRDefault="00D147A2"/>
    <w:p w14:paraId="18CC5E5E" w14:textId="77777777" w:rsidR="00D147A2" w:rsidRDefault="00D147A2"/>
    <w:p w14:paraId="6D43543F" w14:textId="77777777" w:rsidR="00D147A2" w:rsidRDefault="00D147A2"/>
    <w:p w14:paraId="6FD8DC61" w14:textId="77777777" w:rsidR="00D147A2" w:rsidRDefault="00D147A2"/>
    <w:p w14:paraId="174E0298" w14:textId="77777777" w:rsidR="00D147A2" w:rsidRDefault="00D147A2"/>
    <w:p w14:paraId="39028A3B" w14:textId="77777777" w:rsidR="00D147A2" w:rsidRDefault="00D147A2"/>
    <w:p w14:paraId="6FB9780C" w14:textId="77777777" w:rsidR="003C6175" w:rsidRDefault="003C6175">
      <w:pPr>
        <w:rPr>
          <w:b/>
          <w:bCs/>
        </w:rPr>
      </w:pPr>
    </w:p>
    <w:p w14:paraId="4F976A4F" w14:textId="77777777" w:rsidR="003C6175" w:rsidRDefault="003C6175">
      <w:pPr>
        <w:rPr>
          <w:b/>
          <w:bCs/>
        </w:rPr>
      </w:pPr>
    </w:p>
    <w:p w14:paraId="79FECE12" w14:textId="77777777" w:rsidR="003C6175" w:rsidRDefault="003C6175">
      <w:pPr>
        <w:rPr>
          <w:b/>
          <w:bCs/>
        </w:rPr>
      </w:pPr>
    </w:p>
    <w:p w14:paraId="5AC2918C" w14:textId="77777777" w:rsidR="003C6175" w:rsidRDefault="003C6175">
      <w:pPr>
        <w:rPr>
          <w:b/>
          <w:bCs/>
        </w:rPr>
      </w:pPr>
    </w:p>
    <w:p w14:paraId="465D93B3" w14:textId="3F3476E9" w:rsidR="00D147A2" w:rsidRPr="006E68A4" w:rsidRDefault="00D147A2">
      <w:pPr>
        <w:rPr>
          <w:b/>
          <w:bCs/>
        </w:rPr>
      </w:pPr>
      <w:r w:rsidRPr="006E68A4">
        <w:rPr>
          <w:b/>
          <w:bCs/>
        </w:rPr>
        <w:lastRenderedPageBreak/>
        <w:t>Bibliography</w:t>
      </w:r>
    </w:p>
    <w:p w14:paraId="399DE6F6" w14:textId="77777777" w:rsidR="006E68A4" w:rsidRDefault="006E68A4">
      <w:r>
        <w:t xml:space="preserve">Bonhoeffer, Dietrich., </w:t>
      </w:r>
      <w:r w:rsidRPr="006E68A4">
        <w:rPr>
          <w:i/>
          <w:iCs/>
        </w:rPr>
        <w:t>Christology</w:t>
      </w:r>
      <w:r>
        <w:t xml:space="preserve"> (Collins Clear-Type Press, 1971)</w:t>
      </w:r>
    </w:p>
    <w:p w14:paraId="79B23492" w14:textId="77777777" w:rsidR="006E68A4" w:rsidRDefault="006E68A4">
      <w:r>
        <w:t xml:space="preserve">Carter, Warren., </w:t>
      </w:r>
      <w:r w:rsidRPr="006E68A4">
        <w:rPr>
          <w:i/>
          <w:iCs/>
        </w:rPr>
        <w:t>John: Storyteller, Interpreter, Evangelist</w:t>
      </w:r>
      <w:r>
        <w:t xml:space="preserve"> (Hendrickson Publishers: Massachusetts, 2006)</w:t>
      </w:r>
    </w:p>
    <w:p w14:paraId="4497B0A3" w14:textId="77777777" w:rsidR="006E68A4" w:rsidRDefault="006E68A4">
      <w:r>
        <w:t xml:space="preserve">Estrada, Rodolfo Galvan, ‘Jesus in John’s Gospel: Structure and Issues in Johannine Christology, by William </w:t>
      </w:r>
      <w:proofErr w:type="spellStart"/>
      <w:r>
        <w:t>Loeder</w:t>
      </w:r>
      <w:proofErr w:type="spellEnd"/>
      <w:r>
        <w:t xml:space="preserve">, </w:t>
      </w:r>
      <w:r w:rsidRPr="006E68A4">
        <w:rPr>
          <w:i/>
          <w:iCs/>
        </w:rPr>
        <w:t>Pneuma</w:t>
      </w:r>
      <w:r>
        <w:t xml:space="preserve"> 40.4 (2018) </w:t>
      </w:r>
      <w:hyperlink r:id="rId7" w:history="1">
        <w:r w:rsidRPr="003B6644">
          <w:rPr>
            <w:rStyle w:val="Hyperlink"/>
          </w:rPr>
          <w:t>https://doi.org/10.1163/15700747-04004017</w:t>
        </w:r>
      </w:hyperlink>
      <w:r>
        <w:t xml:space="preserve"> [accessed 11 May 2024]</w:t>
      </w:r>
    </w:p>
    <w:p w14:paraId="0A6030C3" w14:textId="77777777" w:rsidR="006E68A4" w:rsidRDefault="006E68A4">
      <w:proofErr w:type="spellStart"/>
      <w:r>
        <w:t>Feník</w:t>
      </w:r>
      <w:proofErr w:type="spellEnd"/>
      <w:r>
        <w:t xml:space="preserve">, Juraj, ‘Sitting and Standing: Postures and Christology in the Gospel of John’, </w:t>
      </w:r>
      <w:r w:rsidRPr="006E68A4">
        <w:rPr>
          <w:i/>
          <w:iCs/>
        </w:rPr>
        <w:t xml:space="preserve">The Catholic Biblical Quarterly, </w:t>
      </w:r>
      <w:r>
        <w:t>85.1 (2023)</w:t>
      </w:r>
    </w:p>
    <w:p w14:paraId="273B709F" w14:textId="77777777" w:rsidR="006E68A4" w:rsidRDefault="006E68A4">
      <w:r>
        <w:t>Heath, Jane, ‘Some were saying “He is good” (John 7:12b</w:t>
      </w:r>
      <w:proofErr w:type="gramStart"/>
      <w:r>
        <w:t>) :</w:t>
      </w:r>
      <w:proofErr w:type="gramEnd"/>
      <w:r>
        <w:t xml:space="preserve"> “Good” Christology in John’s Gospel?’, </w:t>
      </w:r>
      <w:r w:rsidRPr="006E68A4">
        <w:rPr>
          <w:i/>
          <w:iCs/>
        </w:rPr>
        <w:t>New Testament Studies,</w:t>
      </w:r>
      <w:r>
        <w:t xml:space="preserve"> 56.4 (2010)</w:t>
      </w:r>
    </w:p>
    <w:p w14:paraId="2E5C5E0D" w14:textId="77777777" w:rsidR="006E68A4" w:rsidRDefault="006E68A4">
      <w:r>
        <w:t xml:space="preserve">Holmgren, Fredrick C., </w:t>
      </w:r>
      <w:r w:rsidRPr="006E68A4">
        <w:rPr>
          <w:i/>
          <w:iCs/>
        </w:rPr>
        <w:t>The Old Testament: The Significance of Jesus,</w:t>
      </w:r>
      <w:r>
        <w:t xml:space="preserve"> (William B. Eerdmans Publishing co., 1999)</w:t>
      </w:r>
    </w:p>
    <w:p w14:paraId="2890EDD8" w14:textId="77777777" w:rsidR="006E68A4" w:rsidRDefault="006E68A4">
      <w:r>
        <w:t xml:space="preserve">Lightfoot, R.H., </w:t>
      </w:r>
      <w:r w:rsidRPr="006E68A4">
        <w:rPr>
          <w:i/>
          <w:iCs/>
        </w:rPr>
        <w:t>St John’s Gospel: A Commentary,</w:t>
      </w:r>
      <w:r>
        <w:t xml:space="preserve"> (Oxford University Press, 1956)</w:t>
      </w:r>
    </w:p>
    <w:p w14:paraId="5B013821" w14:textId="77777777" w:rsidR="006E68A4" w:rsidRDefault="006E68A4">
      <w:r>
        <w:t xml:space="preserve">McGrath, Alister E., </w:t>
      </w:r>
      <w:bookmarkStart w:id="3" w:name="_Hlk167018185"/>
      <w:r w:rsidRPr="006E68A4">
        <w:rPr>
          <w:i/>
          <w:iCs/>
        </w:rPr>
        <w:t>Christian Theology: An Introduction,</w:t>
      </w:r>
      <w:r>
        <w:t xml:space="preserve"> (Wiley Blackwell, 2011)</w:t>
      </w:r>
      <w:bookmarkEnd w:id="3"/>
    </w:p>
    <w:p w14:paraId="58D340D3" w14:textId="2BD529CB" w:rsidR="006E68A4" w:rsidRDefault="006E68A4">
      <w:r>
        <w:t>Mc</w:t>
      </w:r>
      <w:r w:rsidR="00486E34">
        <w:t>G</w:t>
      </w:r>
      <w:r>
        <w:t xml:space="preserve">rath, James F, </w:t>
      </w:r>
      <w:bookmarkStart w:id="4" w:name="_Hlk167038326"/>
      <w:r w:rsidRPr="006E68A4">
        <w:t>John’s Apologetic Christology: Legitimation and Development in</w:t>
      </w:r>
      <w:r w:rsidRPr="006E68A4">
        <w:rPr>
          <w:i/>
          <w:iCs/>
        </w:rPr>
        <w:t xml:space="preserve"> Johannine Christology, </w:t>
      </w:r>
      <w:r>
        <w:t>1</w:t>
      </w:r>
      <w:r w:rsidRPr="00B408B9">
        <w:rPr>
          <w:vertAlign w:val="superscript"/>
        </w:rPr>
        <w:t>st</w:t>
      </w:r>
      <w:r>
        <w:t xml:space="preserve"> ed. (Cambridge: Cambridge University Press, 2001)</w:t>
      </w:r>
    </w:p>
    <w:bookmarkEnd w:id="4"/>
    <w:p w14:paraId="3B6ABBA4" w14:textId="77777777" w:rsidR="006E68A4" w:rsidRDefault="006E68A4">
      <w:r>
        <w:t xml:space="preserve">Migliore, D.L., </w:t>
      </w:r>
      <w:r w:rsidRPr="006E68A4">
        <w:rPr>
          <w:i/>
          <w:iCs/>
        </w:rPr>
        <w:t>Faith Seeking Understanding,</w:t>
      </w:r>
      <w:r>
        <w:t xml:space="preserve"> (William B Eerdmans Publishing co, 1991)</w:t>
      </w:r>
    </w:p>
    <w:p w14:paraId="08AD4604" w14:textId="77777777" w:rsidR="006E68A4" w:rsidRDefault="006E68A4">
      <w:proofErr w:type="spellStart"/>
      <w:r>
        <w:t>O’Collins</w:t>
      </w:r>
      <w:proofErr w:type="spellEnd"/>
      <w:r>
        <w:t xml:space="preserve">, Gerald., </w:t>
      </w:r>
      <w:bookmarkStart w:id="5" w:name="_Hlk167041456"/>
      <w:r w:rsidRPr="006E68A4">
        <w:rPr>
          <w:i/>
          <w:iCs/>
        </w:rPr>
        <w:t>Christology: A Biblical, Historical and Systematic Study of Jesus,</w:t>
      </w:r>
      <w:r>
        <w:t xml:space="preserve"> (Oxford University Press, 2009)</w:t>
      </w:r>
      <w:bookmarkEnd w:id="5"/>
    </w:p>
    <w:p w14:paraId="7A63CD35" w14:textId="77777777" w:rsidR="006E68A4" w:rsidRDefault="006E68A4">
      <w:r>
        <w:t xml:space="preserve">Porter, Stanley E, </w:t>
      </w:r>
      <w:bookmarkStart w:id="6" w:name="_Hlk167020111"/>
      <w:r>
        <w:t xml:space="preserve">and Andrew W Pitts, </w:t>
      </w:r>
      <w:r w:rsidRPr="006E68A4">
        <w:rPr>
          <w:i/>
          <w:iCs/>
        </w:rPr>
        <w:t>Johannine Christology,</w:t>
      </w:r>
      <w:r>
        <w:t xml:space="preserve"> 1</w:t>
      </w:r>
      <w:r w:rsidRPr="00D147A2">
        <w:rPr>
          <w:vertAlign w:val="superscript"/>
        </w:rPr>
        <w:t>st</w:t>
      </w:r>
      <w:r>
        <w:t xml:space="preserve"> </w:t>
      </w:r>
      <w:proofErr w:type="spellStart"/>
      <w:r>
        <w:t>edn</w:t>
      </w:r>
      <w:proofErr w:type="spellEnd"/>
      <w:r>
        <w:t xml:space="preserve"> (Boston: BRILL, 2020)</w:t>
      </w:r>
    </w:p>
    <w:bookmarkEnd w:id="6"/>
    <w:p w14:paraId="61C46E93" w14:textId="77777777" w:rsidR="006E68A4" w:rsidRDefault="006E68A4">
      <w:r>
        <w:t xml:space="preserve">Richardson, Alan., </w:t>
      </w:r>
      <w:r w:rsidRPr="006E68A4">
        <w:rPr>
          <w:i/>
          <w:iCs/>
        </w:rPr>
        <w:t>An Introduction to the Theology of the New Testament,</w:t>
      </w:r>
      <w:r>
        <w:t xml:space="preserve"> (SCM Press, 1958)</w:t>
      </w:r>
    </w:p>
    <w:p w14:paraId="47D2F536" w14:textId="77777777" w:rsidR="006E68A4" w:rsidRDefault="006E68A4">
      <w:r>
        <w:t xml:space="preserve">Smith, </w:t>
      </w:r>
      <w:proofErr w:type="spellStart"/>
      <w:proofErr w:type="gramStart"/>
      <w:r>
        <w:t>D.Moody</w:t>
      </w:r>
      <w:proofErr w:type="spellEnd"/>
      <w:proofErr w:type="gramEnd"/>
      <w:r>
        <w:t xml:space="preserve">, </w:t>
      </w:r>
      <w:r w:rsidRPr="006E68A4">
        <w:rPr>
          <w:i/>
          <w:iCs/>
        </w:rPr>
        <w:t>The Theology of the Gospel of John</w:t>
      </w:r>
      <w:r>
        <w:t xml:space="preserve"> (Cambridge University Press: Cambridge, 1995)</w:t>
      </w:r>
    </w:p>
    <w:p w14:paraId="03160378" w14:textId="77777777" w:rsidR="006E68A4" w:rsidRDefault="006E68A4">
      <w:r>
        <w:t xml:space="preserve">Zumstein, Jean, </w:t>
      </w:r>
      <w:bookmarkStart w:id="7" w:name="_Hlk167020485"/>
      <w:r>
        <w:t xml:space="preserve">‘The Purpose of the Ministry and Death of Jesus in the Gospel of John’, in Judith M. Lieu, and Martinus C.de Boer (eds), </w:t>
      </w:r>
      <w:r w:rsidRPr="006E68A4">
        <w:rPr>
          <w:i/>
          <w:iCs/>
        </w:rPr>
        <w:t>The Oxford Handbook of Johannine Studies</w:t>
      </w:r>
      <w:r>
        <w:t xml:space="preserve">, Oxford Handbooks (2018; online </w:t>
      </w:r>
      <w:proofErr w:type="spellStart"/>
      <w:r>
        <w:t>edn</w:t>
      </w:r>
      <w:proofErr w:type="spellEnd"/>
      <w:r>
        <w:t xml:space="preserve">, Oxford Academic, 10 Sept. 2018), </w:t>
      </w:r>
      <w:bookmarkEnd w:id="7"/>
      <w:r>
        <w:fldChar w:fldCharType="begin"/>
      </w:r>
      <w:r>
        <w:instrText>HYPERLINK "https://doi.org/10.1093/oxfordhb/9780198739982.013.19"</w:instrText>
      </w:r>
      <w:r>
        <w:fldChar w:fldCharType="separate"/>
      </w:r>
      <w:r w:rsidRPr="003B6644">
        <w:rPr>
          <w:rStyle w:val="Hyperlink"/>
        </w:rPr>
        <w:t>https://doi.org/10.1093/oxfordhb/9780198739982.013.19</w:t>
      </w:r>
      <w:r>
        <w:rPr>
          <w:rStyle w:val="Hyperlink"/>
        </w:rPr>
        <w:fldChar w:fldCharType="end"/>
      </w:r>
      <w:r>
        <w:t xml:space="preserve"> [accessed 16 May 2024]</w:t>
      </w:r>
    </w:p>
    <w:sectPr w:rsidR="006E68A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290C011" w14:textId="77777777" w:rsidR="00822B1D" w:rsidRDefault="00822B1D" w:rsidP="005A280A">
      <w:pPr>
        <w:spacing w:after="0" w:line="240" w:lineRule="auto"/>
      </w:pPr>
      <w:r>
        <w:separator/>
      </w:r>
    </w:p>
  </w:endnote>
  <w:endnote w:type="continuationSeparator" w:id="0">
    <w:p w14:paraId="2BABA80E" w14:textId="77777777" w:rsidR="00822B1D" w:rsidRDefault="00822B1D" w:rsidP="005A280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247714D" w14:textId="77777777" w:rsidR="00822B1D" w:rsidRDefault="00822B1D" w:rsidP="005A280A">
      <w:pPr>
        <w:spacing w:after="0" w:line="240" w:lineRule="auto"/>
      </w:pPr>
      <w:r>
        <w:separator/>
      </w:r>
    </w:p>
  </w:footnote>
  <w:footnote w:type="continuationSeparator" w:id="0">
    <w:p w14:paraId="15BAF5B7" w14:textId="77777777" w:rsidR="00822B1D" w:rsidRDefault="00822B1D" w:rsidP="005A280A">
      <w:pPr>
        <w:spacing w:after="0" w:line="240" w:lineRule="auto"/>
      </w:pPr>
      <w:r>
        <w:continuationSeparator/>
      </w:r>
    </w:p>
  </w:footnote>
  <w:footnote w:id="1">
    <w:p w14:paraId="53195348" w14:textId="5227EBC1" w:rsidR="005A280A" w:rsidRDefault="005A280A">
      <w:pPr>
        <w:pStyle w:val="FootnoteText"/>
      </w:pPr>
      <w:r>
        <w:rPr>
          <w:rStyle w:val="FootnoteReference"/>
        </w:rPr>
        <w:footnoteRef/>
      </w:r>
      <w:r>
        <w:t xml:space="preserve"> Stanley Porter, </w:t>
      </w:r>
      <w:r w:rsidRPr="005A280A">
        <w:t xml:space="preserve">and Andrew W Pitts, </w:t>
      </w:r>
      <w:r w:rsidRPr="005A280A">
        <w:rPr>
          <w:i/>
          <w:iCs/>
        </w:rPr>
        <w:t>Johannine Christology</w:t>
      </w:r>
      <w:r w:rsidRPr="005A280A">
        <w:t xml:space="preserve">, 1st </w:t>
      </w:r>
      <w:proofErr w:type="spellStart"/>
      <w:r w:rsidRPr="005A280A">
        <w:t>edn</w:t>
      </w:r>
      <w:proofErr w:type="spellEnd"/>
      <w:r w:rsidRPr="005A280A">
        <w:t xml:space="preserve"> (Boston: BRILL, 2020)</w:t>
      </w:r>
      <w:r>
        <w:t xml:space="preserve"> p.260</w:t>
      </w:r>
      <w:r w:rsidR="00DB20CD">
        <w:t>.</w:t>
      </w:r>
    </w:p>
  </w:footnote>
  <w:footnote w:id="2">
    <w:p w14:paraId="7290C011" w14:textId="60AD3B2E" w:rsidR="00F833FA" w:rsidRDefault="00F833FA">
      <w:pPr>
        <w:pStyle w:val="FootnoteText"/>
      </w:pPr>
      <w:r>
        <w:rPr>
          <w:rStyle w:val="FootnoteReference"/>
        </w:rPr>
        <w:footnoteRef/>
      </w:r>
      <w:r>
        <w:t xml:space="preserve"> </w:t>
      </w:r>
      <w:bookmarkStart w:id="0" w:name="_Hlk167017288"/>
      <w:r>
        <w:t xml:space="preserve">Daniel L Migliore, </w:t>
      </w:r>
      <w:r w:rsidRPr="00F833FA">
        <w:rPr>
          <w:i/>
          <w:iCs/>
        </w:rPr>
        <w:t>Faith Seeking Understanding,</w:t>
      </w:r>
      <w:r w:rsidRPr="00F833FA">
        <w:t xml:space="preserve"> (William B Eerdmans Publishing co, 1991)</w:t>
      </w:r>
      <w:r>
        <w:t xml:space="preserve"> p.139.</w:t>
      </w:r>
      <w:bookmarkEnd w:id="0"/>
    </w:p>
  </w:footnote>
  <w:footnote w:id="3">
    <w:p w14:paraId="4D23B87E" w14:textId="18330338" w:rsidR="00B03047" w:rsidRDefault="00B03047">
      <w:pPr>
        <w:pStyle w:val="FootnoteText"/>
      </w:pPr>
      <w:r>
        <w:rPr>
          <w:rStyle w:val="FootnoteReference"/>
        </w:rPr>
        <w:footnoteRef/>
      </w:r>
      <w:r>
        <w:t xml:space="preserve"> </w:t>
      </w:r>
      <w:r w:rsidRPr="00B03047">
        <w:t xml:space="preserve">Daniel L Migliore, </w:t>
      </w:r>
      <w:r w:rsidRPr="00B03047">
        <w:rPr>
          <w:i/>
          <w:iCs/>
        </w:rPr>
        <w:t>Faith Seeking Understanding,</w:t>
      </w:r>
      <w:r w:rsidRPr="00B03047">
        <w:t xml:space="preserve"> (William B Eerdmans Publishing co, 1991) p.1</w:t>
      </w:r>
      <w:r w:rsidR="00B90F76">
        <w:t>43</w:t>
      </w:r>
      <w:r w:rsidRPr="00B03047">
        <w:t>.</w:t>
      </w:r>
    </w:p>
  </w:footnote>
  <w:footnote w:id="4">
    <w:p w14:paraId="16754EA6" w14:textId="2B4B4601" w:rsidR="005E3715" w:rsidRDefault="005E3715">
      <w:pPr>
        <w:pStyle w:val="FootnoteText"/>
      </w:pPr>
      <w:r>
        <w:rPr>
          <w:rStyle w:val="FootnoteReference"/>
        </w:rPr>
        <w:footnoteRef/>
      </w:r>
      <w:r>
        <w:t xml:space="preserve"> Alan Richardson, </w:t>
      </w:r>
      <w:r w:rsidRPr="005E3715">
        <w:rPr>
          <w:i/>
          <w:iCs/>
        </w:rPr>
        <w:t>An Introduction to the Theology of the New Testament,</w:t>
      </w:r>
      <w:r w:rsidRPr="005E3715">
        <w:t xml:space="preserve"> (SCM Press, 1958) p.1</w:t>
      </w:r>
      <w:r w:rsidR="00376B3F">
        <w:t>80</w:t>
      </w:r>
      <w:r w:rsidRPr="005E3715">
        <w:t>.</w:t>
      </w:r>
    </w:p>
  </w:footnote>
  <w:footnote w:id="5">
    <w:p w14:paraId="7D1A957B" w14:textId="0C62DFE3" w:rsidR="00C8758A" w:rsidRDefault="00C8758A">
      <w:pPr>
        <w:pStyle w:val="FootnoteText"/>
      </w:pPr>
      <w:r>
        <w:rPr>
          <w:rStyle w:val="FootnoteReference"/>
        </w:rPr>
        <w:footnoteRef/>
      </w:r>
      <w:r>
        <w:t xml:space="preserve"> Richardson, </w:t>
      </w:r>
      <w:r w:rsidRPr="005F48CF">
        <w:rPr>
          <w:i/>
          <w:iCs/>
        </w:rPr>
        <w:t>An Introduction to the Theology of the New Testament</w:t>
      </w:r>
      <w:r w:rsidRPr="00C8758A">
        <w:t>, (SCM Press, 1958) p.</w:t>
      </w:r>
      <w:r>
        <w:t>178</w:t>
      </w:r>
      <w:r w:rsidR="00B738C5">
        <w:t>.</w:t>
      </w:r>
    </w:p>
  </w:footnote>
  <w:footnote w:id="6">
    <w:p w14:paraId="78776E30" w14:textId="2CA507C5" w:rsidR="00DB20CD" w:rsidRDefault="00DB20CD">
      <w:pPr>
        <w:pStyle w:val="FootnoteText"/>
      </w:pPr>
      <w:r>
        <w:rPr>
          <w:rStyle w:val="FootnoteReference"/>
        </w:rPr>
        <w:footnoteRef/>
      </w:r>
      <w:r>
        <w:t xml:space="preserve"> Dietrich Bonhoeffer, </w:t>
      </w:r>
      <w:r w:rsidRPr="00DB20CD">
        <w:rPr>
          <w:i/>
          <w:iCs/>
        </w:rPr>
        <w:t>Christology</w:t>
      </w:r>
      <w:r w:rsidRPr="00DB20CD">
        <w:t xml:space="preserve"> (Collins Clear-Type Press, 1971)</w:t>
      </w:r>
      <w:r>
        <w:t xml:space="preserve"> p.107.</w:t>
      </w:r>
    </w:p>
  </w:footnote>
  <w:footnote w:id="7">
    <w:p w14:paraId="422546B5" w14:textId="33B4960D" w:rsidR="00FC0E7C" w:rsidRDefault="00FC0E7C">
      <w:pPr>
        <w:pStyle w:val="FootnoteText"/>
      </w:pPr>
      <w:r>
        <w:rPr>
          <w:rStyle w:val="FootnoteReference"/>
        </w:rPr>
        <w:footnoteRef/>
      </w:r>
      <w:r>
        <w:t xml:space="preserve"> Alister E McGrath, </w:t>
      </w:r>
      <w:r w:rsidRPr="00FC0E7C">
        <w:rPr>
          <w:i/>
          <w:iCs/>
        </w:rPr>
        <w:t>Christian Theology: An Introduction,</w:t>
      </w:r>
      <w:r w:rsidRPr="00FC0E7C">
        <w:t xml:space="preserve"> (Wiley Blackwell, 2011)</w:t>
      </w:r>
      <w:r>
        <w:t xml:space="preserve"> p.</w:t>
      </w:r>
      <w:r w:rsidR="00694BFE">
        <w:t>270.</w:t>
      </w:r>
    </w:p>
  </w:footnote>
  <w:footnote w:id="8">
    <w:p w14:paraId="7D920A02" w14:textId="36DB0797" w:rsidR="0002334E" w:rsidRDefault="0002334E">
      <w:pPr>
        <w:pStyle w:val="FootnoteText"/>
      </w:pPr>
      <w:r>
        <w:rPr>
          <w:rStyle w:val="FootnoteReference"/>
        </w:rPr>
        <w:footnoteRef/>
      </w:r>
      <w:r>
        <w:t xml:space="preserve"> Stanley Porter, </w:t>
      </w:r>
      <w:r w:rsidR="00B01C53" w:rsidRPr="00B01C53">
        <w:t xml:space="preserve">and Andrew W Pitts, </w:t>
      </w:r>
      <w:r w:rsidR="00B01C53" w:rsidRPr="00B01C53">
        <w:rPr>
          <w:i/>
          <w:iCs/>
        </w:rPr>
        <w:t>Johannine Christology,</w:t>
      </w:r>
      <w:r w:rsidR="00B01C53" w:rsidRPr="00B01C53">
        <w:t xml:space="preserve"> 1st </w:t>
      </w:r>
      <w:proofErr w:type="spellStart"/>
      <w:r w:rsidR="00B01C53" w:rsidRPr="00B01C53">
        <w:t>edn</w:t>
      </w:r>
      <w:proofErr w:type="spellEnd"/>
      <w:r w:rsidR="00B01C53" w:rsidRPr="00B01C53">
        <w:t xml:space="preserve"> (Boston: BRILL, 2020) p.</w:t>
      </w:r>
      <w:r w:rsidR="00B01C53">
        <w:t>226.</w:t>
      </w:r>
    </w:p>
  </w:footnote>
  <w:footnote w:id="9">
    <w:p w14:paraId="3741B238" w14:textId="2CFF95BE" w:rsidR="002E2863" w:rsidRDefault="002E2863">
      <w:pPr>
        <w:pStyle w:val="FootnoteText"/>
      </w:pPr>
      <w:r>
        <w:rPr>
          <w:rStyle w:val="FootnoteReference"/>
        </w:rPr>
        <w:footnoteRef/>
      </w:r>
      <w:r>
        <w:t xml:space="preserve"> James F McGrath, </w:t>
      </w:r>
      <w:r w:rsidRPr="002E2863">
        <w:t xml:space="preserve">John’s Apologetic Christology: Legitimation and Development in </w:t>
      </w:r>
      <w:r w:rsidRPr="00EB4D00">
        <w:rPr>
          <w:i/>
          <w:iCs/>
        </w:rPr>
        <w:t>Johannine Christology</w:t>
      </w:r>
      <w:r w:rsidRPr="002E2863">
        <w:t>, 1st ed. (Cambridge: Cambridge University Press, 2001)</w:t>
      </w:r>
      <w:r>
        <w:t xml:space="preserve"> p.</w:t>
      </w:r>
      <w:r w:rsidR="00EB4D00">
        <w:t>85.</w:t>
      </w:r>
    </w:p>
  </w:footnote>
  <w:footnote w:id="10">
    <w:p w14:paraId="100A20BD" w14:textId="68063705" w:rsidR="00C16511" w:rsidRDefault="00C16511">
      <w:pPr>
        <w:pStyle w:val="FootnoteText"/>
      </w:pPr>
      <w:r>
        <w:rPr>
          <w:rStyle w:val="FootnoteReference"/>
        </w:rPr>
        <w:footnoteRef/>
      </w:r>
      <w:r>
        <w:t xml:space="preserve"> Alister E McGrath, </w:t>
      </w:r>
      <w:r w:rsidRPr="00C16511">
        <w:rPr>
          <w:i/>
          <w:iCs/>
        </w:rPr>
        <w:t>Christian Theology: An Introduction,</w:t>
      </w:r>
      <w:r w:rsidRPr="00C16511">
        <w:t xml:space="preserve"> (Wiley Blackwell, 2011) p.2</w:t>
      </w:r>
      <w:r w:rsidR="00FC2ECC">
        <w:t>91</w:t>
      </w:r>
      <w:r w:rsidRPr="00C16511">
        <w:t>.</w:t>
      </w:r>
    </w:p>
  </w:footnote>
  <w:footnote w:id="11">
    <w:p w14:paraId="294187CE" w14:textId="67EB1C98" w:rsidR="009A686E" w:rsidRDefault="009A686E">
      <w:pPr>
        <w:pStyle w:val="FootnoteText"/>
      </w:pPr>
      <w:r>
        <w:rPr>
          <w:rStyle w:val="FootnoteReference"/>
        </w:rPr>
        <w:footnoteRef/>
      </w:r>
      <w:r>
        <w:t xml:space="preserve"> Bonhoeffer, </w:t>
      </w:r>
      <w:r w:rsidRPr="00EB4D00">
        <w:rPr>
          <w:i/>
          <w:iCs/>
        </w:rPr>
        <w:t>Christology</w:t>
      </w:r>
      <w:r>
        <w:t xml:space="preserve"> (Collins Clear-Type Press, 1971) p.112.</w:t>
      </w:r>
    </w:p>
  </w:footnote>
  <w:footnote w:id="12">
    <w:p w14:paraId="581C52A0" w14:textId="19408B26" w:rsidR="002A1697" w:rsidRDefault="002A1697">
      <w:pPr>
        <w:pStyle w:val="FootnoteText"/>
      </w:pPr>
      <w:r>
        <w:rPr>
          <w:rStyle w:val="FootnoteReference"/>
        </w:rPr>
        <w:footnoteRef/>
      </w:r>
      <w:r>
        <w:t xml:space="preserve"> </w:t>
      </w:r>
      <w:r w:rsidR="00C16511">
        <w:t xml:space="preserve">Alister E </w:t>
      </w:r>
      <w:r>
        <w:t xml:space="preserve">McGrath, </w:t>
      </w:r>
      <w:r w:rsidRPr="002A1697">
        <w:rPr>
          <w:i/>
          <w:iCs/>
        </w:rPr>
        <w:t>Christian Theology: An Introduction,</w:t>
      </w:r>
      <w:r w:rsidRPr="002A1697">
        <w:t xml:space="preserve"> (Wiley Blackwell, 2011) p.</w:t>
      </w:r>
      <w:r w:rsidR="0029605B">
        <w:t>287</w:t>
      </w:r>
      <w:r w:rsidRPr="002A1697">
        <w:t>.</w:t>
      </w:r>
    </w:p>
  </w:footnote>
  <w:footnote w:id="13">
    <w:p w14:paraId="4A5C863B" w14:textId="10C42259" w:rsidR="001E589D" w:rsidRDefault="001E589D">
      <w:pPr>
        <w:pStyle w:val="FootnoteText"/>
      </w:pPr>
      <w:r>
        <w:rPr>
          <w:rStyle w:val="FootnoteReference"/>
        </w:rPr>
        <w:footnoteRef/>
      </w:r>
      <w:r>
        <w:t xml:space="preserve"> </w:t>
      </w:r>
      <w:r w:rsidR="00C16511">
        <w:t xml:space="preserve">Alister E </w:t>
      </w:r>
      <w:r>
        <w:t xml:space="preserve">McGrath, </w:t>
      </w:r>
      <w:bookmarkStart w:id="1" w:name="_Hlk167021181"/>
      <w:r w:rsidRPr="001E589D">
        <w:rPr>
          <w:i/>
          <w:iCs/>
        </w:rPr>
        <w:t>Christian Theology: An Introduction,</w:t>
      </w:r>
      <w:r w:rsidRPr="001E589D">
        <w:t xml:space="preserve"> (Wiley Blackwell, 2011)</w:t>
      </w:r>
      <w:r>
        <w:t xml:space="preserve"> p.267.</w:t>
      </w:r>
      <w:bookmarkEnd w:id="1"/>
    </w:p>
  </w:footnote>
  <w:footnote w:id="14">
    <w:p w14:paraId="2D97C7C1" w14:textId="5980A4A4" w:rsidR="00C36BF7" w:rsidRDefault="00C36BF7">
      <w:pPr>
        <w:pStyle w:val="FootnoteText"/>
      </w:pPr>
      <w:r>
        <w:rPr>
          <w:rStyle w:val="FootnoteReference"/>
        </w:rPr>
        <w:footnoteRef/>
      </w:r>
      <w:r>
        <w:t xml:space="preserve"> Ge</w:t>
      </w:r>
      <w:r w:rsidR="00B37B01">
        <w:t>rald</w:t>
      </w:r>
      <w:r>
        <w:t xml:space="preserve"> </w:t>
      </w:r>
      <w:proofErr w:type="spellStart"/>
      <w:r>
        <w:t>O’Collins</w:t>
      </w:r>
      <w:proofErr w:type="spellEnd"/>
      <w:r w:rsidR="00882946">
        <w:t xml:space="preserve">, </w:t>
      </w:r>
      <w:r w:rsidR="00882946" w:rsidRPr="00B37B01">
        <w:rPr>
          <w:i/>
          <w:iCs/>
        </w:rPr>
        <w:t>Christology: A Biblical, Historical and Systematic Study of Jesus</w:t>
      </w:r>
      <w:r w:rsidR="00882946" w:rsidRPr="00882946">
        <w:t>, (Oxford University Press, 2009)</w:t>
      </w:r>
      <w:r w:rsidR="00882946">
        <w:t xml:space="preserve"> p.</w:t>
      </w:r>
      <w:r w:rsidR="00B37B01">
        <w:t>69.</w:t>
      </w:r>
    </w:p>
  </w:footnote>
  <w:footnote w:id="15">
    <w:p w14:paraId="65C46C0F" w14:textId="04D32EC4" w:rsidR="00A60FB5" w:rsidRDefault="00A60FB5">
      <w:pPr>
        <w:pStyle w:val="FootnoteText"/>
      </w:pPr>
      <w:r>
        <w:rPr>
          <w:rStyle w:val="FootnoteReference"/>
        </w:rPr>
        <w:footnoteRef/>
      </w:r>
      <w:r>
        <w:t xml:space="preserve"> Alan Richardson, </w:t>
      </w:r>
      <w:bookmarkStart w:id="2" w:name="_Hlk167036934"/>
      <w:r w:rsidR="00486E34" w:rsidRPr="000718BD">
        <w:rPr>
          <w:i/>
          <w:iCs/>
        </w:rPr>
        <w:t>An Introduction to the Theology of the New Testament</w:t>
      </w:r>
      <w:r w:rsidR="00486E34" w:rsidRPr="00486E34">
        <w:t>, (SCM Press, 1958)</w:t>
      </w:r>
      <w:r w:rsidR="00486E34">
        <w:t xml:space="preserve"> p.</w:t>
      </w:r>
      <w:r w:rsidR="000718BD">
        <w:t>186.</w:t>
      </w:r>
      <w:bookmarkEnd w:id="2"/>
    </w:p>
  </w:footnote>
  <w:footnote w:id="16">
    <w:p w14:paraId="23365FF6" w14:textId="2B1FC045" w:rsidR="004C6F76" w:rsidRDefault="004C6F76">
      <w:pPr>
        <w:pStyle w:val="FootnoteText"/>
      </w:pPr>
      <w:r>
        <w:rPr>
          <w:rStyle w:val="FootnoteReference"/>
        </w:rPr>
        <w:footnoteRef/>
      </w:r>
      <w:r>
        <w:t xml:space="preserve"> Stanley Porter, </w:t>
      </w:r>
      <w:r w:rsidRPr="004C6F76">
        <w:t xml:space="preserve">and Andrew W Pitts, </w:t>
      </w:r>
      <w:r w:rsidRPr="004C6F76">
        <w:rPr>
          <w:i/>
          <w:iCs/>
        </w:rPr>
        <w:t>Johannine Christology,</w:t>
      </w:r>
      <w:r w:rsidRPr="004C6F76">
        <w:t xml:space="preserve"> 1st </w:t>
      </w:r>
      <w:proofErr w:type="spellStart"/>
      <w:r w:rsidRPr="004C6F76">
        <w:t>edn</w:t>
      </w:r>
      <w:proofErr w:type="spellEnd"/>
      <w:r w:rsidRPr="004C6F76">
        <w:t xml:space="preserve"> (Boston: BRILL, 2020)</w:t>
      </w:r>
      <w:r>
        <w:t xml:space="preserve"> p.</w:t>
      </w:r>
      <w:r w:rsidR="0057490D">
        <w:t>301.</w:t>
      </w:r>
    </w:p>
  </w:footnote>
  <w:footnote w:id="17">
    <w:p w14:paraId="1250FE40" w14:textId="2235C15D" w:rsidR="00335B92" w:rsidRDefault="00335B92">
      <w:pPr>
        <w:pStyle w:val="FootnoteText"/>
      </w:pPr>
      <w:r>
        <w:rPr>
          <w:rStyle w:val="FootnoteReference"/>
        </w:rPr>
        <w:footnoteRef/>
      </w:r>
      <w:r>
        <w:t xml:space="preserve"> Jean Zumstein, </w:t>
      </w:r>
      <w:r w:rsidRPr="00335B92">
        <w:t xml:space="preserve">‘The Purpose of the Ministry and Death of Jesus in the Gospel of John’, in Judith M. Lieu, and Martinus C.de Boer (eds), </w:t>
      </w:r>
      <w:r w:rsidRPr="00D13659">
        <w:rPr>
          <w:i/>
          <w:iCs/>
        </w:rPr>
        <w:t>The Oxford Handbook of Johannine Studies,</w:t>
      </w:r>
      <w:r w:rsidRPr="00335B92">
        <w:t xml:space="preserve"> Oxford Handbooks (2018; online </w:t>
      </w:r>
      <w:proofErr w:type="spellStart"/>
      <w:r w:rsidRPr="00335B92">
        <w:t>edn</w:t>
      </w:r>
      <w:proofErr w:type="spellEnd"/>
      <w:r w:rsidRPr="00335B92">
        <w:t>, Oxford Academic, 10 Sept. 2018)</w:t>
      </w:r>
      <w:r>
        <w:t xml:space="preserve"> p.</w:t>
      </w:r>
      <w:r w:rsidR="00D13659">
        <w:t>339.</w:t>
      </w:r>
    </w:p>
  </w:footnote>
  <w:footnote w:id="18">
    <w:p w14:paraId="0E9CF0EA" w14:textId="0EA82C2F" w:rsidR="005849D6" w:rsidRDefault="005849D6">
      <w:pPr>
        <w:pStyle w:val="FootnoteText"/>
      </w:pPr>
      <w:r>
        <w:rPr>
          <w:rStyle w:val="FootnoteReference"/>
        </w:rPr>
        <w:footnoteRef/>
      </w:r>
      <w:r>
        <w:t xml:space="preserve"> Stanley Porter, </w:t>
      </w:r>
      <w:r w:rsidRPr="005849D6">
        <w:t xml:space="preserve">and Andrew W Pitts, </w:t>
      </w:r>
      <w:r w:rsidRPr="005849D6">
        <w:rPr>
          <w:i/>
          <w:iCs/>
        </w:rPr>
        <w:t>Johannine Christology,</w:t>
      </w:r>
      <w:r w:rsidRPr="005849D6">
        <w:t xml:space="preserve"> 1st </w:t>
      </w:r>
      <w:proofErr w:type="spellStart"/>
      <w:r w:rsidRPr="005849D6">
        <w:t>edn</w:t>
      </w:r>
      <w:proofErr w:type="spellEnd"/>
      <w:r w:rsidRPr="005849D6">
        <w:t xml:space="preserve"> (Boston: BRILL, 2020)</w:t>
      </w:r>
      <w:r>
        <w:t xml:space="preserve"> p.</w:t>
      </w:r>
      <w:r w:rsidR="00FA7DBE">
        <w:t>303.</w:t>
      </w:r>
    </w:p>
  </w:footnote>
  <w:footnote w:id="19">
    <w:p w14:paraId="257C66D3" w14:textId="3CB85939" w:rsidR="007507CE" w:rsidRDefault="007507CE">
      <w:pPr>
        <w:pStyle w:val="FootnoteText"/>
      </w:pPr>
      <w:r>
        <w:rPr>
          <w:rStyle w:val="FootnoteReference"/>
        </w:rPr>
        <w:footnoteRef/>
      </w:r>
      <w:r>
        <w:t xml:space="preserve"> D Moody Smith, </w:t>
      </w:r>
      <w:r w:rsidRPr="007507CE">
        <w:rPr>
          <w:i/>
          <w:iCs/>
        </w:rPr>
        <w:t>The Theology of the Gospel of John</w:t>
      </w:r>
      <w:r w:rsidRPr="007507CE">
        <w:t xml:space="preserve"> (Cambridge University Press: Cambridge, 1995)</w:t>
      </w:r>
      <w:r>
        <w:t xml:space="preserve"> p.</w:t>
      </w:r>
      <w:r w:rsidR="00D8008C">
        <w:t>120.</w:t>
      </w:r>
    </w:p>
  </w:footnote>
  <w:footnote w:id="20">
    <w:p w14:paraId="5A50244B" w14:textId="1A3D5A7E" w:rsidR="00540A56" w:rsidRDefault="00540A56">
      <w:pPr>
        <w:pStyle w:val="FootnoteText"/>
      </w:pPr>
      <w:r>
        <w:rPr>
          <w:rStyle w:val="FootnoteReference"/>
        </w:rPr>
        <w:footnoteRef/>
      </w:r>
      <w:r>
        <w:t xml:space="preserve"> Dietrich Bonhoeffer, </w:t>
      </w:r>
      <w:r w:rsidRPr="00540A56">
        <w:rPr>
          <w:i/>
          <w:iCs/>
        </w:rPr>
        <w:t>Christology</w:t>
      </w:r>
      <w:r w:rsidRPr="00540A56">
        <w:t xml:space="preserve"> (Collins Clear-Type Press, 1971)</w:t>
      </w:r>
      <w:r>
        <w:t xml:space="preserve"> p.</w:t>
      </w:r>
      <w:r w:rsidR="00FC75CB">
        <w:t>113.</w:t>
      </w:r>
    </w:p>
  </w:footnote>
  <w:footnote w:id="21">
    <w:p w14:paraId="0B217BC9" w14:textId="50083545" w:rsidR="002362B4" w:rsidRDefault="002362B4">
      <w:pPr>
        <w:pStyle w:val="FootnoteText"/>
      </w:pPr>
      <w:r>
        <w:rPr>
          <w:rStyle w:val="FootnoteReference"/>
        </w:rPr>
        <w:footnoteRef/>
      </w:r>
      <w:r>
        <w:t xml:space="preserve"> </w:t>
      </w:r>
      <w:r w:rsidR="00B623BC">
        <w:t xml:space="preserve">Alister E McGrath., </w:t>
      </w:r>
      <w:r w:rsidR="00B623BC" w:rsidRPr="00B623BC">
        <w:rPr>
          <w:i/>
          <w:iCs/>
        </w:rPr>
        <w:t>Christian Theology: An Introduction,</w:t>
      </w:r>
      <w:r w:rsidR="00B623BC" w:rsidRPr="00B623BC">
        <w:t xml:space="preserve"> (Wiley Blackwell, 2011)</w:t>
      </w:r>
      <w:r w:rsidR="00B623BC">
        <w:t xml:space="preserve"> p.</w:t>
      </w:r>
      <w:r w:rsidR="00745990">
        <w:t>289.</w:t>
      </w:r>
    </w:p>
  </w:footnote>
  <w:footnote w:id="22">
    <w:p w14:paraId="39DEB474" w14:textId="4FB834B5" w:rsidR="00A07C94" w:rsidRDefault="00A07C94">
      <w:pPr>
        <w:pStyle w:val="FootnoteText"/>
      </w:pPr>
      <w:r>
        <w:rPr>
          <w:rStyle w:val="FootnoteReference"/>
        </w:rPr>
        <w:footnoteRef/>
      </w:r>
      <w:r>
        <w:t xml:space="preserve"> D Moody Smith, </w:t>
      </w:r>
      <w:r w:rsidRPr="00A07C94">
        <w:rPr>
          <w:i/>
          <w:iCs/>
        </w:rPr>
        <w:t>The Theology of the Gospel of John</w:t>
      </w:r>
      <w:r w:rsidRPr="00A07C94">
        <w:t xml:space="preserve"> (Cambridge University Press: Cambridge, 1995) p.1</w:t>
      </w:r>
      <w:r w:rsidR="00577873">
        <w:t>43</w:t>
      </w:r>
      <w:r w:rsidRPr="00A07C94">
        <w:t>.</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147A2"/>
    <w:rsid w:val="00011D6A"/>
    <w:rsid w:val="00016F1C"/>
    <w:rsid w:val="00022914"/>
    <w:rsid w:val="0002334E"/>
    <w:rsid w:val="00027DA3"/>
    <w:rsid w:val="00051B45"/>
    <w:rsid w:val="000718BD"/>
    <w:rsid w:val="000774D8"/>
    <w:rsid w:val="0008196B"/>
    <w:rsid w:val="000B1447"/>
    <w:rsid w:val="000B1E9B"/>
    <w:rsid w:val="000C57B7"/>
    <w:rsid w:val="000E67EB"/>
    <w:rsid w:val="001069F9"/>
    <w:rsid w:val="00117F22"/>
    <w:rsid w:val="00141B74"/>
    <w:rsid w:val="00143838"/>
    <w:rsid w:val="001508C0"/>
    <w:rsid w:val="00156D36"/>
    <w:rsid w:val="00170831"/>
    <w:rsid w:val="00175021"/>
    <w:rsid w:val="00175731"/>
    <w:rsid w:val="00177CEB"/>
    <w:rsid w:val="00182333"/>
    <w:rsid w:val="00184C8C"/>
    <w:rsid w:val="00190400"/>
    <w:rsid w:val="001A2ECC"/>
    <w:rsid w:val="001A6B65"/>
    <w:rsid w:val="001B0742"/>
    <w:rsid w:val="001E1D81"/>
    <w:rsid w:val="001E589D"/>
    <w:rsid w:val="00223E92"/>
    <w:rsid w:val="0022482D"/>
    <w:rsid w:val="00235EBC"/>
    <w:rsid w:val="002362B4"/>
    <w:rsid w:val="0024014D"/>
    <w:rsid w:val="00250918"/>
    <w:rsid w:val="00262FA0"/>
    <w:rsid w:val="002651D0"/>
    <w:rsid w:val="00266512"/>
    <w:rsid w:val="00272844"/>
    <w:rsid w:val="002844B0"/>
    <w:rsid w:val="00290DAF"/>
    <w:rsid w:val="0029132F"/>
    <w:rsid w:val="0029605B"/>
    <w:rsid w:val="002A1697"/>
    <w:rsid w:val="002C3E86"/>
    <w:rsid w:val="002D1B68"/>
    <w:rsid w:val="002E2863"/>
    <w:rsid w:val="002F3BDC"/>
    <w:rsid w:val="00302B4C"/>
    <w:rsid w:val="0031229C"/>
    <w:rsid w:val="003246F2"/>
    <w:rsid w:val="00335B92"/>
    <w:rsid w:val="00343E39"/>
    <w:rsid w:val="0036187D"/>
    <w:rsid w:val="00364D63"/>
    <w:rsid w:val="00373E2A"/>
    <w:rsid w:val="00376B3F"/>
    <w:rsid w:val="003B24C4"/>
    <w:rsid w:val="003B50C9"/>
    <w:rsid w:val="003C6175"/>
    <w:rsid w:val="003F7856"/>
    <w:rsid w:val="004124BC"/>
    <w:rsid w:val="00420CF0"/>
    <w:rsid w:val="00424051"/>
    <w:rsid w:val="00434173"/>
    <w:rsid w:val="00435BFF"/>
    <w:rsid w:val="0045434A"/>
    <w:rsid w:val="00454BB9"/>
    <w:rsid w:val="0047232C"/>
    <w:rsid w:val="00474373"/>
    <w:rsid w:val="00486E34"/>
    <w:rsid w:val="00496514"/>
    <w:rsid w:val="004A0E9F"/>
    <w:rsid w:val="004B139C"/>
    <w:rsid w:val="004C6F76"/>
    <w:rsid w:val="004F2A3E"/>
    <w:rsid w:val="00500D44"/>
    <w:rsid w:val="005073F5"/>
    <w:rsid w:val="00520B9A"/>
    <w:rsid w:val="00524729"/>
    <w:rsid w:val="00524FFD"/>
    <w:rsid w:val="00540A56"/>
    <w:rsid w:val="005447A8"/>
    <w:rsid w:val="005521FF"/>
    <w:rsid w:val="005544AC"/>
    <w:rsid w:val="00554FE5"/>
    <w:rsid w:val="0055744F"/>
    <w:rsid w:val="00567F6E"/>
    <w:rsid w:val="0057490D"/>
    <w:rsid w:val="00577873"/>
    <w:rsid w:val="00582CB8"/>
    <w:rsid w:val="005849D6"/>
    <w:rsid w:val="00595571"/>
    <w:rsid w:val="005A280A"/>
    <w:rsid w:val="005B0F94"/>
    <w:rsid w:val="005B4B47"/>
    <w:rsid w:val="005C40C4"/>
    <w:rsid w:val="005C721B"/>
    <w:rsid w:val="005D2B0C"/>
    <w:rsid w:val="005E1797"/>
    <w:rsid w:val="005E3715"/>
    <w:rsid w:val="005E70AC"/>
    <w:rsid w:val="005F48CF"/>
    <w:rsid w:val="00607A0C"/>
    <w:rsid w:val="00610808"/>
    <w:rsid w:val="00617C29"/>
    <w:rsid w:val="0062527A"/>
    <w:rsid w:val="00625870"/>
    <w:rsid w:val="0063496F"/>
    <w:rsid w:val="006546E4"/>
    <w:rsid w:val="00673875"/>
    <w:rsid w:val="00676881"/>
    <w:rsid w:val="00677C5D"/>
    <w:rsid w:val="00694BFE"/>
    <w:rsid w:val="006A27AA"/>
    <w:rsid w:val="006C2A5E"/>
    <w:rsid w:val="006D7615"/>
    <w:rsid w:val="006E6853"/>
    <w:rsid w:val="006E68A4"/>
    <w:rsid w:val="00700EBE"/>
    <w:rsid w:val="00713907"/>
    <w:rsid w:val="007211D3"/>
    <w:rsid w:val="00745990"/>
    <w:rsid w:val="007507CE"/>
    <w:rsid w:val="007539F0"/>
    <w:rsid w:val="00774DA3"/>
    <w:rsid w:val="007901F5"/>
    <w:rsid w:val="00794F25"/>
    <w:rsid w:val="007B04C8"/>
    <w:rsid w:val="007B08E3"/>
    <w:rsid w:val="007D7930"/>
    <w:rsid w:val="007E11F6"/>
    <w:rsid w:val="007F26D2"/>
    <w:rsid w:val="007F2C09"/>
    <w:rsid w:val="00801EEC"/>
    <w:rsid w:val="00803548"/>
    <w:rsid w:val="0082154A"/>
    <w:rsid w:val="00822B1D"/>
    <w:rsid w:val="008353A2"/>
    <w:rsid w:val="0084426F"/>
    <w:rsid w:val="008621BC"/>
    <w:rsid w:val="008733AD"/>
    <w:rsid w:val="00873E01"/>
    <w:rsid w:val="00882946"/>
    <w:rsid w:val="00886195"/>
    <w:rsid w:val="008B38EB"/>
    <w:rsid w:val="008C6E3B"/>
    <w:rsid w:val="008D28FA"/>
    <w:rsid w:val="008D29DB"/>
    <w:rsid w:val="008D32BA"/>
    <w:rsid w:val="008D4725"/>
    <w:rsid w:val="008E2648"/>
    <w:rsid w:val="00903717"/>
    <w:rsid w:val="00911B86"/>
    <w:rsid w:val="00912440"/>
    <w:rsid w:val="00926DC5"/>
    <w:rsid w:val="00927911"/>
    <w:rsid w:val="00927CF7"/>
    <w:rsid w:val="00933B26"/>
    <w:rsid w:val="00936FC0"/>
    <w:rsid w:val="009449F2"/>
    <w:rsid w:val="0097460A"/>
    <w:rsid w:val="00977E81"/>
    <w:rsid w:val="009A453D"/>
    <w:rsid w:val="009A686E"/>
    <w:rsid w:val="009B5238"/>
    <w:rsid w:val="009C5DEB"/>
    <w:rsid w:val="009C6852"/>
    <w:rsid w:val="009F0728"/>
    <w:rsid w:val="009F2017"/>
    <w:rsid w:val="009F25CB"/>
    <w:rsid w:val="009F3D45"/>
    <w:rsid w:val="00A007B8"/>
    <w:rsid w:val="00A07C94"/>
    <w:rsid w:val="00A1217D"/>
    <w:rsid w:val="00A52688"/>
    <w:rsid w:val="00A60FB5"/>
    <w:rsid w:val="00A65728"/>
    <w:rsid w:val="00A7154F"/>
    <w:rsid w:val="00A818A7"/>
    <w:rsid w:val="00A819F3"/>
    <w:rsid w:val="00A83C60"/>
    <w:rsid w:val="00A907EC"/>
    <w:rsid w:val="00A92827"/>
    <w:rsid w:val="00AA789A"/>
    <w:rsid w:val="00AC5703"/>
    <w:rsid w:val="00AE1BD0"/>
    <w:rsid w:val="00B008DA"/>
    <w:rsid w:val="00B01C53"/>
    <w:rsid w:val="00B01D02"/>
    <w:rsid w:val="00B03047"/>
    <w:rsid w:val="00B17058"/>
    <w:rsid w:val="00B20134"/>
    <w:rsid w:val="00B31305"/>
    <w:rsid w:val="00B34A1E"/>
    <w:rsid w:val="00B36766"/>
    <w:rsid w:val="00B37B01"/>
    <w:rsid w:val="00B408B9"/>
    <w:rsid w:val="00B623BC"/>
    <w:rsid w:val="00B71514"/>
    <w:rsid w:val="00B71A6B"/>
    <w:rsid w:val="00B72FB6"/>
    <w:rsid w:val="00B738C5"/>
    <w:rsid w:val="00B73F23"/>
    <w:rsid w:val="00B776B1"/>
    <w:rsid w:val="00B77ABA"/>
    <w:rsid w:val="00B82283"/>
    <w:rsid w:val="00B90F76"/>
    <w:rsid w:val="00B949EF"/>
    <w:rsid w:val="00B953AD"/>
    <w:rsid w:val="00BD0CA1"/>
    <w:rsid w:val="00BE3C47"/>
    <w:rsid w:val="00C11807"/>
    <w:rsid w:val="00C16511"/>
    <w:rsid w:val="00C17F3C"/>
    <w:rsid w:val="00C36BF7"/>
    <w:rsid w:val="00C54B47"/>
    <w:rsid w:val="00C6536C"/>
    <w:rsid w:val="00C73412"/>
    <w:rsid w:val="00C8113E"/>
    <w:rsid w:val="00C8758A"/>
    <w:rsid w:val="00CA4351"/>
    <w:rsid w:val="00CC7424"/>
    <w:rsid w:val="00CD79D6"/>
    <w:rsid w:val="00CE3394"/>
    <w:rsid w:val="00CE3C1C"/>
    <w:rsid w:val="00CF41BE"/>
    <w:rsid w:val="00D05B29"/>
    <w:rsid w:val="00D10C05"/>
    <w:rsid w:val="00D13659"/>
    <w:rsid w:val="00D147A2"/>
    <w:rsid w:val="00D15C33"/>
    <w:rsid w:val="00D171E2"/>
    <w:rsid w:val="00D22914"/>
    <w:rsid w:val="00D303BF"/>
    <w:rsid w:val="00D33F48"/>
    <w:rsid w:val="00D71805"/>
    <w:rsid w:val="00D8008C"/>
    <w:rsid w:val="00D90A9E"/>
    <w:rsid w:val="00DA3B07"/>
    <w:rsid w:val="00DA6661"/>
    <w:rsid w:val="00DB18D3"/>
    <w:rsid w:val="00DB20CD"/>
    <w:rsid w:val="00DB4CA1"/>
    <w:rsid w:val="00DC2341"/>
    <w:rsid w:val="00DC5143"/>
    <w:rsid w:val="00DD6F4C"/>
    <w:rsid w:val="00DE621C"/>
    <w:rsid w:val="00DF4CBD"/>
    <w:rsid w:val="00E10F33"/>
    <w:rsid w:val="00E135A5"/>
    <w:rsid w:val="00E1757C"/>
    <w:rsid w:val="00E215D2"/>
    <w:rsid w:val="00E32CEE"/>
    <w:rsid w:val="00E34162"/>
    <w:rsid w:val="00E37FAD"/>
    <w:rsid w:val="00E45070"/>
    <w:rsid w:val="00E4774A"/>
    <w:rsid w:val="00E60980"/>
    <w:rsid w:val="00E62BA5"/>
    <w:rsid w:val="00E70A73"/>
    <w:rsid w:val="00E74D52"/>
    <w:rsid w:val="00E8332C"/>
    <w:rsid w:val="00E87CA1"/>
    <w:rsid w:val="00E92762"/>
    <w:rsid w:val="00EA0156"/>
    <w:rsid w:val="00EA0673"/>
    <w:rsid w:val="00EB4D00"/>
    <w:rsid w:val="00EC4FA5"/>
    <w:rsid w:val="00EC51B4"/>
    <w:rsid w:val="00ED48F0"/>
    <w:rsid w:val="00EE580B"/>
    <w:rsid w:val="00EF3427"/>
    <w:rsid w:val="00F0607C"/>
    <w:rsid w:val="00F1074D"/>
    <w:rsid w:val="00F13C34"/>
    <w:rsid w:val="00F419B9"/>
    <w:rsid w:val="00F833FA"/>
    <w:rsid w:val="00FA7DBE"/>
    <w:rsid w:val="00FB3C06"/>
    <w:rsid w:val="00FC0E7C"/>
    <w:rsid w:val="00FC2ECC"/>
    <w:rsid w:val="00FC75CB"/>
    <w:rsid w:val="00FD21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C651B5"/>
  <w15:chartTrackingRefBased/>
  <w15:docId w15:val="{D6CB6065-5303-410D-8A25-CBDAD50276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147A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147A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147A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147A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147A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147A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147A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147A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147A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147A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147A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147A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147A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147A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147A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147A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147A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147A2"/>
    <w:rPr>
      <w:rFonts w:eastAsiaTheme="majorEastAsia" w:cstheme="majorBidi"/>
      <w:color w:val="272727" w:themeColor="text1" w:themeTint="D8"/>
    </w:rPr>
  </w:style>
  <w:style w:type="paragraph" w:styleId="Title">
    <w:name w:val="Title"/>
    <w:basedOn w:val="Normal"/>
    <w:next w:val="Normal"/>
    <w:link w:val="TitleChar"/>
    <w:uiPriority w:val="10"/>
    <w:qFormat/>
    <w:rsid w:val="00D147A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147A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147A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147A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147A2"/>
    <w:pPr>
      <w:spacing w:before="160"/>
      <w:jc w:val="center"/>
    </w:pPr>
    <w:rPr>
      <w:i/>
      <w:iCs/>
      <w:color w:val="404040" w:themeColor="text1" w:themeTint="BF"/>
    </w:rPr>
  </w:style>
  <w:style w:type="character" w:customStyle="1" w:styleId="QuoteChar">
    <w:name w:val="Quote Char"/>
    <w:basedOn w:val="DefaultParagraphFont"/>
    <w:link w:val="Quote"/>
    <w:uiPriority w:val="29"/>
    <w:rsid w:val="00D147A2"/>
    <w:rPr>
      <w:i/>
      <w:iCs/>
      <w:color w:val="404040" w:themeColor="text1" w:themeTint="BF"/>
    </w:rPr>
  </w:style>
  <w:style w:type="paragraph" w:styleId="ListParagraph">
    <w:name w:val="List Paragraph"/>
    <w:basedOn w:val="Normal"/>
    <w:uiPriority w:val="34"/>
    <w:qFormat/>
    <w:rsid w:val="00D147A2"/>
    <w:pPr>
      <w:ind w:left="720"/>
      <w:contextualSpacing/>
    </w:pPr>
  </w:style>
  <w:style w:type="character" w:styleId="IntenseEmphasis">
    <w:name w:val="Intense Emphasis"/>
    <w:basedOn w:val="DefaultParagraphFont"/>
    <w:uiPriority w:val="21"/>
    <w:qFormat/>
    <w:rsid w:val="00D147A2"/>
    <w:rPr>
      <w:i/>
      <w:iCs/>
      <w:color w:val="0F4761" w:themeColor="accent1" w:themeShade="BF"/>
    </w:rPr>
  </w:style>
  <w:style w:type="paragraph" w:styleId="IntenseQuote">
    <w:name w:val="Intense Quote"/>
    <w:basedOn w:val="Normal"/>
    <w:next w:val="Normal"/>
    <w:link w:val="IntenseQuoteChar"/>
    <w:uiPriority w:val="30"/>
    <w:qFormat/>
    <w:rsid w:val="00D147A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147A2"/>
    <w:rPr>
      <w:i/>
      <w:iCs/>
      <w:color w:val="0F4761" w:themeColor="accent1" w:themeShade="BF"/>
    </w:rPr>
  </w:style>
  <w:style w:type="character" w:styleId="IntenseReference">
    <w:name w:val="Intense Reference"/>
    <w:basedOn w:val="DefaultParagraphFont"/>
    <w:uiPriority w:val="32"/>
    <w:qFormat/>
    <w:rsid w:val="00D147A2"/>
    <w:rPr>
      <w:b/>
      <w:bCs/>
      <w:smallCaps/>
      <w:color w:val="0F4761" w:themeColor="accent1" w:themeShade="BF"/>
      <w:spacing w:val="5"/>
    </w:rPr>
  </w:style>
  <w:style w:type="character" w:styleId="Hyperlink">
    <w:name w:val="Hyperlink"/>
    <w:basedOn w:val="DefaultParagraphFont"/>
    <w:uiPriority w:val="99"/>
    <w:unhideWhenUsed/>
    <w:rsid w:val="00B408B9"/>
    <w:rPr>
      <w:color w:val="467886" w:themeColor="hyperlink"/>
      <w:u w:val="single"/>
    </w:rPr>
  </w:style>
  <w:style w:type="character" w:styleId="UnresolvedMention">
    <w:name w:val="Unresolved Mention"/>
    <w:basedOn w:val="DefaultParagraphFont"/>
    <w:uiPriority w:val="99"/>
    <w:semiHidden/>
    <w:unhideWhenUsed/>
    <w:rsid w:val="00B408B9"/>
    <w:rPr>
      <w:color w:val="605E5C"/>
      <w:shd w:val="clear" w:color="auto" w:fill="E1DFDD"/>
    </w:rPr>
  </w:style>
  <w:style w:type="paragraph" w:styleId="FootnoteText">
    <w:name w:val="footnote text"/>
    <w:basedOn w:val="Normal"/>
    <w:link w:val="FootnoteTextChar"/>
    <w:uiPriority w:val="99"/>
    <w:semiHidden/>
    <w:unhideWhenUsed/>
    <w:rsid w:val="005A280A"/>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5A280A"/>
    <w:rPr>
      <w:sz w:val="20"/>
      <w:szCs w:val="20"/>
    </w:rPr>
  </w:style>
  <w:style w:type="character" w:styleId="FootnoteReference">
    <w:name w:val="footnote reference"/>
    <w:basedOn w:val="DefaultParagraphFont"/>
    <w:uiPriority w:val="99"/>
    <w:semiHidden/>
    <w:unhideWhenUsed/>
    <w:rsid w:val="005A280A"/>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doi.org/10.1163/15700747-04004017"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9D433F7-5202-49C3-AF3C-F2BDB9D09B6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284</TotalTime>
  <Pages>7</Pages>
  <Words>3219</Words>
  <Characters>18350</Characters>
  <Application>Microsoft Office Word</Application>
  <DocSecurity>0</DocSecurity>
  <Lines>152</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21526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Amy Seale</dc:creator>
  <cp:keywords/>
  <dc:description/>
  <cp:lastModifiedBy>Amy Seale</cp:lastModifiedBy>
  <cp:revision>268</cp:revision>
  <dcterms:created xsi:type="dcterms:W3CDTF">2024-05-19T09:18:00Z</dcterms:created>
  <dcterms:modified xsi:type="dcterms:W3CDTF">2024-05-19T19:11:00Z</dcterms:modified>
</cp:coreProperties>
</file>