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4EF5FAF8" w:rsidP="20C4F072" w:rsidRDefault="6AE60CC3" w14:paraId="2AD35D8C" w14:textId="2FE6B5ED">
      <w:r>
        <w:rPr>
          <w:noProof/>
        </w:rPr>
        <w:drawing>
          <wp:inline distT="0" distB="0" distL="0" distR="0" wp14:anchorId="5783AD1A" wp14:editId="1DAB29E7">
            <wp:extent cx="1809750" cy="723900"/>
            <wp:effectExtent l="0" t="0" r="0" b="0"/>
            <wp:docPr id="1236564056" name="drawing" title="Discover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6564056" name="Picture 1236564056"/>
                    <pic:cNvPicPr/>
                  </pic:nvPicPr>
                  <pic:blipFill>
                    <a:blip r:embed="rId5">
                      <a:extLst>
                        <a:ext uri="{28A0092B-C50C-407E-A947-70E740481C1C}">
                          <a14:useLocalDpi xmlns:a14="http://schemas.microsoft.com/office/drawing/2010/main"/>
                        </a:ext>
                      </a:extLst>
                    </a:blip>
                    <a:stretch>
                      <a:fillRect/>
                    </a:stretch>
                  </pic:blipFill>
                  <pic:spPr>
                    <a:xfrm>
                      <a:off x="0" y="0"/>
                      <a:ext cx="1809750" cy="723900"/>
                    </a:xfrm>
                    <a:prstGeom prst="rect">
                      <a:avLst/>
                    </a:prstGeom>
                  </pic:spPr>
                </pic:pic>
              </a:graphicData>
            </a:graphic>
          </wp:inline>
        </w:drawing>
      </w:r>
    </w:p>
    <w:p w:rsidR="4EF5FAF8" w:rsidP="1E8ABB7D" w:rsidRDefault="4EF5FAF8" w14:paraId="6E50D8D8" w14:textId="3010B956">
      <w:pPr>
        <w:tabs>
          <w:tab w:val="left" w:pos="6540"/>
        </w:tabs>
        <w:spacing w:line="360" w:lineRule="auto"/>
        <w:rPr>
          <w:rFonts w:ascii="Arial" w:hAnsi="Arial" w:eastAsia="Arial" w:cs="Arial"/>
          <w:color w:val="000000" w:themeColor="text1"/>
          <w:sz w:val="22"/>
          <w:szCs w:val="22"/>
        </w:rPr>
      </w:pPr>
    </w:p>
    <w:p w:rsidR="4EF5FAF8" w:rsidP="1E8ABB7D" w:rsidRDefault="6AE60CC3" w14:paraId="3C9C696A" w14:textId="203E5E02">
      <w:pPr>
        <w:tabs>
          <w:tab w:val="left" w:pos="6540"/>
        </w:tabs>
        <w:spacing w:line="360" w:lineRule="auto"/>
        <w:rPr>
          <w:rFonts w:ascii="Times New Roman" w:hAnsi="Times New Roman" w:eastAsia="Times New Roman" w:cs="Times New Roman"/>
          <w:color w:val="000000" w:themeColor="text1"/>
        </w:rPr>
      </w:pPr>
      <w:r w:rsidRPr="1E8ABB7D">
        <w:rPr>
          <w:rFonts w:ascii="Arial" w:hAnsi="Arial" w:eastAsia="Arial" w:cs="Arial"/>
          <w:b/>
          <w:bCs/>
          <w:color w:val="000000" w:themeColor="text1"/>
          <w:lang w:val="nl-NL"/>
        </w:rPr>
        <w:t>Student name</w:t>
      </w:r>
      <w:r w:rsidRPr="1E8ABB7D">
        <w:rPr>
          <w:rFonts w:ascii="Arial" w:hAnsi="Arial" w:eastAsia="Arial" w:cs="Arial"/>
          <w:color w:val="000000" w:themeColor="text1"/>
          <w:sz w:val="22"/>
          <w:szCs w:val="22"/>
          <w:lang w:val="nl-NL"/>
        </w:rPr>
        <w:t>:</w:t>
      </w:r>
      <w:r w:rsidRPr="1E8ABB7D">
        <w:rPr>
          <w:rFonts w:ascii="Arial" w:hAnsi="Arial" w:eastAsia="Arial" w:cs="Arial"/>
          <w:color w:val="000000" w:themeColor="text1"/>
          <w:sz w:val="22"/>
          <w:szCs w:val="22"/>
          <w:u w:val="single"/>
          <w:lang w:val="nl-NL"/>
        </w:rPr>
        <w:t xml:space="preserve"> </w:t>
      </w:r>
      <w:r w:rsidRPr="1E8ABB7D">
        <w:rPr>
          <w:rFonts w:ascii="Times New Roman" w:hAnsi="Times New Roman" w:eastAsia="Times New Roman" w:cs="Times New Roman"/>
          <w:color w:val="000000" w:themeColor="text1"/>
          <w:u w:val="single"/>
          <w:lang w:val="nl-NL"/>
        </w:rPr>
        <w:t>TSION TEFERI</w:t>
      </w:r>
    </w:p>
    <w:p w:rsidR="4EF5FAF8" w:rsidP="1E8ABB7D" w:rsidRDefault="6AE60CC3" w14:paraId="6DA3805F" w14:textId="5777723C">
      <w:pPr>
        <w:tabs>
          <w:tab w:val="left" w:pos="6540"/>
        </w:tabs>
        <w:spacing w:line="360" w:lineRule="auto"/>
        <w:rPr>
          <w:rFonts w:ascii="Times New Roman" w:hAnsi="Times New Roman" w:eastAsia="Times New Roman" w:cs="Times New Roman"/>
          <w:color w:val="000000" w:themeColor="text1"/>
        </w:rPr>
      </w:pPr>
      <w:r w:rsidRPr="1E8ABB7D">
        <w:rPr>
          <w:rFonts w:ascii="Arial" w:hAnsi="Arial" w:eastAsia="Arial" w:cs="Arial"/>
          <w:b/>
          <w:bCs/>
          <w:color w:val="000000" w:themeColor="text1"/>
          <w:lang w:val="nl-NL"/>
        </w:rPr>
        <w:t>Student ID</w:t>
      </w:r>
      <w:r w:rsidRPr="1E8ABB7D">
        <w:rPr>
          <w:rFonts w:ascii="Arial" w:hAnsi="Arial" w:eastAsia="Arial" w:cs="Arial"/>
          <w:color w:val="000000" w:themeColor="text1"/>
          <w:sz w:val="22"/>
          <w:szCs w:val="22"/>
          <w:lang w:val="nl-NL"/>
        </w:rPr>
        <w:t>:</w:t>
      </w:r>
      <w:r w:rsidRPr="1E8ABB7D">
        <w:rPr>
          <w:rFonts w:ascii="Times New Roman" w:hAnsi="Times New Roman" w:eastAsia="Times New Roman" w:cs="Times New Roman"/>
          <w:color w:val="000000" w:themeColor="text1"/>
          <w:u w:val="single"/>
          <w:lang w:val="nl-NL"/>
        </w:rPr>
        <w:t>2415134</w:t>
      </w:r>
    </w:p>
    <w:p w:rsidR="4EF5FAF8" w:rsidP="1E8ABB7D" w:rsidRDefault="4EF5FAF8" w14:paraId="27CD267E" w14:textId="4D7ADF13">
      <w:pPr>
        <w:tabs>
          <w:tab w:val="left" w:pos="6540"/>
        </w:tabs>
        <w:spacing w:line="360" w:lineRule="auto"/>
        <w:rPr>
          <w:rFonts w:ascii="Arial" w:hAnsi="Arial" w:eastAsia="Arial" w:cs="Arial"/>
          <w:color w:val="000000" w:themeColor="text1"/>
          <w:sz w:val="22"/>
          <w:szCs w:val="22"/>
        </w:rPr>
      </w:pPr>
    </w:p>
    <w:p w:rsidR="4EF5FAF8" w:rsidP="6CB9062E" w:rsidRDefault="6AE60CC3" w14:paraId="5C781EB7" w14:textId="6003AF9E">
      <w:pPr>
        <w:tabs>
          <w:tab w:val="left" w:pos="6540"/>
        </w:tabs>
        <w:spacing w:line="360" w:lineRule="auto"/>
        <w:rPr>
          <w:rFonts w:ascii="Times New Roman" w:hAnsi="Times New Roman" w:eastAsia="Times New Roman" w:cs="Times New Roman"/>
          <w:color w:val="000000" w:themeColor="text1"/>
          <w:sz w:val="28"/>
          <w:szCs w:val="28"/>
        </w:rPr>
      </w:pPr>
      <w:r w:rsidRPr="6CB9062E">
        <w:rPr>
          <w:rFonts w:ascii="Arial" w:hAnsi="Arial" w:eastAsia="Arial" w:cs="Arial"/>
          <w:b/>
          <w:bCs/>
          <w:color w:val="000000" w:themeColor="text1"/>
          <w:lang w:val="nl-NL"/>
        </w:rPr>
        <w:t>Module name</w:t>
      </w:r>
      <w:r w:rsidRPr="6CB9062E">
        <w:rPr>
          <w:rFonts w:ascii="Arial" w:hAnsi="Arial" w:eastAsia="Arial" w:cs="Arial"/>
          <w:color w:val="000000" w:themeColor="text1"/>
          <w:sz w:val="22"/>
          <w:szCs w:val="22"/>
          <w:lang w:val="nl-NL"/>
        </w:rPr>
        <w:t>:</w:t>
      </w:r>
      <w:r w:rsidRPr="6CB9062E">
        <w:rPr>
          <w:rFonts w:ascii="Arial" w:hAnsi="Arial" w:eastAsia="Arial" w:cs="Arial"/>
          <w:color w:val="000000" w:themeColor="text1"/>
          <w:sz w:val="22"/>
          <w:szCs w:val="22"/>
          <w:u w:val="single"/>
          <w:lang w:val="nl-NL"/>
        </w:rPr>
        <w:t xml:space="preserve"> </w:t>
      </w:r>
      <w:r w:rsidRPr="6CB9062E" w:rsidR="1C85617D">
        <w:rPr>
          <w:rFonts w:ascii="Times New Roman" w:hAnsi="Times New Roman" w:eastAsia="Times New Roman" w:cs="Times New Roman"/>
          <w:color w:val="000000" w:themeColor="text1"/>
          <w:sz w:val="28"/>
          <w:szCs w:val="28"/>
          <w:u w:val="single"/>
          <w:lang w:val="nl-NL"/>
        </w:rPr>
        <w:t>Principes</w:t>
      </w:r>
      <w:r w:rsidRPr="6CB9062E">
        <w:rPr>
          <w:rFonts w:ascii="Times New Roman" w:hAnsi="Times New Roman" w:eastAsia="Times New Roman" w:cs="Times New Roman"/>
          <w:color w:val="000000" w:themeColor="text1"/>
          <w:sz w:val="28"/>
          <w:szCs w:val="28"/>
          <w:u w:val="single"/>
          <w:lang w:val="nl-NL"/>
        </w:rPr>
        <w:t xml:space="preserve"> of Health and Social Care Practice</w:t>
      </w:r>
    </w:p>
    <w:p w:rsidR="4EF5FAF8" w:rsidP="1E8ABB7D" w:rsidRDefault="6AE60CC3" w14:paraId="66274F80" w14:textId="315395A8">
      <w:pPr>
        <w:tabs>
          <w:tab w:val="left" w:pos="6540"/>
        </w:tabs>
        <w:spacing w:line="360" w:lineRule="auto"/>
        <w:rPr>
          <w:rFonts w:ascii="Arial" w:hAnsi="Arial" w:eastAsia="Arial" w:cs="Arial"/>
          <w:color w:val="000000" w:themeColor="text1"/>
          <w:sz w:val="28"/>
          <w:szCs w:val="28"/>
          <w:u w:val="single"/>
          <w:lang w:val="nl-NL"/>
        </w:rPr>
      </w:pPr>
      <w:r w:rsidRPr="1E8ABB7D">
        <w:rPr>
          <w:rFonts w:ascii="Arial" w:hAnsi="Arial" w:eastAsia="Arial" w:cs="Arial"/>
          <w:b/>
          <w:bCs/>
          <w:color w:val="000000" w:themeColor="text1"/>
          <w:lang w:val="nl-NL"/>
        </w:rPr>
        <w:t>Component</w:t>
      </w:r>
      <w:r w:rsidRPr="1E8ABB7D">
        <w:rPr>
          <w:rFonts w:ascii="Arial" w:hAnsi="Arial" w:eastAsia="Arial" w:cs="Arial"/>
          <w:color w:val="000000" w:themeColor="text1"/>
          <w:sz w:val="22"/>
          <w:szCs w:val="22"/>
          <w:lang w:val="nl-NL"/>
        </w:rPr>
        <w:t>: 2</w:t>
      </w:r>
      <w:r w:rsidRPr="1E8ABB7D" w:rsidR="7DCB5168">
        <w:rPr>
          <w:rFonts w:ascii="Arial" w:hAnsi="Arial" w:eastAsia="Arial" w:cs="Arial"/>
          <w:color w:val="000000" w:themeColor="text1"/>
          <w:sz w:val="22"/>
          <w:szCs w:val="22"/>
          <w:lang w:val="nl-NL"/>
        </w:rPr>
        <w:t xml:space="preserve"> </w:t>
      </w:r>
    </w:p>
    <w:p w:rsidR="4EF5FAF8" w:rsidP="1E8ABB7D" w:rsidRDefault="6AE60CC3" w14:paraId="4FD646D8" w14:textId="13E3007C">
      <w:pPr>
        <w:tabs>
          <w:tab w:val="left" w:pos="6540"/>
        </w:tabs>
        <w:spacing w:line="360" w:lineRule="auto"/>
        <w:rPr>
          <w:rFonts w:ascii="Times New Roman" w:hAnsi="Times New Roman" w:eastAsia="Times New Roman" w:cs="Times New Roman"/>
          <w:color w:val="000000" w:themeColor="text1"/>
        </w:rPr>
      </w:pPr>
      <w:r w:rsidRPr="1E8ABB7D">
        <w:rPr>
          <w:rFonts w:ascii="Arial" w:hAnsi="Arial" w:eastAsia="Arial" w:cs="Arial"/>
          <w:b/>
          <w:bCs/>
          <w:color w:val="000000" w:themeColor="text1"/>
        </w:rPr>
        <w:t>Module code:</w:t>
      </w:r>
      <w:r w:rsidRPr="1E8ABB7D">
        <w:rPr>
          <w:rFonts w:ascii="Arial" w:hAnsi="Arial" w:eastAsia="Arial" w:cs="Arial"/>
          <w:color w:val="000000" w:themeColor="text1"/>
          <w:sz w:val="22"/>
          <w:szCs w:val="22"/>
        </w:rPr>
        <w:t xml:space="preserve"> </w:t>
      </w:r>
      <w:r w:rsidRPr="1E8ABB7D">
        <w:rPr>
          <w:rFonts w:ascii="Times New Roman" w:hAnsi="Times New Roman" w:eastAsia="Times New Roman" w:cs="Times New Roman"/>
          <w:color w:val="000000" w:themeColor="text1"/>
          <w:u w:val="single"/>
        </w:rPr>
        <w:t xml:space="preserve">BMHP5016 </w:t>
      </w:r>
    </w:p>
    <w:p w:rsidR="4EF5FAF8" w:rsidP="1E8ABB7D" w:rsidRDefault="6AE60CC3" w14:paraId="3E707110" w14:textId="5DA6BD9F">
      <w:pPr>
        <w:tabs>
          <w:tab w:val="left" w:pos="6540"/>
        </w:tabs>
        <w:spacing w:line="360" w:lineRule="auto"/>
        <w:rPr>
          <w:rFonts w:ascii="Times New Roman" w:hAnsi="Times New Roman" w:eastAsia="Times New Roman" w:cs="Times New Roman"/>
          <w:color w:val="000000" w:themeColor="text1"/>
        </w:rPr>
      </w:pPr>
      <w:r w:rsidRPr="1E8ABB7D">
        <w:rPr>
          <w:rFonts w:ascii="Arial" w:hAnsi="Arial" w:eastAsia="Arial" w:cs="Arial"/>
          <w:b/>
          <w:bCs/>
          <w:color w:val="000000" w:themeColor="text1"/>
        </w:rPr>
        <w:t>Lecturer name:</w:t>
      </w:r>
      <w:r w:rsidRPr="1E8ABB7D">
        <w:rPr>
          <w:rFonts w:ascii="Arial" w:hAnsi="Arial" w:eastAsia="Arial" w:cs="Arial"/>
          <w:color w:val="000000" w:themeColor="text1"/>
          <w:sz w:val="22"/>
          <w:szCs w:val="22"/>
        </w:rPr>
        <w:t xml:space="preserve"> </w:t>
      </w:r>
      <w:r w:rsidRPr="1E8ABB7D">
        <w:rPr>
          <w:rFonts w:ascii="Times New Roman" w:hAnsi="Times New Roman" w:eastAsia="Times New Roman" w:cs="Times New Roman"/>
          <w:color w:val="000000" w:themeColor="text1"/>
          <w:u w:val="single"/>
        </w:rPr>
        <w:t>Dr Itse Olaoye</w:t>
      </w:r>
    </w:p>
    <w:p w:rsidR="4EF5FAF8" w:rsidP="1E8ABB7D" w:rsidRDefault="4EF5FAF8" w14:paraId="0477A235" w14:textId="0EE49ED9">
      <w:pPr>
        <w:tabs>
          <w:tab w:val="left" w:pos="6540"/>
        </w:tabs>
        <w:spacing w:line="360" w:lineRule="auto"/>
        <w:rPr>
          <w:rFonts w:ascii="Arial" w:hAnsi="Arial" w:eastAsia="Arial" w:cs="Arial"/>
          <w:color w:val="000000" w:themeColor="text1"/>
          <w:sz w:val="22"/>
          <w:szCs w:val="22"/>
        </w:rPr>
      </w:pPr>
    </w:p>
    <w:p w:rsidR="4EF5FAF8" w:rsidP="1E8ABB7D" w:rsidRDefault="4EF5FAF8" w14:paraId="5157AFF2" w14:textId="2ABF7B28">
      <w:pPr>
        <w:spacing w:line="360" w:lineRule="auto"/>
        <w:rPr>
          <w:rFonts w:ascii="Arial" w:hAnsi="Arial" w:eastAsia="Arial" w:cs="Arial"/>
          <w:color w:val="000000" w:themeColor="text1"/>
          <w:sz w:val="22"/>
          <w:szCs w:val="22"/>
        </w:rPr>
      </w:pPr>
    </w:p>
    <w:p w:rsidR="4EF5FAF8" w:rsidP="1E8ABB7D" w:rsidRDefault="4EF5FAF8" w14:paraId="4F4D3815" w14:textId="37DCD4D8">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3C3DC355" w14:textId="665C1E96">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34491099" w14:textId="38DAB05D">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60BEA0BD" w14:textId="1CBE3E1F">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3E9BDDD7" w14:textId="6A58AB34">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2FF98CF2" w14:textId="2F39137E">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729BA0A4" w14:textId="669F272D">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3ED6B73E" w14:textId="5F8BB404">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104B5329" w14:textId="5F0C57DF">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7951CDE9" w14:textId="7F5E063D">
      <w:pPr>
        <w:spacing w:line="360" w:lineRule="auto"/>
        <w:rPr>
          <w:rFonts w:ascii="Times New Roman" w:hAnsi="Times New Roman" w:eastAsia="Times New Roman" w:cs="Times New Roman"/>
          <w:b/>
          <w:bCs/>
          <w:color w:val="000000" w:themeColor="text1"/>
          <w:sz w:val="28"/>
          <w:szCs w:val="28"/>
        </w:rPr>
      </w:pPr>
    </w:p>
    <w:p w:rsidR="4EF5FAF8" w:rsidP="1E8ABB7D" w:rsidRDefault="4EF5FAF8" w14:paraId="0F77A325" w14:textId="785873F9">
      <w:pPr>
        <w:spacing w:line="360" w:lineRule="auto"/>
        <w:rPr>
          <w:rFonts w:ascii="Times New Roman" w:hAnsi="Times New Roman" w:eastAsia="Times New Roman" w:cs="Times New Roman"/>
          <w:b/>
          <w:bCs/>
          <w:color w:val="000000" w:themeColor="text1"/>
          <w:sz w:val="28"/>
          <w:szCs w:val="28"/>
        </w:rPr>
      </w:pPr>
    </w:p>
    <w:p w:rsidR="4EF5FAF8" w:rsidP="1E8ABB7D" w:rsidRDefault="6AE60CC3" w14:paraId="1914444D" w14:textId="5CA28F75">
      <w:pPr>
        <w:spacing w:line="360" w:lineRule="auto"/>
        <w:rPr>
          <w:rFonts w:ascii="Times New Roman" w:hAnsi="Times New Roman" w:eastAsia="Times New Roman" w:cs="Times New Roman"/>
          <w:color w:val="000000" w:themeColor="text1"/>
          <w:sz w:val="28"/>
          <w:szCs w:val="28"/>
        </w:rPr>
      </w:pPr>
      <w:r w:rsidRPr="1E8ABB7D">
        <w:rPr>
          <w:rFonts w:ascii="Times New Roman" w:hAnsi="Times New Roman" w:eastAsia="Times New Roman" w:cs="Times New Roman"/>
          <w:b/>
          <w:bCs/>
          <w:color w:val="000000" w:themeColor="text1"/>
          <w:sz w:val="28"/>
          <w:szCs w:val="28"/>
        </w:rPr>
        <w:t>Table of contents</w:t>
      </w:r>
    </w:p>
    <w:p w:rsidR="4EF5FAF8" w:rsidP="7FD6DD84" w:rsidRDefault="23310450" w14:paraId="63DCFF00" w14:textId="7C961976">
      <w:pPr>
        <w:spacing w:after="0" w:line="360" w:lineRule="auto"/>
        <w:rPr>
          <w:rFonts w:ascii="Arial" w:hAnsi="Arial" w:eastAsia="Arial" w:cs="Arial"/>
          <w:color w:val="000000" w:themeColor="text1"/>
          <w:sz w:val="24"/>
          <w:szCs w:val="24"/>
        </w:rPr>
      </w:pPr>
      <w:r w:rsidRPr="7FD6DD84" w:rsidR="23310450">
        <w:rPr>
          <w:rFonts w:ascii="Arial" w:hAnsi="Arial" w:eastAsia="Arial" w:cs="Arial"/>
          <w:color w:val="000000" w:themeColor="text1" w:themeTint="FF" w:themeShade="FF"/>
          <w:sz w:val="22"/>
          <w:szCs w:val="22"/>
        </w:rPr>
        <w:t xml:space="preserve">     </w:t>
      </w:r>
      <w:r w:rsidRPr="7FD6DD84" w:rsidR="23310450">
        <w:rPr>
          <w:rFonts w:ascii="Arial" w:hAnsi="Arial" w:eastAsia="Arial" w:cs="Arial"/>
          <w:color w:val="000000" w:themeColor="text1" w:themeTint="FF" w:themeShade="FF"/>
          <w:sz w:val="24"/>
          <w:szCs w:val="24"/>
        </w:rPr>
        <w:t xml:space="preserve"> 1. </w:t>
      </w:r>
      <w:r w:rsidRPr="7FD6DD84" w:rsidR="6AE60CC3">
        <w:rPr>
          <w:rFonts w:ascii="Arial" w:hAnsi="Arial" w:eastAsia="Arial" w:cs="Arial"/>
          <w:color w:val="000000" w:themeColor="text1" w:themeTint="FF" w:themeShade="FF"/>
          <w:sz w:val="24"/>
          <w:szCs w:val="24"/>
        </w:rPr>
        <w:t>Introduction…………….…………………………………………………………</w:t>
      </w:r>
      <w:r w:rsidRPr="7FD6DD84" w:rsidR="5C4148A1">
        <w:rPr>
          <w:rFonts w:ascii="Arial" w:hAnsi="Arial" w:eastAsia="Arial" w:cs="Arial"/>
          <w:color w:val="000000" w:themeColor="text1" w:themeTint="FF" w:themeShade="FF"/>
          <w:sz w:val="24"/>
          <w:szCs w:val="24"/>
        </w:rPr>
        <w:t>…</w:t>
      </w:r>
      <w:r w:rsidRPr="7FD6DD84" w:rsidR="37460590">
        <w:rPr>
          <w:rFonts w:ascii="Arial" w:hAnsi="Arial" w:eastAsia="Arial" w:cs="Arial"/>
          <w:color w:val="000000" w:themeColor="text1" w:themeTint="FF" w:themeShade="FF"/>
          <w:sz w:val="24"/>
          <w:szCs w:val="24"/>
        </w:rPr>
        <w:t>..</w:t>
      </w:r>
      <w:r w:rsidRPr="7FD6DD84" w:rsidR="387E026C">
        <w:rPr>
          <w:rFonts w:ascii="Arial" w:hAnsi="Arial" w:eastAsia="Arial" w:cs="Arial"/>
          <w:color w:val="000000" w:themeColor="text1" w:themeTint="FF" w:themeShade="FF"/>
          <w:sz w:val="24"/>
          <w:szCs w:val="24"/>
        </w:rPr>
        <w:t>3</w:t>
      </w:r>
    </w:p>
    <w:p w:rsidR="4EF5FAF8" w:rsidP="7FD6DD84" w:rsidRDefault="37262C73" w14:paraId="6FB44C57" w14:textId="50E34AD0">
      <w:pPr>
        <w:spacing w:after="0" w:line="360" w:lineRule="auto"/>
        <w:rPr>
          <w:rFonts w:ascii="Arial" w:hAnsi="Arial" w:eastAsia="Arial" w:cs="Arial"/>
          <w:color w:val="000000" w:themeColor="text1"/>
          <w:sz w:val="24"/>
          <w:szCs w:val="24"/>
        </w:rPr>
      </w:pPr>
      <w:r w:rsidRPr="7FD6DD84" w:rsidR="37262C73">
        <w:rPr>
          <w:rFonts w:ascii="Arial" w:hAnsi="Arial" w:eastAsia="Arial" w:cs="Arial"/>
          <w:color w:val="000000" w:themeColor="text1" w:themeTint="FF" w:themeShade="FF"/>
          <w:sz w:val="24"/>
          <w:szCs w:val="24"/>
        </w:rPr>
        <w:t xml:space="preserve">      </w:t>
      </w:r>
      <w:r w:rsidRPr="7FD6DD84" w:rsidR="20512CEB">
        <w:rPr>
          <w:rFonts w:ascii="Arial" w:hAnsi="Arial" w:eastAsia="Arial" w:cs="Arial"/>
          <w:color w:val="000000" w:themeColor="text1" w:themeTint="FF" w:themeShade="FF"/>
          <w:sz w:val="24"/>
          <w:szCs w:val="24"/>
        </w:rPr>
        <w:t xml:space="preserve">2. </w:t>
      </w:r>
      <w:r w:rsidRPr="7FD6DD84" w:rsidR="1D79A5D8">
        <w:rPr>
          <w:rFonts w:ascii="Arial" w:hAnsi="Arial" w:eastAsia="Arial" w:cs="Arial"/>
          <w:color w:val="000000" w:themeColor="text1" w:themeTint="FF" w:themeShade="FF"/>
          <w:sz w:val="24"/>
          <w:szCs w:val="24"/>
        </w:rPr>
        <w:t>Development of the Concept</w:t>
      </w:r>
      <w:r w:rsidRPr="7FD6DD84" w:rsidR="7095064F">
        <w:rPr>
          <w:rFonts w:ascii="Arial" w:hAnsi="Arial" w:eastAsia="Arial" w:cs="Arial"/>
          <w:color w:val="000000" w:themeColor="text1" w:themeTint="FF" w:themeShade="FF"/>
          <w:sz w:val="24"/>
          <w:szCs w:val="24"/>
        </w:rPr>
        <w:t>.............................................................................</w:t>
      </w:r>
      <w:r w:rsidRPr="7FD6DD84" w:rsidR="282F6186">
        <w:rPr>
          <w:rFonts w:ascii="Arial" w:hAnsi="Arial" w:eastAsia="Arial" w:cs="Arial"/>
          <w:color w:val="000000" w:themeColor="text1" w:themeTint="FF" w:themeShade="FF"/>
          <w:sz w:val="24"/>
          <w:szCs w:val="24"/>
        </w:rPr>
        <w:t>4</w:t>
      </w:r>
    </w:p>
    <w:p w:rsidR="4EF5FAF8" w:rsidP="7FD6DD84" w:rsidRDefault="7095064F" w14:paraId="78FF8972" w14:textId="6E53AF84">
      <w:pPr>
        <w:pStyle w:val="Normal"/>
        <w:spacing w:after="0" w:line="360" w:lineRule="auto"/>
        <w:rPr>
          <w:rFonts w:ascii="Arial" w:hAnsi="Arial" w:eastAsia="Arial" w:cs="Arial"/>
          <w:color w:val="000000" w:themeColor="text1"/>
          <w:sz w:val="24"/>
          <w:szCs w:val="24"/>
        </w:rPr>
      </w:pPr>
      <w:r w:rsidRPr="7FD6DD84" w:rsidR="7095064F">
        <w:rPr>
          <w:rFonts w:ascii="Arial" w:hAnsi="Arial" w:eastAsia="Arial" w:cs="Arial"/>
          <w:color w:val="000000" w:themeColor="text1" w:themeTint="FF" w:themeShade="FF"/>
          <w:sz w:val="24"/>
          <w:szCs w:val="24"/>
        </w:rPr>
        <w:t xml:space="preserve">          2.1</w:t>
      </w:r>
      <w:r w:rsidRPr="7FD6DD84" w:rsidR="1D79A5D8">
        <w:rPr>
          <w:rFonts w:ascii="Arial" w:hAnsi="Arial" w:eastAsia="Arial" w:cs="Arial"/>
          <w:color w:val="000000" w:themeColor="text1" w:themeTint="FF" w:themeShade="FF"/>
          <w:sz w:val="24"/>
          <w:szCs w:val="24"/>
        </w:rPr>
        <w:t xml:space="preserve"> </w:t>
      </w:r>
      <w:r w:rsidRPr="7FD6DD84" w:rsidR="2AB27021">
        <w:rPr>
          <w:b w:val="0"/>
          <w:bCs w:val="0"/>
          <w:sz w:val="24"/>
          <w:szCs w:val="24"/>
        </w:rPr>
        <w:t>Development of Person-Centred Care</w:t>
      </w:r>
      <w:r w:rsidRPr="7FD6DD84" w:rsidR="1F9A8360">
        <w:rPr>
          <w:rFonts w:ascii="Arial" w:hAnsi="Arial" w:eastAsia="Arial" w:cs="Arial"/>
          <w:color w:val="000000" w:themeColor="text1" w:themeTint="FF" w:themeShade="FF"/>
          <w:sz w:val="24"/>
          <w:szCs w:val="24"/>
        </w:rPr>
        <w:t>.................................................</w:t>
      </w:r>
      <w:r w:rsidRPr="7FD6DD84" w:rsidR="423DAC37">
        <w:rPr>
          <w:rFonts w:ascii="Arial" w:hAnsi="Arial" w:eastAsia="Arial" w:cs="Arial"/>
          <w:color w:val="000000" w:themeColor="text1" w:themeTint="FF" w:themeShade="FF"/>
          <w:sz w:val="24"/>
          <w:szCs w:val="24"/>
        </w:rPr>
        <w:t>.</w:t>
      </w:r>
      <w:r w:rsidRPr="7FD6DD84" w:rsidR="1F9A8360">
        <w:rPr>
          <w:rFonts w:ascii="Arial" w:hAnsi="Arial" w:eastAsia="Arial" w:cs="Arial"/>
          <w:color w:val="000000" w:themeColor="text1" w:themeTint="FF" w:themeShade="FF"/>
          <w:sz w:val="24"/>
          <w:szCs w:val="24"/>
        </w:rPr>
        <w:t>.</w:t>
      </w:r>
      <w:r w:rsidRPr="7FD6DD84" w:rsidR="6D75EC6C">
        <w:rPr>
          <w:rFonts w:ascii="Arial" w:hAnsi="Arial" w:eastAsia="Arial" w:cs="Arial"/>
          <w:color w:val="000000" w:themeColor="text1" w:themeTint="FF" w:themeShade="FF"/>
          <w:sz w:val="24"/>
          <w:szCs w:val="24"/>
        </w:rPr>
        <w:t>..</w:t>
      </w:r>
      <w:r w:rsidRPr="7FD6DD84" w:rsidR="7FCDF02C">
        <w:rPr>
          <w:rFonts w:ascii="Arial" w:hAnsi="Arial" w:eastAsia="Arial" w:cs="Arial"/>
          <w:color w:val="000000" w:themeColor="text1" w:themeTint="FF" w:themeShade="FF"/>
          <w:sz w:val="24"/>
          <w:szCs w:val="24"/>
        </w:rPr>
        <w:t>.</w:t>
      </w:r>
      <w:r w:rsidRPr="7FD6DD84" w:rsidR="330C97A3">
        <w:rPr>
          <w:rFonts w:ascii="Arial" w:hAnsi="Arial" w:eastAsia="Arial" w:cs="Arial"/>
          <w:color w:val="000000" w:themeColor="text1" w:themeTint="FF" w:themeShade="FF"/>
          <w:sz w:val="24"/>
          <w:szCs w:val="24"/>
        </w:rPr>
        <w:t>.</w:t>
      </w:r>
      <w:r w:rsidRPr="7FD6DD84" w:rsidR="38FF0AAC">
        <w:rPr>
          <w:rFonts w:ascii="Arial" w:hAnsi="Arial" w:eastAsia="Arial" w:cs="Arial"/>
          <w:color w:val="000000" w:themeColor="text1" w:themeTint="FF" w:themeShade="FF"/>
          <w:sz w:val="24"/>
          <w:szCs w:val="24"/>
        </w:rPr>
        <w:t>.</w:t>
      </w:r>
      <w:r w:rsidRPr="7FD6DD84" w:rsidR="594A53FE">
        <w:rPr>
          <w:rFonts w:ascii="Arial" w:hAnsi="Arial" w:eastAsia="Arial" w:cs="Arial"/>
          <w:color w:val="000000" w:themeColor="text1" w:themeTint="FF" w:themeShade="FF"/>
          <w:sz w:val="24"/>
          <w:szCs w:val="24"/>
        </w:rPr>
        <w:t>..</w:t>
      </w:r>
      <w:r w:rsidRPr="7FD6DD84" w:rsidR="4B5273CD">
        <w:rPr>
          <w:rFonts w:ascii="Arial" w:hAnsi="Arial" w:eastAsia="Arial" w:cs="Arial"/>
          <w:color w:val="000000" w:themeColor="text1" w:themeTint="FF" w:themeShade="FF"/>
          <w:sz w:val="24"/>
          <w:szCs w:val="24"/>
        </w:rPr>
        <w:t>4</w:t>
      </w:r>
    </w:p>
    <w:p w:rsidR="4EF5FAF8" w:rsidP="7FD6DD84" w:rsidRDefault="2F5CDDE1" w14:paraId="7A647000" w14:textId="0BA7C4F5">
      <w:pPr>
        <w:pStyle w:val="Normal"/>
        <w:spacing w:after="0" w:line="360" w:lineRule="auto"/>
        <w:rPr>
          <w:rFonts w:ascii="Arial" w:hAnsi="Arial" w:eastAsia="Arial" w:cs="Arial"/>
          <w:color w:val="000000" w:themeColor="text1"/>
          <w:sz w:val="24"/>
          <w:szCs w:val="24"/>
        </w:rPr>
      </w:pPr>
      <w:r w:rsidRPr="7FD6DD84" w:rsidR="7F79AA69">
        <w:rPr>
          <w:rFonts w:ascii="Arial" w:hAnsi="Arial" w:eastAsia="Arial" w:cs="Arial"/>
          <w:color w:val="000000" w:themeColor="text1" w:themeTint="FF" w:themeShade="FF"/>
          <w:sz w:val="24"/>
          <w:szCs w:val="24"/>
        </w:rPr>
        <w:t xml:space="preserve">          2.2</w:t>
      </w:r>
      <w:r w:rsidRPr="7FD6DD84" w:rsidR="1D79A5D8">
        <w:rPr>
          <w:rFonts w:ascii="Arial" w:hAnsi="Arial" w:eastAsia="Arial" w:cs="Arial"/>
          <w:color w:val="000000" w:themeColor="text1" w:themeTint="FF" w:themeShade="FF"/>
          <w:sz w:val="24"/>
          <w:szCs w:val="24"/>
        </w:rPr>
        <w:t xml:space="preserve"> </w:t>
      </w:r>
      <w:r w:rsidRPr="7FD6DD84" w:rsidR="44833B30">
        <w:rPr>
          <w:b w:val="0"/>
          <w:bCs w:val="0"/>
          <w:sz w:val="24"/>
          <w:szCs w:val="24"/>
        </w:rPr>
        <w:t>Development of Global Care Chains</w:t>
      </w:r>
      <w:r w:rsidRPr="7FD6DD84" w:rsidR="3F46F94D">
        <w:rPr>
          <w:rFonts w:ascii="Arial" w:hAnsi="Arial" w:eastAsia="Arial" w:cs="Arial"/>
          <w:color w:val="000000" w:themeColor="text1" w:themeTint="FF" w:themeShade="FF"/>
          <w:sz w:val="24"/>
          <w:szCs w:val="24"/>
        </w:rPr>
        <w:t>.............................................</w:t>
      </w:r>
      <w:r w:rsidRPr="7FD6DD84" w:rsidR="041FF522">
        <w:rPr>
          <w:rFonts w:ascii="Arial" w:hAnsi="Arial" w:eastAsia="Arial" w:cs="Arial"/>
          <w:color w:val="000000" w:themeColor="text1" w:themeTint="FF" w:themeShade="FF"/>
          <w:sz w:val="24"/>
          <w:szCs w:val="24"/>
        </w:rPr>
        <w:t>.</w:t>
      </w:r>
      <w:r w:rsidRPr="7FD6DD84" w:rsidR="464EE2BE">
        <w:rPr>
          <w:rFonts w:ascii="Arial" w:hAnsi="Arial" w:eastAsia="Arial" w:cs="Arial"/>
          <w:color w:val="000000" w:themeColor="text1" w:themeTint="FF" w:themeShade="FF"/>
          <w:sz w:val="24"/>
          <w:szCs w:val="24"/>
        </w:rPr>
        <w:t>.</w:t>
      </w:r>
      <w:r w:rsidRPr="7FD6DD84" w:rsidR="7F32EE84">
        <w:rPr>
          <w:rFonts w:ascii="Arial" w:hAnsi="Arial" w:eastAsia="Arial" w:cs="Arial"/>
          <w:color w:val="000000" w:themeColor="text1" w:themeTint="FF" w:themeShade="FF"/>
          <w:sz w:val="24"/>
          <w:szCs w:val="24"/>
        </w:rPr>
        <w:t>..</w:t>
      </w:r>
      <w:r w:rsidRPr="7FD6DD84" w:rsidR="46D3419E">
        <w:rPr>
          <w:rFonts w:ascii="Arial" w:hAnsi="Arial" w:eastAsia="Arial" w:cs="Arial"/>
          <w:color w:val="000000" w:themeColor="text1" w:themeTint="FF" w:themeShade="FF"/>
          <w:sz w:val="24"/>
          <w:szCs w:val="24"/>
        </w:rPr>
        <w:t>..........</w:t>
      </w:r>
      <w:r w:rsidRPr="7FD6DD84" w:rsidR="45DE4301">
        <w:rPr>
          <w:rFonts w:ascii="Arial" w:hAnsi="Arial" w:eastAsia="Arial" w:cs="Arial"/>
          <w:color w:val="000000" w:themeColor="text1" w:themeTint="FF" w:themeShade="FF"/>
          <w:sz w:val="24"/>
          <w:szCs w:val="24"/>
        </w:rPr>
        <w:t>.</w:t>
      </w:r>
      <w:r w:rsidRPr="7FD6DD84" w:rsidR="46D3419E">
        <w:rPr>
          <w:rFonts w:ascii="Arial" w:hAnsi="Arial" w:eastAsia="Arial" w:cs="Arial"/>
          <w:color w:val="000000" w:themeColor="text1" w:themeTint="FF" w:themeShade="FF"/>
          <w:sz w:val="24"/>
          <w:szCs w:val="24"/>
        </w:rPr>
        <w:t>.</w:t>
      </w:r>
      <w:r w:rsidRPr="7FD6DD84" w:rsidR="6053CE5A">
        <w:rPr>
          <w:rFonts w:ascii="Arial" w:hAnsi="Arial" w:eastAsia="Arial" w:cs="Arial"/>
          <w:color w:val="000000" w:themeColor="text1" w:themeTint="FF" w:themeShade="FF"/>
          <w:sz w:val="24"/>
          <w:szCs w:val="24"/>
        </w:rPr>
        <w:t>4</w:t>
      </w:r>
    </w:p>
    <w:p w:rsidR="4EF5FAF8" w:rsidP="7FD6DD84" w:rsidRDefault="729ADA3F" w14:paraId="08AC4DF2" w14:textId="041C94F3">
      <w:pPr>
        <w:spacing w:after="0" w:line="360" w:lineRule="auto"/>
        <w:rPr>
          <w:rFonts w:ascii="Arial" w:hAnsi="Arial" w:eastAsia="Arial" w:cs="Arial"/>
          <w:color w:val="000000" w:themeColor="text1" w:themeTint="FF" w:themeShade="FF"/>
          <w:sz w:val="24"/>
          <w:szCs w:val="24"/>
        </w:rPr>
      </w:pPr>
      <w:r w:rsidRPr="7FD6DD84" w:rsidR="782922B2">
        <w:rPr>
          <w:rFonts w:ascii="Arial" w:hAnsi="Arial" w:eastAsia="Arial" w:cs="Arial"/>
          <w:color w:val="000000" w:themeColor="text1" w:themeTint="FF" w:themeShade="FF"/>
          <w:sz w:val="24"/>
          <w:szCs w:val="24"/>
        </w:rPr>
        <w:t xml:space="preserve">     </w:t>
      </w:r>
      <w:r w:rsidRPr="7FD6DD84" w:rsidR="1D79A5D8">
        <w:rPr>
          <w:rFonts w:ascii="Arial" w:hAnsi="Arial" w:eastAsia="Arial" w:cs="Arial"/>
          <w:color w:val="000000" w:themeColor="text1" w:themeTint="FF" w:themeShade="FF"/>
          <w:sz w:val="24"/>
          <w:szCs w:val="24"/>
        </w:rPr>
        <w:t>3. Application of the Concept in Practice</w:t>
      </w:r>
      <w:r w:rsidRPr="7FD6DD84" w:rsidR="325000E9">
        <w:rPr>
          <w:rFonts w:ascii="Arial" w:hAnsi="Arial" w:eastAsia="Arial" w:cs="Arial"/>
          <w:color w:val="000000" w:themeColor="text1" w:themeTint="FF" w:themeShade="FF"/>
          <w:sz w:val="24"/>
          <w:szCs w:val="24"/>
        </w:rPr>
        <w:t>...........................................................</w:t>
      </w:r>
      <w:r w:rsidRPr="7FD6DD84" w:rsidR="612E306C">
        <w:rPr>
          <w:rFonts w:ascii="Arial" w:hAnsi="Arial" w:eastAsia="Arial" w:cs="Arial"/>
          <w:color w:val="000000" w:themeColor="text1" w:themeTint="FF" w:themeShade="FF"/>
          <w:sz w:val="24"/>
          <w:szCs w:val="24"/>
        </w:rPr>
        <w:t>..</w:t>
      </w:r>
      <w:r w:rsidRPr="7FD6DD84" w:rsidR="184531DF">
        <w:rPr>
          <w:rFonts w:ascii="Arial" w:hAnsi="Arial" w:eastAsia="Arial" w:cs="Arial"/>
          <w:color w:val="000000" w:themeColor="text1" w:themeTint="FF" w:themeShade="FF"/>
          <w:sz w:val="24"/>
          <w:szCs w:val="24"/>
        </w:rPr>
        <w:t>.</w:t>
      </w:r>
      <w:r w:rsidRPr="7FD6DD84" w:rsidR="1D08F5F2">
        <w:rPr>
          <w:rFonts w:ascii="Arial" w:hAnsi="Arial" w:eastAsia="Arial" w:cs="Arial"/>
          <w:color w:val="000000" w:themeColor="text1" w:themeTint="FF" w:themeShade="FF"/>
          <w:sz w:val="24"/>
          <w:szCs w:val="24"/>
        </w:rPr>
        <w:t>.</w:t>
      </w:r>
      <w:r w:rsidRPr="7FD6DD84" w:rsidR="52C26212">
        <w:rPr>
          <w:rFonts w:ascii="Arial" w:hAnsi="Arial" w:eastAsia="Arial" w:cs="Arial"/>
          <w:color w:val="000000" w:themeColor="text1" w:themeTint="FF" w:themeShade="FF"/>
          <w:sz w:val="24"/>
          <w:szCs w:val="24"/>
        </w:rPr>
        <w:t>.</w:t>
      </w:r>
      <w:r w:rsidRPr="7FD6DD84" w:rsidR="5B8FD7D6">
        <w:rPr>
          <w:rFonts w:ascii="Arial" w:hAnsi="Arial" w:eastAsia="Arial" w:cs="Arial"/>
          <w:color w:val="000000" w:themeColor="text1" w:themeTint="FF" w:themeShade="FF"/>
          <w:sz w:val="24"/>
          <w:szCs w:val="24"/>
        </w:rPr>
        <w:t>5</w:t>
      </w:r>
    </w:p>
    <w:p w:rsidR="4EF5FAF8" w:rsidP="7FD6DD84" w:rsidRDefault="6EB4DDF0" w14:paraId="7235266F" w14:textId="3DD56552">
      <w:pPr>
        <w:spacing w:after="0" w:line="360" w:lineRule="auto"/>
        <w:rPr>
          <w:rFonts w:ascii="Arial" w:hAnsi="Arial" w:eastAsia="Arial" w:cs="Arial"/>
          <w:color w:val="000000" w:themeColor="text1" w:themeTint="FF" w:themeShade="FF"/>
          <w:sz w:val="24"/>
          <w:szCs w:val="24"/>
        </w:rPr>
      </w:pPr>
      <w:r w:rsidRPr="7FD6DD84" w:rsidR="6EB4DDF0">
        <w:rPr>
          <w:rFonts w:ascii="Arial" w:hAnsi="Arial" w:eastAsia="Arial" w:cs="Arial"/>
          <w:color w:val="000000" w:themeColor="text1" w:themeTint="FF" w:themeShade="FF"/>
          <w:sz w:val="24"/>
          <w:szCs w:val="24"/>
        </w:rPr>
        <w:t xml:space="preserve">     </w:t>
      </w:r>
      <w:r w:rsidRPr="7FD6DD84" w:rsidR="1D79A5D8">
        <w:rPr>
          <w:rFonts w:ascii="Arial" w:hAnsi="Arial" w:eastAsia="Arial" w:cs="Arial"/>
          <w:color w:val="000000" w:themeColor="text1" w:themeTint="FF" w:themeShade="FF"/>
          <w:sz w:val="24"/>
          <w:szCs w:val="24"/>
        </w:rPr>
        <w:t>4. Recommendations for Policy and Practice</w:t>
      </w:r>
      <w:r w:rsidRPr="7FD6DD84" w:rsidR="52B4D939">
        <w:rPr>
          <w:rFonts w:ascii="Arial" w:hAnsi="Arial" w:eastAsia="Arial" w:cs="Arial"/>
          <w:color w:val="000000" w:themeColor="text1" w:themeTint="FF" w:themeShade="FF"/>
          <w:sz w:val="24"/>
          <w:szCs w:val="24"/>
        </w:rPr>
        <w:t>.....................................................</w:t>
      </w:r>
      <w:r w:rsidRPr="7FD6DD84" w:rsidR="43461F16">
        <w:rPr>
          <w:rFonts w:ascii="Arial" w:hAnsi="Arial" w:eastAsia="Arial" w:cs="Arial"/>
          <w:color w:val="000000" w:themeColor="text1" w:themeTint="FF" w:themeShade="FF"/>
          <w:sz w:val="24"/>
          <w:szCs w:val="24"/>
        </w:rPr>
        <w:t>..</w:t>
      </w:r>
      <w:r w:rsidRPr="7FD6DD84" w:rsidR="6F1C53E6">
        <w:rPr>
          <w:rFonts w:ascii="Arial" w:hAnsi="Arial" w:eastAsia="Arial" w:cs="Arial"/>
          <w:color w:val="000000" w:themeColor="text1" w:themeTint="FF" w:themeShade="FF"/>
          <w:sz w:val="24"/>
          <w:szCs w:val="24"/>
        </w:rPr>
        <w:t>.</w:t>
      </w:r>
      <w:r w:rsidRPr="7FD6DD84" w:rsidR="389CA89B">
        <w:rPr>
          <w:rFonts w:ascii="Arial" w:hAnsi="Arial" w:eastAsia="Arial" w:cs="Arial"/>
          <w:color w:val="000000" w:themeColor="text1" w:themeTint="FF" w:themeShade="FF"/>
          <w:sz w:val="24"/>
          <w:szCs w:val="24"/>
        </w:rPr>
        <w:t>.</w:t>
      </w:r>
      <w:r w:rsidRPr="7FD6DD84" w:rsidR="4EDBE6BE">
        <w:rPr>
          <w:rFonts w:ascii="Arial" w:hAnsi="Arial" w:eastAsia="Arial" w:cs="Arial"/>
          <w:color w:val="000000" w:themeColor="text1" w:themeTint="FF" w:themeShade="FF"/>
          <w:sz w:val="24"/>
          <w:szCs w:val="24"/>
        </w:rPr>
        <w:t>6</w:t>
      </w:r>
    </w:p>
    <w:p w:rsidR="4EF5FAF8" w:rsidP="7FD6DD84" w:rsidRDefault="0B8965BF" w14:paraId="1DC51927" w14:textId="690CA0CA">
      <w:pPr>
        <w:spacing w:after="0" w:line="360" w:lineRule="auto"/>
        <w:rPr>
          <w:rFonts w:ascii="Arial" w:hAnsi="Arial" w:eastAsia="Arial" w:cs="Arial"/>
          <w:color w:val="000000" w:themeColor="text1" w:themeTint="FF" w:themeShade="FF"/>
          <w:sz w:val="24"/>
          <w:szCs w:val="24"/>
        </w:rPr>
      </w:pPr>
      <w:r w:rsidRPr="7FD6DD84" w:rsidR="0B8965BF">
        <w:rPr>
          <w:rFonts w:ascii="Arial" w:hAnsi="Arial" w:eastAsia="Arial" w:cs="Arial"/>
          <w:color w:val="000000" w:themeColor="text1" w:themeTint="FF" w:themeShade="FF"/>
          <w:sz w:val="24"/>
          <w:szCs w:val="24"/>
        </w:rPr>
        <w:t xml:space="preserve">     </w:t>
      </w:r>
      <w:r w:rsidRPr="7FD6DD84" w:rsidR="1D79A5D8">
        <w:rPr>
          <w:rFonts w:ascii="Arial" w:hAnsi="Arial" w:eastAsia="Arial" w:cs="Arial"/>
          <w:color w:val="000000" w:themeColor="text1" w:themeTint="FF" w:themeShade="FF"/>
          <w:sz w:val="24"/>
          <w:szCs w:val="24"/>
        </w:rPr>
        <w:t>5. Conclusion</w:t>
      </w:r>
      <w:r w:rsidRPr="7FD6DD84" w:rsidR="62C2FAA1">
        <w:rPr>
          <w:rFonts w:ascii="Arial" w:hAnsi="Arial" w:eastAsia="Arial" w:cs="Arial"/>
          <w:color w:val="000000" w:themeColor="text1" w:themeTint="FF" w:themeShade="FF"/>
          <w:sz w:val="24"/>
          <w:szCs w:val="24"/>
        </w:rPr>
        <w:t>.....................................................................................................</w:t>
      </w:r>
      <w:r w:rsidRPr="7FD6DD84" w:rsidR="548E180E">
        <w:rPr>
          <w:rFonts w:ascii="Arial" w:hAnsi="Arial" w:eastAsia="Arial" w:cs="Arial"/>
          <w:color w:val="000000" w:themeColor="text1" w:themeTint="FF" w:themeShade="FF"/>
          <w:sz w:val="24"/>
          <w:szCs w:val="24"/>
        </w:rPr>
        <w:t>.</w:t>
      </w:r>
      <w:r w:rsidRPr="7FD6DD84" w:rsidR="1D65CA73">
        <w:rPr>
          <w:rFonts w:ascii="Arial" w:hAnsi="Arial" w:eastAsia="Arial" w:cs="Arial"/>
          <w:color w:val="000000" w:themeColor="text1" w:themeTint="FF" w:themeShade="FF"/>
          <w:sz w:val="24"/>
          <w:szCs w:val="24"/>
        </w:rPr>
        <w:t>.</w:t>
      </w:r>
      <w:r w:rsidRPr="7FD6DD84" w:rsidR="462F3657">
        <w:rPr>
          <w:rFonts w:ascii="Arial" w:hAnsi="Arial" w:eastAsia="Arial" w:cs="Arial"/>
          <w:color w:val="000000" w:themeColor="text1" w:themeTint="FF" w:themeShade="FF"/>
          <w:sz w:val="24"/>
          <w:szCs w:val="24"/>
        </w:rPr>
        <w:t>..</w:t>
      </w:r>
      <w:r w:rsidRPr="7FD6DD84" w:rsidR="62C2FAA1">
        <w:rPr>
          <w:rFonts w:ascii="Arial" w:hAnsi="Arial" w:eastAsia="Arial" w:cs="Arial"/>
          <w:color w:val="000000" w:themeColor="text1" w:themeTint="FF" w:themeShade="FF"/>
          <w:sz w:val="24"/>
          <w:szCs w:val="24"/>
        </w:rPr>
        <w:t>.</w:t>
      </w:r>
      <w:r w:rsidRPr="7FD6DD84" w:rsidR="4DFF8C53">
        <w:rPr>
          <w:rFonts w:ascii="Arial" w:hAnsi="Arial" w:eastAsia="Arial" w:cs="Arial"/>
          <w:color w:val="000000" w:themeColor="text1" w:themeTint="FF" w:themeShade="FF"/>
          <w:sz w:val="24"/>
          <w:szCs w:val="24"/>
        </w:rPr>
        <w:t>7</w:t>
      </w:r>
    </w:p>
    <w:p w:rsidR="4EF5FAF8" w:rsidP="7FD6DD84" w:rsidRDefault="3B5D1050" w14:paraId="18D9ED0D" w14:textId="471FEF9B">
      <w:pPr>
        <w:spacing w:after="0" w:line="360" w:lineRule="auto"/>
        <w:rPr>
          <w:rFonts w:ascii="Arial" w:hAnsi="Arial" w:eastAsia="Arial" w:cs="Arial"/>
          <w:color w:val="000000" w:themeColor="text1"/>
          <w:sz w:val="24"/>
          <w:szCs w:val="24"/>
        </w:rPr>
      </w:pPr>
      <w:r w:rsidRPr="7FD6DD84" w:rsidR="3B5D1050">
        <w:rPr>
          <w:rFonts w:ascii="Arial" w:hAnsi="Arial" w:eastAsia="Arial" w:cs="Arial"/>
          <w:color w:val="000000" w:themeColor="text1" w:themeTint="FF" w:themeShade="FF"/>
          <w:sz w:val="24"/>
          <w:szCs w:val="24"/>
        </w:rPr>
        <w:t xml:space="preserve">     </w:t>
      </w:r>
      <w:r w:rsidRPr="7FD6DD84" w:rsidR="1D79A5D8">
        <w:rPr>
          <w:rFonts w:ascii="Arial" w:hAnsi="Arial" w:eastAsia="Arial" w:cs="Arial"/>
          <w:color w:val="000000" w:themeColor="text1" w:themeTint="FF" w:themeShade="FF"/>
          <w:sz w:val="24"/>
          <w:szCs w:val="24"/>
        </w:rPr>
        <w:t>6. References</w:t>
      </w:r>
      <w:r w:rsidRPr="7FD6DD84" w:rsidR="461D74D6">
        <w:rPr>
          <w:rFonts w:ascii="Arial" w:hAnsi="Arial" w:eastAsia="Arial" w:cs="Arial"/>
          <w:color w:val="000000" w:themeColor="text1" w:themeTint="FF" w:themeShade="FF"/>
          <w:sz w:val="24"/>
          <w:szCs w:val="24"/>
        </w:rPr>
        <w:t>.....................................................................................................</w:t>
      </w:r>
      <w:r w:rsidRPr="7FD6DD84" w:rsidR="1AAA28F4">
        <w:rPr>
          <w:rFonts w:ascii="Arial" w:hAnsi="Arial" w:eastAsia="Arial" w:cs="Arial"/>
          <w:color w:val="000000" w:themeColor="text1" w:themeTint="FF" w:themeShade="FF"/>
          <w:sz w:val="24"/>
          <w:szCs w:val="24"/>
        </w:rPr>
        <w:t>..</w:t>
      </w:r>
      <w:r w:rsidRPr="7FD6DD84" w:rsidR="0687EB4D">
        <w:rPr>
          <w:rFonts w:ascii="Arial" w:hAnsi="Arial" w:eastAsia="Arial" w:cs="Arial"/>
          <w:color w:val="000000" w:themeColor="text1" w:themeTint="FF" w:themeShade="FF"/>
          <w:sz w:val="24"/>
          <w:szCs w:val="24"/>
        </w:rPr>
        <w:t>..</w:t>
      </w:r>
      <w:r w:rsidRPr="7FD6DD84" w:rsidR="24D0C410">
        <w:rPr>
          <w:rFonts w:ascii="Arial" w:hAnsi="Arial" w:eastAsia="Arial" w:cs="Arial"/>
          <w:color w:val="000000" w:themeColor="text1" w:themeTint="FF" w:themeShade="FF"/>
          <w:sz w:val="24"/>
          <w:szCs w:val="24"/>
        </w:rPr>
        <w:t>8</w:t>
      </w:r>
    </w:p>
    <w:p w:rsidR="4EF5FAF8" w:rsidP="1E8ABB7D" w:rsidRDefault="4EF5FAF8" w14:paraId="1B277E6D" w14:textId="4739CCDD">
      <w:r>
        <w:br w:type="page"/>
      </w:r>
    </w:p>
    <w:p w:rsidR="4EF5FAF8" w:rsidP="122CAACC" w:rsidRDefault="7C34E5A2" w14:paraId="1175FC60" w14:textId="3FA419B8">
      <w:pPr>
        <w:rPr>
          <w:rFonts w:ascii="Arial" w:hAnsi="Arial" w:eastAsia="Arial" w:cs="Arial"/>
          <w:b w:val="1"/>
          <w:bCs w:val="1"/>
          <w:sz w:val="24"/>
          <w:szCs w:val="24"/>
        </w:rPr>
      </w:pPr>
      <w:r w:rsidRPr="122CAACC" w:rsidR="7C34E5A2">
        <w:rPr>
          <w:rFonts w:ascii="Arial" w:hAnsi="Arial" w:eastAsia="Arial" w:cs="Arial"/>
          <w:sz w:val="24"/>
          <w:szCs w:val="24"/>
        </w:rPr>
        <w:t xml:space="preserve"> </w:t>
      </w:r>
      <w:r w:rsidRPr="122CAACC" w:rsidR="34270928">
        <w:rPr>
          <w:rFonts w:ascii="Arial" w:hAnsi="Arial" w:eastAsia="Arial" w:cs="Arial"/>
          <w:b w:val="1"/>
          <w:bCs w:val="1"/>
          <w:sz w:val="24"/>
          <w:szCs w:val="24"/>
        </w:rPr>
        <w:t>Person-Centred Care and Global Care Chains: Implications for Health and Social Care</w:t>
      </w:r>
    </w:p>
    <w:p w:rsidR="4EF5FAF8" w:rsidP="122CAACC" w:rsidRDefault="34270928" w14:paraId="18903568" w14:textId="654A698D">
      <w:pPr>
        <w:rPr>
          <w:rFonts w:ascii="Arial" w:hAnsi="Arial" w:eastAsia="Arial" w:cs="Arial"/>
          <w:b w:val="1"/>
          <w:bCs w:val="1"/>
          <w:sz w:val="24"/>
          <w:szCs w:val="24"/>
        </w:rPr>
      </w:pPr>
      <w:r w:rsidRPr="122CAACC" w:rsidR="5443B391">
        <w:rPr>
          <w:rFonts w:ascii="Arial" w:hAnsi="Arial" w:eastAsia="Arial" w:cs="Arial"/>
          <w:b w:val="1"/>
          <w:bCs w:val="1"/>
          <w:sz w:val="24"/>
          <w:szCs w:val="24"/>
        </w:rPr>
        <w:t>1.</w:t>
      </w:r>
      <w:r w:rsidRPr="122CAACC" w:rsidR="34270928">
        <w:rPr>
          <w:rFonts w:ascii="Arial" w:hAnsi="Arial" w:eastAsia="Arial" w:cs="Arial"/>
          <w:b w:val="1"/>
          <w:bCs w:val="1"/>
          <w:sz w:val="24"/>
          <w:szCs w:val="24"/>
        </w:rPr>
        <w:t>Introduction</w:t>
      </w:r>
    </w:p>
    <w:p w:rsidR="4EF5FAF8" w:rsidP="7FD6DD84" w:rsidRDefault="00B2420F" w14:paraId="7D37FE94" w14:textId="0F60E084">
      <w:pPr>
        <w:spacing w:line="360" w:lineRule="auto"/>
        <w:rPr>
          <w:rFonts w:ascii="Arial" w:hAnsi="Arial" w:eastAsia="Arial" w:cs="Arial"/>
          <w:sz w:val="22"/>
          <w:szCs w:val="22"/>
        </w:rPr>
      </w:pPr>
      <w:r w:rsidRPr="7FD6DD84" w:rsidR="00B2420F">
        <w:rPr>
          <w:rFonts w:ascii="Arial" w:hAnsi="Arial" w:eastAsia="Arial" w:cs="Arial"/>
          <w:sz w:val="22"/>
          <w:szCs w:val="22"/>
        </w:rPr>
        <w:t xml:space="preserve">A </w:t>
      </w:r>
      <w:r w:rsidRPr="7FD6DD84" w:rsidR="005D05DC">
        <w:rPr>
          <w:rFonts w:ascii="Arial" w:hAnsi="Arial" w:eastAsia="Arial" w:cs="Arial"/>
          <w:sz w:val="22"/>
          <w:szCs w:val="22"/>
        </w:rPr>
        <w:t>Person-centred</w:t>
      </w:r>
      <w:r w:rsidRPr="7FD6DD84" w:rsidR="34270928">
        <w:rPr>
          <w:rFonts w:ascii="Arial" w:hAnsi="Arial" w:eastAsia="Arial" w:cs="Arial"/>
          <w:sz w:val="22"/>
          <w:szCs w:val="22"/>
        </w:rPr>
        <w:t xml:space="preserve"> care has become a </w:t>
      </w:r>
      <w:r w:rsidRPr="7FD6DD84" w:rsidR="006F5F79">
        <w:rPr>
          <w:rFonts w:ascii="Arial" w:hAnsi="Arial" w:eastAsia="Arial" w:cs="Arial"/>
          <w:sz w:val="22"/>
          <w:szCs w:val="22"/>
        </w:rPr>
        <w:t>main</w:t>
      </w:r>
      <w:r w:rsidRPr="7FD6DD84" w:rsidR="34270928">
        <w:rPr>
          <w:rFonts w:ascii="Arial" w:hAnsi="Arial" w:eastAsia="Arial" w:cs="Arial"/>
          <w:sz w:val="22"/>
          <w:szCs w:val="22"/>
        </w:rPr>
        <w:t xml:space="preserve"> value across modern health and social care systems. Th</w:t>
      </w:r>
      <w:r w:rsidRPr="7FD6DD84" w:rsidR="006F5F79">
        <w:rPr>
          <w:rFonts w:ascii="Arial" w:hAnsi="Arial" w:eastAsia="Arial" w:cs="Arial"/>
          <w:sz w:val="22"/>
          <w:szCs w:val="22"/>
        </w:rPr>
        <w:t>is</w:t>
      </w:r>
      <w:r w:rsidRPr="7FD6DD84" w:rsidR="34270928">
        <w:rPr>
          <w:rFonts w:ascii="Arial" w:hAnsi="Arial" w:eastAsia="Arial" w:cs="Arial"/>
          <w:sz w:val="22"/>
          <w:szCs w:val="22"/>
        </w:rPr>
        <w:t xml:space="preserve"> </w:t>
      </w:r>
      <w:r w:rsidRPr="7FD6DD84" w:rsidR="008162AA">
        <w:rPr>
          <w:rFonts w:ascii="Arial" w:hAnsi="Arial" w:eastAsia="Arial" w:cs="Arial"/>
          <w:sz w:val="22"/>
          <w:szCs w:val="22"/>
        </w:rPr>
        <w:t xml:space="preserve">point of view </w:t>
      </w:r>
      <w:r w:rsidRPr="7FD6DD84" w:rsidR="34270928">
        <w:rPr>
          <w:rFonts w:ascii="Arial" w:hAnsi="Arial" w:eastAsia="Arial" w:cs="Arial"/>
          <w:sz w:val="22"/>
          <w:szCs w:val="22"/>
        </w:rPr>
        <w:t xml:space="preserve">invites professionals to consider each person as an individual with their own unique preferences, history, </w:t>
      </w:r>
      <w:r w:rsidRPr="7FD6DD84" w:rsidR="34270928">
        <w:rPr>
          <w:rFonts w:ascii="Arial" w:hAnsi="Arial" w:eastAsia="Arial" w:cs="Arial"/>
          <w:sz w:val="22"/>
          <w:szCs w:val="22"/>
        </w:rPr>
        <w:t>beliefs</w:t>
      </w:r>
      <w:r w:rsidRPr="7FD6DD84" w:rsidR="00E84CF8">
        <w:rPr>
          <w:rFonts w:ascii="Arial" w:hAnsi="Arial" w:eastAsia="Arial" w:cs="Arial"/>
          <w:sz w:val="22"/>
          <w:szCs w:val="22"/>
        </w:rPr>
        <w:t xml:space="preserve"> </w:t>
      </w:r>
      <w:r w:rsidRPr="7FD6DD84" w:rsidR="34270928">
        <w:rPr>
          <w:rFonts w:ascii="Arial" w:hAnsi="Arial" w:eastAsia="Arial" w:cs="Arial"/>
          <w:sz w:val="22"/>
          <w:szCs w:val="22"/>
        </w:rPr>
        <w:t xml:space="preserve">and goals </w:t>
      </w:r>
      <w:r w:rsidRPr="7FD6DD84" w:rsidR="00260C4E">
        <w:rPr>
          <w:rFonts w:ascii="Arial" w:hAnsi="Arial" w:eastAsia="Arial" w:cs="Arial"/>
          <w:sz w:val="22"/>
          <w:szCs w:val="22"/>
        </w:rPr>
        <w:t xml:space="preserve">instead </w:t>
      </w:r>
      <w:r w:rsidRPr="7FD6DD84" w:rsidR="00260C4E">
        <w:rPr>
          <w:rFonts w:ascii="Arial" w:hAnsi="Arial" w:eastAsia="Arial" w:cs="Arial"/>
          <w:sz w:val="22"/>
          <w:szCs w:val="22"/>
        </w:rPr>
        <w:t>of</w:t>
      </w:r>
      <w:r w:rsidRPr="7FD6DD84" w:rsidR="523EC7C5">
        <w:rPr>
          <w:rFonts w:ascii="Arial" w:hAnsi="Arial" w:eastAsia="Arial" w:cs="Arial"/>
          <w:sz w:val="22"/>
          <w:szCs w:val="22"/>
        </w:rPr>
        <w:t xml:space="preserve"> </w:t>
      </w:r>
      <w:r w:rsidRPr="7FD6DD84" w:rsidR="34270928">
        <w:rPr>
          <w:rFonts w:ascii="Arial" w:hAnsi="Arial" w:eastAsia="Arial" w:cs="Arial"/>
          <w:sz w:val="22"/>
          <w:szCs w:val="22"/>
        </w:rPr>
        <w:t>as</w:t>
      </w:r>
      <w:r w:rsidRPr="7FD6DD84" w:rsidR="34270928">
        <w:rPr>
          <w:rFonts w:ascii="Arial" w:hAnsi="Arial" w:eastAsia="Arial" w:cs="Arial"/>
          <w:sz w:val="22"/>
          <w:szCs w:val="22"/>
        </w:rPr>
        <w:t xml:space="preserve"> a patient or a set of symptoms. It supports dignity, relationship</w:t>
      </w:r>
      <w:r w:rsidRPr="7FD6DD84" w:rsidR="362159F1">
        <w:rPr>
          <w:rFonts w:ascii="Arial" w:hAnsi="Arial" w:eastAsia="Arial" w:cs="Arial"/>
          <w:sz w:val="22"/>
          <w:szCs w:val="22"/>
        </w:rPr>
        <w:t xml:space="preserve"> </w:t>
      </w:r>
      <w:r w:rsidRPr="7FD6DD84" w:rsidR="34270928">
        <w:rPr>
          <w:rFonts w:ascii="Arial" w:hAnsi="Arial" w:eastAsia="Arial" w:cs="Arial"/>
          <w:sz w:val="22"/>
          <w:szCs w:val="22"/>
        </w:rPr>
        <w:t xml:space="preserve">building, </w:t>
      </w:r>
      <w:r w:rsidRPr="7FD6DD84" w:rsidR="34270928">
        <w:rPr>
          <w:rFonts w:ascii="Arial" w:hAnsi="Arial" w:eastAsia="Arial" w:cs="Arial"/>
          <w:sz w:val="22"/>
          <w:szCs w:val="22"/>
        </w:rPr>
        <w:t>autonomy</w:t>
      </w:r>
      <w:r w:rsidRPr="7FD6DD84" w:rsidR="34270928">
        <w:rPr>
          <w:rFonts w:ascii="Arial" w:hAnsi="Arial" w:eastAsia="Arial" w:cs="Arial"/>
          <w:sz w:val="22"/>
          <w:szCs w:val="22"/>
        </w:rPr>
        <w:t xml:space="preserve"> and choice (Health Foundation, 2021). At the same time, </w:t>
      </w:r>
      <w:r w:rsidRPr="7FD6DD84" w:rsidR="6C84B289">
        <w:rPr>
          <w:rFonts w:ascii="Arial" w:hAnsi="Arial" w:eastAsia="Arial" w:cs="Arial"/>
          <w:sz w:val="22"/>
          <w:szCs w:val="22"/>
        </w:rPr>
        <w:t>changes in world population</w:t>
      </w:r>
      <w:r w:rsidRPr="7FD6DD84" w:rsidR="34270928">
        <w:rPr>
          <w:rFonts w:ascii="Arial" w:hAnsi="Arial" w:eastAsia="Arial" w:cs="Arial"/>
          <w:sz w:val="22"/>
          <w:szCs w:val="22"/>
        </w:rPr>
        <w:t>, labour markets and migration have given rise to what researchers have called global care chains. GCCs refer to the transnational mobility of care workers, mostly women from poorer countries, who migrate to deliver much-needed care in parts of the world experiencing staffing shortages.</w:t>
      </w:r>
    </w:p>
    <w:p w:rsidR="4EF5FAF8" w:rsidP="7FD6DD84" w:rsidRDefault="34270928" w14:paraId="2F040965" w14:textId="05DA4CA0">
      <w:pPr>
        <w:spacing w:line="360" w:lineRule="auto"/>
        <w:rPr>
          <w:rFonts w:ascii="Arial" w:hAnsi="Arial" w:eastAsia="Arial" w:cs="Arial"/>
          <w:sz w:val="22"/>
          <w:szCs w:val="22"/>
        </w:rPr>
      </w:pPr>
      <w:r w:rsidRPr="7FD6DD84" w:rsidR="34270928">
        <w:rPr>
          <w:rFonts w:ascii="Arial" w:hAnsi="Arial" w:eastAsia="Arial" w:cs="Arial"/>
          <w:sz w:val="22"/>
          <w:szCs w:val="22"/>
        </w:rPr>
        <w:t xml:space="preserve">The two concepts may sound </w:t>
      </w:r>
      <w:r w:rsidRPr="7FD6DD84" w:rsidR="7095A961">
        <w:rPr>
          <w:rFonts w:ascii="Arial" w:hAnsi="Arial" w:eastAsia="Arial" w:cs="Arial"/>
          <w:sz w:val="22"/>
          <w:szCs w:val="22"/>
        </w:rPr>
        <w:t>related,</w:t>
      </w:r>
      <w:r w:rsidRPr="7FD6DD84" w:rsidR="34270928">
        <w:rPr>
          <w:rFonts w:ascii="Arial" w:hAnsi="Arial" w:eastAsia="Arial" w:cs="Arial"/>
          <w:sz w:val="22"/>
          <w:szCs w:val="22"/>
        </w:rPr>
        <w:t xml:space="preserve"> but </w:t>
      </w:r>
      <w:r w:rsidRPr="7FD6DD84" w:rsidR="00F1307B">
        <w:rPr>
          <w:rFonts w:ascii="Arial" w:hAnsi="Arial" w:eastAsia="Arial" w:cs="Arial"/>
          <w:sz w:val="22"/>
          <w:szCs w:val="22"/>
        </w:rPr>
        <w:t>they can be different but</w:t>
      </w:r>
      <w:r w:rsidRPr="7FD6DD84" w:rsidR="34270928">
        <w:rPr>
          <w:rFonts w:ascii="Arial" w:hAnsi="Arial" w:eastAsia="Arial" w:cs="Arial"/>
          <w:sz w:val="22"/>
          <w:szCs w:val="22"/>
        </w:rPr>
        <w:t xml:space="preserve">, the two </w:t>
      </w:r>
      <w:r w:rsidRPr="7FD6DD84" w:rsidR="4D7573E1">
        <w:rPr>
          <w:rFonts w:ascii="Arial" w:hAnsi="Arial" w:eastAsia="Arial" w:cs="Arial"/>
          <w:sz w:val="22"/>
          <w:szCs w:val="22"/>
        </w:rPr>
        <w:t>i</w:t>
      </w:r>
      <w:r w:rsidRPr="7FD6DD84" w:rsidR="7BC4EFFA">
        <w:rPr>
          <w:rFonts w:ascii="Arial" w:hAnsi="Arial" w:eastAsia="Arial" w:cs="Arial"/>
          <w:sz w:val="22"/>
          <w:szCs w:val="22"/>
        </w:rPr>
        <w:t>mpact</w:t>
      </w:r>
      <w:r w:rsidRPr="7FD6DD84" w:rsidR="34270928">
        <w:rPr>
          <w:rFonts w:ascii="Arial" w:hAnsi="Arial" w:eastAsia="Arial" w:cs="Arial"/>
          <w:sz w:val="22"/>
          <w:szCs w:val="22"/>
        </w:rPr>
        <w:t xml:space="preserve"> each other. Person-centred care is about giving empathetic and individual</w:t>
      </w:r>
      <w:r w:rsidRPr="7FD6DD84" w:rsidR="169788C9">
        <w:rPr>
          <w:rFonts w:ascii="Arial" w:hAnsi="Arial" w:eastAsia="Arial" w:cs="Arial"/>
          <w:sz w:val="22"/>
          <w:szCs w:val="22"/>
        </w:rPr>
        <w:t xml:space="preserve"> focused</w:t>
      </w:r>
      <w:r w:rsidRPr="7FD6DD84" w:rsidR="34270928">
        <w:rPr>
          <w:rFonts w:ascii="Arial" w:hAnsi="Arial" w:eastAsia="Arial" w:cs="Arial"/>
          <w:sz w:val="22"/>
          <w:szCs w:val="22"/>
        </w:rPr>
        <w:t xml:space="preserve"> support, while global care chains show how the work behind such support is influenced by worldwide inequalities and migration processes. Most high-income countries, including the UK </w:t>
      </w:r>
      <w:r w:rsidRPr="7FD6DD84" w:rsidR="14CD5464">
        <w:rPr>
          <w:rFonts w:ascii="Arial" w:hAnsi="Arial" w:eastAsia="Arial" w:cs="Arial"/>
          <w:sz w:val="22"/>
          <w:szCs w:val="22"/>
        </w:rPr>
        <w:t xml:space="preserve">depend </w:t>
      </w:r>
      <w:r w:rsidRPr="7FD6DD84" w:rsidR="14CD5464">
        <w:rPr>
          <w:rFonts w:ascii="Arial" w:hAnsi="Arial" w:eastAsia="Arial" w:cs="Arial"/>
          <w:sz w:val="22"/>
          <w:szCs w:val="22"/>
        </w:rPr>
        <w:t>mainly</w:t>
      </w:r>
      <w:r w:rsidRPr="7FD6DD84" w:rsidR="34270928">
        <w:rPr>
          <w:rFonts w:ascii="Arial" w:hAnsi="Arial" w:eastAsia="Arial" w:cs="Arial"/>
          <w:sz w:val="22"/>
          <w:szCs w:val="22"/>
        </w:rPr>
        <w:t xml:space="preserve"> on</w:t>
      </w:r>
      <w:r w:rsidRPr="7FD6DD84" w:rsidR="34270928">
        <w:rPr>
          <w:rFonts w:ascii="Arial" w:hAnsi="Arial" w:eastAsia="Arial" w:cs="Arial"/>
          <w:sz w:val="22"/>
          <w:szCs w:val="22"/>
        </w:rPr>
        <w:t xml:space="preserve"> migrant care workers to </w:t>
      </w:r>
      <w:r w:rsidRPr="7FD6DD84" w:rsidR="34270928">
        <w:rPr>
          <w:rFonts w:ascii="Arial" w:hAnsi="Arial" w:eastAsia="Arial" w:cs="Arial"/>
          <w:sz w:val="22"/>
          <w:szCs w:val="22"/>
        </w:rPr>
        <w:t>maintain</w:t>
      </w:r>
      <w:r w:rsidRPr="7FD6DD84" w:rsidR="34270928">
        <w:rPr>
          <w:rFonts w:ascii="Arial" w:hAnsi="Arial" w:eastAsia="Arial" w:cs="Arial"/>
          <w:sz w:val="22"/>
          <w:szCs w:val="22"/>
        </w:rPr>
        <w:t xml:space="preserve"> their care systems</w:t>
      </w:r>
      <w:r w:rsidRPr="7FD6DD84" w:rsidR="6C3B08BC">
        <w:rPr>
          <w:rFonts w:ascii="Arial" w:hAnsi="Arial" w:eastAsia="Arial" w:cs="Arial"/>
          <w:sz w:val="22"/>
          <w:szCs w:val="22"/>
        </w:rPr>
        <w:t xml:space="preserve"> special</w:t>
      </w:r>
      <w:r w:rsidRPr="7FD6DD84" w:rsidR="34270928">
        <w:rPr>
          <w:rFonts w:ascii="Arial" w:hAnsi="Arial" w:eastAsia="Arial" w:cs="Arial"/>
          <w:sz w:val="22"/>
          <w:szCs w:val="22"/>
        </w:rPr>
        <w:t xml:space="preserve">ly in </w:t>
      </w:r>
      <w:r w:rsidRPr="7FD6DD84" w:rsidR="38199FEE">
        <w:rPr>
          <w:rFonts w:ascii="Arial" w:hAnsi="Arial" w:eastAsia="Arial" w:cs="Arial"/>
          <w:sz w:val="22"/>
          <w:szCs w:val="22"/>
        </w:rPr>
        <w:t>homec</w:t>
      </w:r>
      <w:r w:rsidRPr="7FD6DD84" w:rsidR="38199FEE">
        <w:rPr>
          <w:rFonts w:ascii="Arial" w:hAnsi="Arial" w:eastAsia="Arial" w:cs="Arial"/>
          <w:sz w:val="22"/>
          <w:szCs w:val="22"/>
        </w:rPr>
        <w:t>are</w:t>
      </w:r>
      <w:r w:rsidRPr="7FD6DD84" w:rsidR="34270928">
        <w:rPr>
          <w:rFonts w:ascii="Arial" w:hAnsi="Arial" w:eastAsia="Arial" w:cs="Arial"/>
          <w:sz w:val="22"/>
          <w:szCs w:val="22"/>
        </w:rPr>
        <w:t xml:space="preserve"> and long-term care (ILO, 2021). Migrant workers will bring </w:t>
      </w:r>
      <w:r w:rsidRPr="7FD6DD84" w:rsidR="6ACFBA0F">
        <w:rPr>
          <w:rFonts w:ascii="Arial" w:hAnsi="Arial" w:eastAsia="Arial" w:cs="Arial"/>
          <w:sz w:val="22"/>
          <w:szCs w:val="22"/>
        </w:rPr>
        <w:t>important</w:t>
      </w:r>
      <w:r w:rsidRPr="7FD6DD84" w:rsidR="34270928">
        <w:rPr>
          <w:rFonts w:ascii="Arial" w:hAnsi="Arial" w:eastAsia="Arial" w:cs="Arial"/>
          <w:sz w:val="22"/>
          <w:szCs w:val="22"/>
        </w:rPr>
        <w:t xml:space="preserve"> skills and make P</w:t>
      </w:r>
      <w:r w:rsidRPr="7FD6DD84" w:rsidR="1F3A45CC">
        <w:rPr>
          <w:rFonts w:ascii="Arial" w:hAnsi="Arial" w:eastAsia="Arial" w:cs="Arial"/>
          <w:sz w:val="22"/>
          <w:szCs w:val="22"/>
        </w:rPr>
        <w:t xml:space="preserve">ersonal </w:t>
      </w:r>
      <w:r w:rsidRPr="7FD6DD84" w:rsidR="2C696826">
        <w:rPr>
          <w:rFonts w:ascii="Arial" w:hAnsi="Arial" w:eastAsia="Arial" w:cs="Arial"/>
          <w:sz w:val="22"/>
          <w:szCs w:val="22"/>
        </w:rPr>
        <w:t>Cen</w:t>
      </w:r>
      <w:r w:rsidRPr="7FD6DD84" w:rsidR="2C696826">
        <w:rPr>
          <w:rFonts w:ascii="Arial" w:hAnsi="Arial" w:eastAsia="Arial" w:cs="Arial"/>
          <w:sz w:val="22"/>
          <w:szCs w:val="22"/>
        </w:rPr>
        <w:t>tred</w:t>
      </w:r>
      <w:r w:rsidRPr="7FD6DD84" w:rsidR="1CA922DC">
        <w:rPr>
          <w:rFonts w:ascii="Arial" w:hAnsi="Arial" w:eastAsia="Arial" w:cs="Arial"/>
          <w:sz w:val="22"/>
          <w:szCs w:val="22"/>
        </w:rPr>
        <w:t xml:space="preserve"> </w:t>
      </w:r>
      <w:r w:rsidRPr="7FD6DD84" w:rsidR="34270928">
        <w:rPr>
          <w:rFonts w:ascii="Arial" w:hAnsi="Arial" w:eastAsia="Arial" w:cs="Arial"/>
          <w:sz w:val="22"/>
          <w:szCs w:val="22"/>
        </w:rPr>
        <w:t>C</w:t>
      </w:r>
      <w:r w:rsidRPr="7FD6DD84" w:rsidR="4E1C4F11">
        <w:rPr>
          <w:rFonts w:ascii="Arial" w:hAnsi="Arial" w:eastAsia="Arial" w:cs="Arial"/>
          <w:sz w:val="22"/>
          <w:szCs w:val="22"/>
        </w:rPr>
        <w:t>are</w:t>
      </w:r>
      <w:r w:rsidRPr="7FD6DD84" w:rsidR="34270928">
        <w:rPr>
          <w:rFonts w:ascii="Arial" w:hAnsi="Arial" w:eastAsia="Arial" w:cs="Arial"/>
          <w:sz w:val="22"/>
          <w:szCs w:val="22"/>
        </w:rPr>
        <w:t xml:space="preserve"> possible for many, but working conditions, immigration status and job security have inequalities that can affect the carers and the people they are supporting (Hussein, 2022).</w:t>
      </w:r>
    </w:p>
    <w:p w:rsidR="4EF5FAF8" w:rsidP="7FD6DD84" w:rsidRDefault="34270928" w14:paraId="228F339F" w14:textId="43F86039">
      <w:pPr>
        <w:spacing w:line="360" w:lineRule="auto"/>
        <w:rPr>
          <w:rFonts w:ascii="Arial" w:hAnsi="Arial" w:eastAsia="Arial" w:cs="Arial"/>
          <w:sz w:val="22"/>
          <w:szCs w:val="22"/>
        </w:rPr>
      </w:pPr>
      <w:r w:rsidRPr="7FD6DD84" w:rsidR="34270928">
        <w:rPr>
          <w:rFonts w:ascii="Arial" w:hAnsi="Arial" w:eastAsia="Arial" w:cs="Arial"/>
          <w:sz w:val="22"/>
          <w:szCs w:val="22"/>
        </w:rPr>
        <w:t xml:space="preserve">This essay will explore the </w:t>
      </w:r>
      <w:r w:rsidRPr="7FD6DD84" w:rsidR="2D12564E">
        <w:rPr>
          <w:rFonts w:ascii="Arial" w:hAnsi="Arial" w:eastAsia="Arial" w:cs="Arial"/>
          <w:sz w:val="22"/>
          <w:szCs w:val="22"/>
        </w:rPr>
        <w:t>sources</w:t>
      </w:r>
      <w:r w:rsidRPr="7FD6DD84" w:rsidR="34270928">
        <w:rPr>
          <w:rFonts w:ascii="Arial" w:hAnsi="Arial" w:eastAsia="Arial" w:cs="Arial"/>
          <w:sz w:val="22"/>
          <w:szCs w:val="22"/>
        </w:rPr>
        <w:t xml:space="preserve"> of PCC and GCCs; examine the </w:t>
      </w:r>
      <w:r w:rsidRPr="7FD6DD84" w:rsidR="688B3262">
        <w:rPr>
          <w:rFonts w:ascii="Arial" w:hAnsi="Arial" w:eastAsia="Arial" w:cs="Arial"/>
          <w:sz w:val="22"/>
          <w:szCs w:val="22"/>
        </w:rPr>
        <w:t>analysis</w:t>
      </w:r>
      <w:r w:rsidRPr="7FD6DD84" w:rsidR="34270928">
        <w:rPr>
          <w:rFonts w:ascii="Arial" w:hAnsi="Arial" w:eastAsia="Arial" w:cs="Arial"/>
          <w:sz w:val="22"/>
          <w:szCs w:val="22"/>
        </w:rPr>
        <w:t xml:space="preserve"> of each; and present an analysis of how they interact in actual health and social care settings. It then goes on to discuss the challenges in applying PCC within the context of global care chains and offers recommendations for improving policy and practice. The last section </w:t>
      </w:r>
      <w:r w:rsidRPr="7FD6DD84" w:rsidR="06329643">
        <w:rPr>
          <w:rFonts w:ascii="Arial" w:hAnsi="Arial" w:eastAsia="Arial" w:cs="Arial"/>
          <w:sz w:val="22"/>
          <w:szCs w:val="22"/>
        </w:rPr>
        <w:t>gives</w:t>
      </w:r>
      <w:r w:rsidRPr="7FD6DD84" w:rsidR="34270928">
        <w:rPr>
          <w:rFonts w:ascii="Arial" w:hAnsi="Arial" w:eastAsia="Arial" w:cs="Arial"/>
          <w:sz w:val="22"/>
          <w:szCs w:val="22"/>
        </w:rPr>
        <w:t xml:space="preserve"> a conclusion</w:t>
      </w:r>
      <w:r w:rsidRPr="7FD6DD84" w:rsidR="586FF1AE">
        <w:rPr>
          <w:rFonts w:ascii="Arial" w:hAnsi="Arial" w:eastAsia="Arial" w:cs="Arial"/>
          <w:sz w:val="22"/>
          <w:szCs w:val="22"/>
        </w:rPr>
        <w:t xml:space="preserve"> by</w:t>
      </w:r>
      <w:r w:rsidRPr="7FD6DD84" w:rsidR="34270928">
        <w:rPr>
          <w:rFonts w:ascii="Arial" w:hAnsi="Arial" w:eastAsia="Arial" w:cs="Arial"/>
          <w:sz w:val="22"/>
          <w:szCs w:val="22"/>
        </w:rPr>
        <w:t xml:space="preserve"> summarising the main arguments.</w:t>
      </w:r>
    </w:p>
    <w:p w:rsidR="1E8ABB7D" w:rsidP="7FD6DD84" w:rsidRDefault="1E8ABB7D" w14:paraId="6E820396" w14:textId="0FC77BC2">
      <w:pPr>
        <w:spacing w:line="360" w:lineRule="auto"/>
        <w:rPr>
          <w:rFonts w:ascii="Arial" w:hAnsi="Arial" w:eastAsia="Arial" w:cs="Arial"/>
          <w:sz w:val="22"/>
          <w:szCs w:val="22"/>
        </w:rPr>
      </w:pPr>
    </w:p>
    <w:p w:rsidR="1E8ABB7D" w:rsidP="122CAACC" w:rsidRDefault="1E8ABB7D" w14:paraId="10D8ACED" w14:textId="343D7958">
      <w:pPr>
        <w:rPr>
          <w:sz w:val="22"/>
          <w:szCs w:val="22"/>
        </w:rPr>
      </w:pPr>
    </w:p>
    <w:p w:rsidR="1E8ABB7D" w:rsidP="122CAACC" w:rsidRDefault="1E8ABB7D" w14:paraId="46DC7399" w14:textId="6389952C">
      <w:pPr>
        <w:rPr>
          <w:sz w:val="22"/>
          <w:szCs w:val="22"/>
        </w:rPr>
      </w:pPr>
      <w:r w:rsidRPr="122CAACC">
        <w:rPr>
          <w:sz w:val="22"/>
          <w:szCs w:val="22"/>
        </w:rPr>
        <w:br w:type="page"/>
      </w:r>
    </w:p>
    <w:p w:rsidR="58FF1C41" w:rsidP="122CAACC" w:rsidRDefault="4375CFCC" w14:paraId="62FA61B5" w14:textId="0856BECC">
      <w:pPr>
        <w:rPr>
          <w:rFonts w:ascii="Arial" w:hAnsi="Arial" w:eastAsia="Arial" w:cs="Arial"/>
          <w:b w:val="1"/>
          <w:bCs w:val="1"/>
          <w:sz w:val="24"/>
          <w:szCs w:val="24"/>
        </w:rPr>
      </w:pPr>
      <w:r w:rsidRPr="122CAACC" w:rsidR="4375CFCC">
        <w:rPr>
          <w:rFonts w:ascii="Arial" w:hAnsi="Arial" w:eastAsia="Arial" w:cs="Arial"/>
          <w:b w:val="1"/>
          <w:bCs w:val="1"/>
          <w:sz w:val="24"/>
          <w:szCs w:val="24"/>
        </w:rPr>
        <w:t>2.</w:t>
      </w:r>
      <w:r w:rsidRPr="122CAACC" w:rsidR="58FF1C41">
        <w:rPr>
          <w:rFonts w:ascii="Arial" w:hAnsi="Arial" w:eastAsia="Arial" w:cs="Arial"/>
          <w:b w:val="1"/>
          <w:bCs w:val="1"/>
          <w:sz w:val="24"/>
          <w:szCs w:val="24"/>
        </w:rPr>
        <w:t>Development of the Concepts</w:t>
      </w:r>
    </w:p>
    <w:p w:rsidR="58FF1C41" w:rsidP="122CAACC" w:rsidRDefault="766BBA00" w14:paraId="2E071430" w14:textId="4A2DA971">
      <w:pPr>
        <w:rPr>
          <w:rFonts w:ascii="Arial" w:hAnsi="Arial" w:eastAsia="Arial" w:cs="Arial"/>
          <w:b w:val="1"/>
          <w:bCs w:val="1"/>
          <w:sz w:val="24"/>
          <w:szCs w:val="24"/>
        </w:rPr>
      </w:pPr>
      <w:r w:rsidRPr="122CAACC" w:rsidR="766BBA00">
        <w:rPr>
          <w:rFonts w:ascii="Arial" w:hAnsi="Arial" w:eastAsia="Arial" w:cs="Arial"/>
          <w:b w:val="1"/>
          <w:bCs w:val="1"/>
          <w:sz w:val="24"/>
          <w:szCs w:val="24"/>
        </w:rPr>
        <w:t xml:space="preserve">2.1 </w:t>
      </w:r>
      <w:r w:rsidRPr="122CAACC" w:rsidR="58FF1C41">
        <w:rPr>
          <w:rFonts w:ascii="Arial" w:hAnsi="Arial" w:eastAsia="Arial" w:cs="Arial"/>
          <w:b w:val="1"/>
          <w:bCs w:val="1"/>
          <w:sz w:val="24"/>
          <w:szCs w:val="24"/>
        </w:rPr>
        <w:t>Development of Person-Centred Care</w:t>
      </w:r>
    </w:p>
    <w:p w:rsidR="58FF1C41" w:rsidP="7FD6DD84" w:rsidRDefault="58FF1C41" w14:paraId="1620FB28" w14:textId="0670AACA">
      <w:pPr>
        <w:spacing w:line="360" w:lineRule="auto"/>
        <w:rPr>
          <w:rFonts w:ascii="Arial" w:hAnsi="Arial" w:eastAsia="Arial" w:cs="Arial"/>
          <w:sz w:val="22"/>
          <w:szCs w:val="22"/>
        </w:rPr>
      </w:pPr>
      <w:r w:rsidRPr="7FD6DD84" w:rsidR="58FF1C41">
        <w:rPr>
          <w:rFonts w:ascii="Arial" w:hAnsi="Arial" w:eastAsia="Arial" w:cs="Arial"/>
          <w:sz w:val="22"/>
          <w:szCs w:val="22"/>
        </w:rPr>
        <w:t xml:space="preserve">PCC has its </w:t>
      </w:r>
      <w:r w:rsidRPr="7FD6DD84" w:rsidR="369EF1D1">
        <w:rPr>
          <w:rFonts w:ascii="Arial" w:hAnsi="Arial" w:eastAsia="Arial" w:cs="Arial"/>
          <w:sz w:val="22"/>
          <w:szCs w:val="22"/>
        </w:rPr>
        <w:t>beginning</w:t>
      </w:r>
      <w:r w:rsidRPr="7FD6DD84" w:rsidR="58FF1C41">
        <w:rPr>
          <w:rFonts w:ascii="Arial" w:hAnsi="Arial" w:eastAsia="Arial" w:cs="Arial"/>
          <w:sz w:val="22"/>
          <w:szCs w:val="22"/>
        </w:rPr>
        <w:t xml:space="preserve"> in the work of psychologist Carl Rogers, who foregrounded empathy, respect, and understanding individuals as whole people with their own experiences (Rogers, 1951). His ideas </w:t>
      </w:r>
      <w:r w:rsidRPr="7FD6DD84" w:rsidR="7D94D67E">
        <w:rPr>
          <w:rFonts w:ascii="Arial" w:hAnsi="Arial" w:eastAsia="Arial" w:cs="Arial"/>
          <w:sz w:val="22"/>
          <w:szCs w:val="22"/>
        </w:rPr>
        <w:t>later reached</w:t>
      </w:r>
      <w:r w:rsidRPr="7FD6DD84" w:rsidR="58FF1C41">
        <w:rPr>
          <w:rFonts w:ascii="Arial" w:hAnsi="Arial" w:eastAsia="Arial" w:cs="Arial"/>
          <w:sz w:val="22"/>
          <w:szCs w:val="22"/>
        </w:rPr>
        <w:t xml:space="preserve"> health and social care, particularly as services moved away from paternalistic models, placing professionals in decision-making roles and service users as passive recipients. Throughout the </w:t>
      </w:r>
      <w:r w:rsidRPr="7FD6DD84" w:rsidR="109FC77B">
        <w:rPr>
          <w:rFonts w:ascii="Arial" w:hAnsi="Arial" w:eastAsia="Arial" w:cs="Arial"/>
          <w:sz w:val="22"/>
          <w:szCs w:val="22"/>
        </w:rPr>
        <w:t xml:space="preserve">year of </w:t>
      </w:r>
      <w:r w:rsidRPr="7FD6DD84" w:rsidR="58FF1C41">
        <w:rPr>
          <w:rFonts w:ascii="Arial" w:hAnsi="Arial" w:eastAsia="Arial" w:cs="Arial"/>
          <w:sz w:val="22"/>
          <w:szCs w:val="22"/>
        </w:rPr>
        <w:t>1980s and 1990s, PCC became an important f</w:t>
      </w:r>
      <w:r w:rsidRPr="7FD6DD84" w:rsidR="643EA0DA">
        <w:rPr>
          <w:rFonts w:ascii="Arial" w:hAnsi="Arial" w:eastAsia="Arial" w:cs="Arial"/>
          <w:sz w:val="22"/>
          <w:szCs w:val="22"/>
        </w:rPr>
        <w:t>eature</w:t>
      </w:r>
      <w:r w:rsidRPr="7FD6DD84" w:rsidR="58FF1C41">
        <w:rPr>
          <w:rFonts w:ascii="Arial" w:hAnsi="Arial" w:eastAsia="Arial" w:cs="Arial"/>
          <w:sz w:val="22"/>
          <w:szCs w:val="22"/>
        </w:rPr>
        <w:t xml:space="preserve"> in chronic care, dementia </w:t>
      </w:r>
      <w:r w:rsidRPr="7FD6DD84" w:rsidR="58FF1C41">
        <w:rPr>
          <w:rFonts w:ascii="Arial" w:hAnsi="Arial" w:eastAsia="Arial" w:cs="Arial"/>
          <w:sz w:val="22"/>
          <w:szCs w:val="22"/>
        </w:rPr>
        <w:t>care</w:t>
      </w:r>
      <w:r w:rsidRPr="7FD6DD84" w:rsidR="58FF1C41">
        <w:rPr>
          <w:rFonts w:ascii="Arial" w:hAnsi="Arial" w:eastAsia="Arial" w:cs="Arial"/>
          <w:sz w:val="22"/>
          <w:szCs w:val="22"/>
        </w:rPr>
        <w:t xml:space="preserve"> and long-term support (Brooker and Latham, 2016; Ekman et al., 2011).</w:t>
      </w:r>
    </w:p>
    <w:p w:rsidR="58FF1C41" w:rsidP="7FD6DD84" w:rsidRDefault="58FF1C41" w14:paraId="6C2CB205" w14:textId="4E0EAD0E">
      <w:pPr>
        <w:spacing w:line="360" w:lineRule="auto"/>
        <w:rPr>
          <w:rFonts w:ascii="Arial" w:hAnsi="Arial" w:eastAsia="Arial" w:cs="Arial"/>
          <w:sz w:val="22"/>
          <w:szCs w:val="22"/>
        </w:rPr>
      </w:pPr>
      <w:r w:rsidRPr="7FD6DD84" w:rsidR="58FF1C41">
        <w:rPr>
          <w:rFonts w:ascii="Arial" w:hAnsi="Arial" w:eastAsia="Arial" w:cs="Arial"/>
          <w:sz w:val="22"/>
          <w:szCs w:val="22"/>
        </w:rPr>
        <w:t>In the UK, PCC is supported by national policy. NHS England (2023) describes PCC as care that focuses on “what matters” to the person, not just what is clinically necessary. This involves engaging people in decisions, respecting their cultural backgrounds al</w:t>
      </w:r>
      <w:r w:rsidRPr="7FD6DD84" w:rsidR="4CB6C870">
        <w:rPr>
          <w:rFonts w:ascii="Arial" w:hAnsi="Arial" w:eastAsia="Arial" w:cs="Arial"/>
          <w:sz w:val="22"/>
          <w:szCs w:val="22"/>
        </w:rPr>
        <w:t>so</w:t>
      </w:r>
      <w:r w:rsidRPr="7FD6DD84" w:rsidR="58FF1C41">
        <w:rPr>
          <w:rFonts w:ascii="Arial" w:hAnsi="Arial" w:eastAsia="Arial" w:cs="Arial"/>
          <w:sz w:val="22"/>
          <w:szCs w:val="22"/>
        </w:rPr>
        <w:t xml:space="preserve"> with personal </w:t>
      </w:r>
      <w:r w:rsidRPr="7FD6DD84" w:rsidR="2CE5103D">
        <w:rPr>
          <w:rFonts w:ascii="Arial" w:hAnsi="Arial" w:eastAsia="Arial" w:cs="Arial"/>
          <w:sz w:val="22"/>
          <w:szCs w:val="22"/>
        </w:rPr>
        <w:t>liking</w:t>
      </w:r>
      <w:r w:rsidRPr="7FD6DD84" w:rsidR="58FF1C41">
        <w:rPr>
          <w:rFonts w:ascii="Arial" w:hAnsi="Arial" w:eastAsia="Arial" w:cs="Arial"/>
          <w:sz w:val="22"/>
          <w:szCs w:val="22"/>
        </w:rPr>
        <w:t xml:space="preserve"> and supporting independence for as long as possible.</w:t>
      </w:r>
    </w:p>
    <w:p w:rsidR="58FF1C41" w:rsidP="7FD6DD84" w:rsidRDefault="58FF1C41" w14:paraId="2D9CB1FC" w14:textId="7392CB96">
      <w:pPr>
        <w:spacing w:line="360" w:lineRule="auto"/>
        <w:rPr>
          <w:rFonts w:ascii="Arial" w:hAnsi="Arial" w:eastAsia="Arial" w:cs="Arial"/>
          <w:b w:val="1"/>
          <w:bCs w:val="1"/>
          <w:sz w:val="22"/>
          <w:szCs w:val="22"/>
        </w:rPr>
      </w:pPr>
      <w:r w:rsidRPr="7FD6DD84" w:rsidR="7B7BE922">
        <w:rPr>
          <w:rFonts w:ascii="Arial" w:hAnsi="Arial" w:eastAsia="Arial" w:cs="Arial"/>
          <w:sz w:val="22"/>
          <w:szCs w:val="22"/>
        </w:rPr>
        <w:t>Although</w:t>
      </w:r>
      <w:r w:rsidRPr="7FD6DD84" w:rsidR="58FF1C41">
        <w:rPr>
          <w:rFonts w:ascii="Arial" w:hAnsi="Arial" w:eastAsia="Arial" w:cs="Arial"/>
          <w:sz w:val="22"/>
          <w:szCs w:val="22"/>
        </w:rPr>
        <w:t xml:space="preserve"> PCC has also been criticized because it is hard to </w:t>
      </w:r>
      <w:r w:rsidRPr="7FD6DD84" w:rsidR="3492DA9F">
        <w:rPr>
          <w:rFonts w:ascii="Arial" w:hAnsi="Arial" w:eastAsia="Arial" w:cs="Arial"/>
          <w:sz w:val="22"/>
          <w:szCs w:val="22"/>
        </w:rPr>
        <w:t>apply</w:t>
      </w:r>
      <w:r w:rsidRPr="7FD6DD84" w:rsidR="58FF1C41">
        <w:rPr>
          <w:rFonts w:ascii="Arial" w:hAnsi="Arial" w:eastAsia="Arial" w:cs="Arial"/>
          <w:sz w:val="22"/>
          <w:szCs w:val="22"/>
        </w:rPr>
        <w:t xml:space="preserve"> consistently. According to some researchers, the principle of PCC can easily become a "buzzword" in policy, with too little practical support given to staff for its implementation (</w:t>
      </w:r>
      <w:r w:rsidRPr="7FD6DD84" w:rsidR="58FF1C41">
        <w:rPr>
          <w:rFonts w:ascii="Arial" w:hAnsi="Arial" w:eastAsia="Arial" w:cs="Arial"/>
          <w:sz w:val="22"/>
          <w:szCs w:val="22"/>
        </w:rPr>
        <w:t>Tondora</w:t>
      </w:r>
      <w:r w:rsidRPr="7FD6DD84" w:rsidR="58FF1C41">
        <w:rPr>
          <w:rFonts w:ascii="Arial" w:hAnsi="Arial" w:eastAsia="Arial" w:cs="Arial"/>
          <w:sz w:val="22"/>
          <w:szCs w:val="22"/>
        </w:rPr>
        <w:t xml:space="preserve"> et al., 2014). PCC is also heavily dependent on time, staffing, and continuity, factors that are sometimes not realistic in pressured or under-resourced services (Fang et al., 2022). Another critique suggests that the concept was developed </w:t>
      </w:r>
      <w:r w:rsidRPr="7FD6DD84" w:rsidR="58FF1C41">
        <w:rPr>
          <w:rFonts w:ascii="Arial" w:hAnsi="Arial" w:eastAsia="Arial" w:cs="Arial"/>
          <w:sz w:val="22"/>
          <w:szCs w:val="22"/>
        </w:rPr>
        <w:t>mainly in</w:t>
      </w:r>
      <w:r w:rsidRPr="7FD6DD84" w:rsidR="58FF1C41">
        <w:rPr>
          <w:rFonts w:ascii="Arial" w:hAnsi="Arial" w:eastAsia="Arial" w:cs="Arial"/>
          <w:sz w:val="22"/>
          <w:szCs w:val="22"/>
        </w:rPr>
        <w:t xml:space="preserve"> Western cultural </w:t>
      </w:r>
      <w:r w:rsidRPr="7FD6DD84" w:rsidR="0479D0AF">
        <w:rPr>
          <w:rFonts w:ascii="Arial" w:hAnsi="Arial" w:eastAsia="Arial" w:cs="Arial"/>
          <w:sz w:val="22"/>
          <w:szCs w:val="22"/>
        </w:rPr>
        <w:t>contexts and</w:t>
      </w:r>
      <w:r w:rsidRPr="7FD6DD84" w:rsidR="58FF1C41">
        <w:rPr>
          <w:rFonts w:ascii="Arial" w:hAnsi="Arial" w:eastAsia="Arial" w:cs="Arial"/>
          <w:sz w:val="22"/>
          <w:szCs w:val="22"/>
        </w:rPr>
        <w:t xml:space="preserve"> therefore may not always translate smoothly into multicultural or transnational care settings (</w:t>
      </w:r>
      <w:r w:rsidRPr="7FD6DD84" w:rsidR="58FF1C41">
        <w:rPr>
          <w:rFonts w:ascii="Arial" w:hAnsi="Arial" w:eastAsia="Arial" w:cs="Arial"/>
          <w:sz w:val="22"/>
          <w:szCs w:val="22"/>
        </w:rPr>
        <w:t>Ghandehari</w:t>
      </w:r>
      <w:r w:rsidRPr="7FD6DD84" w:rsidR="58FF1C41">
        <w:rPr>
          <w:rFonts w:ascii="Arial" w:hAnsi="Arial" w:eastAsia="Arial" w:cs="Arial"/>
          <w:sz w:val="22"/>
          <w:szCs w:val="22"/>
        </w:rPr>
        <w:t xml:space="preserve"> et al., 2023).</w:t>
      </w:r>
      <w:r w:rsidRPr="7FD6DD84" w:rsidR="58FF1C41">
        <w:rPr>
          <w:rFonts w:ascii="Arial" w:hAnsi="Arial" w:eastAsia="Arial" w:cs="Arial"/>
          <w:b w:val="1"/>
          <w:bCs w:val="1"/>
          <w:sz w:val="22"/>
          <w:szCs w:val="22"/>
        </w:rPr>
        <w:t xml:space="preserve"> </w:t>
      </w:r>
    </w:p>
    <w:p w:rsidR="58FF1C41" w:rsidP="7FD6DD84" w:rsidRDefault="07AC3A6B" w14:paraId="45C10C6D" w14:textId="7CD88525">
      <w:pPr>
        <w:spacing w:line="360" w:lineRule="auto"/>
        <w:rPr>
          <w:rFonts w:ascii="Arial" w:hAnsi="Arial" w:eastAsia="Arial" w:cs="Arial"/>
          <w:b w:val="1"/>
          <w:bCs w:val="1"/>
          <w:sz w:val="22"/>
          <w:szCs w:val="22"/>
        </w:rPr>
      </w:pPr>
      <w:r w:rsidRPr="7FD6DD84" w:rsidR="07AC3A6B">
        <w:rPr>
          <w:rFonts w:ascii="Arial" w:hAnsi="Arial" w:eastAsia="Arial" w:cs="Arial"/>
          <w:b w:val="1"/>
          <w:bCs w:val="1"/>
          <w:sz w:val="22"/>
          <w:szCs w:val="22"/>
        </w:rPr>
        <w:t xml:space="preserve">2.2 </w:t>
      </w:r>
      <w:r w:rsidRPr="7FD6DD84" w:rsidR="58FF1C41">
        <w:rPr>
          <w:rFonts w:ascii="Arial" w:hAnsi="Arial" w:eastAsia="Arial" w:cs="Arial"/>
          <w:b w:val="1"/>
          <w:bCs w:val="1"/>
          <w:sz w:val="22"/>
          <w:szCs w:val="22"/>
        </w:rPr>
        <w:t>Development of Global Care Chains</w:t>
      </w:r>
    </w:p>
    <w:p w:rsidR="58FF1C41" w:rsidP="7FD6DD84" w:rsidRDefault="58FF1C41" w14:paraId="3F87A1DA" w14:textId="5E7A6AC9">
      <w:pPr>
        <w:spacing w:line="360" w:lineRule="auto"/>
        <w:rPr>
          <w:rFonts w:ascii="Arial" w:hAnsi="Arial" w:eastAsia="Arial" w:cs="Arial"/>
          <w:sz w:val="22"/>
          <w:szCs w:val="22"/>
        </w:rPr>
      </w:pPr>
      <w:r w:rsidRPr="3E714FCE" w:rsidR="58FF1C41">
        <w:rPr>
          <w:rFonts w:ascii="Arial" w:hAnsi="Arial" w:eastAsia="Arial" w:cs="Arial"/>
          <w:sz w:val="22"/>
          <w:szCs w:val="22"/>
        </w:rPr>
        <w:t xml:space="preserve">Hochschild (2000) used the concept of global care chains to </w:t>
      </w:r>
      <w:r w:rsidRPr="3E714FCE" w:rsidR="00895C32">
        <w:rPr>
          <w:rFonts w:ascii="Arial" w:hAnsi="Arial" w:eastAsia="Arial" w:cs="Arial"/>
          <w:sz w:val="22"/>
          <w:szCs w:val="22"/>
        </w:rPr>
        <w:t>show</w:t>
      </w:r>
      <w:r w:rsidRPr="3E714FCE" w:rsidR="58FF1C41">
        <w:rPr>
          <w:rFonts w:ascii="Arial" w:hAnsi="Arial" w:eastAsia="Arial" w:cs="Arial"/>
          <w:sz w:val="22"/>
          <w:szCs w:val="22"/>
        </w:rPr>
        <w:t xml:space="preserve"> how care labour is transferred from poorer nations to rich nations resulting from the inequalities in their economies. It often involves the migration of women who are employed as nannies or domestic carers or </w:t>
      </w:r>
      <w:r w:rsidRPr="3E714FCE" w:rsidR="00D1A56E">
        <w:rPr>
          <w:rFonts w:ascii="Arial" w:hAnsi="Arial" w:eastAsia="Arial" w:cs="Arial"/>
          <w:sz w:val="22"/>
          <w:szCs w:val="22"/>
        </w:rPr>
        <w:t>elder carers</w:t>
      </w:r>
      <w:r w:rsidRPr="3E714FCE" w:rsidR="58FF1C41">
        <w:rPr>
          <w:rFonts w:ascii="Arial" w:hAnsi="Arial" w:eastAsia="Arial" w:cs="Arial"/>
          <w:sz w:val="22"/>
          <w:szCs w:val="22"/>
        </w:rPr>
        <w:t>. The concept was later broadened by Yeates (2009; 2012) to include professional care workers like nurses and trained care assistants.</w:t>
      </w:r>
    </w:p>
    <w:p w:rsidR="58FF1C41" w:rsidP="7FD6DD84" w:rsidRDefault="58FF1C41" w14:paraId="23B42DE0" w14:textId="2A9AF35F">
      <w:pPr>
        <w:spacing w:line="360" w:lineRule="auto"/>
        <w:rPr>
          <w:rFonts w:ascii="Arial" w:hAnsi="Arial" w:eastAsia="Arial" w:cs="Arial"/>
          <w:sz w:val="22"/>
          <w:szCs w:val="22"/>
        </w:rPr>
      </w:pPr>
      <w:r w:rsidRPr="3E714FCE" w:rsidR="58FF1C41">
        <w:rPr>
          <w:rFonts w:ascii="Arial" w:hAnsi="Arial" w:eastAsia="Arial" w:cs="Arial"/>
          <w:sz w:val="22"/>
          <w:szCs w:val="22"/>
        </w:rPr>
        <w:t xml:space="preserve">GCCs have developed for several reasons: populations are ageing </w:t>
      </w:r>
      <w:r w:rsidRPr="3E714FCE" w:rsidR="7210548F">
        <w:rPr>
          <w:rFonts w:ascii="Arial" w:hAnsi="Arial" w:eastAsia="Arial" w:cs="Arial"/>
          <w:sz w:val="22"/>
          <w:szCs w:val="22"/>
        </w:rPr>
        <w:t>quickly</w:t>
      </w:r>
      <w:r w:rsidRPr="3E714FCE" w:rsidR="58FF1C41">
        <w:rPr>
          <w:rFonts w:ascii="Arial" w:hAnsi="Arial" w:eastAsia="Arial" w:cs="Arial"/>
          <w:sz w:val="22"/>
          <w:szCs w:val="22"/>
        </w:rPr>
        <w:t xml:space="preserve"> in many high-income countries</w:t>
      </w:r>
      <w:r w:rsidRPr="3E714FCE" w:rsidR="157BF80A">
        <w:rPr>
          <w:rFonts w:ascii="Arial" w:hAnsi="Arial" w:eastAsia="Arial" w:cs="Arial"/>
          <w:sz w:val="22"/>
          <w:szCs w:val="22"/>
        </w:rPr>
        <w:t>.</w:t>
      </w:r>
      <w:r w:rsidRPr="3E714FCE" w:rsidR="58FF1C41">
        <w:rPr>
          <w:rFonts w:ascii="Arial" w:hAnsi="Arial" w:eastAsia="Arial" w:cs="Arial"/>
          <w:sz w:val="22"/>
          <w:szCs w:val="22"/>
        </w:rPr>
        <w:t xml:space="preserve"> the increased participation of women in the labour market has reduced unpaid care within households</w:t>
      </w:r>
      <w:r w:rsidRPr="3E714FCE" w:rsidR="509D1FDC">
        <w:rPr>
          <w:rFonts w:ascii="Arial" w:hAnsi="Arial" w:eastAsia="Arial" w:cs="Arial"/>
          <w:sz w:val="22"/>
          <w:szCs w:val="22"/>
        </w:rPr>
        <w:t xml:space="preserve"> </w:t>
      </w:r>
      <w:r w:rsidRPr="3E714FCE" w:rsidR="58FF1C41">
        <w:rPr>
          <w:rFonts w:ascii="Arial" w:hAnsi="Arial" w:eastAsia="Arial" w:cs="Arial"/>
          <w:sz w:val="22"/>
          <w:szCs w:val="22"/>
        </w:rPr>
        <w:t xml:space="preserve">and low wages in the care sector make recruitment difficult. Thus, migrant labour fills the gap (ILO 2021). Workers in lower-income countries often face unemployment or limited career prospects, </w:t>
      </w:r>
      <w:r w:rsidRPr="3E714FCE" w:rsidR="58FF1C41">
        <w:rPr>
          <w:rFonts w:ascii="Arial" w:hAnsi="Arial" w:eastAsia="Arial" w:cs="Arial"/>
          <w:sz w:val="22"/>
          <w:szCs w:val="22"/>
        </w:rPr>
        <w:t>whereas</w:t>
      </w:r>
      <w:r w:rsidRPr="3E714FCE" w:rsidR="58FF1C41">
        <w:rPr>
          <w:rFonts w:ascii="Arial" w:hAnsi="Arial" w:eastAsia="Arial" w:cs="Arial"/>
          <w:sz w:val="22"/>
          <w:szCs w:val="22"/>
        </w:rPr>
        <w:t xml:space="preserve"> migration becomes a necessary and even </w:t>
      </w:r>
      <w:r w:rsidRPr="3E714FCE" w:rsidR="11ECA115">
        <w:rPr>
          <w:rFonts w:ascii="Arial" w:hAnsi="Arial" w:eastAsia="Arial" w:cs="Arial"/>
          <w:sz w:val="22"/>
          <w:szCs w:val="22"/>
        </w:rPr>
        <w:t>important</w:t>
      </w:r>
      <w:r w:rsidRPr="3E714FCE" w:rsidR="58FF1C41">
        <w:rPr>
          <w:rFonts w:ascii="Arial" w:hAnsi="Arial" w:eastAsia="Arial" w:cs="Arial"/>
          <w:sz w:val="22"/>
          <w:szCs w:val="22"/>
        </w:rPr>
        <w:t xml:space="preserve"> way of securing income for families (WHO 2023). Critics of GCCs suggest that even as this labour benefits destination countries, origin countries can be left with a shortage of carers and health professionals. Other critics argue that GCC research may remain at the level of </w:t>
      </w:r>
      <w:r w:rsidRPr="3E714FCE" w:rsidR="2E8ABC81">
        <w:rPr>
          <w:rFonts w:ascii="Arial" w:hAnsi="Arial" w:eastAsia="Arial" w:cs="Arial"/>
          <w:sz w:val="22"/>
          <w:szCs w:val="22"/>
        </w:rPr>
        <w:t>representing</w:t>
      </w:r>
      <w:r w:rsidRPr="3E714FCE" w:rsidR="58FF1C41">
        <w:rPr>
          <w:rFonts w:ascii="Arial" w:hAnsi="Arial" w:eastAsia="Arial" w:cs="Arial"/>
          <w:sz w:val="22"/>
          <w:szCs w:val="22"/>
        </w:rPr>
        <w:t xml:space="preserve"> migrant women as helpless, without including their strength, strategies and personal choices. </w:t>
      </w:r>
      <w:r w:rsidRPr="3E714FCE" w:rsidR="44F9E161">
        <w:rPr>
          <w:rFonts w:ascii="Arial" w:hAnsi="Arial" w:eastAsia="Arial" w:cs="Arial"/>
          <w:sz w:val="22"/>
          <w:szCs w:val="22"/>
        </w:rPr>
        <w:t>Despite</w:t>
      </w:r>
      <w:r w:rsidRPr="3E714FCE" w:rsidR="58FF1C41">
        <w:rPr>
          <w:rFonts w:ascii="Arial" w:hAnsi="Arial" w:eastAsia="Arial" w:cs="Arial"/>
          <w:sz w:val="22"/>
          <w:szCs w:val="22"/>
        </w:rPr>
        <w:t xml:space="preserve"> </w:t>
      </w:r>
      <w:r w:rsidRPr="3E714FCE" w:rsidR="33A8308B">
        <w:rPr>
          <w:rFonts w:ascii="Arial" w:hAnsi="Arial" w:eastAsia="Arial" w:cs="Arial"/>
          <w:sz w:val="22"/>
          <w:szCs w:val="22"/>
        </w:rPr>
        <w:t>this comment</w:t>
      </w:r>
      <w:r w:rsidRPr="3E714FCE" w:rsidR="58FF1C41">
        <w:rPr>
          <w:rFonts w:ascii="Arial" w:hAnsi="Arial" w:eastAsia="Arial" w:cs="Arial"/>
          <w:sz w:val="22"/>
          <w:szCs w:val="22"/>
        </w:rPr>
        <w:t xml:space="preserve">, the concept </w:t>
      </w:r>
      <w:r w:rsidRPr="3E714FCE" w:rsidR="6996703E">
        <w:rPr>
          <w:rFonts w:ascii="Arial" w:hAnsi="Arial" w:eastAsia="Arial" w:cs="Arial"/>
          <w:sz w:val="22"/>
          <w:szCs w:val="22"/>
        </w:rPr>
        <w:t>remains</w:t>
      </w:r>
      <w:r w:rsidRPr="3E714FCE" w:rsidR="6996703E">
        <w:rPr>
          <w:rFonts w:ascii="Arial" w:hAnsi="Arial" w:eastAsia="Arial" w:cs="Arial"/>
          <w:sz w:val="22"/>
          <w:szCs w:val="22"/>
        </w:rPr>
        <w:t xml:space="preserve"> useful</w:t>
      </w:r>
      <w:r w:rsidRPr="3E714FCE" w:rsidR="58FF1C41">
        <w:rPr>
          <w:rFonts w:ascii="Arial" w:hAnsi="Arial" w:eastAsia="Arial" w:cs="Arial"/>
          <w:sz w:val="22"/>
          <w:szCs w:val="22"/>
        </w:rPr>
        <w:t xml:space="preserve"> for understanding how care systems are interconnected on a global scale.</w:t>
      </w:r>
    </w:p>
    <w:p w:rsidR="122CAACC" w:rsidP="7FD6DD84" w:rsidRDefault="122CAACC" w14:paraId="51697594" w14:textId="21D05E58">
      <w:pPr>
        <w:spacing w:line="360" w:lineRule="auto"/>
        <w:rPr>
          <w:rFonts w:ascii="Arial" w:hAnsi="Arial" w:eastAsia="Arial" w:cs="Arial"/>
          <w:b w:val="1"/>
          <w:bCs w:val="1"/>
          <w:sz w:val="22"/>
          <w:szCs w:val="22"/>
        </w:rPr>
      </w:pPr>
    </w:p>
    <w:p w:rsidR="122CAACC" w:rsidP="122CAACC" w:rsidRDefault="122CAACC" w14:paraId="3406458D" w14:textId="771B7E32">
      <w:pPr>
        <w:rPr>
          <w:b w:val="1"/>
          <w:bCs w:val="1"/>
          <w:sz w:val="22"/>
          <w:szCs w:val="22"/>
        </w:rPr>
      </w:pPr>
    </w:p>
    <w:p w:rsidR="58FF1C41" w:rsidP="122CAACC" w:rsidRDefault="23FB1718" w14:paraId="77A2A4CE" w14:textId="67DC2A27">
      <w:pPr>
        <w:rPr>
          <w:b w:val="1"/>
          <w:bCs w:val="1"/>
          <w:sz w:val="24"/>
          <w:szCs w:val="24"/>
        </w:rPr>
      </w:pPr>
      <w:r w:rsidRPr="122CAACC" w:rsidR="23FB1718">
        <w:rPr>
          <w:rFonts w:ascii="Arial" w:hAnsi="Arial" w:eastAsia="Arial" w:cs="Arial"/>
          <w:b w:val="1"/>
          <w:bCs w:val="1"/>
          <w:sz w:val="24"/>
          <w:szCs w:val="24"/>
        </w:rPr>
        <w:t xml:space="preserve">3. </w:t>
      </w:r>
      <w:r w:rsidRPr="122CAACC" w:rsidR="58FF1C41">
        <w:rPr>
          <w:rFonts w:ascii="Arial" w:hAnsi="Arial" w:eastAsia="Arial" w:cs="Arial"/>
          <w:b w:val="1"/>
          <w:bCs w:val="1"/>
          <w:sz w:val="24"/>
          <w:szCs w:val="24"/>
        </w:rPr>
        <w:t xml:space="preserve">Application of the Concepts in Practice </w:t>
      </w:r>
    </w:p>
    <w:p w:rsidR="63C0931F" w:rsidP="7FD6DD84" w:rsidRDefault="63C0931F" w14:paraId="3A67A7DF" w14:textId="6EEFCFB1">
      <w:pPr>
        <w:spacing w:line="360" w:lineRule="auto"/>
        <w:rPr>
          <w:rFonts w:ascii="Arial" w:hAnsi="Arial" w:eastAsia="Arial" w:cs="Arial"/>
          <w:b w:val="0"/>
          <w:bCs w:val="0"/>
          <w:sz w:val="22"/>
          <w:szCs w:val="22"/>
        </w:rPr>
      </w:pPr>
      <w:r w:rsidRPr="7FD6DD84" w:rsidR="63C0931F">
        <w:rPr>
          <w:rFonts w:ascii="Arial" w:hAnsi="Arial" w:eastAsia="Arial" w:cs="Arial"/>
          <w:b w:val="0"/>
          <w:bCs w:val="0"/>
          <w:sz w:val="22"/>
          <w:szCs w:val="22"/>
        </w:rPr>
        <w:t>Person-centred care is applied across a wide range of health and social care settings, from home</w:t>
      </w:r>
      <w:r w:rsidRPr="7FD6DD84" w:rsidR="330452A2">
        <w:rPr>
          <w:rFonts w:ascii="Arial" w:hAnsi="Arial" w:eastAsia="Arial" w:cs="Arial"/>
          <w:b w:val="0"/>
          <w:bCs w:val="0"/>
          <w:sz w:val="22"/>
          <w:szCs w:val="22"/>
        </w:rPr>
        <w:t xml:space="preserve"> </w:t>
      </w:r>
      <w:r w:rsidRPr="7FD6DD84" w:rsidR="63C0931F">
        <w:rPr>
          <w:rFonts w:ascii="Arial" w:hAnsi="Arial" w:eastAsia="Arial" w:cs="Arial"/>
          <w:b w:val="0"/>
          <w:bCs w:val="0"/>
          <w:sz w:val="22"/>
          <w:szCs w:val="22"/>
        </w:rPr>
        <w:t>care services to residential care homes and community health support. PCC in practice means understanding the person as a whole</w:t>
      </w:r>
      <w:r w:rsidRPr="7FD6DD84" w:rsidR="0B834BAA">
        <w:rPr>
          <w:rFonts w:ascii="Arial" w:hAnsi="Arial" w:eastAsia="Arial" w:cs="Arial"/>
          <w:b w:val="0"/>
          <w:bCs w:val="0"/>
          <w:sz w:val="22"/>
          <w:szCs w:val="22"/>
        </w:rPr>
        <w:t xml:space="preserve"> and </w:t>
      </w:r>
      <w:r w:rsidRPr="7FD6DD84" w:rsidR="63C0931F">
        <w:rPr>
          <w:rFonts w:ascii="Arial" w:hAnsi="Arial" w:eastAsia="Arial" w:cs="Arial"/>
          <w:b w:val="0"/>
          <w:bCs w:val="0"/>
          <w:sz w:val="22"/>
          <w:szCs w:val="22"/>
        </w:rPr>
        <w:t xml:space="preserve">taking into </w:t>
      </w:r>
      <w:r w:rsidRPr="7FD6DD84" w:rsidR="583BD19F">
        <w:rPr>
          <w:rFonts w:ascii="Arial" w:hAnsi="Arial" w:eastAsia="Arial" w:cs="Arial"/>
          <w:b w:val="0"/>
          <w:bCs w:val="0"/>
          <w:sz w:val="22"/>
          <w:szCs w:val="22"/>
        </w:rPr>
        <w:t xml:space="preserve">consideration of </w:t>
      </w:r>
      <w:r w:rsidRPr="7FD6DD84" w:rsidR="63C0931F">
        <w:rPr>
          <w:rFonts w:ascii="Arial" w:hAnsi="Arial" w:eastAsia="Arial" w:cs="Arial"/>
          <w:b w:val="0"/>
          <w:bCs w:val="0"/>
          <w:sz w:val="22"/>
          <w:szCs w:val="22"/>
        </w:rPr>
        <w:t xml:space="preserve">their preferences, cultural background, values, and life history, and building a relationship that supports independence, </w:t>
      </w:r>
      <w:r w:rsidRPr="7FD6DD84" w:rsidR="63C0931F">
        <w:rPr>
          <w:rFonts w:ascii="Arial" w:hAnsi="Arial" w:eastAsia="Arial" w:cs="Arial"/>
          <w:b w:val="0"/>
          <w:bCs w:val="0"/>
          <w:sz w:val="22"/>
          <w:szCs w:val="22"/>
        </w:rPr>
        <w:t>dignity</w:t>
      </w:r>
      <w:r w:rsidRPr="7FD6DD84" w:rsidR="63C0931F">
        <w:rPr>
          <w:rFonts w:ascii="Arial" w:hAnsi="Arial" w:eastAsia="Arial" w:cs="Arial"/>
          <w:b w:val="0"/>
          <w:bCs w:val="0"/>
          <w:sz w:val="22"/>
          <w:szCs w:val="22"/>
        </w:rPr>
        <w:t xml:space="preserve"> and choice (Health Foundation, 2021). The workers are supposed to take time listening, respecting the person's individuality, and taking them along in deciding how they shall be supported. This approach is considered to </w:t>
      </w:r>
      <w:r w:rsidRPr="7FD6DD84" w:rsidR="2F91933B">
        <w:rPr>
          <w:rFonts w:ascii="Arial" w:hAnsi="Arial" w:eastAsia="Arial" w:cs="Arial"/>
          <w:b w:val="0"/>
          <w:bCs w:val="0"/>
          <w:sz w:val="22"/>
          <w:szCs w:val="22"/>
        </w:rPr>
        <w:t>increase</w:t>
      </w:r>
      <w:r w:rsidRPr="7FD6DD84" w:rsidR="2EEBF9D2">
        <w:rPr>
          <w:rFonts w:ascii="Arial" w:hAnsi="Arial" w:eastAsia="Arial" w:cs="Arial"/>
          <w:b w:val="0"/>
          <w:bCs w:val="0"/>
          <w:sz w:val="22"/>
          <w:szCs w:val="22"/>
        </w:rPr>
        <w:t xml:space="preserve"> </w:t>
      </w:r>
      <w:r w:rsidRPr="7FD6DD84" w:rsidR="63C0931F">
        <w:rPr>
          <w:rFonts w:ascii="Arial" w:hAnsi="Arial" w:eastAsia="Arial" w:cs="Arial"/>
          <w:b w:val="0"/>
          <w:bCs w:val="0"/>
          <w:sz w:val="22"/>
          <w:szCs w:val="22"/>
        </w:rPr>
        <w:t>wellbeing</w:t>
      </w:r>
      <w:r w:rsidRPr="7FD6DD84" w:rsidR="63C0931F">
        <w:rPr>
          <w:rFonts w:ascii="Arial" w:hAnsi="Arial" w:eastAsia="Arial" w:cs="Arial"/>
          <w:b w:val="0"/>
          <w:bCs w:val="0"/>
          <w:sz w:val="22"/>
          <w:szCs w:val="22"/>
        </w:rPr>
        <w:t xml:space="preserve">, satisfaction and trust between the staff and the people using services (Ekman et al., 2011). However, PCC strongly depends on good staffing levels, continuity of care, and supportive organisational cultures, which are difficult to </w:t>
      </w:r>
      <w:r w:rsidRPr="7FD6DD84" w:rsidR="63C0931F">
        <w:rPr>
          <w:rFonts w:ascii="Arial" w:hAnsi="Arial" w:eastAsia="Arial" w:cs="Arial"/>
          <w:b w:val="0"/>
          <w:bCs w:val="0"/>
          <w:sz w:val="22"/>
          <w:szCs w:val="22"/>
        </w:rPr>
        <w:t>maintain</w:t>
      </w:r>
      <w:r w:rsidRPr="7FD6DD84" w:rsidR="63C0931F">
        <w:rPr>
          <w:rFonts w:ascii="Arial" w:hAnsi="Arial" w:eastAsia="Arial" w:cs="Arial"/>
          <w:b w:val="0"/>
          <w:bCs w:val="0"/>
          <w:sz w:val="22"/>
          <w:szCs w:val="22"/>
        </w:rPr>
        <w:t xml:space="preserve"> in services that are pressed or under-resourced.</w:t>
      </w:r>
    </w:p>
    <w:p w:rsidR="63C0931F" w:rsidP="7FD6DD84" w:rsidRDefault="63C0931F" w14:paraId="54559EE3" w14:textId="6B3D5520">
      <w:pPr>
        <w:pStyle w:val="Normal"/>
        <w:spacing w:line="360" w:lineRule="auto"/>
        <w:rPr>
          <w:rFonts w:ascii="Arial" w:hAnsi="Arial" w:eastAsia="Arial" w:cs="Arial"/>
          <w:b w:val="0"/>
          <w:bCs w:val="0"/>
          <w:sz w:val="22"/>
          <w:szCs w:val="22"/>
        </w:rPr>
      </w:pPr>
      <w:r w:rsidRPr="7FD6DD84" w:rsidR="63C0931F">
        <w:rPr>
          <w:rFonts w:ascii="Arial" w:hAnsi="Arial" w:eastAsia="Arial" w:cs="Arial"/>
          <w:b w:val="0"/>
          <w:bCs w:val="0"/>
          <w:sz w:val="22"/>
          <w:szCs w:val="22"/>
        </w:rPr>
        <w:t xml:space="preserve">These everyday realities of care work are closely shaped by GCCs. Many countries, including the UK, increasingly rely on migrant care workers to fill staffing gaps, especially in long-term care and </w:t>
      </w:r>
      <w:r w:rsidRPr="7FD6DD84" w:rsidR="63C0931F">
        <w:rPr>
          <w:rFonts w:ascii="Arial" w:hAnsi="Arial" w:eastAsia="Arial" w:cs="Arial"/>
          <w:b w:val="0"/>
          <w:bCs w:val="0"/>
          <w:sz w:val="22"/>
          <w:szCs w:val="22"/>
        </w:rPr>
        <w:t>home-care</w:t>
      </w:r>
      <w:r w:rsidRPr="7FD6DD84" w:rsidR="63C0931F">
        <w:rPr>
          <w:rFonts w:ascii="Arial" w:hAnsi="Arial" w:eastAsia="Arial" w:cs="Arial"/>
          <w:b w:val="0"/>
          <w:bCs w:val="0"/>
          <w:sz w:val="22"/>
          <w:szCs w:val="22"/>
        </w:rPr>
        <w:t xml:space="preserve"> (ILO, 2021). Migrant workers contribute essential skills, cultural sensitivity, and emotional labour that often help PCC to be delivered effectively. For example, many migrant carers develop strong relationships with older people and their families, which supports consistent and personalised care (Hussein, 2022). At the same time, GCCs create challenges that can interfere with the aims of PCC.</w:t>
      </w:r>
    </w:p>
    <w:p w:rsidR="63C0931F" w:rsidP="7FD6DD84" w:rsidRDefault="63C0931F" w14:paraId="27A2508E" w14:textId="1AACF8CE">
      <w:pPr>
        <w:pStyle w:val="Normal"/>
        <w:spacing w:line="360" w:lineRule="auto"/>
        <w:rPr>
          <w:rFonts w:ascii="Arial" w:hAnsi="Arial" w:eastAsia="Arial" w:cs="Arial"/>
          <w:b w:val="0"/>
          <w:bCs w:val="0"/>
          <w:sz w:val="22"/>
          <w:szCs w:val="22"/>
        </w:rPr>
      </w:pPr>
      <w:r w:rsidRPr="7FD6DD84" w:rsidR="63C0931F">
        <w:rPr>
          <w:rFonts w:ascii="Arial" w:hAnsi="Arial" w:eastAsia="Arial" w:cs="Arial"/>
          <w:b w:val="0"/>
          <w:bCs w:val="0"/>
          <w:sz w:val="22"/>
          <w:szCs w:val="22"/>
        </w:rPr>
        <w:t xml:space="preserve">A major concern is continuity. Stable and trusting relationships are central to PCC, but migrant workers may experience insecure contracts, sudden changes in job roles, or limitations linked to visa requirements. The resultant pressures can lead to higher rates of staff turnover, making it more difficult for people receiving care to become familiar with and develop long-term relationships with the people supporting them (Baldwin et al., 2022). The second factor is working conditions. Low wages, long hours, and emotional demands, all </w:t>
      </w:r>
      <w:r w:rsidRPr="7FD6DD84" w:rsidR="63C0931F">
        <w:rPr>
          <w:rFonts w:ascii="Arial" w:hAnsi="Arial" w:eastAsia="Arial" w:cs="Arial"/>
          <w:b w:val="0"/>
          <w:bCs w:val="0"/>
          <w:sz w:val="22"/>
          <w:szCs w:val="22"/>
        </w:rPr>
        <w:t>frequently</w:t>
      </w:r>
      <w:r w:rsidRPr="7FD6DD84" w:rsidR="63C0931F">
        <w:rPr>
          <w:rFonts w:ascii="Arial" w:hAnsi="Arial" w:eastAsia="Arial" w:cs="Arial"/>
          <w:b w:val="0"/>
          <w:bCs w:val="0"/>
          <w:sz w:val="22"/>
          <w:szCs w:val="22"/>
        </w:rPr>
        <w:t xml:space="preserve"> combined with limited job prospects, particularly career advancement and recognition, are basic features reported in studies about working conditions of migrant carers (ILO, 2021). In circumstances like this, carers are less well-placed to provide the emotional presence and patience expected from PCC.</w:t>
      </w:r>
    </w:p>
    <w:p w:rsidR="63C0931F" w:rsidP="7FD6DD84" w:rsidRDefault="63C0931F" w14:paraId="64123AF2" w14:textId="3C9E56D4">
      <w:pPr>
        <w:pStyle w:val="Normal"/>
        <w:spacing w:line="360" w:lineRule="auto"/>
        <w:rPr>
          <w:rFonts w:ascii="Arial" w:hAnsi="Arial" w:eastAsia="Arial" w:cs="Arial"/>
          <w:b w:val="0"/>
          <w:bCs w:val="0"/>
          <w:sz w:val="22"/>
          <w:szCs w:val="22"/>
        </w:rPr>
      </w:pPr>
      <w:r w:rsidRPr="7FD6DD84" w:rsidR="63C0931F">
        <w:rPr>
          <w:rFonts w:ascii="Arial" w:hAnsi="Arial" w:eastAsia="Arial" w:cs="Arial"/>
          <w:b w:val="0"/>
          <w:bCs w:val="0"/>
          <w:sz w:val="22"/>
          <w:szCs w:val="22"/>
        </w:rPr>
        <w:t xml:space="preserve">Cultural and communication differences can also </w:t>
      </w:r>
      <w:r w:rsidRPr="7FD6DD84" w:rsidR="63C0931F">
        <w:rPr>
          <w:rFonts w:ascii="Arial" w:hAnsi="Arial" w:eastAsia="Arial" w:cs="Arial"/>
          <w:b w:val="0"/>
          <w:bCs w:val="0"/>
          <w:sz w:val="22"/>
          <w:szCs w:val="22"/>
        </w:rPr>
        <w:t>impact</w:t>
      </w:r>
      <w:r w:rsidRPr="7FD6DD84" w:rsidR="63C0931F">
        <w:rPr>
          <w:rFonts w:ascii="Arial" w:hAnsi="Arial" w:eastAsia="Arial" w:cs="Arial"/>
          <w:b w:val="0"/>
          <w:bCs w:val="0"/>
          <w:sz w:val="22"/>
          <w:szCs w:val="22"/>
        </w:rPr>
        <w:t xml:space="preserve"> practice. PCC promotes respect for identity and cultural background, but migrant carers may experience some confusion around cultural expectations, subtleties in language or individual preferences. Where proper training and organisational support is lacking, misunderstandings can occur, which could </w:t>
      </w:r>
      <w:r w:rsidRPr="7FD6DD84" w:rsidR="63C0931F">
        <w:rPr>
          <w:rFonts w:ascii="Arial" w:hAnsi="Arial" w:eastAsia="Arial" w:cs="Arial"/>
          <w:b w:val="0"/>
          <w:bCs w:val="0"/>
          <w:sz w:val="22"/>
          <w:szCs w:val="22"/>
        </w:rPr>
        <w:t>impact</w:t>
      </w:r>
      <w:r w:rsidRPr="7FD6DD84" w:rsidR="63C0931F">
        <w:rPr>
          <w:rFonts w:ascii="Arial" w:hAnsi="Arial" w:eastAsia="Arial" w:cs="Arial"/>
          <w:b w:val="0"/>
          <w:bCs w:val="0"/>
          <w:sz w:val="22"/>
          <w:szCs w:val="22"/>
        </w:rPr>
        <w:t xml:space="preserve"> the person’s overall experience of PCC (Baldwin et al., 2022). </w:t>
      </w:r>
      <w:r w:rsidRPr="7FD6DD84" w:rsidR="54507150">
        <w:rPr>
          <w:rFonts w:ascii="Arial" w:hAnsi="Arial" w:eastAsia="Arial" w:cs="Arial"/>
          <w:b w:val="0"/>
          <w:bCs w:val="0"/>
          <w:sz w:val="22"/>
          <w:szCs w:val="22"/>
        </w:rPr>
        <w:t>So</w:t>
      </w:r>
      <w:r w:rsidRPr="7FD6DD84" w:rsidR="54507150">
        <w:rPr>
          <w:rFonts w:ascii="Arial" w:hAnsi="Arial" w:eastAsia="Arial" w:cs="Arial"/>
          <w:b w:val="0"/>
          <w:bCs w:val="0"/>
          <w:sz w:val="22"/>
          <w:szCs w:val="22"/>
        </w:rPr>
        <w:t xml:space="preserve"> </w:t>
      </w:r>
      <w:r w:rsidRPr="7FD6DD84" w:rsidR="63C0931F">
        <w:rPr>
          <w:rFonts w:ascii="Arial" w:hAnsi="Arial" w:eastAsia="Arial" w:cs="Arial"/>
          <w:b w:val="0"/>
          <w:bCs w:val="0"/>
          <w:sz w:val="22"/>
          <w:szCs w:val="22"/>
        </w:rPr>
        <w:t>any migrant workers quickly ad</w:t>
      </w:r>
      <w:r w:rsidRPr="7FD6DD84" w:rsidR="0C0D7969">
        <w:rPr>
          <w:rFonts w:ascii="Arial" w:hAnsi="Arial" w:eastAsia="Arial" w:cs="Arial"/>
          <w:b w:val="0"/>
          <w:bCs w:val="0"/>
          <w:sz w:val="22"/>
          <w:szCs w:val="22"/>
        </w:rPr>
        <w:t>just</w:t>
      </w:r>
      <w:r w:rsidRPr="7FD6DD84" w:rsidR="63C0931F">
        <w:rPr>
          <w:rFonts w:ascii="Arial" w:hAnsi="Arial" w:eastAsia="Arial" w:cs="Arial"/>
          <w:b w:val="0"/>
          <w:bCs w:val="0"/>
          <w:sz w:val="22"/>
          <w:szCs w:val="22"/>
        </w:rPr>
        <w:t xml:space="preserve"> and provide highly valued support, especially when services provide good induction, guidance and cultural c</w:t>
      </w:r>
      <w:r w:rsidRPr="7FD6DD84" w:rsidR="488256AC">
        <w:rPr>
          <w:rFonts w:ascii="Arial" w:hAnsi="Arial" w:eastAsia="Arial" w:cs="Arial"/>
          <w:b w:val="0"/>
          <w:bCs w:val="0"/>
          <w:sz w:val="22"/>
          <w:szCs w:val="22"/>
        </w:rPr>
        <w:t>apable</w:t>
      </w:r>
      <w:r w:rsidRPr="7FD6DD84" w:rsidR="63C0931F">
        <w:rPr>
          <w:rFonts w:ascii="Arial" w:hAnsi="Arial" w:eastAsia="Arial" w:cs="Arial"/>
          <w:b w:val="0"/>
          <w:bCs w:val="0"/>
          <w:sz w:val="22"/>
          <w:szCs w:val="22"/>
        </w:rPr>
        <w:t xml:space="preserve"> training Policy gaps also </w:t>
      </w:r>
      <w:r w:rsidRPr="7FD6DD84" w:rsidR="63C0931F">
        <w:rPr>
          <w:rFonts w:ascii="Arial" w:hAnsi="Arial" w:eastAsia="Arial" w:cs="Arial"/>
          <w:b w:val="0"/>
          <w:bCs w:val="0"/>
          <w:sz w:val="22"/>
          <w:szCs w:val="22"/>
        </w:rPr>
        <w:t>impact</w:t>
      </w:r>
      <w:r w:rsidRPr="7FD6DD84" w:rsidR="63C0931F">
        <w:rPr>
          <w:rFonts w:ascii="Arial" w:hAnsi="Arial" w:eastAsia="Arial" w:cs="Arial"/>
          <w:b w:val="0"/>
          <w:bCs w:val="0"/>
          <w:sz w:val="22"/>
          <w:szCs w:val="22"/>
        </w:rPr>
        <w:t xml:space="preserve"> how PCC works in GCCs. For example, although PCC is </w:t>
      </w:r>
      <w:r w:rsidRPr="7FD6DD84" w:rsidR="4E8F964A">
        <w:rPr>
          <w:rFonts w:ascii="Arial" w:hAnsi="Arial" w:eastAsia="Arial" w:cs="Arial"/>
          <w:b w:val="0"/>
          <w:bCs w:val="0"/>
          <w:sz w:val="22"/>
          <w:szCs w:val="22"/>
        </w:rPr>
        <w:t>supported</w:t>
      </w:r>
      <w:r w:rsidRPr="7FD6DD84" w:rsidR="63C0931F">
        <w:rPr>
          <w:rFonts w:ascii="Arial" w:hAnsi="Arial" w:eastAsia="Arial" w:cs="Arial"/>
          <w:b w:val="0"/>
          <w:bCs w:val="0"/>
          <w:sz w:val="22"/>
          <w:szCs w:val="22"/>
        </w:rPr>
        <w:t xml:space="preserve"> in national and local policy, migration policy, labour rules</w:t>
      </w:r>
      <w:r w:rsidRPr="7FD6DD84" w:rsidR="3C0CDFF5">
        <w:rPr>
          <w:rFonts w:ascii="Arial" w:hAnsi="Arial" w:eastAsia="Arial" w:cs="Arial"/>
          <w:b w:val="0"/>
          <w:bCs w:val="0"/>
          <w:sz w:val="22"/>
          <w:szCs w:val="22"/>
        </w:rPr>
        <w:t xml:space="preserve"> </w:t>
      </w:r>
      <w:r w:rsidRPr="7FD6DD84" w:rsidR="63C0931F">
        <w:rPr>
          <w:rFonts w:ascii="Arial" w:hAnsi="Arial" w:eastAsia="Arial" w:cs="Arial"/>
          <w:b w:val="0"/>
          <w:bCs w:val="0"/>
          <w:sz w:val="22"/>
          <w:szCs w:val="22"/>
        </w:rPr>
        <w:t xml:space="preserve">and international recruitment systems are often at variance with its values. Such things as visa systems limit job mobility for migrant workers, thus exposing them to potential exploitation, and regulation can be fragmented enough to leave workers without protection (WHO, 2023). These structural issues </w:t>
      </w:r>
      <w:r w:rsidRPr="7FD6DD84" w:rsidR="63C0931F">
        <w:rPr>
          <w:rFonts w:ascii="Arial" w:hAnsi="Arial" w:eastAsia="Arial" w:cs="Arial"/>
          <w:b w:val="0"/>
          <w:bCs w:val="0"/>
          <w:sz w:val="22"/>
          <w:szCs w:val="22"/>
        </w:rPr>
        <w:t>impact</w:t>
      </w:r>
      <w:r w:rsidRPr="7FD6DD84" w:rsidR="63C0931F">
        <w:rPr>
          <w:rFonts w:ascii="Arial" w:hAnsi="Arial" w:eastAsia="Arial" w:cs="Arial"/>
          <w:b w:val="0"/>
          <w:bCs w:val="0"/>
          <w:sz w:val="22"/>
          <w:szCs w:val="22"/>
        </w:rPr>
        <w:t xml:space="preserve"> the quality and consistency of PCC. Overall, although PCC </w:t>
      </w:r>
      <w:r w:rsidRPr="7FD6DD84" w:rsidR="63C0931F">
        <w:rPr>
          <w:rFonts w:ascii="Arial" w:hAnsi="Arial" w:eastAsia="Arial" w:cs="Arial"/>
          <w:b w:val="0"/>
          <w:bCs w:val="0"/>
          <w:sz w:val="22"/>
          <w:szCs w:val="22"/>
        </w:rPr>
        <w:t>remains</w:t>
      </w:r>
      <w:r w:rsidRPr="7FD6DD84" w:rsidR="63C0931F">
        <w:rPr>
          <w:rFonts w:ascii="Arial" w:hAnsi="Arial" w:eastAsia="Arial" w:cs="Arial"/>
          <w:b w:val="0"/>
          <w:bCs w:val="0"/>
          <w:sz w:val="22"/>
          <w:szCs w:val="22"/>
        </w:rPr>
        <w:t xml:space="preserve"> a strong guiding principle, its implementation is deeply influenced by the realities of globalised care work.</w:t>
      </w:r>
    </w:p>
    <w:p w:rsidR="122CAACC" w:rsidP="122CAACC" w:rsidRDefault="122CAACC" w14:paraId="78DB578C" w14:textId="4DCB6C05">
      <w:pPr>
        <w:pStyle w:val="Normal"/>
        <w:rPr>
          <w:b w:val="1"/>
          <w:bCs w:val="1"/>
          <w:sz w:val="22"/>
          <w:szCs w:val="22"/>
        </w:rPr>
      </w:pPr>
    </w:p>
    <w:p w:rsidR="58FF1C41" w:rsidP="122CAACC" w:rsidRDefault="67E20234" w14:paraId="5B50FF29" w14:textId="3B0D1C91">
      <w:pPr>
        <w:rPr>
          <w:b w:val="1"/>
          <w:bCs w:val="1"/>
          <w:sz w:val="24"/>
          <w:szCs w:val="24"/>
        </w:rPr>
      </w:pPr>
      <w:r w:rsidRPr="122CAACC" w:rsidR="67E20234">
        <w:rPr>
          <w:rFonts w:ascii="Arial" w:hAnsi="Arial" w:eastAsia="Arial" w:cs="Arial"/>
          <w:b w:val="1"/>
          <w:bCs w:val="1"/>
          <w:sz w:val="24"/>
          <w:szCs w:val="24"/>
        </w:rPr>
        <w:t>4.</w:t>
      </w:r>
      <w:r w:rsidRPr="122CAACC" w:rsidR="58FF1C41">
        <w:rPr>
          <w:rFonts w:ascii="Arial" w:hAnsi="Arial" w:eastAsia="Arial" w:cs="Arial"/>
          <w:b w:val="1"/>
          <w:bCs w:val="1"/>
          <w:sz w:val="24"/>
          <w:szCs w:val="24"/>
        </w:rPr>
        <w:t>Recommendations for Policy and Practice</w:t>
      </w:r>
    </w:p>
    <w:p w:rsidR="6CB9062E" w:rsidP="7FD6DD84" w:rsidRDefault="6CB9062E" w14:paraId="17AE17BA" w14:textId="5195A393">
      <w:pPr>
        <w:pStyle w:val="Normal"/>
        <w:suppressLineNumbers w:val="0"/>
        <w:bidi w:val="0"/>
        <w:spacing w:before="0" w:beforeAutospacing="off" w:after="160" w:afterAutospacing="off" w:line="360" w:lineRule="auto"/>
        <w:ind w:left="0" w:right="0"/>
        <w:jc w:val="left"/>
        <w:rPr>
          <w:rFonts w:ascii="Arial" w:hAnsi="Arial" w:eastAsia="Arial" w:cs="Arial"/>
          <w:b w:val="0"/>
          <w:bCs w:val="0"/>
          <w:sz w:val="22"/>
          <w:szCs w:val="22"/>
        </w:rPr>
      </w:pPr>
      <w:r w:rsidRPr="7FD6DD84" w:rsidR="1E466A5F">
        <w:rPr>
          <w:rFonts w:ascii="Arial" w:hAnsi="Arial" w:eastAsia="Arial" w:cs="Arial"/>
          <w:b w:val="0"/>
          <w:bCs w:val="0"/>
          <w:sz w:val="22"/>
          <w:szCs w:val="22"/>
        </w:rPr>
        <w:t>To</w:t>
      </w:r>
      <w:r w:rsidRPr="7FD6DD84" w:rsidR="6E6918B8">
        <w:rPr>
          <w:rFonts w:ascii="Arial" w:hAnsi="Arial" w:eastAsia="Arial" w:cs="Arial"/>
          <w:b w:val="0"/>
          <w:bCs w:val="0"/>
          <w:sz w:val="22"/>
          <w:szCs w:val="22"/>
        </w:rPr>
        <w:t xml:space="preserve"> build up</w:t>
      </w:r>
      <w:r w:rsidRPr="7FD6DD84" w:rsidR="1E466A5F">
        <w:rPr>
          <w:rFonts w:ascii="Arial" w:hAnsi="Arial" w:eastAsia="Arial" w:cs="Arial"/>
          <w:b w:val="0"/>
          <w:bCs w:val="0"/>
          <w:sz w:val="22"/>
          <w:szCs w:val="22"/>
        </w:rPr>
        <w:t xml:space="preserve"> </w:t>
      </w:r>
      <w:r w:rsidRPr="7FD6DD84" w:rsidR="5C095223">
        <w:rPr>
          <w:rFonts w:ascii="Arial" w:hAnsi="Arial" w:eastAsia="Arial" w:cs="Arial"/>
          <w:b w:val="0"/>
          <w:bCs w:val="0"/>
          <w:sz w:val="22"/>
          <w:szCs w:val="22"/>
        </w:rPr>
        <w:t xml:space="preserve">a </w:t>
      </w:r>
      <w:r w:rsidRPr="7FD6DD84" w:rsidR="1E466A5F">
        <w:rPr>
          <w:rFonts w:ascii="Arial" w:hAnsi="Arial" w:eastAsia="Arial" w:cs="Arial"/>
          <w:b w:val="0"/>
          <w:bCs w:val="0"/>
          <w:sz w:val="22"/>
          <w:szCs w:val="22"/>
        </w:rPr>
        <w:t xml:space="preserve">person-centredness in a system shaped by global care chains, action must be taken at both policy and </w:t>
      </w:r>
      <w:r w:rsidRPr="7FD6DD84" w:rsidR="55F2CE67">
        <w:rPr>
          <w:rFonts w:ascii="Arial" w:hAnsi="Arial" w:eastAsia="Arial" w:cs="Arial"/>
          <w:b w:val="0"/>
          <w:bCs w:val="0"/>
          <w:sz w:val="22"/>
          <w:szCs w:val="22"/>
        </w:rPr>
        <w:t>o</w:t>
      </w:r>
      <w:r w:rsidRPr="7FD6DD84" w:rsidR="1E466A5F">
        <w:rPr>
          <w:rFonts w:ascii="Arial" w:hAnsi="Arial" w:eastAsia="Arial" w:cs="Arial"/>
          <w:b w:val="0"/>
          <w:bCs w:val="0"/>
          <w:sz w:val="22"/>
          <w:szCs w:val="22"/>
        </w:rPr>
        <w:t xml:space="preserve">rganisational levels. The following recommendations </w:t>
      </w:r>
      <w:r w:rsidRPr="7FD6DD84" w:rsidR="48AEFD6B">
        <w:rPr>
          <w:rFonts w:ascii="Arial" w:hAnsi="Arial" w:eastAsia="Arial" w:cs="Arial"/>
          <w:b w:val="0"/>
          <w:bCs w:val="0"/>
          <w:sz w:val="22"/>
          <w:szCs w:val="22"/>
        </w:rPr>
        <w:t>holds</w:t>
      </w:r>
      <w:r w:rsidRPr="7FD6DD84" w:rsidR="1E466A5F">
        <w:rPr>
          <w:rFonts w:ascii="Arial" w:hAnsi="Arial" w:eastAsia="Arial" w:cs="Arial"/>
          <w:b w:val="0"/>
          <w:bCs w:val="0"/>
          <w:sz w:val="22"/>
          <w:szCs w:val="22"/>
        </w:rPr>
        <w:t xml:space="preserve"> </w:t>
      </w:r>
      <w:r w:rsidRPr="7FD6DD84" w:rsidR="1E466A5F">
        <w:rPr>
          <w:rFonts w:ascii="Arial" w:hAnsi="Arial" w:eastAsia="Arial" w:cs="Arial"/>
          <w:b w:val="0"/>
          <w:bCs w:val="0"/>
          <w:sz w:val="22"/>
          <w:szCs w:val="22"/>
        </w:rPr>
        <w:t>a limited use with clarity of ideas.</w:t>
      </w:r>
    </w:p>
    <w:p w:rsidR="792EE6F0" w:rsidP="7FD6DD84" w:rsidRDefault="792EE6F0" w14:paraId="0DCD4A0B" w14:textId="7D1E8EB1">
      <w:pPr>
        <w:pStyle w:val="Normal"/>
        <w:spacing w:line="360" w:lineRule="auto"/>
        <w:rPr>
          <w:rFonts w:ascii="Arial" w:hAnsi="Arial" w:eastAsia="Arial" w:cs="Arial"/>
          <w:b w:val="0"/>
          <w:bCs w:val="0"/>
          <w:sz w:val="22"/>
          <w:szCs w:val="22"/>
        </w:rPr>
      </w:pPr>
      <w:r w:rsidRPr="3E714FCE" w:rsidR="792EE6F0">
        <w:rPr>
          <w:rFonts w:ascii="Arial" w:hAnsi="Arial" w:eastAsia="Arial" w:cs="Arial"/>
          <w:b w:val="0"/>
          <w:bCs w:val="0"/>
          <w:sz w:val="22"/>
          <w:szCs w:val="22"/>
        </w:rPr>
        <w:t>First, fair working conditions and better protection for migrant carers are needed</w:t>
      </w:r>
      <w:r w:rsidRPr="3E714FCE" w:rsidR="5815938E">
        <w:rPr>
          <w:rFonts w:ascii="Arial" w:hAnsi="Arial" w:eastAsia="Arial" w:cs="Arial"/>
          <w:b w:val="0"/>
          <w:bCs w:val="0"/>
          <w:sz w:val="22"/>
          <w:szCs w:val="22"/>
        </w:rPr>
        <w:t>.</w:t>
      </w:r>
      <w:r w:rsidRPr="3E714FCE" w:rsidR="792EE6F0">
        <w:rPr>
          <w:rFonts w:ascii="Arial" w:hAnsi="Arial" w:eastAsia="Arial" w:cs="Arial"/>
          <w:b w:val="0"/>
          <w:bCs w:val="0"/>
          <w:sz w:val="22"/>
          <w:szCs w:val="22"/>
        </w:rPr>
        <w:t xml:space="preserve"> person-centred care requires carers who are respected, safe and valued in their jobs. Policy frameworks with measures including decent pay, regulated hours, safe staffing and freedom from unfair recruitment practices may help to improve the wellbeing of migrant workers and foster more stable, personal relationships with the people for whom they care.</w:t>
      </w:r>
      <w:r w:rsidRPr="3E714FCE" w:rsidR="49CA2AFF">
        <w:rPr>
          <w:rFonts w:ascii="Arial" w:hAnsi="Arial" w:eastAsia="Arial" w:cs="Arial"/>
          <w:b w:val="0"/>
          <w:bCs w:val="0"/>
          <w:sz w:val="22"/>
          <w:szCs w:val="22"/>
        </w:rPr>
        <w:t xml:space="preserve"> </w:t>
      </w:r>
    </w:p>
    <w:p w:rsidR="6CB9062E" w:rsidP="7FD6DD84" w:rsidRDefault="6CB9062E" w14:paraId="56938949" w14:textId="1899E3FE">
      <w:pPr>
        <w:pStyle w:val="Normal"/>
        <w:spacing w:line="360" w:lineRule="auto"/>
        <w:rPr>
          <w:rFonts w:ascii="Arial" w:hAnsi="Arial" w:eastAsia="Arial" w:cs="Arial"/>
          <w:b w:val="0"/>
          <w:bCs w:val="0"/>
          <w:sz w:val="22"/>
          <w:szCs w:val="22"/>
        </w:rPr>
      </w:pPr>
      <w:r w:rsidRPr="3E714FCE" w:rsidR="1E466A5F">
        <w:rPr>
          <w:rFonts w:ascii="Arial" w:hAnsi="Arial" w:eastAsia="Arial" w:cs="Arial"/>
          <w:b w:val="0"/>
          <w:bCs w:val="0"/>
          <w:sz w:val="22"/>
          <w:szCs w:val="22"/>
        </w:rPr>
        <w:t xml:space="preserve">Second, organisations should invest in stronger training and support. This includes language support, cultural competence </w:t>
      </w:r>
      <w:r w:rsidRPr="3E714FCE" w:rsidR="1E466A5F">
        <w:rPr>
          <w:rFonts w:ascii="Arial" w:hAnsi="Arial" w:eastAsia="Arial" w:cs="Arial"/>
          <w:b w:val="0"/>
          <w:bCs w:val="0"/>
          <w:sz w:val="22"/>
          <w:szCs w:val="22"/>
        </w:rPr>
        <w:t>training</w:t>
      </w:r>
      <w:r w:rsidRPr="3E714FCE" w:rsidR="1E466A5F">
        <w:rPr>
          <w:rFonts w:ascii="Arial" w:hAnsi="Arial" w:eastAsia="Arial" w:cs="Arial"/>
          <w:b w:val="0"/>
          <w:bCs w:val="0"/>
          <w:sz w:val="22"/>
          <w:szCs w:val="22"/>
        </w:rPr>
        <w:t xml:space="preserve"> and practical guidance on person-centred approaches. Where migrant carers receive good</w:t>
      </w:r>
      <w:r w:rsidRPr="3E714FCE" w:rsidR="7E10814C">
        <w:rPr>
          <w:rFonts w:ascii="Arial" w:hAnsi="Arial" w:eastAsia="Arial" w:cs="Arial"/>
          <w:b w:val="0"/>
          <w:bCs w:val="0"/>
          <w:sz w:val="22"/>
          <w:szCs w:val="22"/>
        </w:rPr>
        <w:t xml:space="preserve"> </w:t>
      </w:r>
      <w:r w:rsidRPr="3E714FCE" w:rsidR="1E466A5F">
        <w:rPr>
          <w:rFonts w:ascii="Arial" w:hAnsi="Arial" w:eastAsia="Arial" w:cs="Arial"/>
          <w:b w:val="0"/>
          <w:bCs w:val="0"/>
          <w:sz w:val="22"/>
          <w:szCs w:val="22"/>
        </w:rPr>
        <w:t>quality induction and supervision, they feel more confident and can deliver consistent PCC (Baldwin et al., 2022). Such training would also make the teams better understand both the cultural backgrounds of carers and people receiving care and foster mutual respect.</w:t>
      </w:r>
    </w:p>
    <w:p w:rsidR="6CB9062E" w:rsidP="7FD6DD84" w:rsidRDefault="6CB9062E" w14:paraId="37B57AEA" w14:textId="5D45D494">
      <w:pPr>
        <w:pStyle w:val="Normal"/>
        <w:spacing w:line="360" w:lineRule="auto"/>
        <w:rPr>
          <w:rFonts w:ascii="Arial" w:hAnsi="Arial" w:eastAsia="Arial" w:cs="Arial"/>
          <w:b w:val="0"/>
          <w:bCs w:val="0"/>
          <w:sz w:val="22"/>
          <w:szCs w:val="22"/>
        </w:rPr>
      </w:pPr>
      <w:r w:rsidRPr="7FD6DD84" w:rsidR="1E466A5F">
        <w:rPr>
          <w:rFonts w:ascii="Arial" w:hAnsi="Arial" w:eastAsia="Arial" w:cs="Arial"/>
          <w:b w:val="0"/>
          <w:bCs w:val="0"/>
          <w:sz w:val="22"/>
          <w:szCs w:val="22"/>
        </w:rPr>
        <w:t xml:space="preserve">Thirdly, continuity needs to be foregrounded. Stable staffing builds relationships, allows the development of an understanding of personal routines and provides care that truly reflects what matters to the individual (NHS England, 2023). Providing longer-term contracts, using ethical recruitment </w:t>
      </w:r>
      <w:r w:rsidRPr="7FD6DD84" w:rsidR="1E466A5F">
        <w:rPr>
          <w:rFonts w:ascii="Arial" w:hAnsi="Arial" w:eastAsia="Arial" w:cs="Arial"/>
          <w:b w:val="0"/>
          <w:bCs w:val="0"/>
          <w:sz w:val="22"/>
          <w:szCs w:val="22"/>
        </w:rPr>
        <w:t>approaches</w:t>
      </w:r>
      <w:r w:rsidRPr="7FD6DD84" w:rsidR="1E466A5F">
        <w:rPr>
          <w:rFonts w:ascii="Arial" w:hAnsi="Arial" w:eastAsia="Arial" w:cs="Arial"/>
          <w:b w:val="0"/>
          <w:bCs w:val="0"/>
          <w:sz w:val="22"/>
          <w:szCs w:val="22"/>
        </w:rPr>
        <w:t xml:space="preserve"> and offering clear career pathways to migrant care workers supports the provision of care by well-known staff in a way that will support choice over time.</w:t>
      </w:r>
    </w:p>
    <w:p w:rsidR="6CB9062E" w:rsidP="7FD6DD84" w:rsidRDefault="6CB9062E" w14:paraId="089E0CAD" w14:textId="02F9061E">
      <w:pPr>
        <w:pStyle w:val="Normal"/>
        <w:spacing w:line="360" w:lineRule="auto"/>
        <w:rPr>
          <w:rFonts w:ascii="Arial" w:hAnsi="Arial" w:eastAsia="Arial" w:cs="Arial"/>
          <w:b w:val="0"/>
          <w:bCs w:val="0"/>
          <w:sz w:val="22"/>
          <w:szCs w:val="22"/>
        </w:rPr>
      </w:pPr>
      <w:r w:rsidRPr="3E714FCE" w:rsidR="1E466A5F">
        <w:rPr>
          <w:rFonts w:ascii="Arial" w:hAnsi="Arial" w:eastAsia="Arial" w:cs="Arial"/>
          <w:b w:val="0"/>
          <w:bCs w:val="0"/>
          <w:sz w:val="22"/>
          <w:szCs w:val="22"/>
        </w:rPr>
        <w:t xml:space="preserve">Fourth, ethical and coordinated international recruitment policies are needed. The agreements between sending and receiving countries may help the protection of migrant workers' rights and </w:t>
      </w:r>
      <w:r w:rsidRPr="3E714FCE" w:rsidR="05F51747">
        <w:rPr>
          <w:rFonts w:ascii="Arial" w:hAnsi="Arial" w:eastAsia="Arial" w:cs="Arial"/>
          <w:b w:val="0"/>
          <w:bCs w:val="0"/>
          <w:sz w:val="22"/>
          <w:szCs w:val="22"/>
        </w:rPr>
        <w:t>ease</w:t>
      </w:r>
      <w:r w:rsidRPr="3E714FCE" w:rsidR="1E466A5F">
        <w:rPr>
          <w:rFonts w:ascii="Arial" w:hAnsi="Arial" w:eastAsia="Arial" w:cs="Arial"/>
          <w:b w:val="0"/>
          <w:bCs w:val="0"/>
          <w:sz w:val="22"/>
          <w:szCs w:val="22"/>
        </w:rPr>
        <w:t xml:space="preserve"> </w:t>
      </w:r>
      <w:r w:rsidRPr="3E714FCE" w:rsidR="21460A8E">
        <w:rPr>
          <w:rFonts w:ascii="Arial" w:hAnsi="Arial" w:eastAsia="Arial" w:cs="Arial"/>
          <w:b w:val="0"/>
          <w:bCs w:val="0"/>
          <w:sz w:val="22"/>
          <w:szCs w:val="22"/>
        </w:rPr>
        <w:t>disadvantageous</w:t>
      </w:r>
      <w:r w:rsidRPr="3E714FCE" w:rsidR="1E466A5F">
        <w:rPr>
          <w:rFonts w:ascii="Arial" w:hAnsi="Arial" w:eastAsia="Arial" w:cs="Arial"/>
          <w:b w:val="0"/>
          <w:bCs w:val="0"/>
          <w:sz w:val="22"/>
          <w:szCs w:val="22"/>
        </w:rPr>
        <w:t xml:space="preserve"> impacts on health systems of countries of origin. Hence, fairness is promoted as well as making the care systems more sustainable.</w:t>
      </w:r>
    </w:p>
    <w:p w:rsidR="6CB9062E" w:rsidP="7FD6DD84" w:rsidRDefault="6CB9062E" w14:paraId="1F5B7D0E" w14:textId="61450528">
      <w:pPr>
        <w:pStyle w:val="Normal"/>
        <w:spacing w:line="360" w:lineRule="auto"/>
        <w:rPr>
          <w:rFonts w:ascii="Arial" w:hAnsi="Arial" w:eastAsia="Arial" w:cs="Arial"/>
          <w:b w:val="0"/>
          <w:bCs w:val="0"/>
          <w:sz w:val="22"/>
          <w:szCs w:val="22"/>
        </w:rPr>
      </w:pPr>
      <w:r w:rsidRPr="3E714FCE" w:rsidR="1E466A5F">
        <w:rPr>
          <w:rFonts w:ascii="Arial" w:hAnsi="Arial" w:eastAsia="Arial" w:cs="Arial"/>
          <w:b w:val="0"/>
          <w:bCs w:val="0"/>
          <w:sz w:val="22"/>
          <w:szCs w:val="22"/>
        </w:rPr>
        <w:t xml:space="preserve">Finally, valuing care work is paramount. Public recognition, decent wages and better working conditions for all </w:t>
      </w:r>
      <w:r w:rsidRPr="3E714FCE" w:rsidR="264B410B">
        <w:rPr>
          <w:rFonts w:ascii="Arial" w:hAnsi="Arial" w:eastAsia="Arial" w:cs="Arial"/>
          <w:b w:val="0"/>
          <w:bCs w:val="0"/>
          <w:sz w:val="22"/>
          <w:szCs w:val="22"/>
        </w:rPr>
        <w:t>carers, especially</w:t>
      </w:r>
      <w:r w:rsidRPr="3E714FCE" w:rsidR="1E466A5F">
        <w:rPr>
          <w:rFonts w:ascii="Arial" w:hAnsi="Arial" w:eastAsia="Arial" w:cs="Arial"/>
          <w:b w:val="0"/>
          <w:bCs w:val="0"/>
          <w:sz w:val="22"/>
          <w:szCs w:val="22"/>
        </w:rPr>
        <w:t xml:space="preserve"> migrant workers in underappreciated jobs</w:t>
      </w:r>
      <w:r w:rsidRPr="3E714FCE" w:rsidR="60F00C20">
        <w:rPr>
          <w:rFonts w:ascii="Arial" w:hAnsi="Arial" w:eastAsia="Arial" w:cs="Arial"/>
          <w:b w:val="0"/>
          <w:bCs w:val="0"/>
          <w:sz w:val="22"/>
          <w:szCs w:val="22"/>
        </w:rPr>
        <w:t xml:space="preserve"> </w:t>
      </w:r>
      <w:r w:rsidRPr="3E714FCE" w:rsidR="1E466A5F">
        <w:rPr>
          <w:rFonts w:ascii="Arial" w:hAnsi="Arial" w:eastAsia="Arial" w:cs="Arial"/>
          <w:b w:val="0"/>
          <w:bCs w:val="0"/>
          <w:sz w:val="22"/>
          <w:szCs w:val="22"/>
        </w:rPr>
        <w:t>support the professionalization of social care, which goes hand in hand with circumstances that make PCC more possible in practice because carers have the time, stability and confidence to focus on the needs and preferences of the people they support.</w:t>
      </w:r>
    </w:p>
    <w:p w:rsidR="122CAACC" w:rsidP="7FD6DD84" w:rsidRDefault="122CAACC" w14:paraId="6AFE4F92" w14:textId="2F44DAFE">
      <w:pPr>
        <w:pStyle w:val="Normal"/>
        <w:rPr>
          <w:b w:val="1"/>
          <w:bCs w:val="1"/>
          <w:sz w:val="22"/>
          <w:szCs w:val="22"/>
        </w:rPr>
      </w:pPr>
    </w:p>
    <w:p w:rsidR="67CFA987" w:rsidP="122CAACC" w:rsidRDefault="67CFA987" w14:paraId="04594AE0" w14:textId="7933CBAA">
      <w:pPr>
        <w:rPr>
          <w:b w:val="1"/>
          <w:bCs w:val="1"/>
          <w:sz w:val="22"/>
          <w:szCs w:val="22"/>
        </w:rPr>
      </w:pPr>
      <w:r w:rsidRPr="122CAACC" w:rsidR="67CFA987">
        <w:rPr>
          <w:b w:val="1"/>
          <w:bCs w:val="1"/>
          <w:sz w:val="22"/>
          <w:szCs w:val="22"/>
        </w:rPr>
        <w:t>Conclusion</w:t>
      </w:r>
    </w:p>
    <w:p w:rsidR="67CFA987" w:rsidP="7FD6DD84" w:rsidRDefault="67CFA987" w14:paraId="0D524790" w14:textId="47A6519B">
      <w:pPr>
        <w:spacing w:line="360" w:lineRule="auto"/>
        <w:rPr>
          <w:rFonts w:ascii="Arial" w:hAnsi="Arial" w:eastAsia="Arial" w:cs="Arial"/>
          <w:sz w:val="22"/>
          <w:szCs w:val="22"/>
        </w:rPr>
      </w:pPr>
      <w:r w:rsidRPr="7FD6DD84" w:rsidR="67CFA987">
        <w:rPr>
          <w:rFonts w:ascii="Arial" w:hAnsi="Arial" w:eastAsia="Arial" w:cs="Arial"/>
          <w:sz w:val="22"/>
          <w:szCs w:val="22"/>
        </w:rPr>
        <w:t xml:space="preserve">Person-centred care </w:t>
      </w:r>
      <w:r w:rsidRPr="7FD6DD84" w:rsidR="67CFA987">
        <w:rPr>
          <w:rFonts w:ascii="Arial" w:hAnsi="Arial" w:eastAsia="Arial" w:cs="Arial"/>
          <w:sz w:val="22"/>
          <w:szCs w:val="22"/>
        </w:rPr>
        <w:t>seeks</w:t>
      </w:r>
      <w:r w:rsidRPr="7FD6DD84" w:rsidR="67CFA987">
        <w:rPr>
          <w:rFonts w:ascii="Arial" w:hAnsi="Arial" w:eastAsia="Arial" w:cs="Arial"/>
          <w:sz w:val="22"/>
          <w:szCs w:val="22"/>
        </w:rPr>
        <w:t xml:space="preserve"> to deliver support which respects individuality, </w:t>
      </w:r>
      <w:r w:rsidRPr="7FD6DD84" w:rsidR="67CFA987">
        <w:rPr>
          <w:rFonts w:ascii="Arial" w:hAnsi="Arial" w:eastAsia="Arial" w:cs="Arial"/>
          <w:sz w:val="22"/>
          <w:szCs w:val="22"/>
        </w:rPr>
        <w:t>dignity</w:t>
      </w:r>
      <w:r w:rsidRPr="7FD6DD84" w:rsidR="67CFA987">
        <w:rPr>
          <w:rFonts w:ascii="Arial" w:hAnsi="Arial" w:eastAsia="Arial" w:cs="Arial"/>
          <w:sz w:val="22"/>
          <w:szCs w:val="22"/>
        </w:rPr>
        <w:t xml:space="preserve"> and personal choice. Global care chains reveal how care systems depend upon international labour flows shaped by global inequalities. When combined, these two perspectives make it clear that PCC depends not only on good interpersonal practice but also on fair structural conditions.</w:t>
      </w:r>
    </w:p>
    <w:p w:rsidR="67CFA987" w:rsidP="7FD6DD84" w:rsidRDefault="67CFA987" w14:paraId="2FB50D86" w14:textId="19805237">
      <w:pPr>
        <w:spacing w:line="360" w:lineRule="auto"/>
        <w:rPr>
          <w:rFonts w:ascii="Arial" w:hAnsi="Arial" w:eastAsia="Arial" w:cs="Arial"/>
          <w:sz w:val="22"/>
          <w:szCs w:val="22"/>
        </w:rPr>
      </w:pPr>
      <w:r w:rsidRPr="7FD6DD84" w:rsidR="67CFA987">
        <w:rPr>
          <w:rFonts w:ascii="Arial" w:hAnsi="Arial" w:eastAsia="Arial" w:cs="Arial"/>
          <w:sz w:val="22"/>
          <w:szCs w:val="22"/>
        </w:rPr>
        <w:t xml:space="preserve">While migrant care workers play an essential role in delivering PCC, their working conditions are often insecure and demanding. These challenges </w:t>
      </w:r>
      <w:r w:rsidRPr="7FD6DD84" w:rsidR="67CFA987">
        <w:rPr>
          <w:rFonts w:ascii="Arial" w:hAnsi="Arial" w:eastAsia="Arial" w:cs="Arial"/>
          <w:sz w:val="22"/>
          <w:szCs w:val="22"/>
        </w:rPr>
        <w:t>impact</w:t>
      </w:r>
      <w:r w:rsidRPr="7FD6DD84" w:rsidR="67CFA987">
        <w:rPr>
          <w:rFonts w:ascii="Arial" w:hAnsi="Arial" w:eastAsia="Arial" w:cs="Arial"/>
          <w:sz w:val="22"/>
          <w:szCs w:val="22"/>
        </w:rPr>
        <w:t xml:space="preserve"> the stability and quality of care. But PCC and GCCs do not necessarily have to conflict. Fair labour standards, better training, ethical recruitment, and strong organisational commitment can provide the grounds for successful PCC even within globalised care systems. Ensuring dignity for both care recipients and carers holds the real key to genuine person-centred care in a world where care crosses borders.</w:t>
      </w:r>
    </w:p>
    <w:p w:rsidR="1E8ABB7D" w:rsidP="122CAACC" w:rsidRDefault="1E8ABB7D" w14:paraId="43AB34D3" w14:textId="46608845">
      <w:pPr>
        <w:rPr>
          <w:sz w:val="22"/>
          <w:szCs w:val="22"/>
        </w:rPr>
      </w:pPr>
    </w:p>
    <w:p w:rsidR="1E8ABB7D" w:rsidP="122CAACC" w:rsidRDefault="1E8ABB7D" w14:paraId="459E6698" w14:textId="1599BD09">
      <w:pPr>
        <w:rPr>
          <w:sz w:val="22"/>
          <w:szCs w:val="22"/>
        </w:rPr>
      </w:pPr>
      <w:r w:rsidRPr="122CAACC">
        <w:rPr>
          <w:sz w:val="22"/>
          <w:szCs w:val="22"/>
        </w:rPr>
        <w:br w:type="page"/>
      </w:r>
    </w:p>
    <w:p w:rsidR="3213DD5B" w:rsidP="122CAACC" w:rsidRDefault="3213DD5B" w14:paraId="3AC9EDD5" w14:textId="2ED5EE79">
      <w:pPr>
        <w:rPr>
          <w:b w:val="1"/>
          <w:bCs w:val="1"/>
          <w:sz w:val="22"/>
          <w:szCs w:val="22"/>
        </w:rPr>
      </w:pPr>
      <w:r w:rsidRPr="122CAACC" w:rsidR="3213DD5B">
        <w:rPr>
          <w:b w:val="1"/>
          <w:bCs w:val="1"/>
          <w:sz w:val="22"/>
          <w:szCs w:val="22"/>
          <w:u w:val="single"/>
        </w:rPr>
        <w:t>References</w:t>
      </w:r>
      <w:r w:rsidRPr="122CAACC" w:rsidR="3213DD5B">
        <w:rPr>
          <w:b w:val="1"/>
          <w:bCs w:val="1"/>
          <w:sz w:val="22"/>
          <w:szCs w:val="22"/>
        </w:rPr>
        <w:t xml:space="preserve"> </w:t>
      </w:r>
    </w:p>
    <w:p w:rsidR="3213DD5B" w:rsidP="122CAACC" w:rsidRDefault="3213DD5B" w14:paraId="2FE9A54D" w14:textId="77EB104C">
      <w:pPr>
        <w:rPr>
          <w:sz w:val="22"/>
          <w:szCs w:val="22"/>
        </w:rPr>
      </w:pPr>
      <w:r w:rsidRPr="122CAACC" w:rsidR="3213DD5B">
        <w:rPr>
          <w:sz w:val="22"/>
          <w:szCs w:val="22"/>
        </w:rPr>
        <w:t>Aboderin, I. &amp; Hoffmann, R. (2019) Families, ageing and migration: Intergenerational care. Springer.</w:t>
      </w:r>
    </w:p>
    <w:p w:rsidR="3213DD5B" w:rsidP="122CAACC" w:rsidRDefault="3213DD5B" w14:paraId="1FA8B85D" w14:textId="3961168C">
      <w:pPr>
        <w:rPr>
          <w:sz w:val="22"/>
          <w:szCs w:val="22"/>
        </w:rPr>
      </w:pPr>
      <w:r w:rsidRPr="122CAACC" w:rsidR="3213DD5B">
        <w:rPr>
          <w:sz w:val="22"/>
          <w:szCs w:val="22"/>
        </w:rPr>
        <w:t xml:space="preserve">Baldwin, S., </w:t>
      </w:r>
      <w:r w:rsidRPr="122CAACC" w:rsidR="3213DD5B">
        <w:rPr>
          <w:sz w:val="22"/>
          <w:szCs w:val="22"/>
        </w:rPr>
        <w:t>Canvin</w:t>
      </w:r>
      <w:r w:rsidRPr="122CAACC" w:rsidR="3213DD5B">
        <w:rPr>
          <w:sz w:val="22"/>
          <w:szCs w:val="22"/>
        </w:rPr>
        <w:t>, K. &amp; Wray, J. (2022) ‘Cultural competence and migrant care workers in long-term care’, Health &amp; Social Care in the Community, 30(6), pp. 2245–2254.</w:t>
      </w:r>
    </w:p>
    <w:p w:rsidR="3213DD5B" w:rsidP="122CAACC" w:rsidRDefault="3213DD5B" w14:paraId="57253896" w14:textId="5C8D9896">
      <w:pPr>
        <w:rPr>
          <w:sz w:val="22"/>
          <w:szCs w:val="22"/>
        </w:rPr>
      </w:pPr>
      <w:r w:rsidRPr="122CAACC" w:rsidR="3213DD5B">
        <w:rPr>
          <w:sz w:val="22"/>
          <w:szCs w:val="22"/>
        </w:rPr>
        <w:t>Brooker, D. &amp; Latham, I. (2016) Person-centred dementia care. London: Jessica Kingsley.</w:t>
      </w:r>
    </w:p>
    <w:p w:rsidR="3213DD5B" w:rsidP="122CAACC" w:rsidRDefault="3213DD5B" w14:paraId="3F07967D" w14:textId="6C488BFE">
      <w:pPr>
        <w:rPr>
          <w:sz w:val="22"/>
          <w:szCs w:val="22"/>
        </w:rPr>
      </w:pPr>
      <w:bookmarkStart w:name="_Int_3TpK18uK" w:id="11812757"/>
      <w:r w:rsidRPr="7FD6DD84" w:rsidR="3213DD5B">
        <w:rPr>
          <w:sz w:val="22"/>
          <w:szCs w:val="22"/>
        </w:rPr>
        <w:t>Ekman, I. et al. (2011) ‘Person-centred care—ready for prime time’, European Journal of Cardiovascular Nursing.</w:t>
      </w:r>
      <w:bookmarkEnd w:id="11812757"/>
    </w:p>
    <w:p w:rsidR="3213DD5B" w:rsidP="122CAACC" w:rsidRDefault="3213DD5B" w14:paraId="52C20734" w14:textId="598B6BEA">
      <w:pPr>
        <w:rPr>
          <w:sz w:val="22"/>
          <w:szCs w:val="22"/>
        </w:rPr>
      </w:pPr>
      <w:r w:rsidRPr="3E714FCE" w:rsidR="3213DD5B">
        <w:rPr>
          <w:sz w:val="22"/>
          <w:szCs w:val="22"/>
        </w:rPr>
        <w:t>Fang, C. et al. (2022) ‘Challenges to implementing person-centred care in practice’, BMC Palliative Care.</w:t>
      </w:r>
    </w:p>
    <w:p w:rsidR="3213DD5B" w:rsidP="122CAACC" w:rsidRDefault="3213DD5B" w14:paraId="6AF65EF9" w14:textId="5CF71585">
      <w:pPr>
        <w:rPr>
          <w:sz w:val="22"/>
          <w:szCs w:val="22"/>
        </w:rPr>
      </w:pPr>
      <w:r w:rsidRPr="3E714FCE" w:rsidR="3213DD5B">
        <w:rPr>
          <w:sz w:val="22"/>
          <w:szCs w:val="22"/>
        </w:rPr>
        <w:t>Ghandehari</w:t>
      </w:r>
      <w:r w:rsidRPr="3E714FCE" w:rsidR="3213DD5B">
        <w:rPr>
          <w:sz w:val="22"/>
          <w:szCs w:val="22"/>
        </w:rPr>
        <w:t>, K., Freedman, M. &amp; Riazi, A. (2023) ‘Person-centred care in multicultural settings’, International Journal of Nursing Studies.</w:t>
      </w:r>
    </w:p>
    <w:p w:rsidR="3213DD5B" w:rsidP="122CAACC" w:rsidRDefault="3213DD5B" w14:paraId="50CA331F" w14:textId="732C5AA9">
      <w:pPr>
        <w:rPr>
          <w:sz w:val="22"/>
          <w:szCs w:val="22"/>
        </w:rPr>
      </w:pPr>
      <w:r w:rsidRPr="122CAACC" w:rsidR="3213DD5B">
        <w:rPr>
          <w:sz w:val="22"/>
          <w:szCs w:val="22"/>
        </w:rPr>
        <w:t>Health Foundation (2021) Person-centred care made simple. London: The Health Foundation.</w:t>
      </w:r>
    </w:p>
    <w:p w:rsidR="3213DD5B" w:rsidP="122CAACC" w:rsidRDefault="3213DD5B" w14:paraId="07F6EADB" w14:textId="1DF6C484">
      <w:pPr>
        <w:rPr>
          <w:sz w:val="22"/>
          <w:szCs w:val="22"/>
        </w:rPr>
      </w:pPr>
      <w:r w:rsidRPr="122CAACC" w:rsidR="3213DD5B">
        <w:rPr>
          <w:sz w:val="22"/>
          <w:szCs w:val="22"/>
        </w:rPr>
        <w:t>Hochschild, A. (2000) ‘Global care chains and emotional surplus value’, in Hutton, W. &amp; Giddens, A. (eds.) On the edge: Living with global capitalism. London: Jonathan Cape.</w:t>
      </w:r>
    </w:p>
    <w:p w:rsidR="3213DD5B" w:rsidP="122CAACC" w:rsidRDefault="3213DD5B" w14:paraId="4C9E6C74" w14:textId="76B1A822">
      <w:pPr>
        <w:rPr>
          <w:sz w:val="22"/>
          <w:szCs w:val="22"/>
        </w:rPr>
      </w:pPr>
      <w:r w:rsidRPr="122CAACC" w:rsidR="3213DD5B">
        <w:rPr>
          <w:sz w:val="22"/>
          <w:szCs w:val="22"/>
        </w:rPr>
        <w:t>Hussein, S. (2022) ‘Migrant workers in long-term care: Evidence and challenges’, Journal of Social Policy, 51(4), pp. 923–942.</w:t>
      </w:r>
    </w:p>
    <w:p w:rsidR="3213DD5B" w:rsidP="122CAACC" w:rsidRDefault="3213DD5B" w14:paraId="5186ED73" w14:textId="7CCA9913">
      <w:pPr>
        <w:rPr>
          <w:sz w:val="22"/>
          <w:szCs w:val="22"/>
        </w:rPr>
      </w:pPr>
      <w:bookmarkStart w:name="_Int_0TFNOBHH" w:id="631608181"/>
      <w:r w:rsidRPr="7FD6DD84" w:rsidR="3213DD5B">
        <w:rPr>
          <w:sz w:val="22"/>
          <w:szCs w:val="22"/>
        </w:rPr>
        <w:t>ILO (2021) Making decent work a reality for domestic workers: Progress and challenges.</w:t>
      </w:r>
      <w:bookmarkEnd w:id="631608181"/>
      <w:r w:rsidRPr="7FD6DD84" w:rsidR="3213DD5B">
        <w:rPr>
          <w:sz w:val="22"/>
          <w:szCs w:val="22"/>
        </w:rPr>
        <w:t xml:space="preserve"> International Labour Organization.</w:t>
      </w:r>
    </w:p>
    <w:p w:rsidR="3213DD5B" w:rsidP="122CAACC" w:rsidRDefault="3213DD5B" w14:paraId="75FB0DF8" w14:textId="424BDBC2">
      <w:pPr>
        <w:rPr>
          <w:sz w:val="22"/>
          <w:szCs w:val="22"/>
        </w:rPr>
      </w:pPr>
      <w:r w:rsidRPr="122CAACC" w:rsidR="3213DD5B">
        <w:rPr>
          <w:sz w:val="22"/>
          <w:szCs w:val="22"/>
        </w:rPr>
        <w:t xml:space="preserve">NHS England (2023) Personalised care and support planning. NHS. </w:t>
      </w:r>
    </w:p>
    <w:p w:rsidR="3213DD5B" w:rsidP="122CAACC" w:rsidRDefault="3213DD5B" w14:paraId="6E14E9BC" w14:textId="1AA27869">
      <w:pPr>
        <w:rPr>
          <w:sz w:val="22"/>
          <w:szCs w:val="22"/>
        </w:rPr>
      </w:pPr>
      <w:bookmarkStart w:name="_Int_fKS3WGBE" w:id="1975920122"/>
      <w:r w:rsidRPr="7FD6DD84" w:rsidR="3213DD5B">
        <w:rPr>
          <w:sz w:val="22"/>
          <w:szCs w:val="22"/>
        </w:rPr>
        <w:t>Parreñas, R. (2015) Servants of globalisation: Migration and domestic work.</w:t>
      </w:r>
      <w:bookmarkEnd w:id="1975920122"/>
      <w:r w:rsidRPr="7FD6DD84" w:rsidR="3213DD5B">
        <w:rPr>
          <w:sz w:val="22"/>
          <w:szCs w:val="22"/>
        </w:rPr>
        <w:t xml:space="preserve"> Stanford University Press.</w:t>
      </w:r>
    </w:p>
    <w:p w:rsidR="3213DD5B" w:rsidP="122CAACC" w:rsidRDefault="3213DD5B" w14:paraId="011463BA" w14:textId="7FF12671">
      <w:pPr>
        <w:rPr>
          <w:sz w:val="22"/>
          <w:szCs w:val="22"/>
        </w:rPr>
      </w:pPr>
      <w:r w:rsidRPr="122CAACC" w:rsidR="3213DD5B">
        <w:rPr>
          <w:sz w:val="22"/>
          <w:szCs w:val="22"/>
        </w:rPr>
        <w:t>Rogers, C. (1951) Client-centred therapy. Boston: Houghton Mifflin.</w:t>
      </w:r>
    </w:p>
    <w:p w:rsidR="3213DD5B" w:rsidP="122CAACC" w:rsidRDefault="3213DD5B" w14:paraId="6A10CB30" w14:textId="4E279A13">
      <w:pPr>
        <w:rPr>
          <w:sz w:val="22"/>
          <w:szCs w:val="22"/>
        </w:rPr>
      </w:pPr>
      <w:r w:rsidRPr="122CAACC" w:rsidR="3213DD5B">
        <w:rPr>
          <w:sz w:val="22"/>
          <w:szCs w:val="22"/>
        </w:rPr>
        <w:t>Tondora</w:t>
      </w:r>
      <w:r w:rsidRPr="122CAACC" w:rsidR="3213DD5B">
        <w:rPr>
          <w:sz w:val="22"/>
          <w:szCs w:val="22"/>
        </w:rPr>
        <w:t xml:space="preserve">, J. et al. (2014) ‘Organisational barriers to person-centred care’, Administration and Policy in Mental Health, 41(4), pp. 414–423. </w:t>
      </w:r>
    </w:p>
    <w:p w:rsidR="3213DD5B" w:rsidP="122CAACC" w:rsidRDefault="3213DD5B" w14:paraId="017ADAD3" w14:textId="29D5E560">
      <w:pPr>
        <w:rPr>
          <w:sz w:val="22"/>
          <w:szCs w:val="22"/>
        </w:rPr>
      </w:pPr>
      <w:r w:rsidRPr="122CAACC" w:rsidR="3213DD5B">
        <w:rPr>
          <w:sz w:val="22"/>
          <w:szCs w:val="22"/>
        </w:rPr>
        <w:t xml:space="preserve">WHO (2023) Health workforce migration and global care governance. World Health Organization. </w:t>
      </w:r>
    </w:p>
    <w:p w:rsidR="3213DD5B" w:rsidP="122CAACC" w:rsidRDefault="3213DD5B" w14:paraId="7F1FAF74" w14:textId="67757878">
      <w:pPr>
        <w:rPr>
          <w:sz w:val="22"/>
          <w:szCs w:val="22"/>
        </w:rPr>
      </w:pPr>
      <w:r w:rsidRPr="122CAACC" w:rsidR="3213DD5B">
        <w:rPr>
          <w:sz w:val="22"/>
          <w:szCs w:val="22"/>
        </w:rPr>
        <w:t>Yeates, N. (2009) Globalizing care economies. Palgrave Macmillan.</w:t>
      </w:r>
    </w:p>
    <w:p w:rsidR="3213DD5B" w:rsidP="1E8ABB7D" w:rsidRDefault="3213DD5B" w14:paraId="2FD9D82B" w14:textId="4DADB68D">
      <w:r w:rsidRPr="3E714FCE" w:rsidR="3213DD5B">
        <w:rPr>
          <w:sz w:val="22"/>
          <w:szCs w:val="22"/>
        </w:rPr>
        <w:t>Yeates, N. (2012) ‘Global care chains: A decade of research’, Global Networks</w:t>
      </w:r>
      <w:r w:rsidRPr="3E714FCE" w:rsidR="049BF0A8">
        <w:rPr>
          <w:sz w:val="22"/>
          <w:szCs w:val="22"/>
        </w:rPr>
        <w:t>.</w:t>
      </w:r>
    </w:p>
    <w:sectPr w:rsidR="3213DD5B">
      <w:pgSz w:w="11906" w:h="16838" w:orient="portrait"/>
      <w:pgMar w:top="1440" w:right="1440" w:bottom="1440" w:left="1440" w:header="720" w:footer="720" w:gutter="0"/>
      <w:cols w:space="720"/>
      <w:docGrid w:linePitch="360"/>
      <w:headerReference w:type="default" r:id="R00b18db262d3441e"/>
      <w:footerReference w:type="default" r:id="Rd70eec70ca794f07"/>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D6DD84" w:rsidTr="7FD6DD84" w14:paraId="07AAB088">
      <w:trPr>
        <w:trHeight w:val="300"/>
      </w:trPr>
      <w:tc>
        <w:tcPr>
          <w:tcW w:w="3005" w:type="dxa"/>
          <w:tcMar/>
        </w:tcPr>
        <w:p w:rsidR="7FD6DD84" w:rsidP="7FD6DD84" w:rsidRDefault="7FD6DD84" w14:paraId="3D578695" w14:textId="21A08237">
          <w:pPr>
            <w:pStyle w:val="Header"/>
            <w:bidi w:val="0"/>
            <w:ind w:left="-115"/>
            <w:jc w:val="left"/>
          </w:pPr>
        </w:p>
      </w:tc>
      <w:tc>
        <w:tcPr>
          <w:tcW w:w="3005" w:type="dxa"/>
          <w:tcMar/>
        </w:tcPr>
        <w:p w:rsidR="7FD6DD84" w:rsidP="7FD6DD84" w:rsidRDefault="7FD6DD84" w14:paraId="3D1A4E06" w14:textId="504CCAEA">
          <w:pPr>
            <w:pStyle w:val="Header"/>
            <w:bidi w:val="0"/>
            <w:jc w:val="center"/>
          </w:pPr>
          <w:r>
            <w:fldChar w:fldCharType="begin"/>
          </w:r>
          <w:r>
            <w:instrText xml:space="preserve">PAGE</w:instrText>
          </w:r>
          <w:r>
            <w:fldChar w:fldCharType="separate"/>
          </w:r>
          <w:r>
            <w:fldChar w:fldCharType="end"/>
          </w:r>
        </w:p>
      </w:tc>
      <w:tc>
        <w:tcPr>
          <w:tcW w:w="3005" w:type="dxa"/>
          <w:tcMar/>
        </w:tcPr>
        <w:p w:rsidR="7FD6DD84" w:rsidP="7FD6DD84" w:rsidRDefault="7FD6DD84" w14:paraId="3C1EE8E5" w14:textId="54330460">
          <w:pPr>
            <w:pStyle w:val="Header"/>
            <w:bidi w:val="0"/>
            <w:ind w:right="-115"/>
            <w:jc w:val="right"/>
          </w:pPr>
        </w:p>
      </w:tc>
    </w:tr>
  </w:tbl>
  <w:p w:rsidR="7FD6DD84" w:rsidP="7FD6DD84" w:rsidRDefault="7FD6DD84" w14:paraId="4F8D802E" w14:textId="11B149A7">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ook w:val="06A0" w:firstRow="1" w:lastRow="0" w:firstColumn="1" w:lastColumn="0" w:noHBand="1" w:noVBand="1"/>
    </w:tblPr>
    <w:tblGrid>
      <w:gridCol w:w="3005"/>
      <w:gridCol w:w="3005"/>
      <w:gridCol w:w="3005"/>
    </w:tblGrid>
    <w:tr w:rsidR="7FD6DD84" w:rsidTr="7FD6DD84" w14:paraId="2E01A284">
      <w:trPr>
        <w:trHeight w:val="300"/>
      </w:trPr>
      <w:tc>
        <w:tcPr>
          <w:tcW w:w="3005" w:type="dxa"/>
          <w:tcMar/>
        </w:tcPr>
        <w:p w:rsidR="7FD6DD84" w:rsidP="7FD6DD84" w:rsidRDefault="7FD6DD84" w14:paraId="4AB721A3" w14:textId="48903158">
          <w:pPr>
            <w:pStyle w:val="Header"/>
            <w:bidi w:val="0"/>
            <w:ind w:left="-115"/>
            <w:jc w:val="left"/>
          </w:pPr>
        </w:p>
      </w:tc>
      <w:tc>
        <w:tcPr>
          <w:tcW w:w="3005" w:type="dxa"/>
          <w:tcMar/>
        </w:tcPr>
        <w:p w:rsidR="7FD6DD84" w:rsidP="7FD6DD84" w:rsidRDefault="7FD6DD84" w14:paraId="163BEF25" w14:textId="612C7677">
          <w:pPr>
            <w:pStyle w:val="Header"/>
            <w:bidi w:val="0"/>
            <w:jc w:val="center"/>
          </w:pPr>
        </w:p>
      </w:tc>
      <w:tc>
        <w:tcPr>
          <w:tcW w:w="3005" w:type="dxa"/>
          <w:tcMar/>
        </w:tcPr>
        <w:p w:rsidR="7FD6DD84" w:rsidP="7FD6DD84" w:rsidRDefault="7FD6DD84" w14:paraId="7B0E0780" w14:textId="34373E2A">
          <w:pPr>
            <w:pStyle w:val="Header"/>
            <w:bidi w:val="0"/>
            <w:ind w:right="-115"/>
            <w:jc w:val="right"/>
          </w:pPr>
        </w:p>
      </w:tc>
    </w:tr>
  </w:tbl>
  <w:p w:rsidR="7FD6DD84" w:rsidP="7FD6DD84" w:rsidRDefault="7FD6DD84" w14:paraId="50F20000" w14:textId="34E65E01">
    <w:pPr>
      <w:pStyle w:val="Header"/>
      <w:bidi w:val="0"/>
    </w:pPr>
  </w:p>
</w:hdr>
</file>

<file path=word/intelligence2.xml><?xml version="1.0" encoding="utf-8"?>
<int2:intelligence xmlns:oel="http://schemas.microsoft.com/office/2019/extlst" xmlns:int2="http://schemas.microsoft.com/office/intelligence/2020/intelligence">
  <int2:observations>
    <int2:bookmark int2:bookmarkName="_Int_fKS3WGBE" int2:invalidationBookmarkName="" int2:hashCode="EGzrqZ3demvLuw" int2:id="a77xf0U1">
      <int2:extLst>
        <oel:ext uri="426473B9-03D8-482F-96C9-C2C85392BACA">
          <int2:similarityCritique int2:version="1" int2:context="Parreñas, R. (2015) Servants of globalisation: Migration and domestic work.">
            <int2:source int2:sourceType="Online" int2:sourceTitle="(PDF) Food, Senses and the City - Academia.edu" int2:sourceUrl="https://www.academia.edu/78877637/Food_Senses_and_the_City" int2:sourceSnippet="Salazar Parreñas R. (2015) Servants of Globalisation Migration and Domestic Work (2nd ed). Stanford, CA: Stanford University Press. Sherwood S. G. and Paredes M. (2014) 'Dynamics of Perpetuation: The Politics of Keep- ing Highly Toxic Pesticides on the Market in Ecuador', Nature and Culture 9 (1): 21-44.">
              <int2:suggestions int2:citationType="Inline">
                <int2:suggestion int2:citationStyle="Mla" int2:isIdentical="0">
                  <int2:citationText>(“(PDF) Food, Senses and the City - Academia.edu”)</int2:citationText>
                </int2:suggestion>
                <int2:suggestion int2:citationStyle="Apa" int2:isIdentical="0">
                  <int2:citationText>(“(PDF) Food, Senses and the City - Academia.edu”)</int2:citationText>
                </int2:suggestion>
                <int2:suggestion int2:citationStyle="Chicago" int2:isIdentical="0">
                  <int2:citationText>(“(PDF) Food, Senses and the City - Academia.edu”)</int2:citationText>
                </int2:suggestion>
              </int2:suggestions>
              <int2:suggestions int2:citationType="Full">
                <int2:suggestion int2:citationStyle="Mla" int2:isIdentical="0">
                  <int2:citationText>&lt;i&gt;(PDF) Food, Senses and the City - Academia.edu&lt;/i&gt;, https://www.academia.edu/78877637/Food_Senses_and_the_City.</int2:citationText>
                </int2:suggestion>
                <int2:suggestion int2:citationStyle="Apa" int2:isIdentical="0">
                  <int2:citationText>&lt;i&gt;(PDF) Food, Senses and the City - Academia.edu&lt;/i&gt;. (n.d.). Retrieved from https://www.academia.edu/78877637/Food_Senses_and_the_City</int2:citationText>
                </int2:suggestion>
                <int2:suggestion int2:citationStyle="Chicago" int2:isIdentical="0">
                  <int2:citationText>“(PDF) Food, Senses and the City - Academia.edu” n.d., https://www.academia.edu/78877637/Food_Senses_and_the_City.</int2:citationText>
                </int2:suggestion>
              </int2:suggestions>
            </int2:source>
          </int2:similarityCritique>
        </oel:ext>
      </int2:extLst>
    </int2:bookmark>
    <int2:bookmark int2:bookmarkName="_Int_0TFNOBHH" int2:invalidationBookmarkName="" int2:hashCode="XjYaCLSlcu14/l" int2:id="pj8Jilsl">
      <int2:extLst>
        <oel:ext uri="426473B9-03D8-482F-96C9-C2C85392BACA">
          <int2:similarityCritique int2:version="1" int2:context="ILO (2021) Making decent work a reality for domestic workers: Progress and challenges.">
            <int2:source int2:sourceType="Online" int2:sourceTitle="Decent Work for Domestic Workers: Analyzing the ... - ResearchGate" int2:sourceUrl="https://www.researchgate.net/publication/374033863_Decent_Work_for_Domestic_Workers_Analyzing_the_Implementation_of_C189_in_Latin_America_and_the_Caribbean" int2:sourceSnippet="ILO. 2021. Making decent work a reality for domestic workers: Progress and prospects ten years after the adoption of the Domestic Workers Convention, 2011 (No. 189).">
              <int2:suggestions int2:citationType="Inline">
                <int2:suggestion int2:citationStyle="Mla" int2:isIdentical="0">
                  <int2:citationText>(“Decent Work for Domestic Workers: Analyzing the ... - ResearchGate”)</int2:citationText>
                </int2:suggestion>
                <int2:suggestion int2:citationStyle="Apa" int2:isIdentical="0">
                  <int2:citationText>(“Decent Work for Domestic Workers: Analyzing the ... - ResearchGate”)</int2:citationText>
                </int2:suggestion>
                <int2:suggestion int2:citationStyle="Chicago" int2:isIdentical="0">
                  <int2:citationText>(“Decent Work for Domestic Workers: Analyzing the ... - ResearchGate”)</int2:citationText>
                </int2:suggestion>
              </int2:suggestions>
              <int2:suggestions int2:citationType="Full">
                <int2:suggestion int2:citationStyle="Mla" int2:isIdentical="0">
                  <int2:citationText>&lt;i&gt;Decent Work for Domestic Workers: Analyzing the ... - ResearchGate&lt;/i&gt;, https://www.researchgate.net/publication/374033863_Decent_Work_for_Domestic_Workers_Analyzing_the_Implementation_of_C189_in_Latin_America_and_the_Caribbean.</int2:citationText>
                </int2:suggestion>
                <int2:suggestion int2:citationStyle="Apa" int2:isIdentical="0">
                  <int2:citationText>&lt;i&gt;Decent Work for Domestic Workers: Analyzing the ... - ResearchGate&lt;/i&gt;. (n.d.). Retrieved from https://www.researchgate.net/publication/374033863_Decent_Work_for_Domestic_Workers_Analyzing_the_Implementation_of_C189_in_Latin_America_and_the_Caribbean</int2:citationText>
                </int2:suggestion>
                <int2:suggestion int2:citationStyle="Chicago" int2:isIdentical="0">
                  <int2:citationText>“Decent Work for Domestic Workers: Analyzing the ... - ResearchGate” n.d., https://www.researchgate.net/publication/374033863_Decent_Work_for_Domestic_Workers_Analyzing_the_Implementation_of_C189_in_Latin_America_and_the_Caribbean.</int2:citationText>
                </int2:suggestion>
              </int2:suggestions>
            </int2:source>
            <int2:source int2:sourceType="Online" int2:sourceTitle="EXPAND DECENT WORK AND EMPLOYMENT - Generation Equality Forum" int2:sourceUrl="https://forum.generationequality.org/sites/default/files/2023-09/EJR%20AC%20Blueprint%20Decent%20Work.pdf" int2:sourceSnippet="ILO. 2021. Making decent work a reality for domestic workers: Progress and prospects ten years after the adoption of the Domestic Workers Convention, 2011 (No. 189).">
              <int2:suggestions int2:citationType="Inline">
                <int2:suggestion int2:citationStyle="Mla" int2:isIdentical="0">
                  <int2:citationText>(“EXPAND DECENT WORK AND EMPLOYMENT - Generation Equality Forum”)</int2:citationText>
                </int2:suggestion>
                <int2:suggestion int2:citationStyle="Apa" int2:isIdentical="0">
                  <int2:citationText>(“EXPAND DECENT WORK AND EMPLOYMENT - Generation Equality Forum”)</int2:citationText>
                </int2:suggestion>
                <int2:suggestion int2:citationStyle="Chicago" int2:isIdentical="0">
                  <int2:citationText>(“EXPAND DECENT WORK AND EMPLOYMENT - Generation Equality Forum”)</int2:citationText>
                </int2:suggestion>
              </int2:suggestions>
              <int2:suggestions int2:citationType="Full">
                <int2:suggestion int2:citationStyle="Mla" int2:isIdentical="0">
                  <int2:citationText>&lt;i&gt;EXPAND DECENT WORK AND EMPLOYMENT - Generation Equality Forum&lt;/i&gt;, https://forum.generationequality.org/sites/default/files/2023-09/EJR%20AC%20Blueprint%20Decent%20Work.pdf.</int2:citationText>
                </int2:suggestion>
                <int2:suggestion int2:citationStyle="Apa" int2:isIdentical="0">
                  <int2:citationText>&lt;i&gt;EXPAND DECENT WORK AND EMPLOYMENT - Generation Equality Forum&lt;/i&gt;. (n.d.). Retrieved from https://forum.generationequality.org/sites/default/files/2023-09/EJR%20AC%20Blueprint%20Decent%20Work.pdf</int2:citationText>
                </int2:suggestion>
                <int2:suggestion int2:citationStyle="Chicago" int2:isIdentical="0">
                  <int2:citationText>“EXPAND DECENT WORK AND EMPLOYMENT - Generation Equality Forum” n.d., https://forum.generationequality.org/sites/default/files/2023-09/EJR%20AC%20Blueprint%20Decent%20Work.pdf.</int2:citationText>
                </int2:suggestion>
              </int2:suggestions>
            </int2:source>
            <int2:source int2:sourceType="Online" int2:sourceTitle="International Domestic Workers Federation Position Paper" int2:sourceUrl="https://womeninmigration.org/wp-content/uploads/2024/06/IDWF-112-th-Session-of-ILC-EN-ok.pdf" int2:sourceSnippet="4 ILO. (2021). Making Decent Work a Reality for Domestic Workers: Progress and Prospects Ten Years after the Adoption of the Domestic Workers Convention, 2011 (No. 189).">
              <int2:suggestions int2:citationType="Inline">
                <int2:suggestion int2:citationStyle="Mla" int2:isIdentical="0">
                  <int2:citationText>(“International Domestic Workers Federation Position Paper”)</int2:citationText>
                </int2:suggestion>
                <int2:suggestion int2:citationStyle="Apa" int2:isIdentical="0">
                  <int2:citationText>(“International Domestic Workers Federation Position Paper”)</int2:citationText>
                </int2:suggestion>
                <int2:suggestion int2:citationStyle="Chicago" int2:isIdentical="0">
                  <int2:citationText>(“International Domestic Workers Federation Position Paper”)</int2:citationText>
                </int2:suggestion>
              </int2:suggestions>
              <int2:suggestions int2:citationType="Full">
                <int2:suggestion int2:citationStyle="Mla" int2:isIdentical="0">
                  <int2:citationText>&lt;i&gt;International Domestic Workers Federation Position Paper&lt;/i&gt;, https://womeninmigration.org/wp-content/uploads/2024/06/IDWF-112-th-Session-of-ILC-EN-ok.pdf.</int2:citationText>
                </int2:suggestion>
                <int2:suggestion int2:citationStyle="Apa" int2:isIdentical="0">
                  <int2:citationText>&lt;i&gt;International Domestic Workers Federation Position Paper&lt;/i&gt;. (n.d.). Retrieved from https://womeninmigration.org/wp-content/uploads/2024/06/IDWF-112-th-Session-of-ILC-EN-ok.pdf</int2:citationText>
                </int2:suggestion>
                <int2:suggestion int2:citationStyle="Chicago" int2:isIdentical="0">
                  <int2:citationText>“International Domestic Workers Federation Position Paper” n.d., https://womeninmigration.org/wp-content/uploads/2024/06/IDWF-112-th-Session-of-ILC-EN-ok.pdf.</int2:citationText>
                </int2:suggestion>
              </int2:suggestions>
            </int2:source>
          </int2:similarityCritique>
        </oel:ext>
      </int2:extLst>
    </int2:bookmark>
    <int2:bookmark int2:bookmarkName="_Int_3TpK18uK" int2:invalidationBookmarkName="" int2:hashCode="i600B7w6SHGB+6" int2:id="xVfvRSb7">
      <int2:extLst>
        <oel:ext uri="426473B9-03D8-482F-96C9-C2C85392BACA">
          <int2:similarityCritique int2:version="1" int2:context="Ekman, I. et al. (2011) ‘Person-centred care—ready for prime time’, European Journal of Cardiovascular Nursing.">
            <int2:source int2:sourceType="Online" int2:sourceTitle="Ekman, I., et al. (2011) Person-Centered Care—Ready for Prime Time ..." int2:sourceUrl="https://www.scirp.org/reference/ReferencesPapers?ReferenceID=1854979" int2:sourceSnippet="Ekman, I., et al. (2011) Person-Centered Care—Ready for Prime Time. European Journal of Cardiovascular Nursing, 10, 248-251.">
              <int2:suggestions int2:citationType="Inline">
                <int2:suggestion int2:citationStyle="Mla" int2:isIdentical="0">
                  <int2:citationText>(“Ekman, I., et al. (2011) Person-Centered Care—Ready for Prime Time ...”)</int2:citationText>
                </int2:suggestion>
                <int2:suggestion int2:citationStyle="Apa" int2:isIdentical="0">
                  <int2:citationText>(“Ekman, I., et al. (2011) Person-Centered Care—Ready for Prime Time ...”)</int2:citationText>
                </int2:suggestion>
                <int2:suggestion int2:citationStyle="Chicago" int2:isIdentical="0">
                  <int2:citationText>(“Ekman, I., et al. (2011) Person-Centered Care—Ready for Prime Time ...”)</int2:citationText>
                </int2:suggestion>
              </int2:suggestions>
              <int2:suggestions int2:citationType="Full">
                <int2:suggestion int2:citationStyle="Mla" int2:isIdentical="0">
                  <int2:citationText>&lt;i&gt;Ekman, I., et al. (2011) Person-Centered Care—Ready for Prime Time ...&lt;/i&gt;, https://www.scirp.org/reference/ReferencesPapers?ReferenceID=1854979.</int2:citationText>
                </int2:suggestion>
                <int2:suggestion int2:citationStyle="Apa" int2:isIdentical="0">
                  <int2:citationText>&lt;i&gt;Ekman, I., et al. (2011) Person-Centered Care—Ready for Prime Time ...&lt;/i&gt;. (n.d.). Retrieved from https://www.scirp.org/reference/ReferencesPapers?ReferenceID=1854979</int2:citationText>
                </int2:suggestion>
                <int2:suggestion int2:citationStyle="Chicago" int2:isIdentical="0">
                  <int2:citationText>“Ekman, I., et al. (2011) Person-Centered Care—Ready for Prime Time ...” n.d., https://www.scirp.org/reference/ReferencesPapers?ReferenceID=1854979.</int2:citationText>
                </int2:suggestion>
              </int2:suggestions>
            </int2:source>
          </int2:similarityCritique>
        </oel:ext>
      </int2:extLst>
    </int2:bookmark>
    <int2:entireDocument int2:id="VS0guRD1">
      <int2:extLst>
        <oel:ext uri="E302BA01-7950-474C-9AD3-286E660C40A8">
          <int2:similaritySummary int2:version="1" int2:runId="1765454410106" int2:tilesCheckedInThisRun="61" int2:totalNumOfTiles="61" int2:similarityAnnotationCount="3" int2:numWords="2085" int2:numFlaggedWords="39"/>
        </oel:ext>
      </int2:extLst>
    </int2:entireDocument>
  </int2:observations>
  <int2:intelligenceSettings/>
  <int2:onDemandWorkflows>
    <int2:onDemandWorkflow int2:type="SimilarityCheck" int2:paragraphVersions="2AD35D8C-2FE6B5ED 6E50D8D8-3010B956 3C9C696A-203E5E02 6DA3805F-5777723C 27CD267E-4D7ADF13 5C781EB7-6003AF9E 66274F80-315395A8 4FD646D8-13E3007C 3E707110-5DA6BD9F 0477A235-0EE49ED9 5157AFF2-2ABF7B28 4F4D3815-37DCD4D8 3C3DC355-665C1E96 34491099-38DAB05D 60BEA0BD-1CBE3E1F 3E9BDDD7-6A58AB34 2FF98CF2-2F39137E 729BA0A4-669F272D 3ED6B73E-5F8BB404 104B5329-5F0C57DF 7951CDE9-7F5E063D 0F77A325-785873F9 1914444D-5CA28F75 63DCFF00-7C961976 6FB44C57-50E34AD0 78FF8972-6E53AF84 7A647000-0BA7C4F5 08AC4DF2-041C94F3 7235266F-3DD56552 1DC51927-690CA0CA 18D9ED0D-471FEF9B 1B277E6D-4739CCDD 1175FC60-3FA419B8 18903568-654A698D 7D37FE94-0F60E084 2F040965-05DA4CA0 228F339F-43F86039 6E820396-0FC77BC2 10D8ACED-343D7958 46DC7399-6389952C 62FA61B5-0856BECC 2E071430-4A2DA971 1620FB28-0670AACA 6C2CB205-4E0EAD0E 2D9CB1FC-7392CB96 45C10C6D-7CD88525 3F87A1DA-51274246 23B42DE0-5A1FF554 51697594-21D05E58 3406458D-771B7E32 77A2A4CE-67DC2A27 3A67A7DF-6EEFCFB1 54559EE3-6B3D5520 27A2508E-1AACF8CE 64123AF2-3C9E56D4 78DB578C-4DCB6C05 5B50FF29-3B0D1C91 17AE17BA-5195A393 0DCD4A0B-04F4A4F5 56938949-42E5EC6E 37B57AEA-5D45D494 089E0CAD-5CC03553 1F5B7D0E-2C31BBC1 6AFE4F92-2F44DAFE 04594AE0-7933CBAA 0D524790-47A6519B 2FB50D86-19805237 43AB34D3-46608845 459E6698-1599BD09 3AC9EDD5-2ED5EE79 2FE9A54D-77EB104C 1FA8B85D-3961168C 57253896-5C8D9896 3F07967D-6C488BFE 52C20734-1CCC2E1B 6AF65EF9-47FD9094 50CA331F-732C5AA9 07F6EADB-1DF6C484 4C9E6C74-76B1A822 5186ED73-7CCA9913 75FB0DF8-424BDBC2 6E14E9BC-1AA27869 011463BA-7FF12671 6A10CB30-4E279A13 017ADAD3-29D5E560 7F1FAF74-67757878 2FD9D82B-4EDD39F6 4AB721A3-48903158 163BEF25-612C7677 7B0E0780-34373E2A 50F20000-34E65E01 3D578695-21A08237 3D1A4E06-504CCAEA 3C1EE8E5-54330460 4F8D802E-11B149A7"/>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8D53795"/>
    <w:multiLevelType w:val="hybridMultilevel"/>
    <w:tmpl w:val="FFFFFFFF"/>
    <w:lvl w:ilvl="0" w:tplc="70E2E646">
      <w:start w:val="1"/>
      <w:numFmt w:val="decimal"/>
      <w:lvlText w:val="%1."/>
      <w:lvlJc w:val="left"/>
      <w:pPr>
        <w:ind w:left="720" w:hanging="360"/>
      </w:pPr>
      <w:rPr>
        <w:rFonts w:hint="default" w:ascii="Arial" w:hAnsi="Arial"/>
      </w:rPr>
    </w:lvl>
    <w:lvl w:ilvl="1" w:tplc="C538A506">
      <w:start w:val="1"/>
      <w:numFmt w:val="lowerLetter"/>
      <w:lvlText w:val="%2."/>
      <w:lvlJc w:val="left"/>
      <w:pPr>
        <w:ind w:left="1440" w:hanging="360"/>
      </w:pPr>
    </w:lvl>
    <w:lvl w:ilvl="2" w:tplc="63A6324C">
      <w:start w:val="1"/>
      <w:numFmt w:val="lowerRoman"/>
      <w:lvlText w:val="%3."/>
      <w:lvlJc w:val="right"/>
      <w:pPr>
        <w:ind w:left="2160" w:hanging="180"/>
      </w:pPr>
    </w:lvl>
    <w:lvl w:ilvl="3" w:tplc="D92AC7EA">
      <w:start w:val="1"/>
      <w:numFmt w:val="decimal"/>
      <w:lvlText w:val="%4."/>
      <w:lvlJc w:val="left"/>
      <w:pPr>
        <w:ind w:left="2880" w:hanging="360"/>
      </w:pPr>
    </w:lvl>
    <w:lvl w:ilvl="4" w:tplc="0CDE1108">
      <w:start w:val="1"/>
      <w:numFmt w:val="lowerLetter"/>
      <w:lvlText w:val="%5."/>
      <w:lvlJc w:val="left"/>
      <w:pPr>
        <w:ind w:left="3600" w:hanging="360"/>
      </w:pPr>
    </w:lvl>
    <w:lvl w:ilvl="5" w:tplc="BB647F28">
      <w:start w:val="1"/>
      <w:numFmt w:val="lowerRoman"/>
      <w:lvlText w:val="%6."/>
      <w:lvlJc w:val="right"/>
      <w:pPr>
        <w:ind w:left="4320" w:hanging="180"/>
      </w:pPr>
    </w:lvl>
    <w:lvl w:ilvl="6" w:tplc="AD4E0F96">
      <w:start w:val="1"/>
      <w:numFmt w:val="decimal"/>
      <w:lvlText w:val="%7."/>
      <w:lvlJc w:val="left"/>
      <w:pPr>
        <w:ind w:left="5040" w:hanging="360"/>
      </w:pPr>
    </w:lvl>
    <w:lvl w:ilvl="7" w:tplc="609833FA">
      <w:start w:val="1"/>
      <w:numFmt w:val="lowerLetter"/>
      <w:lvlText w:val="%8."/>
      <w:lvlJc w:val="left"/>
      <w:pPr>
        <w:ind w:left="5760" w:hanging="360"/>
      </w:pPr>
    </w:lvl>
    <w:lvl w:ilvl="8" w:tplc="87B21CD0">
      <w:start w:val="1"/>
      <w:numFmt w:val="lowerRoman"/>
      <w:lvlText w:val="%9."/>
      <w:lvlJc w:val="right"/>
      <w:pPr>
        <w:ind w:left="6480" w:hanging="180"/>
      </w:pPr>
    </w:lvl>
  </w:abstractNum>
  <w:num w:numId="1" w16cid:durableId="87805386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60"/>
  <w:proofState w:spelling="clean" w:grammar="dirty"/>
  <w:revisionView w:inkAnnotations="0"/>
  <w:trackRevisions w:val="false"/>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1F5F97A3"/>
    <w:rsid w:val="00260C4E"/>
    <w:rsid w:val="002B507B"/>
    <w:rsid w:val="005D05DC"/>
    <w:rsid w:val="006F5F79"/>
    <w:rsid w:val="008162AA"/>
    <w:rsid w:val="00895C32"/>
    <w:rsid w:val="00956425"/>
    <w:rsid w:val="00B2420F"/>
    <w:rsid w:val="00D1A56E"/>
    <w:rsid w:val="00E84CF8"/>
    <w:rsid w:val="00F1307B"/>
    <w:rsid w:val="00F52375"/>
    <w:rsid w:val="02402497"/>
    <w:rsid w:val="02FAADE7"/>
    <w:rsid w:val="041FF522"/>
    <w:rsid w:val="043C5AD7"/>
    <w:rsid w:val="04705EC5"/>
    <w:rsid w:val="0479D0AF"/>
    <w:rsid w:val="049BF0A8"/>
    <w:rsid w:val="04EBAD54"/>
    <w:rsid w:val="05235844"/>
    <w:rsid w:val="052DD028"/>
    <w:rsid w:val="056BB83B"/>
    <w:rsid w:val="05880AB2"/>
    <w:rsid w:val="05F51747"/>
    <w:rsid w:val="0626F615"/>
    <w:rsid w:val="06329643"/>
    <w:rsid w:val="0687EB4D"/>
    <w:rsid w:val="07AC3A6B"/>
    <w:rsid w:val="0942B03D"/>
    <w:rsid w:val="0B51F44D"/>
    <w:rsid w:val="0B6E7629"/>
    <w:rsid w:val="0B834BAA"/>
    <w:rsid w:val="0B8965BF"/>
    <w:rsid w:val="0BBA11E9"/>
    <w:rsid w:val="0C0D7969"/>
    <w:rsid w:val="0CB3A4D9"/>
    <w:rsid w:val="0ED98A26"/>
    <w:rsid w:val="0EE0133C"/>
    <w:rsid w:val="0F235122"/>
    <w:rsid w:val="0F3E8C91"/>
    <w:rsid w:val="0FEB2136"/>
    <w:rsid w:val="0FFD040F"/>
    <w:rsid w:val="109FC77B"/>
    <w:rsid w:val="10E33130"/>
    <w:rsid w:val="11304E68"/>
    <w:rsid w:val="11B990DC"/>
    <w:rsid w:val="11ECA115"/>
    <w:rsid w:val="122CAACC"/>
    <w:rsid w:val="12FBA40C"/>
    <w:rsid w:val="1304C115"/>
    <w:rsid w:val="13993BAF"/>
    <w:rsid w:val="13F9797F"/>
    <w:rsid w:val="147522E8"/>
    <w:rsid w:val="14AE1301"/>
    <w:rsid w:val="14C19FD6"/>
    <w:rsid w:val="14CD5464"/>
    <w:rsid w:val="153F4283"/>
    <w:rsid w:val="155ECA4C"/>
    <w:rsid w:val="157BF80A"/>
    <w:rsid w:val="169788C9"/>
    <w:rsid w:val="16AE68BD"/>
    <w:rsid w:val="170590C1"/>
    <w:rsid w:val="177D7A2A"/>
    <w:rsid w:val="17988FDE"/>
    <w:rsid w:val="181039D3"/>
    <w:rsid w:val="184531DF"/>
    <w:rsid w:val="184BC3D8"/>
    <w:rsid w:val="18E56E31"/>
    <w:rsid w:val="192E2A59"/>
    <w:rsid w:val="1AAA28F4"/>
    <w:rsid w:val="1ADB6A5A"/>
    <w:rsid w:val="1C3352FF"/>
    <w:rsid w:val="1C85617D"/>
    <w:rsid w:val="1CA922DC"/>
    <w:rsid w:val="1D08F5F2"/>
    <w:rsid w:val="1D392F99"/>
    <w:rsid w:val="1D5C90B7"/>
    <w:rsid w:val="1D65CA73"/>
    <w:rsid w:val="1D79A5D8"/>
    <w:rsid w:val="1D9FD17D"/>
    <w:rsid w:val="1DCD4DE6"/>
    <w:rsid w:val="1DE55B0C"/>
    <w:rsid w:val="1E466A5F"/>
    <w:rsid w:val="1E4A4AA4"/>
    <w:rsid w:val="1E4AE38C"/>
    <w:rsid w:val="1E501EFB"/>
    <w:rsid w:val="1E7CF6E9"/>
    <w:rsid w:val="1E7FF578"/>
    <w:rsid w:val="1E8ABB7D"/>
    <w:rsid w:val="1F1BFDE2"/>
    <w:rsid w:val="1F3A45CC"/>
    <w:rsid w:val="1F5F97A3"/>
    <w:rsid w:val="1F9A8360"/>
    <w:rsid w:val="20512CEB"/>
    <w:rsid w:val="20617164"/>
    <w:rsid w:val="20A07EBA"/>
    <w:rsid w:val="20C4F072"/>
    <w:rsid w:val="20DF6F9C"/>
    <w:rsid w:val="21460A8E"/>
    <w:rsid w:val="2147C865"/>
    <w:rsid w:val="218F6459"/>
    <w:rsid w:val="23310450"/>
    <w:rsid w:val="23486816"/>
    <w:rsid w:val="236EA4C3"/>
    <w:rsid w:val="2399550F"/>
    <w:rsid w:val="23C511C4"/>
    <w:rsid w:val="23F82480"/>
    <w:rsid w:val="23FB1718"/>
    <w:rsid w:val="24D0C410"/>
    <w:rsid w:val="25F39D8E"/>
    <w:rsid w:val="264B410B"/>
    <w:rsid w:val="272728A9"/>
    <w:rsid w:val="2728375B"/>
    <w:rsid w:val="27653319"/>
    <w:rsid w:val="27BE6273"/>
    <w:rsid w:val="282F6186"/>
    <w:rsid w:val="283CA256"/>
    <w:rsid w:val="28A06B93"/>
    <w:rsid w:val="28DE9420"/>
    <w:rsid w:val="2AB27021"/>
    <w:rsid w:val="2B2D0FC8"/>
    <w:rsid w:val="2BB9A84D"/>
    <w:rsid w:val="2BD99470"/>
    <w:rsid w:val="2C0168EE"/>
    <w:rsid w:val="2C46788A"/>
    <w:rsid w:val="2C48D61C"/>
    <w:rsid w:val="2C696826"/>
    <w:rsid w:val="2C8A6D5A"/>
    <w:rsid w:val="2CE5103D"/>
    <w:rsid w:val="2D12564E"/>
    <w:rsid w:val="2DBA0991"/>
    <w:rsid w:val="2E1F9645"/>
    <w:rsid w:val="2E8ABC81"/>
    <w:rsid w:val="2EDF04DC"/>
    <w:rsid w:val="2EEBF9D2"/>
    <w:rsid w:val="2F5CDDE1"/>
    <w:rsid w:val="2F91933B"/>
    <w:rsid w:val="3019B1F4"/>
    <w:rsid w:val="30A3EDDD"/>
    <w:rsid w:val="315CB683"/>
    <w:rsid w:val="31884CE0"/>
    <w:rsid w:val="3213DD5B"/>
    <w:rsid w:val="32155461"/>
    <w:rsid w:val="321C584B"/>
    <w:rsid w:val="3223AD11"/>
    <w:rsid w:val="324712FE"/>
    <w:rsid w:val="325000E9"/>
    <w:rsid w:val="32501B0E"/>
    <w:rsid w:val="3297F562"/>
    <w:rsid w:val="32AE6890"/>
    <w:rsid w:val="32F8A801"/>
    <w:rsid w:val="330452A2"/>
    <w:rsid w:val="3307C9E3"/>
    <w:rsid w:val="330C97A3"/>
    <w:rsid w:val="33605378"/>
    <w:rsid w:val="33A8308B"/>
    <w:rsid w:val="34270928"/>
    <w:rsid w:val="3492DA9F"/>
    <w:rsid w:val="359C05A4"/>
    <w:rsid w:val="362159F1"/>
    <w:rsid w:val="369232A0"/>
    <w:rsid w:val="369EF1D1"/>
    <w:rsid w:val="36E2D4BF"/>
    <w:rsid w:val="370692CB"/>
    <w:rsid w:val="37262C73"/>
    <w:rsid w:val="37460590"/>
    <w:rsid w:val="38199FEE"/>
    <w:rsid w:val="387E026C"/>
    <w:rsid w:val="389CA89B"/>
    <w:rsid w:val="38B41E13"/>
    <w:rsid w:val="38D1CCCD"/>
    <w:rsid w:val="38FF0AAC"/>
    <w:rsid w:val="3925B721"/>
    <w:rsid w:val="3B5D1050"/>
    <w:rsid w:val="3B61C153"/>
    <w:rsid w:val="3B8E9701"/>
    <w:rsid w:val="3BBE45D7"/>
    <w:rsid w:val="3C0CDFF5"/>
    <w:rsid w:val="3CBD38AA"/>
    <w:rsid w:val="3D057381"/>
    <w:rsid w:val="3D70FDC2"/>
    <w:rsid w:val="3E714FCE"/>
    <w:rsid w:val="3E753440"/>
    <w:rsid w:val="3EDE4667"/>
    <w:rsid w:val="3F2C4C65"/>
    <w:rsid w:val="3F46F94D"/>
    <w:rsid w:val="3F906E60"/>
    <w:rsid w:val="412C90A9"/>
    <w:rsid w:val="416B70B1"/>
    <w:rsid w:val="41B5573F"/>
    <w:rsid w:val="41D80CD0"/>
    <w:rsid w:val="42305F3A"/>
    <w:rsid w:val="423DAC37"/>
    <w:rsid w:val="42EBE721"/>
    <w:rsid w:val="43461F16"/>
    <w:rsid w:val="43467509"/>
    <w:rsid w:val="4357D3A3"/>
    <w:rsid w:val="4375CFCC"/>
    <w:rsid w:val="439C1D3A"/>
    <w:rsid w:val="43A7A765"/>
    <w:rsid w:val="44833B30"/>
    <w:rsid w:val="44F9E161"/>
    <w:rsid w:val="45311CA4"/>
    <w:rsid w:val="45DE4301"/>
    <w:rsid w:val="461D74D6"/>
    <w:rsid w:val="462F3657"/>
    <w:rsid w:val="464EE2BE"/>
    <w:rsid w:val="46D3419E"/>
    <w:rsid w:val="47464B9F"/>
    <w:rsid w:val="477A2FC0"/>
    <w:rsid w:val="47BB7C4A"/>
    <w:rsid w:val="47CF4220"/>
    <w:rsid w:val="4866F91B"/>
    <w:rsid w:val="488256AC"/>
    <w:rsid w:val="48AEFD6B"/>
    <w:rsid w:val="48C5FB6C"/>
    <w:rsid w:val="4919F448"/>
    <w:rsid w:val="49CA2AFF"/>
    <w:rsid w:val="4A15E10F"/>
    <w:rsid w:val="4A2B4178"/>
    <w:rsid w:val="4B38373A"/>
    <w:rsid w:val="4B5273CD"/>
    <w:rsid w:val="4BA21BAA"/>
    <w:rsid w:val="4CB6C870"/>
    <w:rsid w:val="4D7573E1"/>
    <w:rsid w:val="4DFF8C53"/>
    <w:rsid w:val="4E1C4F11"/>
    <w:rsid w:val="4E22909D"/>
    <w:rsid w:val="4E8F964A"/>
    <w:rsid w:val="4EDBE6BE"/>
    <w:rsid w:val="4EF5FAF8"/>
    <w:rsid w:val="4F53CBD8"/>
    <w:rsid w:val="4F6869F8"/>
    <w:rsid w:val="4FA969CE"/>
    <w:rsid w:val="4FE0E2C2"/>
    <w:rsid w:val="508A253C"/>
    <w:rsid w:val="509D1FDC"/>
    <w:rsid w:val="523093F7"/>
    <w:rsid w:val="5231315D"/>
    <w:rsid w:val="523EC7C5"/>
    <w:rsid w:val="529D56F7"/>
    <w:rsid w:val="52B4D939"/>
    <w:rsid w:val="52C26212"/>
    <w:rsid w:val="53007DA0"/>
    <w:rsid w:val="5375BD8E"/>
    <w:rsid w:val="53CB7DCA"/>
    <w:rsid w:val="53D3B1C9"/>
    <w:rsid w:val="5443B391"/>
    <w:rsid w:val="54507150"/>
    <w:rsid w:val="548E180E"/>
    <w:rsid w:val="54F2D158"/>
    <w:rsid w:val="55F2CE67"/>
    <w:rsid w:val="5743587D"/>
    <w:rsid w:val="57C17399"/>
    <w:rsid w:val="5815938E"/>
    <w:rsid w:val="582EEA13"/>
    <w:rsid w:val="583BD19F"/>
    <w:rsid w:val="586FF1AE"/>
    <w:rsid w:val="58FF1C41"/>
    <w:rsid w:val="594144CD"/>
    <w:rsid w:val="594A53FE"/>
    <w:rsid w:val="59640D40"/>
    <w:rsid w:val="597B7907"/>
    <w:rsid w:val="59F9C4AF"/>
    <w:rsid w:val="5A02E630"/>
    <w:rsid w:val="5A8D8EBA"/>
    <w:rsid w:val="5AE6A1A1"/>
    <w:rsid w:val="5B1F9D13"/>
    <w:rsid w:val="5B8FD7D6"/>
    <w:rsid w:val="5BA75989"/>
    <w:rsid w:val="5C08D10A"/>
    <w:rsid w:val="5C095223"/>
    <w:rsid w:val="5C4148A1"/>
    <w:rsid w:val="5C435AD6"/>
    <w:rsid w:val="5C968858"/>
    <w:rsid w:val="5CAFD969"/>
    <w:rsid w:val="5D135B97"/>
    <w:rsid w:val="5D2CB787"/>
    <w:rsid w:val="5D987655"/>
    <w:rsid w:val="5DA714E4"/>
    <w:rsid w:val="5DE08F37"/>
    <w:rsid w:val="5E76137D"/>
    <w:rsid w:val="5ED5232A"/>
    <w:rsid w:val="6025625A"/>
    <w:rsid w:val="6053CE5A"/>
    <w:rsid w:val="60F00C20"/>
    <w:rsid w:val="610510F5"/>
    <w:rsid w:val="612E306C"/>
    <w:rsid w:val="6284C26F"/>
    <w:rsid w:val="62C2FAA1"/>
    <w:rsid w:val="630FDBB0"/>
    <w:rsid w:val="6367DC9A"/>
    <w:rsid w:val="63C0931F"/>
    <w:rsid w:val="643EA0DA"/>
    <w:rsid w:val="64ADDDC0"/>
    <w:rsid w:val="64CB4D42"/>
    <w:rsid w:val="64DAF0D4"/>
    <w:rsid w:val="66AEA93E"/>
    <w:rsid w:val="66EE3601"/>
    <w:rsid w:val="678D8CA8"/>
    <w:rsid w:val="679E4D25"/>
    <w:rsid w:val="67CFA987"/>
    <w:rsid w:val="67E20234"/>
    <w:rsid w:val="682AE054"/>
    <w:rsid w:val="68698C69"/>
    <w:rsid w:val="686C1EFC"/>
    <w:rsid w:val="688B3262"/>
    <w:rsid w:val="68BD7025"/>
    <w:rsid w:val="68E23D74"/>
    <w:rsid w:val="690BF454"/>
    <w:rsid w:val="69325E4E"/>
    <w:rsid w:val="695729B1"/>
    <w:rsid w:val="6996703E"/>
    <w:rsid w:val="69B43E13"/>
    <w:rsid w:val="69BAB1BA"/>
    <w:rsid w:val="6A0B4938"/>
    <w:rsid w:val="6AA4BCE7"/>
    <w:rsid w:val="6ACFBA0F"/>
    <w:rsid w:val="6AE60CC3"/>
    <w:rsid w:val="6AEF3D6E"/>
    <w:rsid w:val="6B15DAFA"/>
    <w:rsid w:val="6B3B3A73"/>
    <w:rsid w:val="6C0E24F0"/>
    <w:rsid w:val="6C3B08BC"/>
    <w:rsid w:val="6C49A038"/>
    <w:rsid w:val="6C84B289"/>
    <w:rsid w:val="6CB9062E"/>
    <w:rsid w:val="6D75EC6C"/>
    <w:rsid w:val="6D7E1A4A"/>
    <w:rsid w:val="6E6918B8"/>
    <w:rsid w:val="6EB4DDF0"/>
    <w:rsid w:val="6EC00A59"/>
    <w:rsid w:val="6F1C53E6"/>
    <w:rsid w:val="7007E369"/>
    <w:rsid w:val="7047F219"/>
    <w:rsid w:val="7095064F"/>
    <w:rsid w:val="7095A961"/>
    <w:rsid w:val="70DF2A27"/>
    <w:rsid w:val="712FFD7F"/>
    <w:rsid w:val="71F4DCEA"/>
    <w:rsid w:val="7210548F"/>
    <w:rsid w:val="729ADA3F"/>
    <w:rsid w:val="72CBE7DD"/>
    <w:rsid w:val="72D5FF2C"/>
    <w:rsid w:val="737BDA84"/>
    <w:rsid w:val="73C14B19"/>
    <w:rsid w:val="74A79F2A"/>
    <w:rsid w:val="74F9CCB5"/>
    <w:rsid w:val="752620F7"/>
    <w:rsid w:val="75A70657"/>
    <w:rsid w:val="75E21B0D"/>
    <w:rsid w:val="766BBA00"/>
    <w:rsid w:val="77141385"/>
    <w:rsid w:val="782922B2"/>
    <w:rsid w:val="7832ED25"/>
    <w:rsid w:val="7854F938"/>
    <w:rsid w:val="792EE6F0"/>
    <w:rsid w:val="7984890D"/>
    <w:rsid w:val="7A767A59"/>
    <w:rsid w:val="7B0A4461"/>
    <w:rsid w:val="7B7BE922"/>
    <w:rsid w:val="7BC4EFFA"/>
    <w:rsid w:val="7BDCDD41"/>
    <w:rsid w:val="7C34E5A2"/>
    <w:rsid w:val="7C7D882E"/>
    <w:rsid w:val="7D94D67E"/>
    <w:rsid w:val="7DCB5168"/>
    <w:rsid w:val="7E074AB7"/>
    <w:rsid w:val="7E10814C"/>
    <w:rsid w:val="7E5045BB"/>
    <w:rsid w:val="7EBC8376"/>
    <w:rsid w:val="7EDD82AF"/>
    <w:rsid w:val="7F32EE84"/>
    <w:rsid w:val="7F79AA69"/>
    <w:rsid w:val="7FCDF02C"/>
    <w:rsid w:val="7FD2A913"/>
    <w:rsid w:val="7FD6DD84"/>
    <w:rsid w:val="7FE73EB7"/>
    <w:rsid w:val="7FF3393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F5F97A3"/>
  <w15:chartTrackingRefBased/>
  <w15:docId w15:val="{3E8A27A4-59D3-45BC-9C84-6C2476892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Paragraph">
    <w:name w:val="List Paragraph"/>
    <w:basedOn w:val="Normal"/>
    <w:uiPriority w:val="34"/>
    <w:qFormat/>
    <w:rsid w:val="1E8ABB7D"/>
    <w:pPr>
      <w:ind w:left="720"/>
      <w:contextualSpacing/>
    </w:pPr>
  </w:style>
  <w:style w:type="paragraph" w:styleId="Header">
    <w:uiPriority w:val="99"/>
    <w:name w:val="header"/>
    <w:basedOn w:val="Normal"/>
    <w:unhideWhenUsed/>
    <w:rsid w:val="7FD6DD84"/>
    <w:pPr>
      <w:tabs>
        <w:tab w:val="center" w:leader="none" w:pos="4680"/>
        <w:tab w:val="right" w:leader="none" w:pos="9360"/>
      </w:tabs>
      <w:spacing w:after="0" w:line="240" w:lineRule="auto"/>
    </w:pPr>
  </w:style>
  <w:style w:type="paragraph" w:styleId="Footer">
    <w:uiPriority w:val="99"/>
    <w:name w:val="footer"/>
    <w:basedOn w:val="Normal"/>
    <w:unhideWhenUsed/>
    <w:rsid w:val="7FD6DD84"/>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theme" Target="theme/theme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fontTable" Target="fontTable.xml" Id="rId6" /><Relationship Type="http://schemas.openxmlformats.org/officeDocument/2006/relationships/image" Target="media/image1.png" Id="rId5" /><Relationship Type="http://schemas.openxmlformats.org/officeDocument/2006/relationships/webSettings" Target="webSettings.xml" Id="rId4" /><Relationship Type="http://schemas.openxmlformats.org/officeDocument/2006/relationships/header" Target="header.xml" Id="R00b18db262d3441e" /><Relationship Type="http://schemas.openxmlformats.org/officeDocument/2006/relationships/footer" Target="footer.xml" Id="Rd70eec70ca794f07" /><Relationship Type="http://schemas.microsoft.com/office/2020/10/relationships/intelligence" Target="intelligence2.xml" Id="R07f3f1acb17e41f8"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Tsion Alemayew Teferi (2415134)</dc:creator>
  <keywords/>
  <dc:description/>
  <lastModifiedBy>Tsion Alemayew Teferi (2415134)</lastModifiedBy>
  <revision>14</revision>
  <dcterms:created xsi:type="dcterms:W3CDTF">2025-12-07T21:06:00.0000000Z</dcterms:created>
  <dcterms:modified xsi:type="dcterms:W3CDTF">2025-12-11T22:38:47.3776446Z</dcterms:modified>
</coreProperties>
</file>