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3209925" cy="142875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209925" cy="14287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0" w:line="360"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3">
      <w:pPr>
        <w:spacing w:after="0" w:line="36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CREATIVITY, VALUE CREATION AND LEADERSHIP IN HEALTH AND SOCIAL CARE</w:t>
      </w:r>
    </w:p>
    <w:p w:rsidR="00000000" w:rsidDel="00000000" w:rsidP="00000000" w:rsidRDefault="00000000" w:rsidRPr="00000000" w14:paraId="00000004">
      <w:pPr>
        <w:spacing w:after="0"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5">
      <w:pPr>
        <w:spacing w:after="0" w:line="36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ONLINE PORTFOLIO ASSESSMENT</w:t>
      </w:r>
    </w:p>
    <w:p w:rsidR="00000000" w:rsidDel="00000000" w:rsidP="00000000" w:rsidRDefault="00000000" w:rsidRPr="00000000" w14:paraId="00000006">
      <w:pPr>
        <w:spacing w:after="0"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7">
      <w:pPr>
        <w:spacing w:after="0" w:line="36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MODULE TITLE: CREATIVITY, VALUE CREATION AND LEADERSHIP IN HEALTH AND SOCIAL CARE</w:t>
      </w:r>
    </w:p>
    <w:p w:rsidR="00000000" w:rsidDel="00000000" w:rsidP="00000000" w:rsidRDefault="00000000" w:rsidRPr="00000000" w14:paraId="00000008">
      <w:pPr>
        <w:spacing w:after="0" w:line="36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ASSESSMENT TYPE: ONLINE PORTFOLIO (50%)</w:t>
      </w:r>
    </w:p>
    <w:p w:rsidR="00000000" w:rsidDel="00000000" w:rsidP="00000000" w:rsidRDefault="00000000" w:rsidRPr="00000000" w14:paraId="00000009">
      <w:pPr>
        <w:spacing w:after="0"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A">
      <w:pPr>
        <w:spacing w:after="0" w:line="24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STUDENT NAME: FATOU CHUBA</w:t>
      </w:r>
    </w:p>
    <w:p w:rsidR="00000000" w:rsidDel="00000000" w:rsidP="00000000" w:rsidRDefault="00000000" w:rsidRPr="00000000" w14:paraId="0000000B">
      <w:pPr>
        <w:spacing w:after="0" w:line="24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STUDENT ID: 2421797</w:t>
      </w:r>
    </w:p>
    <w:p w:rsidR="00000000" w:rsidDel="00000000" w:rsidP="00000000" w:rsidRDefault="00000000" w:rsidRPr="00000000" w14:paraId="0000000C">
      <w:pPr>
        <w:spacing w:after="0" w:line="24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MODULE CODE: BMHP5014</w:t>
      </w:r>
    </w:p>
    <w:p w:rsidR="00000000" w:rsidDel="00000000" w:rsidP="00000000" w:rsidRDefault="00000000" w:rsidRPr="00000000" w14:paraId="0000000D">
      <w:pPr>
        <w:spacing w:after="0" w:line="240" w:lineRule="auto"/>
        <w:jc w:val="center"/>
        <w:rPr>
          <w:rFonts w:ascii="Times New Roman" w:cs="Times New Roman" w:eastAsia="Times New Roman" w:hAnsi="Times New Roman"/>
          <w:sz w:val="72"/>
          <w:szCs w:val="72"/>
        </w:rPr>
      </w:pPr>
      <w:r w:rsidDel="00000000" w:rsidR="00000000" w:rsidRPr="00000000">
        <w:br w:type="page"/>
      </w:r>
      <w:r w:rsidDel="00000000" w:rsidR="00000000" w:rsidRPr="00000000">
        <w:rPr>
          <w:rtl w:val="0"/>
        </w:rPr>
      </w:r>
    </w:p>
    <w:p w:rsidR="00000000" w:rsidDel="00000000" w:rsidP="00000000" w:rsidRDefault="00000000" w:rsidRPr="00000000" w14:paraId="0000000E">
      <w:pPr>
        <w:spacing w:after="0" w:line="36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F">
      <w:pPr>
        <w:spacing w:after="0" w:line="36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0">
      <w:pPr>
        <w:spacing w:after="0" w:line="36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1">
      <w:pPr>
        <w:spacing w:after="0"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2">
      <w:pPr>
        <w:spacing w:after="0" w:line="360" w:lineRule="auto"/>
        <w:jc w:val="center"/>
        <w:rPr>
          <w:rFonts w:ascii="Times New Roman" w:cs="Times New Roman" w:eastAsia="Times New Roman" w:hAnsi="Times New Roman"/>
          <w:sz w:val="72"/>
          <w:szCs w:val="72"/>
        </w:rPr>
      </w:pPr>
      <w:r w:rsidDel="00000000" w:rsidR="00000000" w:rsidRPr="00000000">
        <w:rPr>
          <w:rtl w:val="0"/>
        </w:rPr>
      </w:r>
    </w:p>
    <w:p w:rsidR="00000000" w:rsidDel="00000000" w:rsidP="00000000" w:rsidRDefault="00000000" w:rsidRPr="00000000" w14:paraId="00000013">
      <w:pPr>
        <w:spacing w:after="0" w:line="360" w:lineRule="auto"/>
        <w:jc w:val="center"/>
        <w:rPr>
          <w:rFonts w:ascii="Times New Roman" w:cs="Times New Roman" w:eastAsia="Times New Roman" w:hAnsi="Times New Roman"/>
          <w:sz w:val="72"/>
          <w:szCs w:val="72"/>
        </w:rPr>
      </w:pPr>
      <w:r w:rsidDel="00000000" w:rsidR="00000000" w:rsidRPr="00000000">
        <w:rPr>
          <w:rtl w:val="0"/>
        </w:rPr>
      </w:r>
    </w:p>
    <w:p w:rsidR="00000000" w:rsidDel="00000000" w:rsidP="00000000" w:rsidRDefault="00000000" w:rsidRPr="00000000" w14:paraId="00000014">
      <w:pPr>
        <w:spacing w:after="0" w:line="360" w:lineRule="auto"/>
        <w:jc w:val="center"/>
        <w:rPr>
          <w:rFonts w:ascii="Times New Roman" w:cs="Times New Roman" w:eastAsia="Times New Roman" w:hAnsi="Times New Roman"/>
          <w:sz w:val="72"/>
          <w:szCs w:val="72"/>
        </w:rPr>
      </w:pPr>
      <w:r w:rsidDel="00000000" w:rsidR="00000000" w:rsidRPr="00000000">
        <w:rPr>
          <w:rtl w:val="0"/>
        </w:rPr>
      </w:r>
    </w:p>
    <w:p w:rsidR="00000000" w:rsidDel="00000000" w:rsidP="00000000" w:rsidRDefault="00000000" w:rsidRPr="00000000" w14:paraId="00000015">
      <w:pPr>
        <w:spacing w:after="0" w:line="360" w:lineRule="auto"/>
        <w:jc w:val="center"/>
        <w:rPr>
          <w:rFonts w:ascii="Times New Roman" w:cs="Times New Roman" w:eastAsia="Times New Roman" w:hAnsi="Times New Roman"/>
          <w:sz w:val="72"/>
          <w:szCs w:val="72"/>
        </w:rPr>
      </w:pPr>
      <w:r w:rsidDel="00000000" w:rsidR="00000000" w:rsidRPr="00000000">
        <w:rPr>
          <w:rtl w:val="0"/>
        </w:rPr>
      </w:r>
    </w:p>
    <w:p w:rsidR="00000000" w:rsidDel="00000000" w:rsidP="00000000" w:rsidRDefault="00000000" w:rsidRPr="00000000" w14:paraId="00000016">
      <w:pPr>
        <w:pStyle w:val="Heading1"/>
        <w:rPr/>
      </w:pPr>
      <w:bookmarkStart w:colFirst="0" w:colLast="0" w:name="_qg2zyg5xmlp9" w:id="0"/>
      <w:bookmarkEnd w:id="0"/>
      <w:r w:rsidDel="00000000" w:rsidR="00000000" w:rsidRPr="00000000">
        <w:rPr>
          <w:rtl w:val="0"/>
        </w:rPr>
      </w:r>
    </w:p>
    <w:p w:rsidR="00000000" w:rsidDel="00000000" w:rsidP="00000000" w:rsidRDefault="00000000" w:rsidRPr="00000000" w14:paraId="00000017">
      <w:pPr>
        <w:pStyle w:val="Heading1"/>
        <w:rPr/>
      </w:pPr>
      <w:bookmarkStart w:colFirst="0" w:colLast="0" w:name="_utfgnhby41i1" w:id="1"/>
      <w:bookmarkEnd w:id="1"/>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rPr/>
      </w:pPr>
      <w:bookmarkStart w:colFirst="0" w:colLast="0" w:name="_cnhl7s6ve7hn" w:id="2"/>
      <w:bookmarkEnd w:id="2"/>
      <w:r w:rsidDel="00000000" w:rsidR="00000000" w:rsidRPr="00000000">
        <w:rPr>
          <w:rtl w:val="0"/>
        </w:rPr>
        <w:t xml:space="preserve">Task 1 – Concept Map</w:t>
      </w:r>
    </w:p>
    <w:p w:rsidR="00000000" w:rsidDel="00000000" w:rsidP="00000000" w:rsidRDefault="00000000" w:rsidRPr="00000000" w14:paraId="00000019">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Concept Map: Creativity, Value Creation and Health and Social Care Improvement </w:t>
      </w:r>
      <w:r w:rsidDel="00000000" w:rsidR="00000000" w:rsidRPr="00000000">
        <w:rPr>
          <w:rtl w:val="0"/>
        </w:rPr>
      </w:r>
    </w:p>
    <w:p w:rsidR="00000000" w:rsidDel="00000000" w:rsidP="00000000" w:rsidRDefault="00000000" w:rsidRPr="00000000" w14:paraId="0000001A">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Health and social care improvement, value creation and creativity are three concepts that are interrelated and contribute greatly to the quality and effectiveness of delivery. Creativity has to do with new ideas, inventive methods as well as coming up with new solutions to problems. In health and social care, creativity is paramount since organisations are constantly exposed to challenges like a rise in demand of services, scarcity of resources, shortage of workforce as well as variation in the needs of patients (Kelly and Young, 2017). Innovation, a component of creative thinking, helps healthcare professionals to find innovative ways of dealing with care delivery. As an illustration, telehealth services, digital patient records, and personalised care plans show how innovative strategies can enhance care access and further assist patients in achieving improved outcomes (Robert and Macdonald, 2017). The creativity also makes the professionals question the traditional practises and seek more effective means of addressing the needs of service users. Creation of value happens when these creative thought processes lead to beneficial outcomes for patients, service users, healthcare professionals, and organisations. Value is also generated in the health and social care by enhancing the quality of care, patient satisfaction, safety, decreasing waiting times and better utilisation of resources. Value can also be quantified in terms of financial means as well as in terms of health and wellbeing and quality of life (Greenhalgh et al., 2016). Leadership can facilitate this process through promoting collaboration, innovation, and lifelong learning amongst employees. Thus, innovation is based on creativity, value creation is on the way to make sure that the benefits are achieved, and they are combined in order to provide sustainable changes in consumer health and social care services and achieve better results by the end of the day (Topol, 2019).</w:t>
      </w:r>
    </w:p>
    <w:p w:rsidR="00000000" w:rsidDel="00000000" w:rsidP="00000000" w:rsidRDefault="00000000" w:rsidRPr="00000000" w14:paraId="0000001B">
      <w:pPr>
        <w:spacing w:after="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5024438" cy="3349625"/>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024438" cy="3349625"/>
                    </a:xfrm>
                    <a:prstGeom prst="rect"/>
                    <a:ln/>
                  </pic:spPr>
                </pic:pic>
              </a:graphicData>
            </a:graphic>
          </wp:inline>
        </w:drawing>
      </w:r>
      <w:r w:rsidDel="00000000" w:rsidR="00000000" w:rsidRPr="00000000">
        <w:rPr>
          <w:rtl w:val="0"/>
        </w:rPr>
      </w:r>
    </w:p>
    <w:p w:rsidR="00000000" w:rsidDel="00000000" w:rsidP="00000000" w:rsidRDefault="00000000" w:rsidRPr="00000000" w14:paraId="0000001C">
      <w:pPr>
        <w:spacing w:after="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Fig: Concept map</w:t>
      </w:r>
    </w:p>
    <w:p w:rsidR="00000000" w:rsidDel="00000000" w:rsidP="00000000" w:rsidRDefault="00000000" w:rsidRPr="00000000" w14:paraId="0000001D">
      <w:pPr>
        <w:spacing w:after="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(Source: Author, 2026)</w:t>
      </w:r>
    </w:p>
    <w:p w:rsidR="00000000" w:rsidDel="00000000" w:rsidP="00000000" w:rsidRDefault="00000000" w:rsidRPr="00000000" w14:paraId="0000001E">
      <w:pPr>
        <w:spacing w:after="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F">
      <w:pPr>
        <w:spacing w:after="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0">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21">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22">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23">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24">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25">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26">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27">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28">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29">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2A">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2B">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2C">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2D">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2E">
      <w:pPr>
        <w:pStyle w:val="Heading1"/>
        <w:rPr/>
      </w:pPr>
      <w:bookmarkStart w:colFirst="0" w:colLast="0" w:name="_qpihpy5zd97z" w:id="3"/>
      <w:bookmarkEnd w:id="3"/>
      <w:r w:rsidDel="00000000" w:rsidR="00000000" w:rsidRPr="00000000">
        <w:rPr>
          <w:rtl w:val="0"/>
        </w:rPr>
        <w:t xml:space="preserve">Task 2 - Self-Reflection of Group Activity</w:t>
      </w:r>
    </w:p>
    <w:p w:rsidR="00000000" w:rsidDel="00000000" w:rsidP="00000000" w:rsidRDefault="00000000" w:rsidRPr="00000000" w14:paraId="0000002F">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Self-Reflection on the Convergent/Divergent Paperclip Thinking Activity (Gibbs' Reflective Cycle) </w:t>
      </w:r>
    </w:p>
    <w:p w:rsidR="00000000" w:rsidDel="00000000" w:rsidP="00000000" w:rsidRDefault="00000000" w:rsidRPr="00000000" w14:paraId="00000030">
      <w:pPr>
        <w:spacing w:after="0" w:line="360" w:lineRule="auto"/>
        <w:jc w:val="both"/>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Description:</w:t>
      </w:r>
    </w:p>
    <w:p w:rsidR="00000000" w:rsidDel="00000000" w:rsidP="00000000" w:rsidRDefault="00000000" w:rsidRPr="00000000" w14:paraId="00000031">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Week 2, I engaged in the Convergent and Divergent Paperclip Thinking activity. In this assignment, our group was to come up with a maximum number of alternative applications of a paperclip before reducing the number of ideas to the most viable and innovative solutions. The exercise proved two possible thinking styles: divergent thinking, which is about coming up with various ideas, and convergent thinking, which implies weighing different suggestions and choosing the most appropriate ones (Clement et al., 2015).</w:t>
      </w:r>
    </w:p>
    <w:p w:rsidR="00000000" w:rsidDel="00000000" w:rsidP="00000000" w:rsidRDefault="00000000" w:rsidRPr="00000000" w14:paraId="00000032">
      <w:pPr>
        <w:spacing w:after="0" w:line="360" w:lineRule="auto"/>
        <w:jc w:val="both"/>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Feelings:</w:t>
      </w:r>
    </w:p>
    <w:p w:rsidR="00000000" w:rsidDel="00000000" w:rsidP="00000000" w:rsidRDefault="00000000" w:rsidRPr="00000000" w14:paraId="00000033">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At the beginning of the activity, I found it challenging to think beyond the paperclip's traditional use. In the process, though, as the members of the group contributed, I felt more confident and involved. The group setting promoted innovation and enabled me to take into account views that I would not have thought of on my own (Greenhalgh et al., 2016).</w:t>
      </w:r>
    </w:p>
    <w:p w:rsidR="00000000" w:rsidDel="00000000" w:rsidP="00000000" w:rsidRDefault="00000000" w:rsidRPr="00000000" w14:paraId="00000034">
      <w:pPr>
        <w:spacing w:after="0" w:line="360" w:lineRule="auto"/>
        <w:jc w:val="both"/>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Evaluation:</w:t>
      </w:r>
    </w:p>
    <w:p w:rsidR="00000000" w:rsidDel="00000000" w:rsidP="00000000" w:rsidRDefault="00000000" w:rsidRPr="00000000" w14:paraId="00000035">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exercise was effective in emphasising the value of being creative when solving problems. The chance to cooperate and elaborate on the ideas of other people was a positive factor. Nonetheless, there were ideas that were disqualified at an early stage of the convergent phase, thus restricting the possibilities of exploring potential viable solutions.</w:t>
      </w:r>
    </w:p>
    <w:p w:rsidR="00000000" w:rsidDel="00000000" w:rsidP="00000000" w:rsidRDefault="00000000" w:rsidRPr="00000000" w14:paraId="00000036">
      <w:pPr>
        <w:spacing w:after="0" w:line="360" w:lineRule="auto"/>
        <w:jc w:val="both"/>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Analysis:</w:t>
      </w:r>
    </w:p>
    <w:p w:rsidR="00000000" w:rsidDel="00000000" w:rsidP="00000000" w:rsidRDefault="00000000" w:rsidRPr="00000000" w14:paraId="00000037">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activity revealed that divergent thinking promotes innovation as it gives one the freedom to explore various possibilities without immediate judgment. Convergent thinking is also vital since it contributes towards narrowing ideas to feasible solutions. The two approaches are required in the context of health and social care environments in solving complex issues and designing patient-centred services (Crealey et al., 2023).</w:t>
      </w:r>
    </w:p>
    <w:p w:rsidR="00000000" w:rsidDel="00000000" w:rsidP="00000000" w:rsidRDefault="00000000" w:rsidRPr="00000000" w14:paraId="00000038">
      <w:pPr>
        <w:spacing w:after="0" w:line="360" w:lineRule="auto"/>
        <w:jc w:val="both"/>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Conclusion and Action Plan:</w:t>
      </w:r>
    </w:p>
    <w:p w:rsidR="00000000" w:rsidDel="00000000" w:rsidP="00000000" w:rsidRDefault="00000000" w:rsidRPr="00000000" w14:paraId="00000039">
      <w:pPr>
        <w:spacing w:after="0" w:line="360" w:lineRule="auto"/>
        <w:jc w:val="both"/>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rtl w:val="0"/>
        </w:rPr>
        <w:t xml:space="preserve">The activity enhanced my knowledge of creative thinking and its application in the development of innovative solutions. When conducting group work and professional practice in the future, I would promote the open generation of ideas prior to evaluating the options and making decisions so that creativity is exhausted before making a choice (Reidy et al., 2025).</w:t>
      </w:r>
      <w:r w:rsidDel="00000000" w:rsidR="00000000" w:rsidRPr="00000000">
        <w:rPr>
          <w:rtl w:val="0"/>
        </w:rPr>
      </w:r>
    </w:p>
    <w:p w:rsidR="00000000" w:rsidDel="00000000" w:rsidP="00000000" w:rsidRDefault="00000000" w:rsidRPr="00000000" w14:paraId="0000003A">
      <w:pPr>
        <w:pStyle w:val="Heading1"/>
        <w:jc w:val="both"/>
        <w:rPr/>
      </w:pPr>
      <w:bookmarkStart w:colFirst="0" w:colLast="0" w:name="_1fzfl7lf7ja0" w:id="4"/>
      <w:bookmarkEnd w:id="4"/>
      <w:r w:rsidDel="00000000" w:rsidR="00000000" w:rsidRPr="00000000">
        <w:rPr>
          <w:rtl w:val="0"/>
        </w:rPr>
        <w:t xml:space="preserve">Task 3 - Case Study of a UK innovation</w:t>
      </w:r>
    </w:p>
    <w:p w:rsidR="00000000" w:rsidDel="00000000" w:rsidP="00000000" w:rsidRDefault="00000000" w:rsidRPr="00000000" w14:paraId="0000003B">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One of the important sources of innovation in the UK healthcare system is the NHS App. The app was introduced by the National Health Service and aimed at enhancing the accessibility of healthcare services for patients with the help of digital technology. The project illustrates the potential of creativity and innovation to solve the issues in health and social care, such as lengthy waiting lines, excessive paper administration, and reduced access to healthcare information. The development of the NHS App involved creative thinking to redesign the way patients interact with healthcare services. In the past, patients had to call GP surgeries via phone or visit the offices and communicate with them to get information, make appointments, or have prescriptions filled (NHS England, 2024). The NHS App has offered a digital service which enables users to access numerous healthcare-related services using their smartphones or computers. Its features are to place repeat prescriptions, review medical records, make appointments, access health information, and get health-related messages. In designing and implementing the app, creativity was very instrumental. Digital specialists, policymakers, and healthcare professionals worked together to develop an easy-to-use system and address the needs of a wide range of patients (Crealey et al., 2023). The initiative was a response to conventional healthcare delivery methods since traditional approaches adapted digital technology to offer more access and convenient services. This novel technology came in especially handy in the COVID-19 pandemic, where in-person access to healthcare services was necessary. The NHS App has been invaluable to patients and healthcare providers alike. As a patient, the app enhances ease, portability, and management of their medical care. Practices can be provided at any time, which may save time and minimise stress. Patient empowerment is also an attribute of the app, which allows direct access to personal health data, making them more engaged in healthcare choices. </w:t>
      </w:r>
    </w:p>
    <w:p w:rsidR="00000000" w:rsidDel="00000000" w:rsidP="00000000" w:rsidRDefault="00000000" w:rsidRPr="00000000" w14:paraId="0000003C">
      <w:pPr>
        <w:pStyle w:val="Heading1"/>
        <w:rPr/>
      </w:pPr>
      <w:bookmarkStart w:colFirst="0" w:colLast="0" w:name="_9i50uzwzup5n" w:id="5"/>
      <w:bookmarkEnd w:id="5"/>
      <w:r w:rsidDel="00000000" w:rsidR="00000000" w:rsidRPr="00000000">
        <w:rPr>
          <w:rtl w:val="0"/>
        </w:rPr>
        <w:t xml:space="preserve">Task 4 - Research Task: Mental Health Stigma as a Current Health and Social Care Issue</w:t>
      </w:r>
    </w:p>
    <w:p w:rsidR="00000000" w:rsidDel="00000000" w:rsidP="00000000" w:rsidRDefault="00000000" w:rsidRPr="00000000" w14:paraId="0000003D">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problem of mental health stigma is quite divisive in the health and social care. Stigma is a negative reaction to individuals with mental health conditions that constitutes negative attitudes, stereotyping, and discrimination. It may even deny individuals access to help, support and attain favourable health outcomes. Clement et al. (2015) conducted an academic study that examined the effects of mental health-related stigma on help-seeking behaviour. The researchers have searched the literature, and most of the studies revealed that most people do not even want to be helped by the authoritative figure, as they are afraid of being judged, labelled, and even discriminated against by other people. In the study, issues related to social rejection, embarrassment, and negative perceptions by society tend to make individuals discouraged to seek mental services. This can make individuals put off treatment and avoid getting better over time, and the result is increasing symptoms and worse long-term results. The results drive the hypothesis that stigma is one of the significant impediments to early intervention and effective mental health. Corrigan et al. (2014) investigated the role of public attitudes in the exclusion of mentally ill individuals. The authors discovered that misconceptions of mental health conditions tend to cause discrimination in the workplace, education, health conditions and social interactions. Negative stereotypes deprive many individuals experiencing mental health challenges of the opportunities to do this, and they face social isolation. The researchers came to the conclusion that the poor understanding and awareness in society support stigma and provide obstacles towards recovery and social inclusion. Active networking of these studies indicates that negative social attitudes, fear, misunderstanding, and discrimination are responsible for causing mental health stigma. These elements may make people unwilling to obtain any support and become full members of society. </w:t>
      </w:r>
    </w:p>
    <w:p w:rsidR="00000000" w:rsidDel="00000000" w:rsidP="00000000" w:rsidRDefault="00000000" w:rsidRPr="00000000" w14:paraId="0000003E">
      <w:pPr>
        <w:pStyle w:val="Heading1"/>
        <w:rPr/>
      </w:pPr>
      <w:bookmarkStart w:colFirst="0" w:colLast="0" w:name="_kc24ihlx8g3g" w:id="6"/>
      <w:bookmarkEnd w:id="6"/>
      <w:r w:rsidDel="00000000" w:rsidR="00000000" w:rsidRPr="00000000">
        <w:rPr>
          <w:rtl w:val="0"/>
        </w:rPr>
        <w:t xml:space="preserve">Task 5 - Podcast</w:t>
      </w:r>
    </w:p>
    <w:p w:rsidR="00000000" w:rsidDel="00000000" w:rsidP="00000000" w:rsidRDefault="00000000" w:rsidRPr="00000000" w14:paraId="0000003F">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Hello, my name is Fatou Chuba and in this podcast, I will introduce my idea for Component 2 of this module. My health and social care concern of interest is mental health stigma. Even though there is more awareness of mental health conditions, several people still face discrimination, negative attitudes, and barriers to accessing support. It is a problem which touches the representatives of all ages and backgrounds and may deprive people of the availability of appropriate care. The solution that I intend to present is the creation of the digital mental health awareness platform, which will be an integration of education, peer support, and access to professional tools (Corrigan et al., 2014). The platform would be able to offer credible information regarding mental conditions, bust the widely held myths, and foster positive attitudes towards mental health. Users would receive the online support groups, self-help materials, and signposting to the local mental health services. This concept embraces creativity since it involves launching a digital technology that tackles a socially existing issue over a long period (Corrigan, Druss and Perlick, 2014). The project will promote more individuals to seek help and develop an interest in the mental health services by offering an easy-to-use and convenient platform. The innovation enhances value as well in terms of awareness creation, advocacy, and facilitation of early intervention. The benefits to be expected are an increased mental health literacy, increased confidence in seeking support, and better wellbeing among service users. Also, it can help healthcare organisations to become more engaged and treat mental health issues earlier (Topol, 2019).</w:t>
      </w:r>
    </w:p>
    <w:p w:rsidR="00000000" w:rsidDel="00000000" w:rsidP="00000000" w:rsidRDefault="00000000" w:rsidRPr="00000000" w14:paraId="00000040">
      <w:pPr>
        <w:spacing w:after="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1">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Thank you for listening.</w:t>
      </w:r>
    </w:p>
    <w:p w:rsidR="00000000" w:rsidDel="00000000" w:rsidP="00000000" w:rsidRDefault="00000000" w:rsidRPr="00000000" w14:paraId="00000042">
      <w:pPr>
        <w:spacing w:after="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3">
      <w:pPr>
        <w:pStyle w:val="Heading1"/>
        <w:rPr/>
      </w:pPr>
      <w:bookmarkStart w:colFirst="0" w:colLast="0" w:name="_364v3erq0s1" w:id="7"/>
      <w:bookmarkEnd w:id="7"/>
      <w:r w:rsidDel="00000000" w:rsidR="00000000" w:rsidRPr="00000000">
        <w:rPr>
          <w:rtl w:val="0"/>
        </w:rPr>
        <w:t xml:space="preserve">Task 6 - NHS Leadership Framework Analysis</w:t>
      </w:r>
    </w:p>
    <w:p w:rsidR="00000000" w:rsidDel="00000000" w:rsidP="00000000" w:rsidRDefault="00000000" w:rsidRPr="00000000" w14:paraId="00000044">
      <w:pPr>
        <w:spacing w:after="0" w:line="360" w:lineRule="auto"/>
        <w:jc w:val="both"/>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Summary of the NHS Leadership Framework </w:t>
      </w:r>
    </w:p>
    <w:p w:rsidR="00000000" w:rsidDel="00000000" w:rsidP="00000000" w:rsidRDefault="00000000" w:rsidRPr="00000000" w14:paraId="00000045">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NHS Leadership Framework was created to enable good leadership at all levels within the NHS. It understands that leadership is not exclusive to senior managers but is an aspect of all people involved in the provision of health and social care services. The framework is intended to enhance patient outcomes through the promotion of behaviours and skills that facilitate individuals and teams to collaborate. Based on the framework, there are nine dimensions: Inspiring Shared Purpose, Leading with Care, Evaluating Information, Connecting Our Service, Sharing the Vision, Engaging the Team, Holding to Account, Developing Capability, and Influencing for Results. The dimensions offer insights into what is needed to become a successful leader in healthcare settings in terms of knowledge, values and behaviours (NHS England, 2024). Another key tenet of the framework is that patients and service users are at the centre of decision-making. Leaders are urged to build good working cultures, aid in lifelong learning, and encourage teams to work across various services and professions (NHS Leadership Academy, 2026). The framework also focuses on the need to have communication, accountability and innovation to achieve high-quality care provision (Crealey et al., 2023).</w:t>
      </w:r>
    </w:p>
    <w:p w:rsidR="00000000" w:rsidDel="00000000" w:rsidP="00000000" w:rsidRDefault="00000000" w:rsidRPr="00000000" w14:paraId="00000046">
      <w:pPr>
        <w:spacing w:after="0"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7">
      <w:pPr>
        <w:spacing w:after="0" w:line="360" w:lineRule="auto"/>
        <w:jc w:val="both"/>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Using "Engaging the Team" to Encourage Creativity and Improve Care</w:t>
      </w:r>
    </w:p>
    <w:p w:rsidR="00000000" w:rsidDel="00000000" w:rsidP="00000000" w:rsidRDefault="00000000" w:rsidRPr="00000000" w14:paraId="00000048">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Engaging the Team is one of the key elements of the NHS Leadership Framework. This dimension is about engaging the staff in decision-making and inviting them to contribute, as well as providing a surrounding where people can feel important and respected. By being engaged, the team members will tend to share ideas and propose innovative ways of solving problems at the workplace (Elg et al., 2012). Providing an opportunity to discuss and brainstorm, to collaboratively solve problems, a leader can foster creativity. As an illustration, the staff might find new opportunities to shorten the time of waiting of patients wait or enhance intra-departmental communication (Reidy et al., 2025). Listening and appreciating the efforts of employees allows the leaders to establish trust and confidence in teams. The engaged teams tend to be more motivated and open to accepting the change. This may result in the quality of service delivered, the level of efficiency, and patient care. Thus, through a successful team activity, NHS leaders have the ability to be creative and help in innovation, coupled with constant improvement in all healthcare services (Kelly and Young, 2017).</w:t>
      </w:r>
    </w:p>
    <w:p w:rsidR="00000000" w:rsidDel="00000000" w:rsidP="00000000" w:rsidRDefault="00000000" w:rsidRPr="00000000" w14:paraId="00000049">
      <w:pPr>
        <w:pStyle w:val="Heading1"/>
        <w:rPr/>
      </w:pPr>
      <w:bookmarkStart w:colFirst="0" w:colLast="0" w:name="_iwv3i9qqqixi" w:id="8"/>
      <w:bookmarkEnd w:id="8"/>
      <w:r w:rsidDel="00000000" w:rsidR="00000000" w:rsidRPr="00000000">
        <w:rPr>
          <w:rtl w:val="0"/>
        </w:rPr>
        <w:t xml:space="preserve">Task 7 - Self-Reflection Journal Entry</w:t>
      </w:r>
    </w:p>
    <w:p w:rsidR="00000000" w:rsidDel="00000000" w:rsidP="00000000" w:rsidRDefault="00000000" w:rsidRPr="00000000" w14:paraId="0000004A">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module has allowed me to gain a lot more insight into creativity and value creation in health and social care. In the first stage of the module, I thought of creativity as primarily the capacity to produce new ideas. Nevertheless, the lectures, practice in the classroom, and examinations have helped me to understand that creativity is a practical tool that can be structured to deal with complex problems, to improve the services, and to produce better patient outcomes (West et al., 2017). Among the lessons that were invaluable was the understanding of the correlation between creativity, innovation and value creation. I was made aware that ideas that are creative can only be worthwhile when they are effectively applied and yield good results to the service users, the health professionals and organisations. The paperclip thinking exercise made me realise how divergent and convergent thinking is important when it comes to producing and analysing solutions. Besides, discussing innovations like the NHS App showed how ingenious methods could be applied to make things easier, faster, and more engaging to patients (Robert and Macdonald, 2017). Another area of awareness that this module has raised is the fact that leadership helps in leading the process of innovation and continuous improvement. Good leaders would foster a culture where employees would contribute ideas and influence change towards the right way. Being a future health and social care professional, I will ensure that I use what I have learnt in this module by being more innovative, by adopting the latest technologies and constantly trying to find ways of enhancing the quality of care that service users receive. This education will aid in my professional growth and contribute towards my participation in beneficial outcomes in health and social care environments (Greenhalgh et al., 2016).</w:t>
      </w:r>
    </w:p>
    <w:p w:rsidR="00000000" w:rsidDel="00000000" w:rsidP="00000000" w:rsidRDefault="00000000" w:rsidRPr="00000000" w14:paraId="0000004B">
      <w:pPr>
        <w:pStyle w:val="Heading1"/>
        <w:rPr/>
      </w:pPr>
      <w:bookmarkStart w:colFirst="0" w:colLast="0" w:name="_yakgil4axa8h" w:id="9"/>
      <w:bookmarkEnd w:id="9"/>
      <w:r w:rsidDel="00000000" w:rsidR="00000000" w:rsidRPr="00000000">
        <w:br w:type="page"/>
      </w:r>
      <w:r w:rsidDel="00000000" w:rsidR="00000000" w:rsidRPr="00000000">
        <w:rPr>
          <w:rtl w:val="0"/>
        </w:rPr>
      </w:r>
    </w:p>
    <w:p w:rsidR="00000000" w:rsidDel="00000000" w:rsidP="00000000" w:rsidRDefault="00000000" w:rsidRPr="00000000" w14:paraId="0000004C">
      <w:pPr>
        <w:pStyle w:val="Heading1"/>
        <w:rPr/>
      </w:pPr>
      <w:bookmarkStart w:colFirst="0" w:colLast="0" w:name="_7qut39ndnidf" w:id="10"/>
      <w:bookmarkEnd w:id="10"/>
      <w:r w:rsidDel="00000000" w:rsidR="00000000" w:rsidRPr="00000000">
        <w:rPr>
          <w:rtl w:val="0"/>
        </w:rPr>
      </w:r>
    </w:p>
    <w:p w:rsidR="00000000" w:rsidDel="00000000" w:rsidP="00000000" w:rsidRDefault="00000000" w:rsidRPr="00000000" w14:paraId="0000004D">
      <w:pPr>
        <w:pStyle w:val="Heading1"/>
        <w:rPr/>
      </w:pPr>
      <w:r w:rsidDel="00000000" w:rsidR="00000000" w:rsidRPr="00000000">
        <w:rPr>
          <w:rtl w:val="0"/>
        </w:rPr>
        <w:t xml:space="preserve">Reference List</w:t>
      </w:r>
    </w:p>
    <w:p w:rsidR="00000000" w:rsidDel="00000000" w:rsidP="00000000" w:rsidRDefault="00000000" w:rsidRPr="00000000" w14:paraId="0000004E">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NHS Leadership Academy (2026) Healthcare Leadership Model. Leeds: NHS Leadership Academy. </w:t>
      </w:r>
      <w:hyperlink r:id="rId8">
        <w:r w:rsidDel="00000000" w:rsidR="00000000" w:rsidRPr="00000000">
          <w:rPr>
            <w:rFonts w:ascii="Times New Roman" w:cs="Times New Roman" w:eastAsia="Times New Roman" w:hAnsi="Times New Roman"/>
            <w:color w:val="1155cc"/>
            <w:u w:val="single"/>
            <w:rtl w:val="0"/>
          </w:rPr>
          <w:t xml:space="preserve">https://www.leadershipacademy.nhs.uk/wp-content/uploads/dlm_uploads/2014/10/NHSLeadership-LeadershipModel-colour.pdf</w:t>
        </w:r>
      </w:hyperlink>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4F">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West, M., Eckert, R., Collins, B. and Chowla, R., 2017. Caring to change: How compassionate leadership can stimulate innovation in health care. King's Fund.</w:t>
      </w:r>
    </w:p>
    <w:p w:rsidR="00000000" w:rsidDel="00000000" w:rsidP="00000000" w:rsidRDefault="00000000" w:rsidRPr="00000000" w14:paraId="00000050">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Clement, S., Schauman, O., Graham, T., Maggioni, F., Evans-Lacko, S., Bezborodovs, N., Morgan, C., Rüsch, N., Brown, J.S. and Thornicroft, G., 2015. What is the impact of mental health-related stigma on help-seeking? A systematic review of quantitative and qualitative studies. Psychological medicine, 45(1), pp.11-27.</w:t>
      </w:r>
    </w:p>
    <w:p w:rsidR="00000000" w:rsidDel="00000000" w:rsidP="00000000" w:rsidRDefault="00000000" w:rsidRPr="00000000" w14:paraId="00000051">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Corrigan, P.W., Druss, B.G. and Perlick, D.A., 2014. The impact of mental illness stigma on seeking and participating in mental health care. Psychological science in the public interest, 15(2), pp.37-70.</w:t>
      </w:r>
    </w:p>
    <w:p w:rsidR="00000000" w:rsidDel="00000000" w:rsidP="00000000" w:rsidRDefault="00000000" w:rsidRPr="00000000" w14:paraId="00000052">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Gibbs, G., 1988. Learning by doing: A guide to teaching and learning methods. Further Education Unit.</w:t>
      </w:r>
    </w:p>
    <w:p w:rsidR="00000000" w:rsidDel="00000000" w:rsidP="00000000" w:rsidRDefault="00000000" w:rsidRPr="00000000" w14:paraId="00000053">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NHS England, 2024. NHS App. Available at: </w:t>
      </w:r>
      <w:hyperlink r:id="rId9">
        <w:r w:rsidDel="00000000" w:rsidR="00000000" w:rsidRPr="00000000">
          <w:rPr>
            <w:rFonts w:ascii="Times New Roman" w:cs="Times New Roman" w:eastAsia="Times New Roman" w:hAnsi="Times New Roman"/>
            <w:color w:val="1155cc"/>
            <w:u w:val="single"/>
            <w:rtl w:val="0"/>
          </w:rPr>
          <w:t xml:space="preserve">https://www.nhs.uk/nhs-app/</w:t>
        </w:r>
      </w:hyperlink>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54">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Topol, E., 2019. The topol review. Preparing the healthcare workforce to deliver the digital future, pp.1-48.</w:t>
      </w:r>
    </w:p>
    <w:p w:rsidR="00000000" w:rsidDel="00000000" w:rsidP="00000000" w:rsidRDefault="00000000" w:rsidRPr="00000000" w14:paraId="00000055">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Greenhalgh, T., Jackson, C., Shaw, S. and Janamian, T., 2016. Achieving research impact through co‐creation in community‐based health services: literature review and case study. The Milbank Quarterly, 94(2), pp.392-429.</w:t>
      </w:r>
    </w:p>
    <w:p w:rsidR="00000000" w:rsidDel="00000000" w:rsidP="00000000" w:rsidRDefault="00000000" w:rsidRPr="00000000" w14:paraId="00000056">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Robert, G. and Macdonald, A.S., 2017. Co-design, organisational creativity and quality improvement in the healthcare sector:‘designerly’or ‘design-like’. Designing for Service: Key Issues and Directions, pp.117-129.</w:t>
      </w:r>
    </w:p>
    <w:p w:rsidR="00000000" w:rsidDel="00000000" w:rsidP="00000000" w:rsidRDefault="00000000" w:rsidRPr="00000000" w14:paraId="00000057">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Crealey, G., McQuade, L., O’Sullivan, R. and O’Neill, C., 2023. Arts and creativity interventions for improving health and wellbeing in older adults: a systematic literature review of economic evaluation studies. BMC public health, 23(1), p.2496.</w:t>
      </w:r>
    </w:p>
    <w:p w:rsidR="00000000" w:rsidDel="00000000" w:rsidP="00000000" w:rsidRDefault="00000000" w:rsidRPr="00000000" w14:paraId="00000058">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Elg, M., Engström, J., Witell, L. and Poksinska, B., 2012. Co‐creation and learning in health‐care service development. Journal of Service Management, 23(3), pp.328-343.</w:t>
      </w:r>
    </w:p>
    <w:p w:rsidR="00000000" w:rsidDel="00000000" w:rsidP="00000000" w:rsidRDefault="00000000" w:rsidRPr="00000000" w14:paraId="00000059">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Reidy, C., Papoutsi, C., Kc, S., Gudgin, B., Laverty, A.A., Greaves, F. and Powell, J., 2025. Qualitative evaluation of the implementation and national roll-out of the NHS App in England. BMC medicine, 23(1), p.20.</w:t>
      </w:r>
    </w:p>
    <w:p w:rsidR="00000000" w:rsidDel="00000000" w:rsidP="00000000" w:rsidRDefault="00000000" w:rsidRPr="00000000" w14:paraId="0000005A">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Kelly, C.J. and Young, A.J., 2017. Promoting innovation in healthcare. Future healthcare journal, 4(2), pp.121-125.</w:t>
      </w:r>
    </w:p>
    <w:p w:rsidR="00000000" w:rsidDel="00000000" w:rsidP="00000000" w:rsidRDefault="00000000" w:rsidRPr="00000000" w14:paraId="0000005B">
      <w:pPr>
        <w:spacing w:after="0"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C">
      <w:pPr>
        <w:spacing w:after="0" w:line="360" w:lineRule="auto"/>
        <w:rPr>
          <w:rFonts w:ascii="Times New Roman" w:cs="Times New Roman" w:eastAsia="Times New Roman" w:hAnsi="Times New Roman"/>
          <w:color w:val="000000"/>
          <w:sz w:val="44"/>
          <w:szCs w:val="44"/>
        </w:rPr>
      </w:pPr>
      <w:r w:rsidDel="00000000" w:rsidR="00000000" w:rsidRPr="00000000">
        <w:rPr>
          <w:rtl w:val="0"/>
        </w:rPr>
      </w:r>
    </w:p>
    <w:p w:rsidR="00000000" w:rsidDel="00000000" w:rsidP="00000000" w:rsidRDefault="00000000" w:rsidRPr="00000000" w14:paraId="0000005D">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5E">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5F">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60">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61">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62">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63">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64">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65">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66">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67">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68">
      <w:pPr>
        <w:spacing w:after="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69">
      <w:pPr>
        <w:spacing w:after="0" w:line="360" w:lineRule="auto"/>
        <w:rPr>
          <w:rFonts w:ascii="Times New Roman" w:cs="Times New Roman" w:eastAsia="Times New Roman" w:hAnsi="Times New Roman"/>
          <w:sz w:val="44"/>
          <w:szCs w:val="44"/>
        </w:rPr>
      </w:pPr>
      <w:r w:rsidDel="00000000" w:rsidR="00000000" w:rsidRPr="00000000">
        <w:rPr>
          <w:rtl w:val="0"/>
        </w:rPr>
      </w:r>
    </w:p>
    <w:sectPr>
      <w:footerReference r:id="rId10" w:type="default"/>
      <w:pgSz w:h="15840" w:w="12240" w:orient="portrait"/>
      <w:pgMar w:bottom="1440" w:top="1440" w:left="1440" w:right="1587"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line="360" w:lineRule="auto"/>
    </w:pPr>
    <w:rPr>
      <w:rFonts w:ascii="Times New Roman" w:cs="Times New Roman" w:eastAsia="Times New Roman" w:hAnsi="Times New Roman"/>
      <w:b w:val="1"/>
      <w:bCs w:val="1"/>
      <w:sz w:val="32"/>
      <w:szCs w:val="32"/>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yperlink" Target="https://www.nhs.uk/nhs-app/"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s://www.leadershipacademy.nhs.uk/wp-content/uploads/dlm_uploads/2014/10/NHSLeadership-LeadershipModel-colour.pdf"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