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63EE3" w14:textId="3E3201DC" w:rsidR="00630D05" w:rsidRPr="004418F6" w:rsidRDefault="00630D05" w:rsidP="00B36073">
      <w:pPr>
        <w:rPr>
          <w:rFonts w:cs="Calibri"/>
          <w:b/>
          <w:bCs/>
          <w:u w:val="single"/>
        </w:rPr>
      </w:pPr>
      <w:r w:rsidRPr="004418F6">
        <w:rPr>
          <w:rFonts w:cs="Calibri"/>
          <w:b/>
          <w:bCs/>
          <w:u w:val="single"/>
        </w:rPr>
        <w:t xml:space="preserve">Define </w:t>
      </w:r>
      <w:r w:rsidR="00ED5A3C">
        <w:rPr>
          <w:rFonts w:cs="Calibri"/>
          <w:b/>
          <w:bCs/>
          <w:u w:val="single"/>
        </w:rPr>
        <w:t>n</w:t>
      </w:r>
      <w:r w:rsidRPr="004418F6">
        <w:rPr>
          <w:rFonts w:cs="Calibri"/>
          <w:b/>
          <w:bCs/>
          <w:u w:val="single"/>
        </w:rPr>
        <w:t xml:space="preserve">egative and </w:t>
      </w:r>
      <w:r w:rsidR="00ED5A3C">
        <w:rPr>
          <w:rFonts w:cs="Calibri"/>
          <w:b/>
          <w:bCs/>
          <w:u w:val="single"/>
        </w:rPr>
        <w:t>p</w:t>
      </w:r>
      <w:r w:rsidRPr="004418F6">
        <w:rPr>
          <w:rFonts w:cs="Calibri"/>
          <w:b/>
          <w:bCs/>
          <w:u w:val="single"/>
        </w:rPr>
        <w:t xml:space="preserve">ositive peace. Pick a </w:t>
      </w:r>
      <w:r w:rsidR="00ED5A3C">
        <w:rPr>
          <w:rFonts w:cs="Calibri"/>
          <w:b/>
          <w:bCs/>
          <w:u w:val="single"/>
        </w:rPr>
        <w:t>c</w:t>
      </w:r>
      <w:r w:rsidRPr="004418F6">
        <w:rPr>
          <w:rFonts w:cs="Calibri"/>
          <w:b/>
          <w:bCs/>
          <w:u w:val="single"/>
        </w:rPr>
        <w:t xml:space="preserve">ountry and </w:t>
      </w:r>
      <w:r w:rsidR="00ED5A3C">
        <w:rPr>
          <w:rFonts w:cs="Calibri"/>
          <w:b/>
          <w:bCs/>
          <w:u w:val="single"/>
        </w:rPr>
        <w:t>e</w:t>
      </w:r>
      <w:r w:rsidRPr="004418F6">
        <w:rPr>
          <w:rFonts w:cs="Calibri"/>
          <w:b/>
          <w:bCs/>
          <w:u w:val="single"/>
        </w:rPr>
        <w:t xml:space="preserve">valuate </w:t>
      </w:r>
      <w:r w:rsidR="00ED5A3C">
        <w:rPr>
          <w:rFonts w:cs="Calibri"/>
          <w:b/>
          <w:bCs/>
          <w:u w:val="single"/>
        </w:rPr>
        <w:t>i</w:t>
      </w:r>
      <w:r w:rsidRPr="004418F6">
        <w:rPr>
          <w:rFonts w:cs="Calibri"/>
          <w:b/>
          <w:bCs/>
          <w:u w:val="single"/>
        </w:rPr>
        <w:t xml:space="preserve">t for its levels of negative and positive peace. </w:t>
      </w:r>
    </w:p>
    <w:p w14:paraId="6895FBB4" w14:textId="5631EDF0" w:rsidR="00A63D23" w:rsidRPr="004418F6" w:rsidRDefault="00693776" w:rsidP="00B36073">
      <w:pPr>
        <w:rPr>
          <w:rFonts w:cs="Calibri"/>
        </w:rPr>
      </w:pPr>
      <w:r w:rsidRPr="004418F6">
        <w:rPr>
          <w:rFonts w:cs="Calibri"/>
        </w:rPr>
        <w:t>The concepts of negative and positive peace stem from Norwegian Sociologist</w:t>
      </w:r>
      <w:r w:rsidR="003A1D06" w:rsidRPr="004418F6">
        <w:rPr>
          <w:rFonts w:cs="Calibri"/>
        </w:rPr>
        <w:t>, Johan Galtung who identifies negative peace as an ‘absence of direct violence’</w:t>
      </w:r>
      <w:r w:rsidR="00811363" w:rsidRPr="004418F6">
        <w:rPr>
          <w:rFonts w:cs="Calibri"/>
        </w:rPr>
        <w:t xml:space="preserve"> and positive peace as ‘absence from structural violence’.</w:t>
      </w:r>
      <w:r w:rsidR="00811363" w:rsidRPr="004418F6">
        <w:rPr>
          <w:rStyle w:val="FootnoteReference"/>
          <w:rFonts w:cs="Calibri"/>
        </w:rPr>
        <w:footnoteReference w:id="1"/>
      </w:r>
      <w:r w:rsidR="00811363" w:rsidRPr="004418F6">
        <w:rPr>
          <w:rFonts w:cs="Calibri"/>
        </w:rPr>
        <w:t xml:space="preserve"> This means that cases of negative peace are not yet violent, but have the potential to be, should events unfold which break the negative peace. On the other hand, cases of positive peace, are those wherein there is no threat of violence at all, whether that is violence from internal or external threats.</w:t>
      </w:r>
      <w:r w:rsidR="007374E9" w:rsidRPr="004418F6">
        <w:rPr>
          <w:rFonts w:cs="Calibri"/>
        </w:rPr>
        <w:t xml:space="preserve"> When considering this on a Global scale, it must be acknowledged that it is unlikely that any country can ever possibly be in a state of true positive peace. This is due to the fact that global tensions are forever present, even in instances where a country is generally considered peaceful. </w:t>
      </w:r>
    </w:p>
    <w:p w14:paraId="2736F0AA" w14:textId="3F2FE360" w:rsidR="00811363" w:rsidRPr="004418F6" w:rsidRDefault="007374E9" w:rsidP="00B36073">
      <w:pPr>
        <w:rPr>
          <w:rFonts w:cs="Calibri"/>
        </w:rPr>
      </w:pPr>
      <w:r w:rsidRPr="004418F6">
        <w:rPr>
          <w:rFonts w:cs="Calibri"/>
        </w:rPr>
        <w:t>One such example of this is Canada, which is perceived to be particularly peaceful, according to the Global Peace Index, with an overall indicator of 1.4</w:t>
      </w:r>
      <w:r w:rsidR="00A63D23" w:rsidRPr="004418F6">
        <w:rPr>
          <w:rFonts w:cs="Calibri"/>
        </w:rPr>
        <w:t>49</w:t>
      </w:r>
      <w:r w:rsidRPr="004418F6">
        <w:rPr>
          <w:rFonts w:cs="Calibri"/>
        </w:rPr>
        <w:t xml:space="preserve">, Canada is certainly considered to be a </w:t>
      </w:r>
      <w:r w:rsidR="00A63D23" w:rsidRPr="004418F6">
        <w:rPr>
          <w:rFonts w:cs="Calibri"/>
        </w:rPr>
        <w:t xml:space="preserve">generally </w:t>
      </w:r>
      <w:r w:rsidRPr="004418F6">
        <w:rPr>
          <w:rFonts w:cs="Calibri"/>
        </w:rPr>
        <w:t>peaceful country</w:t>
      </w:r>
      <w:r w:rsidR="00A63D23" w:rsidRPr="004418F6">
        <w:rPr>
          <w:rFonts w:cs="Calibri"/>
        </w:rPr>
        <w:t>, counting both internal and external standings</w:t>
      </w:r>
      <w:r w:rsidRPr="004418F6">
        <w:rPr>
          <w:rFonts w:cs="Calibri"/>
        </w:rPr>
        <w:t>.</w:t>
      </w:r>
      <w:r w:rsidRPr="004418F6">
        <w:rPr>
          <w:rStyle w:val="FootnoteReference"/>
          <w:rFonts w:cs="Calibri"/>
        </w:rPr>
        <w:footnoteReference w:id="2"/>
      </w:r>
      <w:r w:rsidRPr="004418F6">
        <w:rPr>
          <w:rFonts w:cs="Calibri"/>
        </w:rPr>
        <w:t xml:space="preserve"> However, this does not mean that Canada is without its</w:t>
      </w:r>
      <w:r w:rsidR="00A63D23" w:rsidRPr="004418F6">
        <w:rPr>
          <w:rFonts w:cs="Calibri"/>
        </w:rPr>
        <w:t xml:space="preserve"> problems regarding positive and negative peace. Firstly, </w:t>
      </w:r>
      <w:r w:rsidR="00C241D9" w:rsidRPr="004418F6">
        <w:rPr>
          <w:rFonts w:cs="Calibri"/>
        </w:rPr>
        <w:t xml:space="preserve">regarding external peace, </w:t>
      </w:r>
      <w:r w:rsidR="00A63D23" w:rsidRPr="004418F6">
        <w:rPr>
          <w:rFonts w:cs="Calibri"/>
        </w:rPr>
        <w:t>Canada scores 1.631 for its nuclear and heavy weapons capacity, which is considered to be in the negative sector, and generally considered to be a threat to peace.</w:t>
      </w:r>
      <w:r w:rsidR="00A63D23" w:rsidRPr="004418F6">
        <w:rPr>
          <w:rStyle w:val="FootnoteReference"/>
          <w:rFonts w:cs="Calibri"/>
        </w:rPr>
        <w:footnoteReference w:id="3"/>
      </w:r>
      <w:r w:rsidR="00A63D23" w:rsidRPr="004418F6">
        <w:rPr>
          <w:rFonts w:cs="Calibri"/>
        </w:rPr>
        <w:t xml:space="preserve"> However, it is unlikely that Canada would intend to use these weapons unless a very serious threat were to present itself, forcing Canada to use such weapons.</w:t>
      </w:r>
      <w:r w:rsidR="00C241D9" w:rsidRPr="004418F6">
        <w:rPr>
          <w:rFonts w:cs="Calibri"/>
        </w:rPr>
        <w:t xml:space="preserve"> Regarding nuclear weapons, Canada is certainly in a state of negative peace, since though the use of these weapons is unlikely, it is undoubt</w:t>
      </w:r>
      <w:r w:rsidR="00FB5006">
        <w:rPr>
          <w:rFonts w:cs="Calibri"/>
        </w:rPr>
        <w:t>ed</w:t>
      </w:r>
      <w:r w:rsidR="00C241D9" w:rsidRPr="004418F6">
        <w:rPr>
          <w:rFonts w:cs="Calibri"/>
        </w:rPr>
        <w:t xml:space="preserve">ly </w:t>
      </w:r>
      <w:r w:rsidR="007A24D8" w:rsidRPr="004418F6">
        <w:rPr>
          <w:rFonts w:cs="Calibri"/>
        </w:rPr>
        <w:t>possible</w:t>
      </w:r>
      <w:r w:rsidR="00C241D9" w:rsidRPr="004418F6">
        <w:rPr>
          <w:rFonts w:cs="Calibri"/>
        </w:rPr>
        <w:t>. Additionally regarding external peace, tensions have begun to arise between Canada and the United States of America in 2025, after U.S. President Donald Trump</w:t>
      </w:r>
      <w:r w:rsidR="00275899" w:rsidRPr="004418F6">
        <w:rPr>
          <w:rFonts w:cs="Calibri"/>
        </w:rPr>
        <w:t xml:space="preserve"> began putting tariffs on a multitude of countries, including Canada.</w:t>
      </w:r>
      <w:r w:rsidR="00275899" w:rsidRPr="004418F6">
        <w:rPr>
          <w:rStyle w:val="FootnoteReference"/>
          <w:rFonts w:cs="Calibri"/>
        </w:rPr>
        <w:footnoteReference w:id="4"/>
      </w:r>
      <w:r w:rsidR="00275899" w:rsidRPr="004418F6">
        <w:rPr>
          <w:rFonts w:cs="Calibri"/>
        </w:rPr>
        <w:t xml:space="preserve"> This has enticed the newly elected Canadian Prime Minister, Mark Carney, to claim that</w:t>
      </w:r>
      <w:r w:rsidR="007A24D8" w:rsidRPr="004418F6">
        <w:rPr>
          <w:rFonts w:cs="Calibri"/>
        </w:rPr>
        <w:t xml:space="preserve"> the</w:t>
      </w:r>
      <w:r w:rsidR="00275899" w:rsidRPr="004418F6">
        <w:rPr>
          <w:rFonts w:cs="Calibri"/>
        </w:rPr>
        <w:t xml:space="preserve"> long lasting positive relationship between the two countries ‘is over’.</w:t>
      </w:r>
      <w:r w:rsidR="00275899" w:rsidRPr="004418F6">
        <w:rPr>
          <w:rStyle w:val="FootnoteReference"/>
          <w:rFonts w:cs="Calibri"/>
        </w:rPr>
        <w:footnoteReference w:id="5"/>
      </w:r>
      <w:r w:rsidR="00275899" w:rsidRPr="004418F6">
        <w:rPr>
          <w:rFonts w:cs="Calibri"/>
        </w:rPr>
        <w:t xml:space="preserve">  Trump</w:t>
      </w:r>
      <w:r w:rsidR="00E95375" w:rsidRPr="004418F6">
        <w:rPr>
          <w:rFonts w:cs="Calibri"/>
        </w:rPr>
        <w:t>’s actions</w:t>
      </w:r>
      <w:r w:rsidR="00275899" w:rsidRPr="004418F6">
        <w:rPr>
          <w:rFonts w:cs="Calibri"/>
        </w:rPr>
        <w:t xml:space="preserve"> have shaken </w:t>
      </w:r>
      <w:r w:rsidR="00C57B33" w:rsidRPr="004418F6">
        <w:rPr>
          <w:rFonts w:cs="Calibri"/>
        </w:rPr>
        <w:t>peace between the two countries, in a ‘betrayal’ which Trump has enacted for ‘absolutely no reason’.</w:t>
      </w:r>
      <w:r w:rsidR="00C57B33" w:rsidRPr="004418F6">
        <w:rPr>
          <w:rStyle w:val="FootnoteReference"/>
          <w:rFonts w:cs="Calibri"/>
        </w:rPr>
        <w:footnoteReference w:id="6"/>
      </w:r>
      <w:r w:rsidR="00C57B33" w:rsidRPr="004418F6">
        <w:rPr>
          <w:rFonts w:cs="Calibri"/>
        </w:rPr>
        <w:t xml:space="preserve"> Trump ha</w:t>
      </w:r>
      <w:r w:rsidR="002D62F4" w:rsidRPr="004418F6">
        <w:rPr>
          <w:rFonts w:cs="Calibri"/>
        </w:rPr>
        <w:t>s</w:t>
      </w:r>
      <w:r w:rsidR="00C57B33" w:rsidRPr="004418F6">
        <w:rPr>
          <w:rFonts w:cs="Calibri"/>
        </w:rPr>
        <w:t xml:space="preserve"> further disturbed the peace between the two countries by vowing to turn Canada into the U.S.’s 51</w:t>
      </w:r>
      <w:r w:rsidR="00C57B33" w:rsidRPr="004418F6">
        <w:rPr>
          <w:rFonts w:cs="Calibri"/>
          <w:vertAlign w:val="superscript"/>
        </w:rPr>
        <w:t>st</w:t>
      </w:r>
      <w:r w:rsidR="00C57B33" w:rsidRPr="004418F6">
        <w:rPr>
          <w:rFonts w:cs="Calibri"/>
        </w:rPr>
        <w:t xml:space="preserve"> state</w:t>
      </w:r>
      <w:r w:rsidR="002D62F4" w:rsidRPr="004418F6">
        <w:rPr>
          <w:rFonts w:cs="Calibri"/>
        </w:rPr>
        <w:t>,</w:t>
      </w:r>
      <w:r w:rsidR="00C57B33" w:rsidRPr="004418F6">
        <w:rPr>
          <w:rFonts w:cs="Calibri"/>
        </w:rPr>
        <w:t xml:space="preserve"> to which Canada has responded by boosting its military capacities.</w:t>
      </w:r>
      <w:r w:rsidR="00C57B33" w:rsidRPr="004418F6">
        <w:rPr>
          <w:rStyle w:val="FootnoteReference"/>
          <w:rFonts w:cs="Calibri"/>
        </w:rPr>
        <w:footnoteReference w:id="7"/>
      </w:r>
      <w:r w:rsidR="00C57B33" w:rsidRPr="004418F6">
        <w:rPr>
          <w:rFonts w:cs="Calibri"/>
        </w:rPr>
        <w:t xml:space="preserve"> Once again, these tensions are disturbing what could be considered a positive peace between the two countries, and causing tensions to rise, instead degrading it to negative peace. Though there is no physical violence, the fact that Canada feels the need to boost its military standing in response to </w:t>
      </w:r>
      <w:r w:rsidR="00C57B33" w:rsidRPr="004418F6">
        <w:rPr>
          <w:rFonts w:cs="Calibri"/>
        </w:rPr>
        <w:lastRenderedPageBreak/>
        <w:t>Trump’s threat to sovereignty, indicates that there is a chance that Carney is possibly even preparing for a war, with</w:t>
      </w:r>
      <w:r w:rsidR="003B4435" w:rsidRPr="004418F6">
        <w:rPr>
          <w:rFonts w:cs="Calibri"/>
        </w:rPr>
        <w:t xml:space="preserve"> what should be</w:t>
      </w:r>
      <w:r w:rsidR="00C57B33" w:rsidRPr="004418F6">
        <w:rPr>
          <w:rFonts w:cs="Calibri"/>
        </w:rPr>
        <w:t xml:space="preserve"> </w:t>
      </w:r>
      <w:r w:rsidR="003B4435" w:rsidRPr="004418F6">
        <w:rPr>
          <w:rFonts w:cs="Calibri"/>
        </w:rPr>
        <w:t xml:space="preserve">one of Canada’s strongest allies. </w:t>
      </w:r>
    </w:p>
    <w:p w14:paraId="50B0C1A5" w14:textId="1A60355A" w:rsidR="005A6D1E" w:rsidRPr="004418F6" w:rsidRDefault="003B4435" w:rsidP="00B36073">
      <w:pPr>
        <w:rPr>
          <w:rFonts w:cs="Calibri"/>
        </w:rPr>
      </w:pPr>
      <w:r w:rsidRPr="004418F6">
        <w:rPr>
          <w:rFonts w:cs="Calibri"/>
        </w:rPr>
        <w:t xml:space="preserve">When considering more internal threats, Canada </w:t>
      </w:r>
      <w:r w:rsidR="00D05295" w:rsidRPr="004418F6">
        <w:rPr>
          <w:rFonts w:cs="Calibri"/>
        </w:rPr>
        <w:t>has had some terrorist acts over recent years, with a high of sixteen in 2017 which indicates at least some level of civil unrest, and a threat to positive peace.</w:t>
      </w:r>
      <w:r w:rsidR="00D05295" w:rsidRPr="004418F6">
        <w:rPr>
          <w:rStyle w:val="FootnoteReference"/>
          <w:rFonts w:cs="Calibri"/>
        </w:rPr>
        <w:footnoteReference w:id="8"/>
      </w:r>
      <w:r w:rsidR="00D05295" w:rsidRPr="004418F6">
        <w:rPr>
          <w:rFonts w:cs="Calibri"/>
        </w:rPr>
        <w:t xml:space="preserve"> </w:t>
      </w:r>
      <w:r w:rsidR="005A6D1E" w:rsidRPr="004418F6">
        <w:rPr>
          <w:rFonts w:cs="Calibri"/>
        </w:rPr>
        <w:t>However, in comparison to other countries, such as the United Kingdom who</w:t>
      </w:r>
      <w:r w:rsidR="00A16312" w:rsidRPr="004418F6">
        <w:rPr>
          <w:rFonts w:cs="Calibri"/>
        </w:rPr>
        <w:t>,</w:t>
      </w:r>
      <w:r w:rsidR="005A6D1E" w:rsidRPr="004418F6">
        <w:rPr>
          <w:rFonts w:cs="Calibri"/>
        </w:rPr>
        <w:t xml:space="preserve"> also in 2017, experienced 123 terrorist attacks</w:t>
      </w:r>
      <w:r w:rsidR="00A16312" w:rsidRPr="004418F6">
        <w:rPr>
          <w:rFonts w:cs="Calibri"/>
        </w:rPr>
        <w:t xml:space="preserve">. Therefore, </w:t>
      </w:r>
      <w:r w:rsidR="005A6D1E" w:rsidRPr="004418F6">
        <w:rPr>
          <w:rFonts w:cs="Calibri"/>
        </w:rPr>
        <w:t>Canada is</w:t>
      </w:r>
      <w:r w:rsidR="00E95375" w:rsidRPr="004418F6">
        <w:rPr>
          <w:rFonts w:cs="Calibri"/>
        </w:rPr>
        <w:t xml:space="preserve"> in a</w:t>
      </w:r>
      <w:r w:rsidR="005A6D1E" w:rsidRPr="004418F6">
        <w:rPr>
          <w:rFonts w:cs="Calibri"/>
        </w:rPr>
        <w:t xml:space="preserve"> state of </w:t>
      </w:r>
      <w:r w:rsidR="00E95375" w:rsidRPr="004418F6">
        <w:rPr>
          <w:rFonts w:cs="Calibri"/>
        </w:rPr>
        <w:t xml:space="preserve">greater </w:t>
      </w:r>
      <w:r w:rsidR="005A6D1E" w:rsidRPr="004418F6">
        <w:rPr>
          <w:rFonts w:cs="Calibri"/>
        </w:rPr>
        <w:t>positive peace than the United Kingdom</w:t>
      </w:r>
      <w:r w:rsidR="00A16312" w:rsidRPr="004418F6">
        <w:rPr>
          <w:rFonts w:cs="Calibri"/>
        </w:rPr>
        <w:t xml:space="preserve"> when considering terrorist attacks</w:t>
      </w:r>
      <w:r w:rsidR="005A6D1E" w:rsidRPr="004418F6">
        <w:rPr>
          <w:rFonts w:cs="Calibri"/>
        </w:rPr>
        <w:t>. However, there is always still the threat of terrorism</w:t>
      </w:r>
      <w:r w:rsidR="002D62F4" w:rsidRPr="004418F6">
        <w:rPr>
          <w:rFonts w:cs="Calibri"/>
        </w:rPr>
        <w:t>. Thus,</w:t>
      </w:r>
      <w:r w:rsidR="005A6D1E" w:rsidRPr="004418F6">
        <w:rPr>
          <w:rFonts w:cs="Calibri"/>
        </w:rPr>
        <w:t xml:space="preserve"> it must be concluded that Canada is still, for the most part, in a state of negative peace in all aspects. </w:t>
      </w:r>
    </w:p>
    <w:p w14:paraId="2378F93E" w14:textId="5FDE9AB7" w:rsidR="005A6D1E" w:rsidRPr="004418F6" w:rsidRDefault="005A6D1E" w:rsidP="00B36073">
      <w:pPr>
        <w:rPr>
          <w:rFonts w:cs="Calibri"/>
        </w:rPr>
      </w:pPr>
      <w:r w:rsidRPr="004418F6">
        <w:rPr>
          <w:rFonts w:cs="Calibri"/>
        </w:rPr>
        <w:t xml:space="preserve">In conclusion, it must be stated that while Canada is in a state of negative peace, tensions seem to be on the rise for the country on a global scale. Additionally, Canada has some internal disturbances to peace, but ultimately Canada is a peaceful country. It must be </w:t>
      </w:r>
      <w:r w:rsidR="002D62F4" w:rsidRPr="004418F6">
        <w:rPr>
          <w:rFonts w:cs="Calibri"/>
        </w:rPr>
        <w:t>note</w:t>
      </w:r>
      <w:r w:rsidRPr="004418F6">
        <w:rPr>
          <w:rFonts w:cs="Calibri"/>
        </w:rPr>
        <w:t xml:space="preserve">d that </w:t>
      </w:r>
      <w:r w:rsidR="00A16312" w:rsidRPr="004418F6">
        <w:rPr>
          <w:rFonts w:cs="Calibri"/>
        </w:rPr>
        <w:t xml:space="preserve">a state of total peace is likely impossible for any country. However, Canada does well to prevent aggression for the most part, though it is by no stretch in a state of positive peace, either on the global scale, nor in regards to </w:t>
      </w:r>
      <w:r w:rsidR="007773EE" w:rsidRPr="004418F6">
        <w:rPr>
          <w:rFonts w:cs="Calibri"/>
        </w:rPr>
        <w:t>national</w:t>
      </w:r>
      <w:r w:rsidR="00A16312" w:rsidRPr="004418F6">
        <w:rPr>
          <w:rFonts w:cs="Calibri"/>
        </w:rPr>
        <w:t xml:space="preserve"> affairs. It must be concluded that Canada is in a state of negative peace.</w:t>
      </w:r>
    </w:p>
    <w:p w14:paraId="18EA02F8" w14:textId="77777777" w:rsidR="00DA5723" w:rsidRPr="004418F6" w:rsidRDefault="00DA5723" w:rsidP="00B36073">
      <w:pPr>
        <w:rPr>
          <w:rFonts w:cs="Calibri"/>
        </w:rPr>
      </w:pPr>
    </w:p>
    <w:p w14:paraId="3523C3A0" w14:textId="77777777" w:rsidR="00DA5723" w:rsidRPr="004418F6" w:rsidRDefault="00DA5723" w:rsidP="00B36073">
      <w:pPr>
        <w:rPr>
          <w:rFonts w:cs="Calibri"/>
        </w:rPr>
      </w:pPr>
    </w:p>
    <w:p w14:paraId="09B0B145" w14:textId="77777777" w:rsidR="00DA5723" w:rsidRPr="004418F6" w:rsidRDefault="00DA5723" w:rsidP="00B36073">
      <w:pPr>
        <w:rPr>
          <w:rFonts w:cs="Calibri"/>
        </w:rPr>
      </w:pPr>
    </w:p>
    <w:p w14:paraId="7E1BE1DE" w14:textId="77777777" w:rsidR="00DA5723" w:rsidRPr="004418F6" w:rsidRDefault="00DA5723" w:rsidP="00B36073">
      <w:pPr>
        <w:rPr>
          <w:rFonts w:cs="Calibri"/>
        </w:rPr>
      </w:pPr>
    </w:p>
    <w:p w14:paraId="51095A75" w14:textId="77777777" w:rsidR="00DA5723" w:rsidRPr="004418F6" w:rsidRDefault="00DA5723" w:rsidP="00B36073">
      <w:pPr>
        <w:rPr>
          <w:rFonts w:cs="Calibri"/>
        </w:rPr>
      </w:pPr>
    </w:p>
    <w:p w14:paraId="28EBBDF0" w14:textId="77777777" w:rsidR="00DA5723" w:rsidRPr="004418F6" w:rsidRDefault="00DA5723" w:rsidP="00B36073">
      <w:pPr>
        <w:rPr>
          <w:rFonts w:cs="Calibri"/>
        </w:rPr>
      </w:pPr>
    </w:p>
    <w:p w14:paraId="69816F70" w14:textId="77777777" w:rsidR="00DA5723" w:rsidRPr="004418F6" w:rsidRDefault="00DA5723" w:rsidP="00B36073">
      <w:pPr>
        <w:rPr>
          <w:rFonts w:cs="Calibri"/>
        </w:rPr>
      </w:pPr>
    </w:p>
    <w:p w14:paraId="137DF6F5" w14:textId="77777777" w:rsidR="00DA5723" w:rsidRPr="004418F6" w:rsidRDefault="00DA5723" w:rsidP="00B36073">
      <w:pPr>
        <w:rPr>
          <w:rFonts w:cs="Calibri"/>
        </w:rPr>
      </w:pPr>
    </w:p>
    <w:p w14:paraId="28CBA2ED" w14:textId="77777777" w:rsidR="00DA5723" w:rsidRPr="004418F6" w:rsidRDefault="00DA5723" w:rsidP="00B36073">
      <w:pPr>
        <w:rPr>
          <w:rFonts w:cs="Calibri"/>
        </w:rPr>
      </w:pPr>
    </w:p>
    <w:p w14:paraId="630A6684" w14:textId="77777777" w:rsidR="00DA5723" w:rsidRPr="004418F6" w:rsidRDefault="00DA5723" w:rsidP="00B36073">
      <w:pPr>
        <w:rPr>
          <w:rFonts w:cs="Calibri"/>
        </w:rPr>
      </w:pPr>
    </w:p>
    <w:p w14:paraId="5CDBDCF2" w14:textId="77777777" w:rsidR="00DA5723" w:rsidRPr="004418F6" w:rsidRDefault="00DA5723" w:rsidP="00B36073">
      <w:pPr>
        <w:rPr>
          <w:rFonts w:cs="Calibri"/>
        </w:rPr>
      </w:pPr>
    </w:p>
    <w:p w14:paraId="25B3F345" w14:textId="77777777" w:rsidR="00DA5723" w:rsidRPr="004418F6" w:rsidRDefault="00DA5723" w:rsidP="00B36073">
      <w:pPr>
        <w:rPr>
          <w:rFonts w:cs="Calibri"/>
        </w:rPr>
      </w:pPr>
    </w:p>
    <w:p w14:paraId="20428C72" w14:textId="77777777" w:rsidR="00DA5723" w:rsidRPr="004418F6" w:rsidRDefault="00DA5723" w:rsidP="00B36073">
      <w:pPr>
        <w:rPr>
          <w:rFonts w:cs="Calibri"/>
        </w:rPr>
      </w:pPr>
    </w:p>
    <w:p w14:paraId="7683545D" w14:textId="77777777" w:rsidR="002D62F4" w:rsidRPr="004418F6" w:rsidRDefault="002D62F4" w:rsidP="00B36073">
      <w:pPr>
        <w:rPr>
          <w:rFonts w:cs="Calibri"/>
        </w:rPr>
      </w:pPr>
    </w:p>
    <w:p w14:paraId="1076F7F0" w14:textId="2FF41986" w:rsidR="00630D05" w:rsidRPr="004418F6" w:rsidRDefault="00630D05" w:rsidP="00B36073">
      <w:pPr>
        <w:rPr>
          <w:rFonts w:cs="Calibri"/>
          <w:b/>
          <w:bCs/>
          <w:u w:val="single"/>
        </w:rPr>
      </w:pPr>
      <w:r w:rsidRPr="004418F6">
        <w:rPr>
          <w:rFonts w:cs="Calibri"/>
          <w:b/>
          <w:bCs/>
          <w:u w:val="single"/>
        </w:rPr>
        <w:lastRenderedPageBreak/>
        <w:t>Discuss the three requirements for perpetual peace according to Kant and how his ideas have been manifest in the current international system</w:t>
      </w:r>
    </w:p>
    <w:p w14:paraId="32A5B962" w14:textId="2A356C52" w:rsidR="00374179" w:rsidRPr="004418F6" w:rsidRDefault="002D62F4" w:rsidP="00ED06E8">
      <w:pPr>
        <w:rPr>
          <w:rFonts w:cs="Calibri"/>
        </w:rPr>
      </w:pPr>
      <w:r w:rsidRPr="004418F6">
        <w:rPr>
          <w:rFonts w:cs="Calibri"/>
        </w:rPr>
        <w:t>18</w:t>
      </w:r>
      <w:r w:rsidRPr="004418F6">
        <w:rPr>
          <w:rFonts w:cs="Calibri"/>
          <w:vertAlign w:val="superscript"/>
        </w:rPr>
        <w:t>th</w:t>
      </w:r>
      <w:r w:rsidRPr="004418F6">
        <w:rPr>
          <w:rFonts w:cs="Calibri"/>
        </w:rPr>
        <w:t xml:space="preserve"> Century Philosopher, </w:t>
      </w:r>
      <w:r w:rsidR="00374179" w:rsidRPr="004418F6">
        <w:rPr>
          <w:rFonts w:cs="Calibri"/>
        </w:rPr>
        <w:t xml:space="preserve">Immanuel Kant </w:t>
      </w:r>
      <w:r w:rsidRPr="004418F6">
        <w:rPr>
          <w:rFonts w:cs="Calibri"/>
        </w:rPr>
        <w:t>was</w:t>
      </w:r>
      <w:r w:rsidR="00374179" w:rsidRPr="004418F6">
        <w:rPr>
          <w:rFonts w:cs="Calibri"/>
        </w:rPr>
        <w:t xml:space="preserve"> a central figure in shaping theories regarding ethics, metaphysics and other schools of thought. Kant has proven crucial in shaping modern understandings of peace and international </w:t>
      </w:r>
      <w:r w:rsidR="00BD2CBF" w:rsidRPr="004418F6">
        <w:rPr>
          <w:rFonts w:cs="Calibri"/>
        </w:rPr>
        <w:t xml:space="preserve">agreements. Kant’s work </w:t>
      </w:r>
      <w:r w:rsidR="0006667C" w:rsidRPr="004418F6">
        <w:rPr>
          <w:rFonts w:cs="Calibri"/>
        </w:rPr>
        <w:t xml:space="preserve">in </w:t>
      </w:r>
      <w:r w:rsidR="0006667C" w:rsidRPr="004418F6">
        <w:rPr>
          <w:rFonts w:cs="Calibri"/>
          <w:i/>
          <w:iCs/>
        </w:rPr>
        <w:t>Perpetual Peace</w:t>
      </w:r>
      <w:r w:rsidR="0006667C" w:rsidRPr="004418F6">
        <w:rPr>
          <w:rFonts w:cs="Calibri"/>
        </w:rPr>
        <w:t xml:space="preserve"> has proven crucial in shaping the </w:t>
      </w:r>
      <w:r w:rsidRPr="004418F6">
        <w:rPr>
          <w:rFonts w:cs="Calibri"/>
        </w:rPr>
        <w:t>current international system</w:t>
      </w:r>
      <w:r w:rsidR="0006667C" w:rsidRPr="004418F6">
        <w:rPr>
          <w:rFonts w:cs="Calibri"/>
        </w:rPr>
        <w:t xml:space="preserve"> and establishing peace. In order for Peace to be possible, Kant provides a series of requirements. However, there are three which could be considered to be the most essential which are addressed below:</w:t>
      </w:r>
    </w:p>
    <w:p w14:paraId="3737D1E3" w14:textId="6D9F9F5C" w:rsidR="005E0398" w:rsidRPr="004418F6" w:rsidRDefault="00900DC2" w:rsidP="00ED06E8">
      <w:pPr>
        <w:rPr>
          <w:rFonts w:cs="Calibri"/>
          <w:u w:val="single"/>
        </w:rPr>
      </w:pPr>
      <w:r w:rsidRPr="004418F6">
        <w:rPr>
          <w:rFonts w:cs="Calibri"/>
          <w:u w:val="single"/>
        </w:rPr>
        <w:t>R</w:t>
      </w:r>
      <w:r w:rsidR="005E0398" w:rsidRPr="004418F6">
        <w:rPr>
          <w:rFonts w:cs="Calibri"/>
          <w:u w:val="single"/>
        </w:rPr>
        <w:t xml:space="preserve">epublican </w:t>
      </w:r>
      <w:r w:rsidRPr="004418F6">
        <w:rPr>
          <w:rFonts w:cs="Calibri"/>
          <w:u w:val="single"/>
        </w:rPr>
        <w:t>C</w:t>
      </w:r>
      <w:r w:rsidR="005E0398" w:rsidRPr="004418F6">
        <w:rPr>
          <w:rFonts w:cs="Calibri"/>
          <w:u w:val="single"/>
        </w:rPr>
        <w:t xml:space="preserve">ivil </w:t>
      </w:r>
      <w:r w:rsidRPr="004418F6">
        <w:rPr>
          <w:rFonts w:cs="Calibri"/>
          <w:u w:val="single"/>
        </w:rPr>
        <w:t>C</w:t>
      </w:r>
      <w:r w:rsidR="005E0398" w:rsidRPr="004418F6">
        <w:rPr>
          <w:rFonts w:cs="Calibri"/>
          <w:u w:val="single"/>
        </w:rPr>
        <w:t>onstitution</w:t>
      </w:r>
      <w:r w:rsidR="00B82FB5">
        <w:rPr>
          <w:rFonts w:cs="Calibri"/>
          <w:u w:val="single"/>
        </w:rPr>
        <w:t>s</w:t>
      </w:r>
    </w:p>
    <w:p w14:paraId="773A9E17" w14:textId="1AD66A1E" w:rsidR="004D643D" w:rsidRPr="004418F6" w:rsidRDefault="0006667C" w:rsidP="00ED06E8">
      <w:pPr>
        <w:rPr>
          <w:rFonts w:cs="Calibri"/>
        </w:rPr>
      </w:pPr>
      <w:r w:rsidRPr="004418F6">
        <w:rPr>
          <w:rFonts w:cs="Calibri"/>
        </w:rPr>
        <w:t xml:space="preserve">One requirement which Kant considered to be essential for perpetual peace </w:t>
      </w:r>
      <w:r w:rsidR="00B1726C" w:rsidRPr="004418F6">
        <w:rPr>
          <w:rFonts w:cs="Calibri"/>
        </w:rPr>
        <w:t xml:space="preserve">is that ‘the </w:t>
      </w:r>
      <w:r w:rsidR="00E20E39" w:rsidRPr="004418F6">
        <w:rPr>
          <w:rFonts w:cs="Calibri"/>
        </w:rPr>
        <w:t>c</w:t>
      </w:r>
      <w:r w:rsidR="00B1726C" w:rsidRPr="004418F6">
        <w:rPr>
          <w:rFonts w:cs="Calibri"/>
        </w:rPr>
        <w:t xml:space="preserve">ivil </w:t>
      </w:r>
      <w:r w:rsidR="00E20E39" w:rsidRPr="004418F6">
        <w:rPr>
          <w:rFonts w:cs="Calibri"/>
        </w:rPr>
        <w:t>constitution of every state should be Republican.’</w:t>
      </w:r>
      <w:r w:rsidR="00E20E39" w:rsidRPr="004418F6">
        <w:rPr>
          <w:rStyle w:val="FootnoteReference"/>
          <w:rFonts w:cs="Calibri"/>
        </w:rPr>
        <w:footnoteReference w:id="9"/>
      </w:r>
      <w:r w:rsidR="00E20E39" w:rsidRPr="004418F6">
        <w:rPr>
          <w:rFonts w:cs="Calibri"/>
        </w:rPr>
        <w:t xml:space="preserve"> Kant argues that since</w:t>
      </w:r>
      <w:r w:rsidR="009A7F34" w:rsidRPr="004418F6">
        <w:rPr>
          <w:rFonts w:cs="Calibri"/>
        </w:rPr>
        <w:t xml:space="preserve"> the people of</w:t>
      </w:r>
      <w:r w:rsidR="00E20E39" w:rsidRPr="004418F6">
        <w:rPr>
          <w:rFonts w:cs="Calibri"/>
        </w:rPr>
        <w:t xml:space="preserve"> Republican states</w:t>
      </w:r>
      <w:r w:rsidR="009A7F34" w:rsidRPr="004418F6">
        <w:rPr>
          <w:rFonts w:cs="Calibri"/>
        </w:rPr>
        <w:t xml:space="preserve"> </w:t>
      </w:r>
      <w:r w:rsidR="00E20E39" w:rsidRPr="004418F6">
        <w:rPr>
          <w:rFonts w:cs="Calibri"/>
        </w:rPr>
        <w:t>vote on whether the state should go to war</w:t>
      </w:r>
      <w:r w:rsidR="009A7F34" w:rsidRPr="004418F6">
        <w:rPr>
          <w:rFonts w:cs="Calibri"/>
        </w:rPr>
        <w:t>,</w:t>
      </w:r>
      <w:r w:rsidR="00070B7B" w:rsidRPr="004418F6">
        <w:rPr>
          <w:rFonts w:cs="Calibri"/>
        </w:rPr>
        <w:t xml:space="preserve"> </w:t>
      </w:r>
      <w:r w:rsidR="009A7F34" w:rsidRPr="004418F6">
        <w:rPr>
          <w:rFonts w:cs="Calibri"/>
        </w:rPr>
        <w:t>they</w:t>
      </w:r>
      <w:r w:rsidR="00070B7B" w:rsidRPr="004418F6">
        <w:rPr>
          <w:rFonts w:cs="Calibri"/>
        </w:rPr>
        <w:t xml:space="preserve"> would vote against it due to the lives lost and financial cost of the war.</w:t>
      </w:r>
      <w:r w:rsidR="00070B7B" w:rsidRPr="004418F6">
        <w:rPr>
          <w:rStyle w:val="FootnoteReference"/>
          <w:rFonts w:cs="Calibri"/>
        </w:rPr>
        <w:footnoteReference w:id="10"/>
      </w:r>
      <w:r w:rsidR="00070B7B" w:rsidRPr="004418F6">
        <w:rPr>
          <w:rFonts w:cs="Calibri"/>
        </w:rPr>
        <w:t xml:space="preserve"> Kant stated that this is crucial to perpetual peace since the consequences of the war would entice people to vote against it, thus allowing more peaceful measures to be taken instead.</w:t>
      </w:r>
      <w:r w:rsidR="00070B7B" w:rsidRPr="004418F6">
        <w:rPr>
          <w:rStyle w:val="FootnoteReference"/>
          <w:rFonts w:cs="Calibri"/>
        </w:rPr>
        <w:footnoteReference w:id="11"/>
      </w:r>
      <w:r w:rsidR="00E95375" w:rsidRPr="004418F6">
        <w:rPr>
          <w:rFonts w:cs="Calibri"/>
        </w:rPr>
        <w:t xml:space="preserve"> This is perhaps the most ideal method to approach a decision to go to war</w:t>
      </w:r>
      <w:r w:rsidR="009A7F34" w:rsidRPr="004418F6">
        <w:rPr>
          <w:rFonts w:cs="Calibri"/>
        </w:rPr>
        <w:t>.</w:t>
      </w:r>
      <w:r w:rsidR="00E95375" w:rsidRPr="004418F6">
        <w:rPr>
          <w:rFonts w:cs="Calibri"/>
        </w:rPr>
        <w:t xml:space="preserve"> </w:t>
      </w:r>
      <w:r w:rsidR="009A7F34" w:rsidRPr="004418F6">
        <w:rPr>
          <w:rFonts w:cs="Calibri"/>
        </w:rPr>
        <w:t>H</w:t>
      </w:r>
      <w:r w:rsidR="00E95375" w:rsidRPr="004418F6">
        <w:rPr>
          <w:rFonts w:cs="Calibri"/>
        </w:rPr>
        <w:t>owever</w:t>
      </w:r>
      <w:r w:rsidR="009A7F34" w:rsidRPr="004418F6">
        <w:rPr>
          <w:rFonts w:cs="Calibri"/>
        </w:rPr>
        <w:t>,</w:t>
      </w:r>
      <w:r w:rsidR="00E95375" w:rsidRPr="004418F6">
        <w:rPr>
          <w:rFonts w:cs="Calibri"/>
        </w:rPr>
        <w:t xml:space="preserve"> it is not</w:t>
      </w:r>
      <w:r w:rsidR="002310EA" w:rsidRPr="004418F6">
        <w:rPr>
          <w:rFonts w:cs="Calibri"/>
        </w:rPr>
        <w:t xml:space="preserve"> </w:t>
      </w:r>
      <w:r w:rsidR="00456079" w:rsidRPr="004418F6">
        <w:rPr>
          <w:rFonts w:cs="Calibri"/>
        </w:rPr>
        <w:t>always</w:t>
      </w:r>
      <w:r w:rsidR="00E95375" w:rsidRPr="004418F6">
        <w:rPr>
          <w:rFonts w:cs="Calibri"/>
        </w:rPr>
        <w:t xml:space="preserve"> the most practical. It must be noted that </w:t>
      </w:r>
      <w:r w:rsidR="002310EA" w:rsidRPr="004418F6">
        <w:rPr>
          <w:rFonts w:cs="Calibri"/>
        </w:rPr>
        <w:t>in some cases,</w:t>
      </w:r>
      <w:r w:rsidR="00E95375" w:rsidRPr="004418F6">
        <w:rPr>
          <w:rFonts w:cs="Calibri"/>
        </w:rPr>
        <w:t xml:space="preserve"> there may not be time to hold a vote. For this reason, the decision to go to war often lies with the Head of State</w:t>
      </w:r>
      <w:r w:rsidR="00FB5006">
        <w:rPr>
          <w:rFonts w:cs="Calibri"/>
        </w:rPr>
        <w:t>.</w:t>
      </w:r>
      <w:r w:rsidR="00E95375" w:rsidRPr="004418F6">
        <w:rPr>
          <w:rFonts w:cs="Calibri"/>
        </w:rPr>
        <w:t xml:space="preserve"> </w:t>
      </w:r>
      <w:r w:rsidR="00FB5006">
        <w:rPr>
          <w:rFonts w:cs="Calibri"/>
        </w:rPr>
        <w:t>I</w:t>
      </w:r>
      <w:r w:rsidR="00E95375" w:rsidRPr="004418F6">
        <w:rPr>
          <w:rFonts w:cs="Calibri"/>
        </w:rPr>
        <w:t>n the United Kingdom, the decision to go to war lies with the Prime Minister. By Kant’s definition</w:t>
      </w:r>
      <w:r w:rsidR="002310EA" w:rsidRPr="004418F6">
        <w:rPr>
          <w:rFonts w:cs="Calibri"/>
        </w:rPr>
        <w:t>,</w:t>
      </w:r>
      <w:r w:rsidR="00E95375" w:rsidRPr="004418F6">
        <w:rPr>
          <w:rFonts w:cs="Calibri"/>
        </w:rPr>
        <w:t xml:space="preserve"> states are often democratic, but not republican</w:t>
      </w:r>
      <w:r w:rsidR="004418F6" w:rsidRPr="004418F6">
        <w:rPr>
          <w:rFonts w:cs="Calibri"/>
        </w:rPr>
        <w:t>.</w:t>
      </w:r>
      <w:r w:rsidR="004418F6" w:rsidRPr="004418F6">
        <w:rPr>
          <w:rStyle w:val="FootnoteReference"/>
          <w:rFonts w:cs="Calibri"/>
        </w:rPr>
        <w:footnoteReference w:id="12"/>
      </w:r>
      <w:r w:rsidR="004418F6" w:rsidRPr="004418F6">
        <w:rPr>
          <w:rFonts w:cs="Calibri"/>
        </w:rPr>
        <w:t xml:space="preserve"> This is</w:t>
      </w:r>
      <w:r w:rsidR="00E95375" w:rsidRPr="004418F6">
        <w:rPr>
          <w:rFonts w:cs="Calibri"/>
        </w:rPr>
        <w:t xml:space="preserve"> </w:t>
      </w:r>
      <w:r w:rsidR="009A7F34" w:rsidRPr="004418F6">
        <w:rPr>
          <w:rFonts w:cs="Calibri"/>
        </w:rPr>
        <w:t>bec</w:t>
      </w:r>
      <w:r w:rsidR="00E95375" w:rsidRPr="004418F6">
        <w:rPr>
          <w:rFonts w:cs="Calibri"/>
        </w:rPr>
        <w:t>a</w:t>
      </w:r>
      <w:r w:rsidR="009A7F34" w:rsidRPr="004418F6">
        <w:rPr>
          <w:rFonts w:cs="Calibri"/>
        </w:rPr>
        <w:t>u</w:t>
      </w:r>
      <w:r w:rsidR="00E95375" w:rsidRPr="004418F6">
        <w:rPr>
          <w:rFonts w:cs="Calibri"/>
        </w:rPr>
        <w:t>s</w:t>
      </w:r>
      <w:r w:rsidR="009A7F34" w:rsidRPr="004418F6">
        <w:rPr>
          <w:rFonts w:cs="Calibri"/>
        </w:rPr>
        <w:t>e</w:t>
      </w:r>
      <w:r w:rsidR="00E95375" w:rsidRPr="004418F6">
        <w:rPr>
          <w:rFonts w:cs="Calibri"/>
        </w:rPr>
        <w:t xml:space="preserve"> republican states separate executive power from such decisions.</w:t>
      </w:r>
      <w:r w:rsidR="00E95375" w:rsidRPr="004418F6">
        <w:rPr>
          <w:rStyle w:val="FootnoteReference"/>
          <w:rFonts w:cs="Calibri"/>
        </w:rPr>
        <w:footnoteReference w:id="13"/>
      </w:r>
    </w:p>
    <w:p w14:paraId="0DA7F9EA" w14:textId="12D9BF6D" w:rsidR="005E0398" w:rsidRPr="004418F6" w:rsidRDefault="00900DC2" w:rsidP="005E0398">
      <w:pPr>
        <w:rPr>
          <w:rFonts w:cs="Calibri"/>
          <w:u w:val="single"/>
        </w:rPr>
      </w:pPr>
      <w:r w:rsidRPr="004418F6">
        <w:rPr>
          <w:rFonts w:cs="Calibri"/>
          <w:u w:val="single"/>
        </w:rPr>
        <w:t>U</w:t>
      </w:r>
      <w:r w:rsidR="005E0398" w:rsidRPr="004418F6">
        <w:rPr>
          <w:rFonts w:cs="Calibri"/>
          <w:u w:val="single"/>
        </w:rPr>
        <w:t>nion</w:t>
      </w:r>
      <w:r w:rsidR="003D0FCF" w:rsidRPr="004418F6">
        <w:rPr>
          <w:rFonts w:cs="Calibri"/>
          <w:u w:val="single"/>
        </w:rPr>
        <w:t>s</w:t>
      </w:r>
      <w:r w:rsidR="005E0398" w:rsidRPr="004418F6">
        <w:rPr>
          <w:rFonts w:cs="Calibri"/>
          <w:u w:val="single"/>
        </w:rPr>
        <w:t xml:space="preserve"> of </w:t>
      </w:r>
      <w:r w:rsidRPr="004418F6">
        <w:rPr>
          <w:rFonts w:cs="Calibri"/>
          <w:u w:val="single"/>
        </w:rPr>
        <w:t>S</w:t>
      </w:r>
      <w:r w:rsidR="005E0398" w:rsidRPr="004418F6">
        <w:rPr>
          <w:rFonts w:cs="Calibri"/>
          <w:u w:val="single"/>
        </w:rPr>
        <w:t>tates</w:t>
      </w:r>
    </w:p>
    <w:p w14:paraId="36087B34" w14:textId="39FFEB79" w:rsidR="00D77B89" w:rsidRDefault="007A24D8" w:rsidP="005E0398">
      <w:pPr>
        <w:rPr>
          <w:rFonts w:cs="Calibri"/>
        </w:rPr>
      </w:pPr>
      <w:r w:rsidRPr="004418F6">
        <w:rPr>
          <w:rFonts w:cs="Calibri"/>
        </w:rPr>
        <w:t xml:space="preserve">The second essential requirement for perpetual peace which Kant poses is the </w:t>
      </w:r>
      <w:r w:rsidR="004D643D" w:rsidRPr="004418F6">
        <w:rPr>
          <w:rFonts w:cs="Calibri"/>
        </w:rPr>
        <w:t>establishment of a ‘federation of free states’.</w:t>
      </w:r>
      <w:r w:rsidR="004D643D" w:rsidRPr="004418F6">
        <w:rPr>
          <w:rStyle w:val="FootnoteReference"/>
          <w:rFonts w:cs="Calibri"/>
        </w:rPr>
        <w:footnoteReference w:id="14"/>
      </w:r>
      <w:r w:rsidR="004D643D" w:rsidRPr="004418F6">
        <w:rPr>
          <w:rFonts w:cs="Calibri"/>
        </w:rPr>
        <w:t xml:space="preserve"> These federations should form laws to prevent violence from occurring by establishing peaceful measures, all states within these federations should be of equal standing to prevent corruption. Kant states that this should ensure peace amongst the states </w:t>
      </w:r>
      <w:r w:rsidR="00DA5723" w:rsidRPr="004418F6">
        <w:rPr>
          <w:rFonts w:cs="Calibri"/>
        </w:rPr>
        <w:t>of the federation, and provide peaceful resolutions to others outside the federations when necessary.</w:t>
      </w:r>
      <w:r w:rsidR="00DA5723" w:rsidRPr="004418F6">
        <w:rPr>
          <w:rStyle w:val="FootnoteReference"/>
          <w:rFonts w:cs="Calibri"/>
        </w:rPr>
        <w:footnoteReference w:id="15"/>
      </w:r>
      <w:r w:rsidR="00DA5723" w:rsidRPr="004418F6">
        <w:rPr>
          <w:rFonts w:cs="Calibri"/>
        </w:rPr>
        <w:t xml:space="preserve"> One such example of this is the United Nations</w:t>
      </w:r>
      <w:r w:rsidR="000F5BFF">
        <w:rPr>
          <w:rFonts w:cs="Calibri"/>
        </w:rPr>
        <w:t>, who routinely make efforts to establish peace</w:t>
      </w:r>
      <w:r w:rsidR="00DA5723" w:rsidRPr="004418F6">
        <w:rPr>
          <w:rFonts w:cs="Calibri"/>
        </w:rPr>
        <w:t>.</w:t>
      </w:r>
      <w:r w:rsidR="000F5BFF">
        <w:rPr>
          <w:rStyle w:val="FootnoteReference"/>
          <w:rFonts w:cs="Calibri"/>
        </w:rPr>
        <w:footnoteReference w:id="16"/>
      </w:r>
    </w:p>
    <w:p w14:paraId="07C45C8A" w14:textId="77777777" w:rsidR="00AA7042" w:rsidRDefault="00AA7042" w:rsidP="005E0398">
      <w:pPr>
        <w:rPr>
          <w:rFonts w:cs="Calibri"/>
        </w:rPr>
      </w:pPr>
    </w:p>
    <w:p w14:paraId="221E5030" w14:textId="77777777" w:rsidR="00AA7042" w:rsidRPr="004418F6" w:rsidRDefault="00AA7042" w:rsidP="005E0398">
      <w:pPr>
        <w:rPr>
          <w:rFonts w:cs="Calibri"/>
        </w:rPr>
      </w:pPr>
    </w:p>
    <w:p w14:paraId="1CDAC2D7" w14:textId="33532CD2" w:rsidR="005E0398" w:rsidRPr="004418F6" w:rsidRDefault="00900DC2" w:rsidP="00ED06E8">
      <w:pPr>
        <w:rPr>
          <w:rFonts w:cs="Calibri"/>
          <w:u w:val="single"/>
        </w:rPr>
      </w:pPr>
      <w:r w:rsidRPr="004418F6">
        <w:rPr>
          <w:rFonts w:cs="Calibri"/>
          <w:u w:val="single"/>
        </w:rPr>
        <w:lastRenderedPageBreak/>
        <w:t>U</w:t>
      </w:r>
      <w:r w:rsidR="005E0398" w:rsidRPr="004418F6">
        <w:rPr>
          <w:rFonts w:cs="Calibri"/>
          <w:u w:val="single"/>
        </w:rPr>
        <w:t xml:space="preserve">niversal </w:t>
      </w:r>
      <w:r w:rsidRPr="004418F6">
        <w:rPr>
          <w:rFonts w:cs="Calibri"/>
          <w:u w:val="single"/>
        </w:rPr>
        <w:t>H</w:t>
      </w:r>
      <w:r w:rsidR="005E0398" w:rsidRPr="004418F6">
        <w:rPr>
          <w:rFonts w:cs="Calibri"/>
          <w:u w:val="single"/>
        </w:rPr>
        <w:t>ospitality</w:t>
      </w:r>
    </w:p>
    <w:p w14:paraId="77F36D88" w14:textId="6FB8DFA1" w:rsidR="00D77B89" w:rsidRPr="004418F6" w:rsidRDefault="005A0F75" w:rsidP="00ED06E8">
      <w:pPr>
        <w:rPr>
          <w:rFonts w:cs="Calibri"/>
        </w:rPr>
      </w:pPr>
      <w:r w:rsidRPr="004418F6">
        <w:rPr>
          <w:rFonts w:cs="Calibri"/>
        </w:rPr>
        <w:t xml:space="preserve">Kant’s third essential requirement for perpetual peace is that of universal hospitality. </w:t>
      </w:r>
      <w:r w:rsidR="003D0FCF" w:rsidRPr="004418F6">
        <w:rPr>
          <w:rFonts w:cs="Calibri"/>
        </w:rPr>
        <w:t>T</w:t>
      </w:r>
      <w:r w:rsidRPr="004418F6">
        <w:rPr>
          <w:rFonts w:cs="Calibri"/>
        </w:rPr>
        <w:t>his is the right for all mankind to visit a foreign soil without being met with hostility.</w:t>
      </w:r>
      <w:r w:rsidRPr="004418F6">
        <w:rPr>
          <w:rStyle w:val="FootnoteReference"/>
          <w:rFonts w:cs="Calibri"/>
        </w:rPr>
        <w:footnoteReference w:id="17"/>
      </w:r>
      <w:r w:rsidRPr="004418F6">
        <w:rPr>
          <w:rFonts w:cs="Calibri"/>
        </w:rPr>
        <w:t xml:space="preserve"> Kant argues that the Earth belongs to all humans, thus all should be allowed the freedom to visit territories without fear</w:t>
      </w:r>
      <w:r w:rsidR="009A7F34" w:rsidRPr="004418F6">
        <w:rPr>
          <w:rFonts w:cs="Calibri"/>
        </w:rPr>
        <w:t>.</w:t>
      </w:r>
      <w:r w:rsidR="003D0FCF" w:rsidRPr="004418F6">
        <w:rPr>
          <w:rStyle w:val="FootnoteReference"/>
          <w:rFonts w:cs="Calibri"/>
        </w:rPr>
        <w:footnoteReference w:id="18"/>
      </w:r>
      <w:r w:rsidR="009A7F34" w:rsidRPr="004418F6">
        <w:rPr>
          <w:rFonts w:cs="Calibri"/>
        </w:rPr>
        <w:t xml:space="preserve"> This</w:t>
      </w:r>
      <w:r w:rsidR="002310EA" w:rsidRPr="004418F6">
        <w:rPr>
          <w:rFonts w:cs="Calibri"/>
        </w:rPr>
        <w:t xml:space="preserve"> promotes peace through means of understanding and widening communities. The European Union is </w:t>
      </w:r>
      <w:r w:rsidR="009A7F34" w:rsidRPr="004418F6">
        <w:rPr>
          <w:rFonts w:cs="Calibri"/>
        </w:rPr>
        <w:t>one</w:t>
      </w:r>
      <w:r w:rsidR="002310EA" w:rsidRPr="004418F6">
        <w:rPr>
          <w:rFonts w:cs="Calibri"/>
        </w:rPr>
        <w:t xml:space="preserve"> example of how countries have</w:t>
      </w:r>
      <w:r w:rsidR="000F5BFF">
        <w:rPr>
          <w:rFonts w:cs="Calibri"/>
        </w:rPr>
        <w:t xml:space="preserve"> </w:t>
      </w:r>
      <w:r w:rsidR="000F5BFF" w:rsidRPr="004418F6">
        <w:rPr>
          <w:rFonts w:cs="Calibri"/>
        </w:rPr>
        <w:t>establishing a sense of universal hospitality</w:t>
      </w:r>
      <w:r w:rsidR="000F5BFF">
        <w:rPr>
          <w:rFonts w:cs="Calibri"/>
        </w:rPr>
        <w:t xml:space="preserve"> by expanding borders and developing trade.</w:t>
      </w:r>
      <w:r w:rsidR="000F5BFF">
        <w:rPr>
          <w:rStyle w:val="FootnoteReference"/>
          <w:rFonts w:cs="Calibri"/>
        </w:rPr>
        <w:footnoteReference w:id="19"/>
      </w:r>
    </w:p>
    <w:p w14:paraId="3D5A1277" w14:textId="737452D8" w:rsidR="00900DC2" w:rsidRPr="004418F6" w:rsidRDefault="00900DC2" w:rsidP="00ED06E8">
      <w:pPr>
        <w:rPr>
          <w:rFonts w:cs="Calibri"/>
          <w:u w:val="single"/>
        </w:rPr>
      </w:pPr>
      <w:r w:rsidRPr="004418F6">
        <w:rPr>
          <w:rFonts w:cs="Calibri"/>
          <w:u w:val="single"/>
        </w:rPr>
        <w:t>Conclusion</w:t>
      </w:r>
    </w:p>
    <w:p w14:paraId="0F265913" w14:textId="75AC0356" w:rsidR="00DA5723" w:rsidRPr="004418F6" w:rsidRDefault="002310EA" w:rsidP="00ED06E8">
      <w:pPr>
        <w:rPr>
          <w:rFonts w:cs="Calibri"/>
        </w:rPr>
      </w:pPr>
      <w:r w:rsidRPr="004418F6">
        <w:rPr>
          <w:rFonts w:cs="Calibri"/>
        </w:rPr>
        <w:t xml:space="preserve">In conclusion, it is apparent that Kant’s three requirements for perpetual peace still manifest effectively in the current international system. Whilst Republican Civil Constitutions are certainly ideal for peace, they may not always be practical in the current state of the world </w:t>
      </w:r>
      <w:r w:rsidR="00900DC2" w:rsidRPr="004418F6">
        <w:rPr>
          <w:rFonts w:cs="Calibri"/>
        </w:rPr>
        <w:t>as different political structures exist in the world, making it difficult to justify votes in matters such as war. However, Kant’s second and third requirements are utilised in the current international system very effectively, as is evident in organisations such as the United Nations and the European Union.</w:t>
      </w:r>
    </w:p>
    <w:p w14:paraId="5D765416" w14:textId="77777777" w:rsidR="00DA5723" w:rsidRPr="004418F6" w:rsidRDefault="00DA5723" w:rsidP="00ED06E8">
      <w:pPr>
        <w:rPr>
          <w:rFonts w:cs="Calibri"/>
        </w:rPr>
      </w:pPr>
    </w:p>
    <w:p w14:paraId="40CA32A9" w14:textId="77777777" w:rsidR="00DA5723" w:rsidRPr="004418F6" w:rsidRDefault="00DA5723" w:rsidP="00ED06E8">
      <w:pPr>
        <w:rPr>
          <w:rFonts w:cs="Calibri"/>
        </w:rPr>
      </w:pPr>
    </w:p>
    <w:p w14:paraId="177B3CE4" w14:textId="77777777" w:rsidR="00DA5723" w:rsidRPr="004418F6" w:rsidRDefault="00DA5723" w:rsidP="00ED06E8">
      <w:pPr>
        <w:rPr>
          <w:rFonts w:cs="Calibri"/>
        </w:rPr>
      </w:pPr>
    </w:p>
    <w:p w14:paraId="2334B511" w14:textId="77777777" w:rsidR="00DA5723" w:rsidRPr="004418F6" w:rsidRDefault="00DA5723" w:rsidP="00ED06E8">
      <w:pPr>
        <w:rPr>
          <w:rFonts w:cs="Calibri"/>
        </w:rPr>
      </w:pPr>
    </w:p>
    <w:p w14:paraId="4C071899" w14:textId="77777777" w:rsidR="00DA5723" w:rsidRPr="004418F6" w:rsidRDefault="00DA5723" w:rsidP="00ED06E8">
      <w:pPr>
        <w:rPr>
          <w:rFonts w:cs="Calibri"/>
        </w:rPr>
      </w:pPr>
    </w:p>
    <w:p w14:paraId="1E1B1675" w14:textId="77777777" w:rsidR="00DA5723" w:rsidRPr="004418F6" w:rsidRDefault="00DA5723" w:rsidP="00ED06E8">
      <w:pPr>
        <w:rPr>
          <w:rFonts w:cs="Calibri"/>
        </w:rPr>
      </w:pPr>
    </w:p>
    <w:p w14:paraId="0323ADCD" w14:textId="77777777" w:rsidR="00DA5723" w:rsidRPr="004418F6" w:rsidRDefault="00DA5723" w:rsidP="00ED06E8">
      <w:pPr>
        <w:rPr>
          <w:rFonts w:cs="Calibri"/>
        </w:rPr>
      </w:pPr>
    </w:p>
    <w:p w14:paraId="4D136A43" w14:textId="77777777" w:rsidR="00DA5723" w:rsidRPr="004418F6" w:rsidRDefault="00DA5723" w:rsidP="00ED06E8">
      <w:pPr>
        <w:rPr>
          <w:rFonts w:cs="Calibri"/>
        </w:rPr>
      </w:pPr>
    </w:p>
    <w:p w14:paraId="46F0518E" w14:textId="77777777" w:rsidR="00DA5723" w:rsidRPr="004418F6" w:rsidRDefault="00DA5723" w:rsidP="00ED06E8">
      <w:pPr>
        <w:rPr>
          <w:rFonts w:cs="Calibri"/>
        </w:rPr>
      </w:pPr>
    </w:p>
    <w:p w14:paraId="1261DA3E" w14:textId="77777777" w:rsidR="00DA5723" w:rsidRPr="004418F6" w:rsidRDefault="00DA5723" w:rsidP="00ED06E8">
      <w:pPr>
        <w:rPr>
          <w:rFonts w:cs="Calibri"/>
        </w:rPr>
      </w:pPr>
    </w:p>
    <w:p w14:paraId="08CEFE50" w14:textId="77777777" w:rsidR="00DA5723" w:rsidRPr="004418F6" w:rsidRDefault="00DA5723" w:rsidP="00ED06E8">
      <w:pPr>
        <w:rPr>
          <w:rFonts w:cs="Calibri"/>
        </w:rPr>
      </w:pPr>
    </w:p>
    <w:p w14:paraId="5C6450DF" w14:textId="77777777" w:rsidR="00DA5723" w:rsidRPr="004418F6" w:rsidRDefault="00DA5723" w:rsidP="00ED06E8">
      <w:pPr>
        <w:rPr>
          <w:rFonts w:cs="Calibri"/>
        </w:rPr>
      </w:pPr>
    </w:p>
    <w:p w14:paraId="3348859A" w14:textId="77777777" w:rsidR="00DA5723" w:rsidRPr="004418F6" w:rsidRDefault="00DA5723" w:rsidP="00ED06E8">
      <w:pPr>
        <w:rPr>
          <w:rFonts w:cs="Calibri"/>
        </w:rPr>
      </w:pPr>
    </w:p>
    <w:p w14:paraId="63378DA4" w14:textId="77777777" w:rsidR="004418F6" w:rsidRPr="004418F6" w:rsidRDefault="004418F6" w:rsidP="00ED06E8">
      <w:pPr>
        <w:rPr>
          <w:rFonts w:cs="Calibri"/>
        </w:rPr>
      </w:pPr>
    </w:p>
    <w:p w14:paraId="2E7946AB" w14:textId="77777777" w:rsidR="00630D05" w:rsidRPr="004418F6" w:rsidRDefault="00630D05" w:rsidP="00B36073">
      <w:pPr>
        <w:rPr>
          <w:rFonts w:cs="Calibri"/>
          <w:b/>
          <w:bCs/>
          <w:u w:val="single"/>
        </w:rPr>
      </w:pPr>
      <w:r w:rsidRPr="004418F6">
        <w:rPr>
          <w:rFonts w:cs="Calibri"/>
          <w:b/>
          <w:bCs/>
          <w:u w:val="single"/>
        </w:rPr>
        <w:lastRenderedPageBreak/>
        <w:t>Discuss the three stages of conflict and strategies for de-escalation and mitigating future conflict at each stage. For the escalation stage please focus on the strategies that help de-escalate conflict.</w:t>
      </w:r>
    </w:p>
    <w:p w14:paraId="10F79B92" w14:textId="57C43736" w:rsidR="00E514FE" w:rsidRPr="004418F6" w:rsidRDefault="007A24D8" w:rsidP="00B36073">
      <w:pPr>
        <w:rPr>
          <w:rFonts w:cs="Calibri"/>
        </w:rPr>
      </w:pPr>
      <w:r w:rsidRPr="004418F6">
        <w:rPr>
          <w:rFonts w:cs="Calibri"/>
        </w:rPr>
        <w:t>I</w:t>
      </w:r>
      <w:r w:rsidR="00A66338" w:rsidRPr="004418F6">
        <w:rPr>
          <w:rFonts w:cs="Calibri"/>
        </w:rPr>
        <w:t xml:space="preserve">t must be noted that </w:t>
      </w:r>
      <w:r w:rsidR="0069642F" w:rsidRPr="004418F6">
        <w:rPr>
          <w:rFonts w:cs="Calibri"/>
        </w:rPr>
        <w:t>c</w:t>
      </w:r>
      <w:r w:rsidR="00A66338" w:rsidRPr="004418F6">
        <w:rPr>
          <w:rFonts w:cs="Calibri"/>
        </w:rPr>
        <w:t>onflict is an inevitable part of human society</w:t>
      </w:r>
      <w:r w:rsidR="00FB5006">
        <w:rPr>
          <w:rFonts w:cs="Calibri"/>
        </w:rPr>
        <w:t>.</w:t>
      </w:r>
      <w:r w:rsidR="0069642F" w:rsidRPr="004418F6">
        <w:rPr>
          <w:rFonts w:cs="Calibri"/>
        </w:rPr>
        <w:t xml:space="preserve"> </w:t>
      </w:r>
      <w:r w:rsidR="00FB5006">
        <w:rPr>
          <w:rFonts w:cs="Calibri"/>
        </w:rPr>
        <w:t>C</w:t>
      </w:r>
      <w:r w:rsidR="0069642F" w:rsidRPr="004418F6">
        <w:rPr>
          <w:rFonts w:cs="Calibri"/>
        </w:rPr>
        <w:t xml:space="preserve">onflict </w:t>
      </w:r>
      <w:r w:rsidRPr="004418F6">
        <w:rPr>
          <w:rFonts w:cs="Calibri"/>
        </w:rPr>
        <w:t>itself is</w:t>
      </w:r>
      <w:r w:rsidR="0069642F" w:rsidRPr="004418F6">
        <w:rPr>
          <w:rFonts w:cs="Calibri"/>
        </w:rPr>
        <w:t xml:space="preserve"> not </w:t>
      </w:r>
      <w:r w:rsidRPr="004418F6">
        <w:rPr>
          <w:rFonts w:cs="Calibri"/>
        </w:rPr>
        <w:t>an</w:t>
      </w:r>
      <w:r w:rsidR="0069642F" w:rsidRPr="004418F6">
        <w:rPr>
          <w:rFonts w:cs="Calibri"/>
        </w:rPr>
        <w:t xml:space="preserve"> issue</w:t>
      </w:r>
      <w:r w:rsidRPr="004418F6">
        <w:rPr>
          <w:rFonts w:cs="Calibri"/>
        </w:rPr>
        <w:t>, and can even be progressive</w:t>
      </w:r>
      <w:r w:rsidR="0069642F" w:rsidRPr="004418F6">
        <w:rPr>
          <w:rFonts w:cs="Calibri"/>
        </w:rPr>
        <w:t xml:space="preserve">. </w:t>
      </w:r>
      <w:r w:rsidRPr="004418F6">
        <w:rPr>
          <w:rFonts w:cs="Calibri"/>
        </w:rPr>
        <w:t>However</w:t>
      </w:r>
      <w:r w:rsidR="0069642F" w:rsidRPr="004418F6">
        <w:rPr>
          <w:rFonts w:cs="Calibri"/>
        </w:rPr>
        <w:t>, the issue lies with the actions of individuals or groups resorting to violence</w:t>
      </w:r>
      <w:r w:rsidRPr="004418F6">
        <w:rPr>
          <w:rFonts w:cs="Calibri"/>
        </w:rPr>
        <w:t xml:space="preserve"> as a result of conflict</w:t>
      </w:r>
      <w:r w:rsidR="00A66338" w:rsidRPr="004418F6">
        <w:rPr>
          <w:rFonts w:cs="Calibri"/>
        </w:rPr>
        <w:t xml:space="preserve">. However, steps can be taken to resolve conflict, which allow the de-escalation of </w:t>
      </w:r>
      <w:r w:rsidR="00456079" w:rsidRPr="004418F6">
        <w:rPr>
          <w:rFonts w:cs="Calibri"/>
        </w:rPr>
        <w:t>it</w:t>
      </w:r>
      <w:r w:rsidR="00A66338" w:rsidRPr="004418F6">
        <w:rPr>
          <w:rFonts w:cs="Calibri"/>
        </w:rPr>
        <w:t xml:space="preserve"> and to prevent future conflict</w:t>
      </w:r>
      <w:r w:rsidR="00456079" w:rsidRPr="004418F6">
        <w:rPr>
          <w:rFonts w:cs="Calibri"/>
        </w:rPr>
        <w:t>s</w:t>
      </w:r>
      <w:r w:rsidR="006B2B88">
        <w:rPr>
          <w:rFonts w:cs="Calibri"/>
        </w:rPr>
        <w:t>.</w:t>
      </w:r>
      <w:r w:rsidR="00A66338" w:rsidRPr="004418F6">
        <w:rPr>
          <w:rFonts w:cs="Calibri"/>
        </w:rPr>
        <w:t xml:space="preserve"> </w:t>
      </w:r>
      <w:r w:rsidR="006B2B88">
        <w:rPr>
          <w:rFonts w:cs="Calibri"/>
        </w:rPr>
        <w:t>O</w:t>
      </w:r>
      <w:r w:rsidR="00A66338" w:rsidRPr="004418F6">
        <w:rPr>
          <w:rFonts w:cs="Calibri"/>
        </w:rPr>
        <w:t>ne must understand the</w:t>
      </w:r>
      <w:r w:rsidR="00456079" w:rsidRPr="004418F6">
        <w:rPr>
          <w:rFonts w:cs="Calibri"/>
        </w:rPr>
        <w:t xml:space="preserve"> three</w:t>
      </w:r>
      <w:r w:rsidR="00A66338" w:rsidRPr="004418F6">
        <w:rPr>
          <w:rFonts w:cs="Calibri"/>
        </w:rPr>
        <w:t xml:space="preserve"> stages of conflict. </w:t>
      </w:r>
      <w:r w:rsidR="00E514FE" w:rsidRPr="004418F6">
        <w:rPr>
          <w:rFonts w:cs="Calibri"/>
        </w:rPr>
        <w:t>The</w:t>
      </w:r>
      <w:r w:rsidR="00456079" w:rsidRPr="004418F6">
        <w:rPr>
          <w:rFonts w:cs="Calibri"/>
        </w:rPr>
        <w:t xml:space="preserve">se, </w:t>
      </w:r>
      <w:r w:rsidR="006073A1" w:rsidRPr="004418F6">
        <w:rPr>
          <w:rFonts w:cs="Calibri"/>
        </w:rPr>
        <w:t>as showcased by Louis Kriesberg and Gearoid Millar</w:t>
      </w:r>
      <w:r w:rsidR="00E514FE" w:rsidRPr="004418F6">
        <w:rPr>
          <w:rFonts w:cs="Calibri"/>
        </w:rPr>
        <w:t xml:space="preserve"> are as follows:</w:t>
      </w:r>
    </w:p>
    <w:p w14:paraId="235D34E0" w14:textId="08427C9A" w:rsidR="003D0FCF" w:rsidRPr="004418F6" w:rsidRDefault="003D0FCF" w:rsidP="00B36073">
      <w:pPr>
        <w:rPr>
          <w:rFonts w:cs="Calibri"/>
          <w:u w:val="single"/>
        </w:rPr>
      </w:pPr>
      <w:r w:rsidRPr="004418F6">
        <w:rPr>
          <w:rFonts w:cs="Calibri"/>
          <w:u w:val="single"/>
        </w:rPr>
        <w:t>Escalation</w:t>
      </w:r>
    </w:p>
    <w:p w14:paraId="558296CE" w14:textId="5D1B8B50" w:rsidR="00C61969" w:rsidRPr="004418F6" w:rsidRDefault="00E514FE" w:rsidP="00B36073">
      <w:pPr>
        <w:rPr>
          <w:rFonts w:cs="Calibri"/>
        </w:rPr>
      </w:pPr>
      <w:r w:rsidRPr="004418F6">
        <w:rPr>
          <w:rFonts w:cs="Calibri"/>
        </w:rPr>
        <w:t>The Escalation stage</w:t>
      </w:r>
      <w:r w:rsidR="0069642F" w:rsidRPr="004418F6">
        <w:rPr>
          <w:rFonts w:cs="Calibri"/>
        </w:rPr>
        <w:t xml:space="preserve"> is the initial stage of conflict. As tensions arise, processes can be taken in hopes of preventing the further escalation of violence. The first difficulty in resolving conflict </w:t>
      </w:r>
      <w:r w:rsidR="00456079" w:rsidRPr="004418F6">
        <w:rPr>
          <w:rFonts w:cs="Calibri"/>
        </w:rPr>
        <w:t>dur</w:t>
      </w:r>
      <w:r w:rsidR="0069642F" w:rsidRPr="004418F6">
        <w:rPr>
          <w:rFonts w:cs="Calibri"/>
        </w:rPr>
        <w:t>in</w:t>
      </w:r>
      <w:r w:rsidR="00456079" w:rsidRPr="004418F6">
        <w:rPr>
          <w:rFonts w:cs="Calibri"/>
        </w:rPr>
        <w:t>g</w:t>
      </w:r>
      <w:r w:rsidR="0069642F" w:rsidRPr="004418F6">
        <w:rPr>
          <w:rFonts w:cs="Calibri"/>
        </w:rPr>
        <w:t xml:space="preserve"> the escalation stage, is identifying when </w:t>
      </w:r>
      <w:r w:rsidR="00B6444A" w:rsidRPr="004418F6">
        <w:rPr>
          <w:rFonts w:cs="Calibri"/>
        </w:rPr>
        <w:t>a conflict has the potential to escalate to violence.</w:t>
      </w:r>
      <w:r w:rsidR="004E3721" w:rsidRPr="004418F6">
        <w:rPr>
          <w:rFonts w:cs="Calibri"/>
        </w:rPr>
        <w:t xml:space="preserve"> It is often the case that the goal is ‘changes, not elimination’</w:t>
      </w:r>
      <w:r w:rsidR="00456079" w:rsidRPr="004418F6">
        <w:rPr>
          <w:rFonts w:cs="Calibri"/>
        </w:rPr>
        <w:t>.</w:t>
      </w:r>
      <w:r w:rsidR="00456079" w:rsidRPr="004418F6">
        <w:rPr>
          <w:rStyle w:val="Heading3Char"/>
          <w:rFonts w:cs="Calibri"/>
          <w:sz w:val="24"/>
          <w:szCs w:val="24"/>
        </w:rPr>
        <w:t xml:space="preserve"> </w:t>
      </w:r>
      <w:r w:rsidR="00456079" w:rsidRPr="004418F6">
        <w:rPr>
          <w:rStyle w:val="FootnoteReference"/>
          <w:rFonts w:cs="Calibri"/>
        </w:rPr>
        <w:footnoteReference w:id="20"/>
      </w:r>
      <w:r w:rsidR="004E3721" w:rsidRPr="004418F6">
        <w:rPr>
          <w:rFonts w:cs="Calibri"/>
        </w:rPr>
        <w:t xml:space="preserve"> With this in mind, if elimination of the opposing side is not the preferred outcome, all parties should be willing to negotiate.</w:t>
      </w:r>
      <w:r w:rsidR="00B6444A" w:rsidRPr="004418F6">
        <w:rPr>
          <w:rFonts w:cs="Calibri"/>
        </w:rPr>
        <w:t xml:space="preserve"> From here, open discussions can begin to diplomatically resolve the conflict</w:t>
      </w:r>
      <w:r w:rsidR="001508A4" w:rsidRPr="004418F6">
        <w:rPr>
          <w:rFonts w:cs="Calibri"/>
        </w:rPr>
        <w:t xml:space="preserve"> before the parties involved resort to violence. </w:t>
      </w:r>
      <w:r w:rsidR="0019555E" w:rsidRPr="004418F6">
        <w:rPr>
          <w:rFonts w:cs="Calibri"/>
        </w:rPr>
        <w:t>Though these discussions may not always prove effective</w:t>
      </w:r>
      <w:r w:rsidR="00C61969" w:rsidRPr="004418F6">
        <w:rPr>
          <w:rFonts w:cs="Calibri"/>
        </w:rPr>
        <w:t xml:space="preserve"> in resolving conflict, and violence entirely, they can begin to open further possibilities for peace. </w:t>
      </w:r>
      <w:r w:rsidR="006B2B88">
        <w:rPr>
          <w:rFonts w:cs="Calibri"/>
        </w:rPr>
        <w:t>P</w:t>
      </w:r>
      <w:r w:rsidR="00C61969" w:rsidRPr="004418F6">
        <w:rPr>
          <w:rFonts w:cs="Calibri"/>
        </w:rPr>
        <w:t>rovided that all parties involved are willing to negotiate, this can allow the de-escalation process to begin. However, it must be noted that in certain instances, if one faction perceives the other as lesser, or even sub-human, the peace process becomes significantly more complex.</w:t>
      </w:r>
      <w:r w:rsidR="00C61969" w:rsidRPr="004418F6">
        <w:rPr>
          <w:rStyle w:val="FootnoteReference"/>
          <w:rFonts w:cs="Calibri"/>
        </w:rPr>
        <w:footnoteReference w:id="21"/>
      </w:r>
      <w:r w:rsidR="00C61969" w:rsidRPr="004418F6">
        <w:rPr>
          <w:rFonts w:cs="Calibri"/>
        </w:rPr>
        <w:t xml:space="preserve"> </w:t>
      </w:r>
    </w:p>
    <w:p w14:paraId="5D6E1C02" w14:textId="364ECD97" w:rsidR="003D0FCF" w:rsidRPr="004418F6" w:rsidRDefault="003D0FCF" w:rsidP="00B36073">
      <w:pPr>
        <w:rPr>
          <w:rFonts w:cs="Calibri"/>
          <w:u w:val="single"/>
        </w:rPr>
      </w:pPr>
      <w:r w:rsidRPr="004418F6">
        <w:rPr>
          <w:rFonts w:cs="Calibri"/>
          <w:u w:val="single"/>
        </w:rPr>
        <w:t>De-Escalation</w:t>
      </w:r>
    </w:p>
    <w:p w14:paraId="41716206" w14:textId="78F38CF6" w:rsidR="004E3721" w:rsidRPr="004418F6" w:rsidRDefault="00FB70EB" w:rsidP="00B36073">
      <w:pPr>
        <w:rPr>
          <w:rFonts w:cs="Calibri"/>
        </w:rPr>
      </w:pPr>
      <w:r w:rsidRPr="004418F6">
        <w:rPr>
          <w:rFonts w:cs="Calibri"/>
        </w:rPr>
        <w:t>The De-escalation process follows after the escalation process, it often begins when one side has either been defeated and submit to the opposition.</w:t>
      </w:r>
      <w:r w:rsidRPr="004418F6">
        <w:rPr>
          <w:rStyle w:val="FootnoteReference"/>
          <w:rFonts w:cs="Calibri"/>
        </w:rPr>
        <w:footnoteReference w:id="22"/>
      </w:r>
      <w:r w:rsidRPr="004418F6">
        <w:rPr>
          <w:rFonts w:cs="Calibri"/>
        </w:rPr>
        <w:t xml:space="preserve"> However, this is not the only way in which the de-escalation process can begin. Oftentimes, coalitions and subgroups become involved in the process, in hopes of mediating the violence.</w:t>
      </w:r>
      <w:r w:rsidRPr="004418F6">
        <w:rPr>
          <w:rStyle w:val="FootnoteReference"/>
          <w:rFonts w:cs="Calibri"/>
        </w:rPr>
        <w:footnoteReference w:id="23"/>
      </w:r>
      <w:r w:rsidRPr="004418F6">
        <w:rPr>
          <w:rFonts w:cs="Calibri"/>
        </w:rPr>
        <w:t xml:space="preserve"> Nonetheless, a faction’s behaviour throughout the de-escalation process is </w:t>
      </w:r>
      <w:r w:rsidR="00456079" w:rsidRPr="004418F6">
        <w:rPr>
          <w:rFonts w:cs="Calibri"/>
        </w:rPr>
        <w:t>crucial</w:t>
      </w:r>
      <w:r w:rsidRPr="004418F6">
        <w:rPr>
          <w:rFonts w:cs="Calibri"/>
        </w:rPr>
        <w:t xml:space="preserve"> to the outcome of the events.</w:t>
      </w:r>
      <w:r w:rsidRPr="004418F6">
        <w:rPr>
          <w:rStyle w:val="FootnoteReference"/>
          <w:rFonts w:cs="Calibri"/>
        </w:rPr>
        <w:footnoteReference w:id="24"/>
      </w:r>
      <w:r w:rsidR="00E87837" w:rsidRPr="004418F6">
        <w:rPr>
          <w:rFonts w:cs="Calibri"/>
        </w:rPr>
        <w:t xml:space="preserve"> It must be noted that direct hardline pathways taken by one faction could cause the complete breakdown of peace discussions</w:t>
      </w:r>
      <w:r w:rsidR="00013DE9" w:rsidRPr="004418F6">
        <w:rPr>
          <w:rFonts w:cs="Calibri"/>
        </w:rPr>
        <w:t>.</w:t>
      </w:r>
      <w:r w:rsidR="00E87837" w:rsidRPr="004418F6">
        <w:rPr>
          <w:rStyle w:val="FootnoteReference"/>
          <w:rFonts w:cs="Calibri"/>
        </w:rPr>
        <w:footnoteReference w:id="25"/>
      </w:r>
      <w:r w:rsidR="00E87837" w:rsidRPr="004418F6">
        <w:rPr>
          <w:rFonts w:cs="Calibri"/>
        </w:rPr>
        <w:t xml:space="preserve"> This is because it can be perceived that they are not considering the perspectives of their </w:t>
      </w:r>
      <w:r w:rsidR="00456079" w:rsidRPr="004418F6">
        <w:rPr>
          <w:rFonts w:cs="Calibri"/>
        </w:rPr>
        <w:t>adversarie</w:t>
      </w:r>
      <w:r w:rsidR="00E87837" w:rsidRPr="004418F6">
        <w:rPr>
          <w:rFonts w:cs="Calibri"/>
        </w:rPr>
        <w:t xml:space="preserve">s, and </w:t>
      </w:r>
      <w:r w:rsidR="00456079" w:rsidRPr="004418F6">
        <w:rPr>
          <w:rFonts w:cs="Calibri"/>
        </w:rPr>
        <w:t xml:space="preserve">this </w:t>
      </w:r>
      <w:r w:rsidR="00E87837" w:rsidRPr="004418F6">
        <w:rPr>
          <w:rFonts w:cs="Calibri"/>
        </w:rPr>
        <w:t>can be viewed as an inability to make concessions and provide mutual accommodation.</w:t>
      </w:r>
      <w:r w:rsidR="00E87837" w:rsidRPr="004418F6">
        <w:rPr>
          <w:rStyle w:val="FootnoteReference"/>
          <w:rFonts w:cs="Calibri"/>
        </w:rPr>
        <w:footnoteReference w:id="26"/>
      </w:r>
      <w:r w:rsidR="00E87837" w:rsidRPr="004418F6">
        <w:rPr>
          <w:rFonts w:cs="Calibri"/>
        </w:rPr>
        <w:t xml:space="preserve"> In more extreme cases it could appear that the faction failing to make such accommodations actively does not want peace </w:t>
      </w:r>
      <w:r w:rsidR="00E87837" w:rsidRPr="004418F6">
        <w:rPr>
          <w:rFonts w:cs="Calibri"/>
        </w:rPr>
        <w:lastRenderedPageBreak/>
        <w:t>and wishes for more violent escalations.</w:t>
      </w:r>
      <w:r w:rsidR="00E87837" w:rsidRPr="004418F6">
        <w:rPr>
          <w:rStyle w:val="FootnoteReference"/>
          <w:rFonts w:cs="Calibri"/>
        </w:rPr>
        <w:footnoteReference w:id="27"/>
      </w:r>
      <w:r w:rsidR="00013DE9" w:rsidRPr="004418F6">
        <w:rPr>
          <w:rFonts w:cs="Calibri"/>
        </w:rPr>
        <w:t xml:space="preserve"> This was the case with the Troubles in Northern Ireland in 1972</w:t>
      </w:r>
      <w:r w:rsidR="006B2B88">
        <w:rPr>
          <w:rFonts w:cs="Calibri"/>
        </w:rPr>
        <w:t>,</w:t>
      </w:r>
      <w:r w:rsidR="00013DE9" w:rsidRPr="004418F6">
        <w:rPr>
          <w:rFonts w:cs="Calibri"/>
        </w:rPr>
        <w:t xml:space="preserve"> where </w:t>
      </w:r>
      <w:r w:rsidR="005C1415" w:rsidRPr="004418F6">
        <w:rPr>
          <w:rFonts w:cs="Calibri"/>
        </w:rPr>
        <w:t>MI6</w:t>
      </w:r>
      <w:r w:rsidR="00456079" w:rsidRPr="004418F6">
        <w:rPr>
          <w:rFonts w:cs="Calibri"/>
        </w:rPr>
        <w:t xml:space="preserve"> agents</w:t>
      </w:r>
      <w:r w:rsidR="005C1415" w:rsidRPr="004418F6">
        <w:rPr>
          <w:rFonts w:cs="Calibri"/>
        </w:rPr>
        <w:t xml:space="preserve"> believed that the Irish Provisionals would need to be defeated before peace talks could truly be established. </w:t>
      </w:r>
      <w:r w:rsidR="00456079" w:rsidRPr="004418F6">
        <w:rPr>
          <w:rFonts w:cs="Calibri"/>
        </w:rPr>
        <w:t>Due to this, MI6 took</w:t>
      </w:r>
      <w:r w:rsidR="005C1415" w:rsidRPr="004418F6">
        <w:rPr>
          <w:rFonts w:cs="Calibri"/>
        </w:rPr>
        <w:t xml:space="preserve"> a hardline approach, throwing out any chance for peace to be made at the time</w:t>
      </w:r>
      <w:r w:rsidR="00013DE9" w:rsidRPr="004418F6">
        <w:rPr>
          <w:rFonts w:cs="Calibri"/>
        </w:rPr>
        <w:t>.</w:t>
      </w:r>
      <w:r w:rsidR="00013DE9" w:rsidRPr="004418F6">
        <w:rPr>
          <w:rStyle w:val="FootnoteReference"/>
          <w:rFonts w:cs="Calibri"/>
        </w:rPr>
        <w:footnoteReference w:id="28"/>
      </w:r>
      <w:r w:rsidR="009A7F34" w:rsidRPr="004418F6">
        <w:rPr>
          <w:rFonts w:cs="Calibri"/>
        </w:rPr>
        <w:t xml:space="preserve"> In the case of the troubles, this act undermined the IRA and forced tensions to grow</w:t>
      </w:r>
      <w:r w:rsidR="006B2B88">
        <w:rPr>
          <w:rFonts w:cs="Calibri"/>
        </w:rPr>
        <w:t>.</w:t>
      </w:r>
      <w:r w:rsidR="006B2B88">
        <w:rPr>
          <w:rStyle w:val="FootnoteReference"/>
          <w:rFonts w:cs="Calibri"/>
        </w:rPr>
        <w:footnoteReference w:id="29"/>
      </w:r>
      <w:r w:rsidR="006B2B88">
        <w:rPr>
          <w:rFonts w:cs="Calibri"/>
        </w:rPr>
        <w:t xml:space="preserve"> As a result,</w:t>
      </w:r>
      <w:r w:rsidR="009A7F34" w:rsidRPr="004418F6">
        <w:rPr>
          <w:rFonts w:cs="Calibri"/>
        </w:rPr>
        <w:t xml:space="preserve"> the troubles would continue until 1998.</w:t>
      </w:r>
      <w:r w:rsidR="009A7F34" w:rsidRPr="004418F6">
        <w:rPr>
          <w:rStyle w:val="FootnoteReference"/>
          <w:rFonts w:cs="Calibri"/>
        </w:rPr>
        <w:footnoteReference w:id="30"/>
      </w:r>
      <w:r w:rsidR="00013DE9" w:rsidRPr="004418F6">
        <w:rPr>
          <w:rFonts w:cs="Calibri"/>
        </w:rPr>
        <w:t xml:space="preserve"> </w:t>
      </w:r>
      <w:r w:rsidR="005C1415" w:rsidRPr="004418F6">
        <w:rPr>
          <w:rFonts w:cs="Calibri"/>
        </w:rPr>
        <w:t>Here,</w:t>
      </w:r>
      <w:r w:rsidR="00E87837" w:rsidRPr="004418F6">
        <w:rPr>
          <w:rFonts w:cs="Calibri"/>
        </w:rPr>
        <w:t xml:space="preserve"> it is crucial that a realistic, and calculated approach must be taken towards the situation in order to ensure an effective and fair agreement</w:t>
      </w:r>
      <w:r w:rsidR="005C1415" w:rsidRPr="004418F6">
        <w:rPr>
          <w:rFonts w:cs="Calibri"/>
        </w:rPr>
        <w:t xml:space="preserve"> at any stage of conflict. </w:t>
      </w:r>
    </w:p>
    <w:p w14:paraId="52EFA2AD" w14:textId="274021E3" w:rsidR="003D0FCF" w:rsidRPr="004418F6" w:rsidRDefault="003D0FCF" w:rsidP="00B36073">
      <w:pPr>
        <w:rPr>
          <w:rFonts w:cs="Calibri"/>
          <w:u w:val="single"/>
        </w:rPr>
      </w:pPr>
      <w:r w:rsidRPr="004418F6">
        <w:rPr>
          <w:rFonts w:cs="Calibri"/>
          <w:u w:val="single"/>
        </w:rPr>
        <w:t>Post-Violence Recovery</w:t>
      </w:r>
    </w:p>
    <w:p w14:paraId="29C18B9A" w14:textId="27A3ED3C" w:rsidR="006F2ED3" w:rsidRPr="00392B78" w:rsidRDefault="00AE4533" w:rsidP="00AE4533">
      <w:pPr>
        <w:rPr>
          <w:rFonts w:eastAsiaTheme="majorEastAsia" w:cs="Calibri"/>
          <w:color w:val="0F4761" w:themeColor="accent1" w:themeShade="BF"/>
          <w:sz w:val="28"/>
          <w:szCs w:val="28"/>
        </w:rPr>
      </w:pPr>
      <w:r w:rsidRPr="004418F6">
        <w:rPr>
          <w:rFonts w:cs="Calibri"/>
        </w:rPr>
        <w:t>Lastly, there is the post-violence recovery stage</w:t>
      </w:r>
      <w:r w:rsidR="006F2ED3" w:rsidRPr="004418F6">
        <w:rPr>
          <w:rFonts w:cs="Calibri"/>
        </w:rPr>
        <w:t>, when the conflict has been resolved and settlements have been made</w:t>
      </w:r>
      <w:r w:rsidR="006B2B88">
        <w:rPr>
          <w:rFonts w:cs="Calibri"/>
        </w:rPr>
        <w:t>.</w:t>
      </w:r>
      <w:r w:rsidR="006F2ED3" w:rsidRPr="004418F6">
        <w:rPr>
          <w:rFonts w:cs="Calibri"/>
        </w:rPr>
        <w:t xml:space="preserve"> </w:t>
      </w:r>
      <w:r w:rsidR="006B2B88">
        <w:rPr>
          <w:rFonts w:cs="Calibri"/>
        </w:rPr>
        <w:t>I</w:t>
      </w:r>
      <w:r w:rsidR="006F2ED3" w:rsidRPr="004418F6">
        <w:rPr>
          <w:rFonts w:cs="Calibri"/>
        </w:rPr>
        <w:t>t is crucial to ensure long-lasting peace in a respectable and effective manner. Actions such as war crime tribunals for both sides, human rights conventions and policing are essential in ensuring that conflict does not break out again.</w:t>
      </w:r>
      <w:r w:rsidR="006F2ED3" w:rsidRPr="004418F6">
        <w:rPr>
          <w:rStyle w:val="FootnoteReference"/>
          <w:rFonts w:cs="Calibri"/>
        </w:rPr>
        <w:footnoteReference w:id="31"/>
      </w:r>
      <w:r w:rsidR="006F2ED3" w:rsidRPr="004418F6">
        <w:rPr>
          <w:rFonts w:cs="Calibri"/>
        </w:rPr>
        <w:t xml:space="preserve"> In time, the ultimate goal is for the parties to reconcile.</w:t>
      </w:r>
      <w:r w:rsidR="009A7F34" w:rsidRPr="004418F6">
        <w:rPr>
          <w:rStyle w:val="FootnoteReference"/>
          <w:rFonts w:cs="Calibri"/>
        </w:rPr>
        <w:footnoteReference w:id="32"/>
      </w:r>
      <w:r w:rsidR="006F2ED3" w:rsidRPr="004418F6">
        <w:rPr>
          <w:rFonts w:cs="Calibri"/>
        </w:rPr>
        <w:t xml:space="preserve"> However, reconciliation may not always occur</w:t>
      </w:r>
      <w:r w:rsidR="006B2B88">
        <w:rPr>
          <w:rFonts w:cs="Calibri"/>
        </w:rPr>
        <w:t>.</w:t>
      </w:r>
      <w:r w:rsidR="006F2ED3" w:rsidRPr="004418F6">
        <w:rPr>
          <w:rFonts w:cs="Calibri"/>
        </w:rPr>
        <w:t xml:space="preserve"> </w:t>
      </w:r>
      <w:r w:rsidR="006B2B88">
        <w:rPr>
          <w:rFonts w:cs="Calibri"/>
        </w:rPr>
        <w:t>T</w:t>
      </w:r>
      <w:r w:rsidR="006F2ED3" w:rsidRPr="004418F6">
        <w:rPr>
          <w:rFonts w:cs="Calibri"/>
        </w:rPr>
        <w:t>hough at least</w:t>
      </w:r>
      <w:r w:rsidR="00285230" w:rsidRPr="004418F6">
        <w:rPr>
          <w:rFonts w:cs="Calibri"/>
        </w:rPr>
        <w:t xml:space="preserve"> if the post violence recovery is effective, both parties can</w:t>
      </w:r>
      <w:r w:rsidR="006F2ED3" w:rsidRPr="004418F6">
        <w:rPr>
          <w:rFonts w:cs="Calibri"/>
        </w:rPr>
        <w:t xml:space="preserve"> rebuild together</w:t>
      </w:r>
      <w:r w:rsidR="00285230" w:rsidRPr="004418F6">
        <w:rPr>
          <w:rFonts w:cs="Calibri"/>
        </w:rPr>
        <w:t xml:space="preserve"> and develop long-term mutual understandings</w:t>
      </w:r>
      <w:r w:rsidR="006F2ED3" w:rsidRPr="004418F6">
        <w:rPr>
          <w:rFonts w:cs="Calibri"/>
        </w:rPr>
        <w:t xml:space="preserve"> to not only instate long-lasting peace among themselves, but among other parties also. </w:t>
      </w:r>
      <w:r w:rsidR="00285230" w:rsidRPr="004418F6">
        <w:rPr>
          <w:rFonts w:cs="Calibri"/>
        </w:rPr>
        <w:t>For example, the Treaty of Versailles in 1919 blamed Germany heavily for the events of the Great War</w:t>
      </w:r>
      <w:r w:rsidR="008E6A1F">
        <w:rPr>
          <w:rFonts w:cs="Calibri"/>
        </w:rPr>
        <w:t>.</w:t>
      </w:r>
      <w:r w:rsidR="008E6A1F" w:rsidRPr="004418F6">
        <w:rPr>
          <w:rStyle w:val="FootnoteReference"/>
          <w:rFonts w:cs="Calibri"/>
        </w:rPr>
        <w:footnoteReference w:id="33"/>
      </w:r>
      <w:r w:rsidR="00285230" w:rsidRPr="004418F6">
        <w:rPr>
          <w:rFonts w:cs="Calibri"/>
        </w:rPr>
        <w:t xml:space="preserve"> </w:t>
      </w:r>
      <w:r w:rsidR="008E6A1F">
        <w:rPr>
          <w:rFonts w:cs="Calibri"/>
        </w:rPr>
        <w:t>Later, the injustice of the treaty</w:t>
      </w:r>
      <w:r w:rsidR="00285230" w:rsidRPr="004418F6">
        <w:rPr>
          <w:rFonts w:cs="Calibri"/>
        </w:rPr>
        <w:t xml:space="preserve"> </w:t>
      </w:r>
      <w:r w:rsidR="00ED06E8" w:rsidRPr="004418F6">
        <w:rPr>
          <w:rFonts w:cs="Calibri"/>
        </w:rPr>
        <w:t>was one of many excuses used by Adolf Hitler</w:t>
      </w:r>
      <w:r w:rsidR="00285230" w:rsidRPr="004418F6">
        <w:rPr>
          <w:rFonts w:cs="Calibri"/>
        </w:rPr>
        <w:t xml:space="preserve"> </w:t>
      </w:r>
      <w:r w:rsidR="00392B78">
        <w:rPr>
          <w:rFonts w:cs="Calibri"/>
        </w:rPr>
        <w:t>to justify the Second World War</w:t>
      </w:r>
      <w:r w:rsidR="00285230" w:rsidRPr="004418F6">
        <w:rPr>
          <w:rFonts w:cs="Calibri"/>
        </w:rPr>
        <w:t>.</w:t>
      </w:r>
      <w:r w:rsidR="00ED06E8" w:rsidRPr="004418F6">
        <w:rPr>
          <w:rStyle w:val="FootnoteReference"/>
          <w:rFonts w:cs="Calibri"/>
        </w:rPr>
        <w:footnoteReference w:id="34"/>
      </w:r>
      <w:r w:rsidR="00ED06E8" w:rsidRPr="004418F6">
        <w:rPr>
          <w:rFonts w:cs="Calibri"/>
          <w:vertAlign w:val="superscript"/>
        </w:rPr>
        <w:t xml:space="preserve"> </w:t>
      </w:r>
      <w:r w:rsidR="00ED06E8" w:rsidRPr="004418F6">
        <w:rPr>
          <w:rFonts w:cs="Calibri"/>
        </w:rPr>
        <w:t>Thus, the treaty of Versailles is a clear example where the post-violence recovery process failed and caused subsequent conflicts.</w:t>
      </w:r>
    </w:p>
    <w:p w14:paraId="7FF3CDA7" w14:textId="1B874390" w:rsidR="00285230" w:rsidRPr="004418F6" w:rsidRDefault="00285230" w:rsidP="00AE4533">
      <w:pPr>
        <w:rPr>
          <w:rFonts w:cs="Calibri"/>
          <w:u w:val="single"/>
        </w:rPr>
      </w:pPr>
      <w:r w:rsidRPr="004418F6">
        <w:rPr>
          <w:rFonts w:cs="Calibri"/>
          <w:u w:val="single"/>
        </w:rPr>
        <w:t>Conclusion</w:t>
      </w:r>
    </w:p>
    <w:p w14:paraId="1917A774" w14:textId="3004494A" w:rsidR="00285230" w:rsidRDefault="00285230" w:rsidP="00AE4533">
      <w:pPr>
        <w:rPr>
          <w:rFonts w:cs="Calibri"/>
        </w:rPr>
      </w:pPr>
      <w:r w:rsidRPr="004418F6">
        <w:rPr>
          <w:rFonts w:cs="Calibri"/>
        </w:rPr>
        <w:t>In conclusion, i</w:t>
      </w:r>
      <w:r w:rsidR="006F2ED3" w:rsidRPr="004418F6">
        <w:rPr>
          <w:rFonts w:cs="Calibri"/>
        </w:rPr>
        <w:t>t is crucial for conflict and the escalation of violence</w:t>
      </w:r>
      <w:r w:rsidRPr="004418F6">
        <w:rPr>
          <w:rFonts w:cs="Calibri"/>
        </w:rPr>
        <w:t xml:space="preserve"> to be dealt with in a careful manner, a common factor in all three stages is open discussion and agreements. Therefore, it must be noted that the greatest method for mitigating conflict is open minded communication. Failure to communicate effectively, in any of these processes can cause further tensions to arise, and even cause peace to break down in the future.</w:t>
      </w:r>
    </w:p>
    <w:p w14:paraId="3B9E9745" w14:textId="77777777" w:rsidR="0064216C" w:rsidRDefault="0064216C" w:rsidP="00AE4533">
      <w:pPr>
        <w:rPr>
          <w:rFonts w:cs="Calibri"/>
        </w:rPr>
      </w:pPr>
    </w:p>
    <w:p w14:paraId="70FDDD7C" w14:textId="77777777" w:rsidR="0064216C" w:rsidRDefault="0064216C" w:rsidP="00AE4533">
      <w:pPr>
        <w:rPr>
          <w:rFonts w:cs="Calibri"/>
        </w:rPr>
      </w:pPr>
    </w:p>
    <w:p w14:paraId="2C9C09D3" w14:textId="77777777" w:rsidR="0064216C" w:rsidRDefault="0064216C" w:rsidP="00AE4533">
      <w:pPr>
        <w:rPr>
          <w:rFonts w:cs="Calibri"/>
        </w:rPr>
      </w:pPr>
    </w:p>
    <w:p w14:paraId="038484DB" w14:textId="2CA9D459" w:rsidR="0064216C" w:rsidRDefault="0064216C" w:rsidP="00AE4533">
      <w:pPr>
        <w:rPr>
          <w:rFonts w:cs="Calibri"/>
          <w:b/>
          <w:bCs/>
          <w:u w:val="single"/>
        </w:rPr>
      </w:pPr>
      <w:r>
        <w:rPr>
          <w:rFonts w:cs="Calibri"/>
          <w:b/>
          <w:bCs/>
          <w:u w:val="single"/>
        </w:rPr>
        <w:lastRenderedPageBreak/>
        <w:t>Bibliography</w:t>
      </w:r>
    </w:p>
    <w:p w14:paraId="7602689C" w14:textId="202C7265" w:rsidR="0064216C" w:rsidRDefault="0064216C" w:rsidP="00AE4533">
      <w:pPr>
        <w:rPr>
          <w:rFonts w:cs="Calibri"/>
          <w:u w:val="single"/>
        </w:rPr>
      </w:pPr>
      <w:r>
        <w:rPr>
          <w:rFonts w:cs="Calibri"/>
          <w:u w:val="single"/>
        </w:rPr>
        <w:t>Question I</w:t>
      </w:r>
    </w:p>
    <w:p w14:paraId="3AAAD490" w14:textId="77777777" w:rsidR="00D36D70" w:rsidRPr="0064216C" w:rsidRDefault="00D36D70" w:rsidP="0064216C">
      <w:pPr>
        <w:rPr>
          <w:rFonts w:cs="Calibri"/>
          <w:lang w:val="en-US"/>
        </w:rPr>
      </w:pPr>
      <w:r w:rsidRPr="0064216C">
        <w:rPr>
          <w:rFonts w:cs="Calibri"/>
        </w:rPr>
        <w:t>Debusmann</w:t>
      </w:r>
      <w:r>
        <w:rPr>
          <w:rFonts w:cs="Calibri"/>
        </w:rPr>
        <w:t xml:space="preserve">, </w:t>
      </w:r>
      <w:r w:rsidRPr="0064216C">
        <w:rPr>
          <w:rFonts w:cs="Calibri"/>
        </w:rPr>
        <w:t xml:space="preserve">Bernd “Canada PM Mark Carney says old relationship with US 'is over”’ </w:t>
      </w:r>
      <w:r w:rsidRPr="0064216C">
        <w:rPr>
          <w:rFonts w:cs="Calibri"/>
          <w:i/>
          <w:iCs/>
        </w:rPr>
        <w:t>BBC News</w:t>
      </w:r>
      <w:r w:rsidRPr="0064216C">
        <w:rPr>
          <w:rFonts w:cs="Calibri"/>
        </w:rPr>
        <w:t>, 27</w:t>
      </w:r>
      <w:r w:rsidRPr="0064216C">
        <w:rPr>
          <w:rFonts w:cs="Calibri"/>
          <w:vertAlign w:val="superscript"/>
        </w:rPr>
        <w:t>th</w:t>
      </w:r>
      <w:r w:rsidRPr="0064216C">
        <w:rPr>
          <w:rFonts w:cs="Calibri"/>
        </w:rPr>
        <w:t xml:space="preserve"> March 2025 &lt;</w:t>
      </w:r>
      <w:hyperlink r:id="rId8" w:history="1">
        <w:r w:rsidRPr="0064216C">
          <w:rPr>
            <w:rStyle w:val="Hyperlink"/>
            <w:rFonts w:cs="Calibri"/>
          </w:rPr>
          <w:t>https://www.bbc.co.uk/news/articles/c5y41z4351qo</w:t>
        </w:r>
      </w:hyperlink>
      <w:r w:rsidRPr="0064216C">
        <w:rPr>
          <w:rFonts w:cs="Calibri"/>
        </w:rPr>
        <w:t>&gt; [Accessed 26/04/2025].</w:t>
      </w:r>
    </w:p>
    <w:p w14:paraId="46A95AA0" w14:textId="77777777" w:rsidR="00D36D70" w:rsidRDefault="00D36D70" w:rsidP="00AE4533">
      <w:pPr>
        <w:rPr>
          <w:rFonts w:cs="Calibri"/>
        </w:rPr>
      </w:pPr>
      <w:r w:rsidRPr="0064216C">
        <w:rPr>
          <w:rFonts w:cs="Calibri"/>
        </w:rPr>
        <w:t>Galtung</w:t>
      </w:r>
      <w:r>
        <w:rPr>
          <w:rFonts w:cs="Calibri"/>
        </w:rPr>
        <w:t>,</w:t>
      </w:r>
      <w:r w:rsidRPr="0064216C">
        <w:rPr>
          <w:rFonts w:cs="Calibri"/>
        </w:rPr>
        <w:t xml:space="preserve"> Johan, </w:t>
      </w:r>
      <w:r w:rsidRPr="0064216C">
        <w:rPr>
          <w:rFonts w:cs="Calibri"/>
          <w:i/>
          <w:iCs/>
        </w:rPr>
        <w:t>Peace problems: some case studies</w:t>
      </w:r>
      <w:r w:rsidRPr="0064216C">
        <w:rPr>
          <w:rFonts w:cs="Calibri"/>
        </w:rPr>
        <w:t>, (Copenhagen: Ejlers, 1980)</w:t>
      </w:r>
      <w:r>
        <w:rPr>
          <w:rFonts w:cs="Calibri"/>
        </w:rPr>
        <w:t>.</w:t>
      </w:r>
    </w:p>
    <w:p w14:paraId="6A067C72" w14:textId="77777777" w:rsidR="00D36D70" w:rsidRDefault="00D36D70" w:rsidP="00AE4533">
      <w:pPr>
        <w:rPr>
          <w:rFonts w:cs="Calibri"/>
        </w:rPr>
      </w:pPr>
      <w:r w:rsidRPr="0064216C">
        <w:rPr>
          <w:rFonts w:cs="Calibri"/>
        </w:rPr>
        <w:t>Jaffer</w:t>
      </w:r>
      <w:r>
        <w:rPr>
          <w:rFonts w:cs="Calibri"/>
        </w:rPr>
        <w:t>,</w:t>
      </w:r>
      <w:r w:rsidRPr="0064216C">
        <w:rPr>
          <w:rFonts w:cs="Calibri"/>
        </w:rPr>
        <w:t xml:space="preserve"> Kumal, ‘Canada's PM vows to boost military spending to protect against “America's threats to our sovereignty”’ </w:t>
      </w:r>
      <w:r w:rsidRPr="0064216C">
        <w:rPr>
          <w:rFonts w:cs="Calibri"/>
          <w:i/>
          <w:iCs/>
        </w:rPr>
        <w:t>Daily Mail Online</w:t>
      </w:r>
      <w:r w:rsidRPr="0064216C">
        <w:rPr>
          <w:rFonts w:cs="Calibri"/>
        </w:rPr>
        <w:t>, 21</w:t>
      </w:r>
      <w:r w:rsidRPr="0064216C">
        <w:rPr>
          <w:rFonts w:cs="Calibri"/>
          <w:vertAlign w:val="superscript"/>
        </w:rPr>
        <w:t>st</w:t>
      </w:r>
      <w:r w:rsidRPr="0064216C">
        <w:rPr>
          <w:rFonts w:cs="Calibri"/>
        </w:rPr>
        <w:t xml:space="preserve"> April 2025. &lt;</w:t>
      </w:r>
      <w:hyperlink r:id="rId9" w:history="1">
        <w:r w:rsidRPr="0064216C">
          <w:rPr>
            <w:rStyle w:val="Hyperlink"/>
            <w:rFonts w:cs="Calibri"/>
          </w:rPr>
          <w:t>https://www.dailymail.co.uk/news/article-14631703/Canadas-PM-vows-boost-military-spending-protect-against-Americas-threats-sovereignty.html</w:t>
        </w:r>
      </w:hyperlink>
      <w:r w:rsidRPr="0064216C">
        <w:rPr>
          <w:rFonts w:cs="Calibri"/>
        </w:rPr>
        <w:t>&gt; [Accessed 26/04/2025].</w:t>
      </w:r>
    </w:p>
    <w:p w14:paraId="15E116D4" w14:textId="486BF081" w:rsidR="00D36D70" w:rsidRDefault="00D36D70" w:rsidP="00AE4533">
      <w:pPr>
        <w:rPr>
          <w:rFonts w:cs="Calibri"/>
        </w:rPr>
      </w:pPr>
      <w:r w:rsidRPr="00FC1CA8">
        <w:rPr>
          <w:rFonts w:cs="Calibri"/>
        </w:rPr>
        <w:t>Our World in Data</w:t>
      </w:r>
      <w:r w:rsidRPr="00FC1CA8">
        <w:rPr>
          <w:rFonts w:cs="Calibri"/>
          <w:i/>
          <w:iCs/>
        </w:rPr>
        <w:t>, The Global Terrorism Database</w:t>
      </w:r>
      <w:r w:rsidRPr="00FC1CA8">
        <w:rPr>
          <w:rFonts w:cs="Calibri"/>
        </w:rPr>
        <w:t>, 2022. &lt;</w:t>
      </w:r>
      <w:hyperlink r:id="rId10" w:history="1">
        <w:r w:rsidRPr="00FC1CA8">
          <w:rPr>
            <w:rStyle w:val="Hyperlink"/>
            <w:rFonts w:cs="Calibri"/>
          </w:rPr>
          <w:t>https://ourworldindata.org/the-global-terrorism-database-how-do-researchers-measure-terrorism</w:t>
        </w:r>
      </w:hyperlink>
      <w:r w:rsidRPr="00FC1CA8">
        <w:rPr>
          <w:rFonts w:cs="Calibri"/>
        </w:rPr>
        <w:t>&gt; [Accessed 26/04/2025].</w:t>
      </w:r>
    </w:p>
    <w:p w14:paraId="77358EB1" w14:textId="6FF66106" w:rsidR="00D36D70" w:rsidRDefault="00D36D70" w:rsidP="0064216C">
      <w:pPr>
        <w:rPr>
          <w:rFonts w:cs="Calibri"/>
        </w:rPr>
      </w:pPr>
      <w:r>
        <w:rPr>
          <w:rFonts w:cs="Calibri"/>
          <w:noProof/>
        </w:rPr>
        <mc:AlternateContent>
          <mc:Choice Requires="wps">
            <w:drawing>
              <wp:anchor distT="0" distB="0" distL="114300" distR="114300" simplePos="0" relativeHeight="251665408" behindDoc="0" locked="0" layoutInCell="1" allowOverlap="1" wp14:anchorId="5CB007AC" wp14:editId="59F50D0D">
                <wp:simplePos x="0" y="0"/>
                <wp:positionH relativeFrom="page">
                  <wp:align>right</wp:align>
                </wp:positionH>
                <wp:positionV relativeFrom="paragraph">
                  <wp:posOffset>455930</wp:posOffset>
                </wp:positionV>
                <wp:extent cx="7559040" cy="289560"/>
                <wp:effectExtent l="0" t="0" r="0" b="0"/>
                <wp:wrapNone/>
                <wp:docPr id="925917090" name="Text Box 1"/>
                <wp:cNvGraphicFramePr/>
                <a:graphic xmlns:a="http://schemas.openxmlformats.org/drawingml/2006/main">
                  <a:graphicData uri="http://schemas.microsoft.com/office/word/2010/wordprocessingShape">
                    <wps:wsp>
                      <wps:cNvSpPr txBox="1"/>
                      <wps:spPr>
                        <a:xfrm>
                          <a:off x="0" y="0"/>
                          <a:ext cx="7559040" cy="289560"/>
                        </a:xfrm>
                        <a:prstGeom prst="rect">
                          <a:avLst/>
                        </a:prstGeom>
                        <a:noFill/>
                        <a:ln w="6350">
                          <a:noFill/>
                        </a:ln>
                      </wps:spPr>
                      <wps:txbx>
                        <w:txbxContent>
                          <w:p w14:paraId="256945C1" w14:textId="77777777" w:rsidR="00D36D70" w:rsidRPr="00FC1CA8" w:rsidRDefault="00D36D70" w:rsidP="00FC1CA8">
                            <w:pPr>
                              <w:rPr>
                                <w:rFonts w:cs="Calibri"/>
                                <w:u w:val="single"/>
                              </w:rPr>
                            </w:pP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p>
                          <w:p w14:paraId="52A5B8AE" w14:textId="77777777" w:rsidR="00D36D70" w:rsidRDefault="00D36D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CB007AC" id="_x0000_t202" coordsize="21600,21600" o:spt="202" path="m,l,21600r21600,l21600,xe">
                <v:stroke joinstyle="miter"/>
                <v:path gradientshapeok="t" o:connecttype="rect"/>
              </v:shapetype>
              <v:shape id="Text Box 1" o:spid="_x0000_s1026" type="#_x0000_t202" style="position:absolute;margin-left:544pt;margin-top:35.9pt;width:595.2pt;height:22.8pt;z-index:251665408;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" filled="f" stroked="f" strokeweight=".5pt">
                <v:textbox>
                  <w:txbxContent>
                    <w:p w14:paraId="256945C1" w14:textId="77777777" w:rsidR="00D36D70" w:rsidRPr="00FC1CA8" w:rsidRDefault="00D36D70" w:rsidP="00FC1CA8">
                      <w:pPr>
                        <w:rPr>
                          <w:rFonts w:cs="Calibri"/>
                          <w:u w:val="single"/>
                        </w:rPr>
                      </w:pP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p>
                    <w:p w14:paraId="52A5B8AE" w14:textId="77777777" w:rsidR="00D36D70" w:rsidRDefault="00D36D70"/>
                  </w:txbxContent>
                </v:textbox>
                <w10:wrap anchorx="page"/>
              </v:shape>
            </w:pict>
          </mc:Fallback>
        </mc:AlternateContent>
      </w:r>
      <w:r w:rsidRPr="0064216C">
        <w:rPr>
          <w:rFonts w:cs="Calibri"/>
        </w:rPr>
        <w:t xml:space="preserve">Vision of Humanity, </w:t>
      </w:r>
      <w:r w:rsidRPr="0064216C">
        <w:rPr>
          <w:rFonts w:cs="Calibri"/>
          <w:i/>
          <w:iCs/>
        </w:rPr>
        <w:t>Global Peace Index</w:t>
      </w:r>
      <w:r w:rsidRPr="0064216C">
        <w:rPr>
          <w:rFonts w:cs="Calibri"/>
        </w:rPr>
        <w:t>, 2024 &lt;</w:t>
      </w:r>
      <w:hyperlink r:id="rId11" w:anchor="/" w:history="1">
        <w:r w:rsidRPr="0064216C">
          <w:rPr>
            <w:rStyle w:val="Hyperlink"/>
            <w:rFonts w:cs="Calibri"/>
          </w:rPr>
          <w:t>https://www.visionofhumanity.org/maps/#/</w:t>
        </w:r>
      </w:hyperlink>
      <w:r w:rsidRPr="0064216C">
        <w:rPr>
          <w:rFonts w:cs="Calibri"/>
        </w:rPr>
        <w:t>&gt; [Accessed 26/04/2025].</w:t>
      </w:r>
    </w:p>
    <w:p w14:paraId="684CB3D6" w14:textId="77777777" w:rsidR="00FC1CA8" w:rsidRDefault="00FC1CA8" w:rsidP="00AE4533">
      <w:pPr>
        <w:rPr>
          <w:rFonts w:cs="Calibri"/>
        </w:rPr>
      </w:pPr>
    </w:p>
    <w:p w14:paraId="31BABEF0" w14:textId="41D46B68" w:rsidR="00FC1CA8" w:rsidRDefault="00FC1CA8" w:rsidP="00AE4533">
      <w:pPr>
        <w:rPr>
          <w:rFonts w:cs="Calibri"/>
          <w:u w:val="single"/>
        </w:rPr>
      </w:pPr>
      <w:r w:rsidRPr="00FC1CA8">
        <w:rPr>
          <w:rFonts w:cs="Calibri"/>
          <w:u w:val="single"/>
        </w:rPr>
        <w:t>Question II</w:t>
      </w:r>
    </w:p>
    <w:p w14:paraId="5F88C307" w14:textId="77777777" w:rsidR="00D36D70" w:rsidRDefault="00D36D70" w:rsidP="00AE4533">
      <w:pPr>
        <w:rPr>
          <w:rFonts w:cs="Calibri"/>
        </w:rPr>
      </w:pPr>
      <w:r w:rsidRPr="000F5BFF">
        <w:rPr>
          <w:rFonts w:cs="Calibri"/>
        </w:rPr>
        <w:t xml:space="preserve">European Union, Facts and figures on the European Union, 2025 &lt; </w:t>
      </w:r>
      <w:hyperlink r:id="rId12" w:history="1">
        <w:r w:rsidRPr="000F5BFF">
          <w:rPr>
            <w:rStyle w:val="Hyperlink"/>
            <w:rFonts w:cs="Calibri"/>
          </w:rPr>
          <w:t>https://european-union.europa.eu/principles-countries-history/facts-and-figures-european-union_en</w:t>
        </w:r>
      </w:hyperlink>
      <w:r w:rsidRPr="000F5BFF">
        <w:rPr>
          <w:rFonts w:cs="Calibri"/>
        </w:rPr>
        <w:t>&gt; [Accessed 03/05/2025].</w:t>
      </w:r>
    </w:p>
    <w:p w14:paraId="1CAEDF41" w14:textId="77777777" w:rsidR="00D36D70" w:rsidRDefault="00D36D70" w:rsidP="00AE4533">
      <w:pPr>
        <w:rPr>
          <w:rFonts w:cs="Calibri"/>
        </w:rPr>
      </w:pPr>
      <w:r w:rsidRPr="00FC1CA8">
        <w:rPr>
          <w:rFonts w:cs="Calibri"/>
        </w:rPr>
        <w:t>Kant</w:t>
      </w:r>
      <w:r>
        <w:rPr>
          <w:rFonts w:cs="Calibri"/>
        </w:rPr>
        <w:t>,</w:t>
      </w:r>
      <w:r w:rsidRPr="00FC1CA8">
        <w:rPr>
          <w:rFonts w:cs="Calibri"/>
        </w:rPr>
        <w:t xml:space="preserve"> Immanuel, </w:t>
      </w:r>
      <w:r w:rsidRPr="00FC1CA8">
        <w:rPr>
          <w:rFonts w:cs="Calibri"/>
          <w:i/>
          <w:iCs/>
        </w:rPr>
        <w:t>perpetual Peace</w:t>
      </w:r>
      <w:r w:rsidRPr="00FC1CA8">
        <w:rPr>
          <w:rFonts w:cs="Calibri"/>
        </w:rPr>
        <w:t xml:space="preserve"> (New York: Liberal Arts Press, 1957).</w:t>
      </w:r>
    </w:p>
    <w:p w14:paraId="7BB76FD1" w14:textId="77777777" w:rsidR="00D36D70" w:rsidRDefault="00D36D70" w:rsidP="00AE4533">
      <w:pPr>
        <w:rPr>
          <w:rFonts w:cs="Calibri"/>
        </w:rPr>
      </w:pPr>
      <w:r>
        <w:rPr>
          <w:rFonts w:cs="Calibri"/>
          <w:noProof/>
        </w:rPr>
        <mc:AlternateContent>
          <mc:Choice Requires="wps">
            <w:drawing>
              <wp:anchor distT="0" distB="0" distL="114300" distR="114300" simplePos="0" relativeHeight="251663360" behindDoc="0" locked="0" layoutInCell="1" allowOverlap="1" wp14:anchorId="47498F66" wp14:editId="6C0F1A3D">
                <wp:simplePos x="0" y="0"/>
                <wp:positionH relativeFrom="page">
                  <wp:posOffset>16510</wp:posOffset>
                </wp:positionH>
                <wp:positionV relativeFrom="paragraph">
                  <wp:posOffset>267970</wp:posOffset>
                </wp:positionV>
                <wp:extent cx="7559040" cy="289560"/>
                <wp:effectExtent l="0" t="0" r="0" b="0"/>
                <wp:wrapNone/>
                <wp:docPr id="969382517" name="Text Box 1"/>
                <wp:cNvGraphicFramePr/>
                <a:graphic xmlns:a="http://schemas.openxmlformats.org/drawingml/2006/main">
                  <a:graphicData uri="http://schemas.microsoft.com/office/word/2010/wordprocessingShape">
                    <wps:wsp>
                      <wps:cNvSpPr txBox="1"/>
                      <wps:spPr>
                        <a:xfrm>
                          <a:off x="0" y="0"/>
                          <a:ext cx="7559040" cy="289560"/>
                        </a:xfrm>
                        <a:prstGeom prst="rect">
                          <a:avLst/>
                        </a:prstGeom>
                        <a:noFill/>
                        <a:ln w="6350">
                          <a:noFill/>
                        </a:ln>
                      </wps:spPr>
                      <wps:txbx>
                        <w:txbxContent>
                          <w:p w14:paraId="7E648873" w14:textId="77777777" w:rsidR="00D36D70" w:rsidRPr="00FC1CA8" w:rsidRDefault="00D36D70" w:rsidP="00FC1CA8">
                            <w:pPr>
                              <w:rPr>
                                <w:rFonts w:cs="Calibri"/>
                                <w:u w:val="single"/>
                              </w:rPr>
                            </w:pP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p>
                          <w:p w14:paraId="71D3A5B3" w14:textId="77777777" w:rsidR="00D36D70" w:rsidRDefault="00D36D70" w:rsidP="00FC1C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498F66" id="_x0000_s1027" type="#_x0000_t202" style="position:absolute;margin-left:1.3pt;margin-top:21.1pt;width:595.2pt;height:22.8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" filled="f" stroked="f" strokeweight=".5pt">
                <v:textbox>
                  <w:txbxContent>
                    <w:p w14:paraId="7E648873" w14:textId="77777777" w:rsidR="00D36D70" w:rsidRPr="00FC1CA8" w:rsidRDefault="00D36D70" w:rsidP="00FC1CA8">
                      <w:pPr>
                        <w:rPr>
                          <w:rFonts w:cs="Calibri"/>
                          <w:u w:val="single"/>
                        </w:rPr>
                      </w:pP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r>
                        <w:rPr>
                          <w:rFonts w:cs="Calibri"/>
                          <w:u w:val="single"/>
                        </w:rPr>
                        <w:tab/>
                      </w:r>
                    </w:p>
                    <w:p w14:paraId="71D3A5B3" w14:textId="77777777" w:rsidR="00D36D70" w:rsidRDefault="00D36D70" w:rsidP="00FC1CA8"/>
                  </w:txbxContent>
                </v:textbox>
                <w10:wrap anchorx="page"/>
              </v:shape>
            </w:pict>
          </mc:Fallback>
        </mc:AlternateContent>
      </w:r>
      <w:r w:rsidRPr="00AA7042">
        <w:rPr>
          <w:rFonts w:cs="Calibri"/>
        </w:rPr>
        <w:t xml:space="preserve">United Nations, </w:t>
      </w:r>
      <w:r w:rsidRPr="00AA7042">
        <w:rPr>
          <w:rFonts w:cs="Calibri"/>
          <w:i/>
          <w:iCs/>
        </w:rPr>
        <w:t>Our Work</w:t>
      </w:r>
      <w:r w:rsidRPr="00AA7042">
        <w:rPr>
          <w:rFonts w:cs="Calibri"/>
        </w:rPr>
        <w:t xml:space="preserve">, (2024) </w:t>
      </w:r>
      <w:hyperlink r:id="rId13" w:history="1">
        <w:r w:rsidRPr="00AA7042">
          <w:rPr>
            <w:rStyle w:val="Hyperlink"/>
            <w:rFonts w:cs="Calibri"/>
          </w:rPr>
          <w:t>https://www.un.org/en/our-work</w:t>
        </w:r>
      </w:hyperlink>
      <w:r w:rsidRPr="00AA7042">
        <w:rPr>
          <w:rFonts w:cs="Calibri"/>
        </w:rPr>
        <w:t xml:space="preserve"> [Accessed 03/04/2025].</w:t>
      </w:r>
    </w:p>
    <w:p w14:paraId="4AA93B58" w14:textId="77777777" w:rsidR="00AA7042" w:rsidRDefault="00AA7042" w:rsidP="00AE4533">
      <w:pPr>
        <w:rPr>
          <w:rFonts w:cs="Calibri"/>
        </w:rPr>
      </w:pPr>
    </w:p>
    <w:p w14:paraId="66A48084" w14:textId="5862E266" w:rsidR="00AA7042" w:rsidRDefault="00AA7042" w:rsidP="00AE4533">
      <w:pPr>
        <w:rPr>
          <w:rFonts w:cs="Calibri"/>
        </w:rPr>
      </w:pPr>
      <w:r>
        <w:rPr>
          <w:rFonts w:cs="Calibri"/>
          <w:u w:val="single"/>
        </w:rPr>
        <w:t>Question III</w:t>
      </w:r>
    </w:p>
    <w:p w14:paraId="17774A47" w14:textId="77777777" w:rsidR="00D36D70" w:rsidRPr="00D36D70" w:rsidRDefault="00D36D70" w:rsidP="00AE4533">
      <w:pPr>
        <w:rPr>
          <w:rFonts w:cs="Calibri"/>
        </w:rPr>
      </w:pPr>
      <w:r w:rsidRPr="00D36D70">
        <w:rPr>
          <w:rFonts w:cs="Calibri"/>
        </w:rPr>
        <w:t>Hitler,</w:t>
      </w:r>
      <w:r>
        <w:rPr>
          <w:rFonts w:cs="Calibri"/>
        </w:rPr>
        <w:t xml:space="preserve"> Adolf</w:t>
      </w:r>
      <w:r w:rsidRPr="00D36D70">
        <w:rPr>
          <w:rFonts w:cs="Calibri"/>
        </w:rPr>
        <w:t xml:space="preserve"> </w:t>
      </w:r>
      <w:r w:rsidRPr="00D36D70">
        <w:rPr>
          <w:rFonts w:cs="Calibri"/>
          <w:i/>
          <w:iCs/>
        </w:rPr>
        <w:t>Mein Kampf</w:t>
      </w:r>
      <w:r w:rsidRPr="00D36D70">
        <w:rPr>
          <w:rFonts w:cs="Calibri"/>
        </w:rPr>
        <w:t>, (New York: Houghton Mifflin Harcourt Publishing Company. 1998)</w:t>
      </w:r>
      <w:r>
        <w:rPr>
          <w:rFonts w:cs="Calibri"/>
        </w:rPr>
        <w:t>.</w:t>
      </w:r>
    </w:p>
    <w:p w14:paraId="566946FB" w14:textId="77777777" w:rsidR="00D36D70" w:rsidRDefault="00D36D70" w:rsidP="00AE4533">
      <w:pPr>
        <w:rPr>
          <w:rFonts w:cs="Calibri"/>
        </w:rPr>
      </w:pPr>
      <w:r w:rsidRPr="00E33F70">
        <w:rPr>
          <w:rFonts w:cs="Calibri"/>
        </w:rPr>
        <w:t>Kriesberg</w:t>
      </w:r>
      <w:r>
        <w:rPr>
          <w:rFonts w:cs="Calibri"/>
        </w:rPr>
        <w:t>,</w:t>
      </w:r>
      <w:r w:rsidRPr="00E33F70">
        <w:rPr>
          <w:rFonts w:cs="Calibri"/>
        </w:rPr>
        <w:t xml:space="preserve"> Louis and Millar</w:t>
      </w:r>
      <w:r>
        <w:rPr>
          <w:rFonts w:cs="Calibri"/>
        </w:rPr>
        <w:t>,</w:t>
      </w:r>
      <w:r w:rsidRPr="00E33F70">
        <w:rPr>
          <w:rFonts w:cs="Calibri"/>
        </w:rPr>
        <w:t xml:space="preserve"> Gearoid, ‘Protagonist strategies that help end violence’, </w:t>
      </w:r>
      <w:r w:rsidRPr="00E33F70">
        <w:rPr>
          <w:rFonts w:cs="Calibri"/>
          <w:i/>
          <w:iCs/>
        </w:rPr>
        <w:t>Peace and Conflict Studies A Reader</w:t>
      </w:r>
      <w:r w:rsidRPr="00E33F70">
        <w:rPr>
          <w:rFonts w:cs="Calibri"/>
        </w:rPr>
        <w:t xml:space="preserve">, (2012) 208 </w:t>
      </w:r>
      <w:r>
        <w:rPr>
          <w:rFonts w:cs="Calibri"/>
        </w:rPr>
        <w:t>–</w:t>
      </w:r>
      <w:r w:rsidRPr="00E33F70">
        <w:rPr>
          <w:rFonts w:cs="Calibri"/>
        </w:rPr>
        <w:t xml:space="preserve"> 220</w:t>
      </w:r>
      <w:r>
        <w:rPr>
          <w:rFonts w:cs="Calibri"/>
        </w:rPr>
        <w:t>.</w:t>
      </w:r>
    </w:p>
    <w:p w14:paraId="1FD4E613" w14:textId="77777777" w:rsidR="00D36D70" w:rsidRDefault="00D36D70" w:rsidP="00AE4533">
      <w:pPr>
        <w:rPr>
          <w:rFonts w:cs="Calibri"/>
        </w:rPr>
      </w:pPr>
      <w:r w:rsidRPr="00D36D70">
        <w:rPr>
          <w:rFonts w:cs="Calibri"/>
        </w:rPr>
        <w:t>Treaty of Versailles, (Article) (no.231), regulations, (1919), (Statutory Instrument). &lt;</w:t>
      </w:r>
      <w:hyperlink r:id="rId14" w:anchor="AN=21212329&amp;db=aph" w:history="1">
        <w:r w:rsidRPr="00D36D70">
          <w:rPr>
            <w:rStyle w:val="Hyperlink"/>
            <w:rFonts w:cs="Calibri"/>
          </w:rPr>
          <w:t>https://web-s-ebscohost-com.ezproxy.uwtsd.ac.uk/ehost/detail/detail?vid=2&amp;sid=2ef0b4d2-f959-4102-89ef-23180ca4b791%40redis&amp;bdata=JnNpdGU9ZWhvc3QtbGl2ZQ%3d%3d#AN=21212329&amp;db=aph</w:t>
        </w:r>
      </w:hyperlink>
      <w:r w:rsidRPr="00D36D70">
        <w:rPr>
          <w:rFonts w:cs="Calibri"/>
        </w:rPr>
        <w:t>&gt;  [Accessed 27/04/2025].</w:t>
      </w:r>
    </w:p>
    <w:p w14:paraId="458B270A" w14:textId="77777777" w:rsidR="00D36D70" w:rsidRDefault="00D36D70" w:rsidP="00AE4533">
      <w:pPr>
        <w:rPr>
          <w:rFonts w:cs="Calibri"/>
          <w:lang w:val="en-US"/>
        </w:rPr>
      </w:pPr>
      <w:r w:rsidRPr="00D36D70">
        <w:rPr>
          <w:rFonts w:cs="Calibri"/>
          <w:lang w:val="en-US"/>
        </w:rPr>
        <w:t>Van Der Bijl,</w:t>
      </w:r>
      <w:r>
        <w:rPr>
          <w:rFonts w:cs="Calibri"/>
          <w:lang w:val="en-US"/>
        </w:rPr>
        <w:t xml:space="preserve"> </w:t>
      </w:r>
      <w:r w:rsidRPr="00D36D70">
        <w:rPr>
          <w:rFonts w:cs="Calibri"/>
          <w:lang w:val="en-US"/>
        </w:rPr>
        <w:t>Nicholas</w:t>
      </w:r>
      <w:r>
        <w:rPr>
          <w:rFonts w:cs="Calibri"/>
          <w:lang w:val="en-US"/>
        </w:rPr>
        <w:t>,</w:t>
      </w:r>
      <w:r w:rsidRPr="00D36D70">
        <w:rPr>
          <w:rFonts w:cs="Calibri"/>
          <w:lang w:val="en-US"/>
        </w:rPr>
        <w:t xml:space="preserve"> </w:t>
      </w:r>
      <w:r w:rsidRPr="00D36D70">
        <w:rPr>
          <w:rFonts w:cs="Calibri"/>
          <w:i/>
          <w:iCs/>
          <w:lang w:val="en-US"/>
        </w:rPr>
        <w:t xml:space="preserve">Operation Banner: the British Army in Northern Ireland 1969 to 2007, </w:t>
      </w:r>
      <w:r w:rsidRPr="00D36D70">
        <w:rPr>
          <w:rFonts w:cs="Calibri"/>
          <w:lang w:val="en-US"/>
        </w:rPr>
        <w:t>(Barnsley: Pen and Sword Military, 2009)</w:t>
      </w:r>
      <w:r>
        <w:rPr>
          <w:rFonts w:cs="Calibri"/>
          <w:lang w:val="en-US"/>
        </w:rPr>
        <w:t>.</w:t>
      </w:r>
    </w:p>
    <w:sectPr w:rsidR="00D36D7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BA9A1" w14:textId="77777777" w:rsidR="00196447" w:rsidRPr="00E514FE" w:rsidRDefault="00196447" w:rsidP="00630D05">
      <w:pPr>
        <w:spacing w:after="0" w:line="240" w:lineRule="auto"/>
      </w:pPr>
      <w:r w:rsidRPr="00E514FE">
        <w:separator/>
      </w:r>
    </w:p>
  </w:endnote>
  <w:endnote w:type="continuationSeparator" w:id="0">
    <w:p w14:paraId="5E6FB844" w14:textId="77777777" w:rsidR="00196447" w:rsidRPr="00E514FE" w:rsidRDefault="00196447" w:rsidP="00630D05">
      <w:pPr>
        <w:spacing w:after="0" w:line="240" w:lineRule="auto"/>
      </w:pPr>
      <w:r w:rsidRPr="00E514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3FE6B" w14:textId="77777777" w:rsidR="00196447" w:rsidRPr="00E514FE" w:rsidRDefault="00196447" w:rsidP="00630D05">
      <w:pPr>
        <w:spacing w:after="0" w:line="240" w:lineRule="auto"/>
      </w:pPr>
      <w:r w:rsidRPr="00E514FE">
        <w:separator/>
      </w:r>
    </w:p>
  </w:footnote>
  <w:footnote w:type="continuationSeparator" w:id="0">
    <w:p w14:paraId="5139D28A" w14:textId="77777777" w:rsidR="00196447" w:rsidRPr="00E514FE" w:rsidRDefault="00196447" w:rsidP="00630D05">
      <w:pPr>
        <w:spacing w:after="0" w:line="240" w:lineRule="auto"/>
      </w:pPr>
      <w:r w:rsidRPr="00E514FE">
        <w:continuationSeparator/>
      </w:r>
    </w:p>
  </w:footnote>
  <w:footnote w:id="1">
    <w:p w14:paraId="5A438735" w14:textId="7919F239" w:rsidR="00811363" w:rsidRPr="004418F6" w:rsidRDefault="00811363">
      <w:pPr>
        <w:pStyle w:val="FootnoteText"/>
        <w:rPr>
          <w:sz w:val="16"/>
          <w:szCs w:val="16"/>
          <w:lang w:val="en-US"/>
        </w:rPr>
      </w:pPr>
      <w:r w:rsidRPr="004418F6">
        <w:rPr>
          <w:rStyle w:val="FootnoteReference"/>
          <w:sz w:val="16"/>
          <w:szCs w:val="16"/>
        </w:rPr>
        <w:footnoteRef/>
      </w:r>
      <w:r w:rsidRPr="004418F6">
        <w:rPr>
          <w:sz w:val="16"/>
          <w:szCs w:val="16"/>
        </w:rPr>
        <w:t xml:space="preserve"> </w:t>
      </w:r>
      <w:bookmarkStart w:id="0" w:name="_Hlk197243849"/>
      <w:bookmarkStart w:id="1" w:name="_Hlk192852906"/>
      <w:r w:rsidRPr="004418F6">
        <w:rPr>
          <w:sz w:val="16"/>
          <w:szCs w:val="16"/>
        </w:rPr>
        <w:t xml:space="preserve">Johan Galtung, </w:t>
      </w:r>
      <w:r w:rsidRPr="004418F6">
        <w:rPr>
          <w:i/>
          <w:iCs/>
          <w:sz w:val="16"/>
          <w:szCs w:val="16"/>
        </w:rPr>
        <w:t>Peace problems: some case studies</w:t>
      </w:r>
      <w:r w:rsidRPr="004418F6">
        <w:rPr>
          <w:sz w:val="16"/>
          <w:szCs w:val="16"/>
        </w:rPr>
        <w:t xml:space="preserve">, (Copenhagen: Ejlers, 1980), </w:t>
      </w:r>
      <w:bookmarkEnd w:id="0"/>
      <w:r w:rsidRPr="004418F6">
        <w:rPr>
          <w:sz w:val="16"/>
          <w:szCs w:val="16"/>
        </w:rPr>
        <w:t>p.26.</w:t>
      </w:r>
      <w:bookmarkEnd w:id="1"/>
    </w:p>
  </w:footnote>
  <w:footnote w:id="2">
    <w:p w14:paraId="608F1250" w14:textId="368D478C" w:rsidR="007374E9" w:rsidRPr="004418F6" w:rsidRDefault="007374E9">
      <w:pPr>
        <w:pStyle w:val="FootnoteText"/>
        <w:rPr>
          <w:sz w:val="16"/>
          <w:szCs w:val="16"/>
          <w:lang w:val="en-US"/>
        </w:rPr>
      </w:pPr>
      <w:r w:rsidRPr="004418F6">
        <w:rPr>
          <w:rStyle w:val="FootnoteReference"/>
          <w:sz w:val="16"/>
          <w:szCs w:val="16"/>
        </w:rPr>
        <w:footnoteRef/>
      </w:r>
      <w:r w:rsidRPr="004418F6">
        <w:rPr>
          <w:sz w:val="16"/>
          <w:szCs w:val="16"/>
        </w:rPr>
        <w:t xml:space="preserve"> </w:t>
      </w:r>
      <w:bookmarkStart w:id="2" w:name="_Hlk197243869"/>
      <w:r w:rsidRPr="004418F6">
        <w:rPr>
          <w:sz w:val="16"/>
          <w:szCs w:val="16"/>
        </w:rPr>
        <w:t xml:space="preserve">Vision of Humanity, </w:t>
      </w:r>
      <w:r w:rsidRPr="004418F6">
        <w:rPr>
          <w:i/>
          <w:iCs/>
          <w:sz w:val="16"/>
          <w:szCs w:val="16"/>
        </w:rPr>
        <w:t>Global Peace Index</w:t>
      </w:r>
      <w:r w:rsidRPr="004418F6">
        <w:rPr>
          <w:sz w:val="16"/>
          <w:szCs w:val="16"/>
        </w:rPr>
        <w:t>, 2024 &lt;</w:t>
      </w:r>
      <w:hyperlink r:id="rId1" w:anchor="/" w:history="1">
        <w:r w:rsidRPr="004418F6">
          <w:rPr>
            <w:rStyle w:val="Hyperlink"/>
            <w:sz w:val="16"/>
            <w:szCs w:val="16"/>
          </w:rPr>
          <w:t>https://www.visionofhumanity.org/maps/#/</w:t>
        </w:r>
      </w:hyperlink>
      <w:r w:rsidRPr="004418F6">
        <w:rPr>
          <w:sz w:val="16"/>
          <w:szCs w:val="16"/>
        </w:rPr>
        <w:t>&gt; [Accessed 26/04/2025].</w:t>
      </w:r>
    </w:p>
    <w:bookmarkEnd w:id="2"/>
  </w:footnote>
  <w:footnote w:id="3">
    <w:p w14:paraId="169EFFD9" w14:textId="3B502CEA" w:rsidR="00A63D23" w:rsidRPr="004418F6" w:rsidRDefault="00A63D23">
      <w:pPr>
        <w:pStyle w:val="FootnoteText"/>
        <w:rPr>
          <w:sz w:val="16"/>
          <w:szCs w:val="16"/>
          <w:lang w:val="en-US"/>
        </w:rPr>
      </w:pPr>
      <w:r w:rsidRPr="004418F6">
        <w:rPr>
          <w:rStyle w:val="FootnoteReference"/>
          <w:sz w:val="16"/>
          <w:szCs w:val="16"/>
        </w:rPr>
        <w:footnoteRef/>
      </w:r>
      <w:r w:rsidRPr="004418F6">
        <w:rPr>
          <w:sz w:val="16"/>
          <w:szCs w:val="16"/>
        </w:rPr>
        <w:t xml:space="preserve"> </w:t>
      </w:r>
      <w:r w:rsidR="0064216C" w:rsidRPr="0064216C">
        <w:rPr>
          <w:sz w:val="16"/>
          <w:szCs w:val="16"/>
        </w:rPr>
        <w:t>Ibid.</w:t>
      </w:r>
    </w:p>
  </w:footnote>
  <w:footnote w:id="4">
    <w:p w14:paraId="2780B3DA" w14:textId="6B13B4CF" w:rsidR="00275899" w:rsidRPr="004418F6" w:rsidRDefault="00275899">
      <w:pPr>
        <w:pStyle w:val="FootnoteText"/>
        <w:rPr>
          <w:sz w:val="16"/>
          <w:szCs w:val="16"/>
        </w:rPr>
      </w:pPr>
      <w:r w:rsidRPr="004418F6">
        <w:rPr>
          <w:rStyle w:val="FootnoteReference"/>
          <w:sz w:val="16"/>
          <w:szCs w:val="16"/>
        </w:rPr>
        <w:footnoteRef/>
      </w:r>
      <w:r w:rsidRPr="004418F6">
        <w:rPr>
          <w:sz w:val="16"/>
          <w:szCs w:val="16"/>
        </w:rPr>
        <w:t xml:space="preserve"> </w:t>
      </w:r>
      <w:bookmarkStart w:id="3" w:name="_Hlk197243904"/>
      <w:r w:rsidR="003B4435" w:rsidRPr="004418F6">
        <w:rPr>
          <w:sz w:val="16"/>
          <w:szCs w:val="16"/>
        </w:rPr>
        <w:t xml:space="preserve">Bernd Debusmann “Canada PM Mark Carney says old relationship with US 'is over”’ </w:t>
      </w:r>
      <w:r w:rsidR="003B4435" w:rsidRPr="004418F6">
        <w:rPr>
          <w:i/>
          <w:iCs/>
          <w:sz w:val="16"/>
          <w:szCs w:val="16"/>
        </w:rPr>
        <w:t>BBC News</w:t>
      </w:r>
      <w:r w:rsidR="003B4435" w:rsidRPr="004418F6">
        <w:rPr>
          <w:sz w:val="16"/>
          <w:szCs w:val="16"/>
        </w:rPr>
        <w:t>, 27</w:t>
      </w:r>
      <w:r w:rsidR="003B4435" w:rsidRPr="004418F6">
        <w:rPr>
          <w:sz w:val="16"/>
          <w:szCs w:val="16"/>
          <w:vertAlign w:val="superscript"/>
        </w:rPr>
        <w:t>th</w:t>
      </w:r>
      <w:r w:rsidR="003B4435" w:rsidRPr="004418F6">
        <w:rPr>
          <w:sz w:val="16"/>
          <w:szCs w:val="16"/>
        </w:rPr>
        <w:t xml:space="preserve"> March 2025 &lt;</w:t>
      </w:r>
      <w:hyperlink r:id="rId2" w:history="1">
        <w:r w:rsidR="003B4435" w:rsidRPr="004418F6">
          <w:rPr>
            <w:rStyle w:val="Hyperlink"/>
            <w:sz w:val="16"/>
            <w:szCs w:val="16"/>
          </w:rPr>
          <w:t>https://www.bbc.co.uk/news/articles/c5y41z4351qo</w:t>
        </w:r>
      </w:hyperlink>
      <w:r w:rsidR="003B4435" w:rsidRPr="004418F6">
        <w:rPr>
          <w:sz w:val="16"/>
          <w:szCs w:val="16"/>
        </w:rPr>
        <w:t>&gt; [Accessed 26/04/2025].</w:t>
      </w:r>
      <w:bookmarkEnd w:id="3"/>
    </w:p>
  </w:footnote>
  <w:footnote w:id="5">
    <w:p w14:paraId="45227A09" w14:textId="2463D14E" w:rsidR="00275899" w:rsidRPr="004418F6" w:rsidRDefault="00275899">
      <w:pPr>
        <w:pStyle w:val="FootnoteText"/>
        <w:rPr>
          <w:sz w:val="16"/>
          <w:szCs w:val="16"/>
          <w:lang w:val="en-US"/>
        </w:rPr>
      </w:pPr>
      <w:r w:rsidRPr="004418F6">
        <w:rPr>
          <w:rStyle w:val="FootnoteReference"/>
          <w:sz w:val="16"/>
          <w:szCs w:val="16"/>
        </w:rPr>
        <w:footnoteRef/>
      </w:r>
      <w:r w:rsidRPr="004418F6">
        <w:rPr>
          <w:sz w:val="16"/>
          <w:szCs w:val="16"/>
        </w:rPr>
        <w:t xml:space="preserve"> </w:t>
      </w:r>
      <w:r w:rsidR="0064216C">
        <w:rPr>
          <w:sz w:val="16"/>
          <w:szCs w:val="16"/>
        </w:rPr>
        <w:t>Ibid.</w:t>
      </w:r>
    </w:p>
  </w:footnote>
  <w:footnote w:id="6">
    <w:p w14:paraId="2E5B949D" w14:textId="32C3AA83" w:rsidR="00C57B33" w:rsidRPr="004418F6" w:rsidRDefault="00C57B33">
      <w:pPr>
        <w:pStyle w:val="FootnoteText"/>
        <w:rPr>
          <w:sz w:val="16"/>
          <w:szCs w:val="16"/>
          <w:lang w:val="en-US"/>
        </w:rPr>
      </w:pPr>
      <w:r w:rsidRPr="004418F6">
        <w:rPr>
          <w:rStyle w:val="FootnoteReference"/>
          <w:sz w:val="16"/>
          <w:szCs w:val="16"/>
        </w:rPr>
        <w:footnoteRef/>
      </w:r>
      <w:r w:rsidRPr="004418F6">
        <w:rPr>
          <w:sz w:val="16"/>
          <w:szCs w:val="16"/>
        </w:rPr>
        <w:t xml:space="preserve"> </w:t>
      </w:r>
      <w:r w:rsidR="0064216C">
        <w:rPr>
          <w:sz w:val="16"/>
          <w:szCs w:val="16"/>
        </w:rPr>
        <w:t>Ibid.</w:t>
      </w:r>
      <w:r w:rsidR="003B4435" w:rsidRPr="004418F6">
        <w:rPr>
          <w:sz w:val="16"/>
          <w:szCs w:val="16"/>
        </w:rPr>
        <w:t>.</w:t>
      </w:r>
    </w:p>
  </w:footnote>
  <w:footnote w:id="7">
    <w:p w14:paraId="326A6A61" w14:textId="04779A5B" w:rsidR="00C57B33" w:rsidRPr="003B4435" w:rsidRDefault="00C57B33">
      <w:pPr>
        <w:pStyle w:val="FootnoteText"/>
      </w:pPr>
      <w:r w:rsidRPr="004418F6">
        <w:rPr>
          <w:rStyle w:val="FootnoteReference"/>
          <w:sz w:val="16"/>
          <w:szCs w:val="16"/>
        </w:rPr>
        <w:footnoteRef/>
      </w:r>
      <w:r w:rsidRPr="004418F6">
        <w:rPr>
          <w:sz w:val="16"/>
          <w:szCs w:val="16"/>
        </w:rPr>
        <w:t xml:space="preserve"> </w:t>
      </w:r>
      <w:bookmarkStart w:id="4" w:name="_Hlk197243937"/>
      <w:r w:rsidR="003B4435" w:rsidRPr="004418F6">
        <w:rPr>
          <w:sz w:val="16"/>
          <w:szCs w:val="16"/>
        </w:rPr>
        <w:t xml:space="preserve">Kumal Jaffer, ‘Canada's PM vows to boost military spending to protect against “America's threats to our sovereignty”’ </w:t>
      </w:r>
      <w:r w:rsidR="003B4435" w:rsidRPr="004418F6">
        <w:rPr>
          <w:i/>
          <w:iCs/>
          <w:sz w:val="16"/>
          <w:szCs w:val="16"/>
        </w:rPr>
        <w:t>Daily Mail Online</w:t>
      </w:r>
      <w:r w:rsidR="003B4435" w:rsidRPr="004418F6">
        <w:rPr>
          <w:sz w:val="16"/>
          <w:szCs w:val="16"/>
        </w:rPr>
        <w:t>, 21</w:t>
      </w:r>
      <w:r w:rsidR="003B4435" w:rsidRPr="004418F6">
        <w:rPr>
          <w:sz w:val="16"/>
          <w:szCs w:val="16"/>
          <w:vertAlign w:val="superscript"/>
        </w:rPr>
        <w:t>st</w:t>
      </w:r>
      <w:r w:rsidR="003B4435" w:rsidRPr="004418F6">
        <w:rPr>
          <w:sz w:val="16"/>
          <w:szCs w:val="16"/>
        </w:rPr>
        <w:t xml:space="preserve"> April 2025. &lt;</w:t>
      </w:r>
      <w:hyperlink r:id="rId3" w:history="1">
        <w:r w:rsidR="003B4435" w:rsidRPr="004418F6">
          <w:rPr>
            <w:rStyle w:val="Hyperlink"/>
            <w:sz w:val="16"/>
            <w:szCs w:val="16"/>
          </w:rPr>
          <w:t>https://www.dailymail.co.uk/news/article-14631703/Canadas-PM-vows-boost-military-spending-protect-against-Americas-threats-sovereignty.html</w:t>
        </w:r>
      </w:hyperlink>
      <w:r w:rsidR="003B4435" w:rsidRPr="004418F6">
        <w:rPr>
          <w:sz w:val="16"/>
          <w:szCs w:val="16"/>
        </w:rPr>
        <w:t>&gt; [Accessed 26/04/2025].</w:t>
      </w:r>
      <w:bookmarkEnd w:id="4"/>
    </w:p>
  </w:footnote>
  <w:footnote w:id="8">
    <w:p w14:paraId="10B17B80" w14:textId="6EDC3607" w:rsidR="00D05295" w:rsidRPr="004418F6" w:rsidRDefault="00D05295">
      <w:pPr>
        <w:pStyle w:val="FootnoteText"/>
        <w:rPr>
          <w:sz w:val="16"/>
          <w:szCs w:val="16"/>
        </w:rPr>
      </w:pPr>
      <w:r w:rsidRPr="004418F6">
        <w:rPr>
          <w:rStyle w:val="FootnoteReference"/>
          <w:sz w:val="16"/>
          <w:szCs w:val="16"/>
        </w:rPr>
        <w:footnoteRef/>
      </w:r>
      <w:r w:rsidRPr="004418F6">
        <w:rPr>
          <w:sz w:val="16"/>
          <w:szCs w:val="16"/>
        </w:rPr>
        <w:t xml:space="preserve"> </w:t>
      </w:r>
      <w:bookmarkStart w:id="5" w:name="_Hlk197244142"/>
      <w:r w:rsidRPr="004418F6">
        <w:rPr>
          <w:sz w:val="16"/>
          <w:szCs w:val="16"/>
        </w:rPr>
        <w:t>Our World in Data</w:t>
      </w:r>
      <w:r w:rsidRPr="004418F6">
        <w:rPr>
          <w:i/>
          <w:iCs/>
          <w:sz w:val="16"/>
          <w:szCs w:val="16"/>
        </w:rPr>
        <w:t>, The Global Terrorism Database</w:t>
      </w:r>
      <w:r w:rsidRPr="004418F6">
        <w:rPr>
          <w:sz w:val="16"/>
          <w:szCs w:val="16"/>
        </w:rPr>
        <w:t>, 2022. &lt;</w:t>
      </w:r>
      <w:hyperlink r:id="rId4" w:history="1">
        <w:r w:rsidRPr="004418F6">
          <w:rPr>
            <w:rStyle w:val="Hyperlink"/>
            <w:sz w:val="16"/>
            <w:szCs w:val="16"/>
          </w:rPr>
          <w:t>https://ourworldindata.org/the-global-terrorism-database-how-do-researchers-measure-terrorism</w:t>
        </w:r>
      </w:hyperlink>
      <w:r w:rsidRPr="004418F6">
        <w:rPr>
          <w:sz w:val="16"/>
          <w:szCs w:val="16"/>
        </w:rPr>
        <w:t xml:space="preserve">&gt; </w:t>
      </w:r>
      <w:r w:rsidR="005A6D1E" w:rsidRPr="004418F6">
        <w:rPr>
          <w:sz w:val="16"/>
          <w:szCs w:val="16"/>
        </w:rPr>
        <w:t>[Accessed 26/04/2025].</w:t>
      </w:r>
      <w:bookmarkEnd w:id="5"/>
    </w:p>
  </w:footnote>
  <w:footnote w:id="9">
    <w:p w14:paraId="3BD29BF2" w14:textId="65C2A8E6" w:rsidR="00E20E39" w:rsidRPr="00E20E39" w:rsidRDefault="00E20E39">
      <w:pPr>
        <w:pStyle w:val="FootnoteText"/>
      </w:pPr>
      <w:r w:rsidRPr="00E20E39">
        <w:rPr>
          <w:rStyle w:val="FootnoteReference"/>
          <w:sz w:val="16"/>
          <w:szCs w:val="16"/>
        </w:rPr>
        <w:footnoteRef/>
      </w:r>
      <w:r w:rsidRPr="00E20E39">
        <w:rPr>
          <w:sz w:val="16"/>
          <w:szCs w:val="16"/>
        </w:rPr>
        <w:t xml:space="preserve"> </w:t>
      </w:r>
      <w:r w:rsidR="004418F6">
        <w:rPr>
          <w:sz w:val="16"/>
          <w:szCs w:val="16"/>
        </w:rPr>
        <w:t xml:space="preserve">Immanuel </w:t>
      </w:r>
      <w:r>
        <w:rPr>
          <w:sz w:val="16"/>
          <w:szCs w:val="16"/>
        </w:rPr>
        <w:t xml:space="preserve">Kant, </w:t>
      </w:r>
      <w:r>
        <w:rPr>
          <w:i/>
          <w:iCs/>
          <w:sz w:val="16"/>
          <w:szCs w:val="16"/>
        </w:rPr>
        <w:t>perpetual Peace</w:t>
      </w:r>
      <w:r w:rsidR="004418F6">
        <w:rPr>
          <w:sz w:val="16"/>
          <w:szCs w:val="16"/>
        </w:rPr>
        <w:t xml:space="preserve"> (</w:t>
      </w:r>
      <w:r w:rsidR="004418F6" w:rsidRPr="004418F6">
        <w:rPr>
          <w:sz w:val="16"/>
          <w:szCs w:val="16"/>
        </w:rPr>
        <w:t>New York</w:t>
      </w:r>
      <w:r w:rsidR="004418F6">
        <w:rPr>
          <w:sz w:val="16"/>
          <w:szCs w:val="16"/>
        </w:rPr>
        <w:t>:</w:t>
      </w:r>
      <w:r w:rsidR="004418F6" w:rsidRPr="004418F6">
        <w:rPr>
          <w:sz w:val="16"/>
          <w:szCs w:val="16"/>
        </w:rPr>
        <w:t xml:space="preserve"> Liberal Arts Press</w:t>
      </w:r>
      <w:r>
        <w:rPr>
          <w:sz w:val="16"/>
          <w:szCs w:val="16"/>
        </w:rPr>
        <w:t>,</w:t>
      </w:r>
      <w:r w:rsidR="004418F6">
        <w:rPr>
          <w:sz w:val="16"/>
          <w:szCs w:val="16"/>
        </w:rPr>
        <w:t xml:space="preserve"> 1957).</w:t>
      </w:r>
      <w:r>
        <w:rPr>
          <w:sz w:val="16"/>
          <w:szCs w:val="16"/>
        </w:rPr>
        <w:t xml:space="preserve"> p.11</w:t>
      </w:r>
      <w:r w:rsidR="00070B7B">
        <w:rPr>
          <w:sz w:val="16"/>
          <w:szCs w:val="16"/>
        </w:rPr>
        <w:t>.</w:t>
      </w:r>
    </w:p>
  </w:footnote>
  <w:footnote w:id="10">
    <w:p w14:paraId="0BA4100A" w14:textId="7DD422A3" w:rsidR="00070B7B" w:rsidRPr="00070B7B" w:rsidRDefault="00070B7B">
      <w:pPr>
        <w:pStyle w:val="FootnoteText"/>
      </w:pPr>
      <w:r w:rsidRPr="00070B7B">
        <w:rPr>
          <w:rStyle w:val="FootnoteReference"/>
          <w:sz w:val="16"/>
          <w:szCs w:val="16"/>
        </w:rPr>
        <w:footnoteRef/>
      </w:r>
      <w:r w:rsidRPr="00070B7B">
        <w:rPr>
          <w:sz w:val="16"/>
          <w:szCs w:val="16"/>
        </w:rPr>
        <w:t xml:space="preserve"> </w:t>
      </w:r>
      <w:r w:rsidR="00AA7042">
        <w:rPr>
          <w:sz w:val="16"/>
          <w:szCs w:val="16"/>
        </w:rPr>
        <w:t>Ibid</w:t>
      </w:r>
      <w:r>
        <w:rPr>
          <w:sz w:val="16"/>
          <w:szCs w:val="16"/>
        </w:rPr>
        <w:t>, p.13.</w:t>
      </w:r>
    </w:p>
  </w:footnote>
  <w:footnote w:id="11">
    <w:p w14:paraId="3101BBF5" w14:textId="534A3277" w:rsidR="00070B7B" w:rsidRPr="00070B7B" w:rsidRDefault="00070B7B">
      <w:pPr>
        <w:pStyle w:val="FootnoteText"/>
      </w:pPr>
      <w:r w:rsidRPr="00070B7B">
        <w:rPr>
          <w:rStyle w:val="FootnoteReference"/>
          <w:sz w:val="16"/>
          <w:szCs w:val="16"/>
        </w:rPr>
        <w:footnoteRef/>
      </w:r>
      <w:r w:rsidRPr="00070B7B">
        <w:rPr>
          <w:sz w:val="16"/>
          <w:szCs w:val="16"/>
        </w:rPr>
        <w:t xml:space="preserve"> </w:t>
      </w:r>
      <w:r w:rsidR="00AA7042">
        <w:rPr>
          <w:sz w:val="16"/>
          <w:szCs w:val="16"/>
        </w:rPr>
        <w:t>Ibid</w:t>
      </w:r>
      <w:r>
        <w:rPr>
          <w:sz w:val="16"/>
          <w:szCs w:val="16"/>
        </w:rPr>
        <w:t>, p.13.</w:t>
      </w:r>
    </w:p>
  </w:footnote>
  <w:footnote w:id="12">
    <w:p w14:paraId="39A555FC" w14:textId="15C282B1" w:rsidR="004418F6" w:rsidRPr="004418F6" w:rsidRDefault="004418F6">
      <w:pPr>
        <w:pStyle w:val="FootnoteText"/>
        <w:rPr>
          <w:lang w:val="en-US"/>
        </w:rPr>
      </w:pPr>
      <w:r w:rsidRPr="004418F6">
        <w:rPr>
          <w:rStyle w:val="FootnoteReference"/>
          <w:sz w:val="16"/>
          <w:szCs w:val="16"/>
        </w:rPr>
        <w:footnoteRef/>
      </w:r>
      <w:r w:rsidRPr="004418F6">
        <w:rPr>
          <w:sz w:val="16"/>
          <w:szCs w:val="16"/>
        </w:rPr>
        <w:t xml:space="preserve"> </w:t>
      </w:r>
      <w:r w:rsidR="00AA7042">
        <w:rPr>
          <w:sz w:val="16"/>
          <w:szCs w:val="16"/>
        </w:rPr>
        <w:t>Ibid</w:t>
      </w:r>
      <w:r>
        <w:rPr>
          <w:sz w:val="16"/>
          <w:szCs w:val="16"/>
        </w:rPr>
        <w:t>, p.13.</w:t>
      </w:r>
    </w:p>
  </w:footnote>
  <w:footnote w:id="13">
    <w:p w14:paraId="688892F4" w14:textId="272505E0" w:rsidR="00E95375" w:rsidRPr="00E95375" w:rsidRDefault="00E95375">
      <w:pPr>
        <w:pStyle w:val="FootnoteText"/>
      </w:pPr>
      <w:r w:rsidRPr="00E95375">
        <w:rPr>
          <w:rStyle w:val="FootnoteReference"/>
          <w:sz w:val="16"/>
          <w:szCs w:val="16"/>
        </w:rPr>
        <w:footnoteRef/>
      </w:r>
      <w:r w:rsidRPr="00E95375">
        <w:rPr>
          <w:sz w:val="16"/>
          <w:szCs w:val="16"/>
        </w:rPr>
        <w:t xml:space="preserve"> </w:t>
      </w:r>
      <w:r w:rsidR="00AA7042">
        <w:rPr>
          <w:sz w:val="16"/>
          <w:szCs w:val="16"/>
        </w:rPr>
        <w:t>Ibid</w:t>
      </w:r>
      <w:r>
        <w:rPr>
          <w:sz w:val="16"/>
          <w:szCs w:val="16"/>
        </w:rPr>
        <w:t>, p.14.</w:t>
      </w:r>
    </w:p>
  </w:footnote>
  <w:footnote w:id="14">
    <w:p w14:paraId="14F97757" w14:textId="6C0BB8E6" w:rsidR="004D643D" w:rsidRPr="004D643D" w:rsidRDefault="004D643D">
      <w:pPr>
        <w:pStyle w:val="FootnoteText"/>
      </w:pPr>
      <w:r w:rsidRPr="004D643D">
        <w:rPr>
          <w:rStyle w:val="FootnoteReference"/>
          <w:sz w:val="16"/>
          <w:szCs w:val="16"/>
        </w:rPr>
        <w:footnoteRef/>
      </w:r>
      <w:r w:rsidRPr="004D643D">
        <w:rPr>
          <w:sz w:val="16"/>
          <w:szCs w:val="16"/>
        </w:rPr>
        <w:t xml:space="preserve"> </w:t>
      </w:r>
      <w:r w:rsidR="00AA7042">
        <w:rPr>
          <w:sz w:val="16"/>
          <w:szCs w:val="16"/>
        </w:rPr>
        <w:t>Ibid</w:t>
      </w:r>
      <w:r>
        <w:rPr>
          <w:sz w:val="16"/>
          <w:szCs w:val="16"/>
        </w:rPr>
        <w:t>, p.16.</w:t>
      </w:r>
    </w:p>
  </w:footnote>
  <w:footnote w:id="15">
    <w:p w14:paraId="5211F7AA" w14:textId="47E0D022" w:rsidR="00DA5723" w:rsidRPr="00DA5723" w:rsidRDefault="00DA5723">
      <w:pPr>
        <w:pStyle w:val="FootnoteText"/>
      </w:pPr>
      <w:r w:rsidRPr="00DA5723">
        <w:rPr>
          <w:rStyle w:val="FootnoteReference"/>
          <w:sz w:val="16"/>
          <w:szCs w:val="16"/>
        </w:rPr>
        <w:footnoteRef/>
      </w:r>
      <w:r>
        <w:t xml:space="preserve"> </w:t>
      </w:r>
      <w:r w:rsidR="00AA7042">
        <w:rPr>
          <w:sz w:val="16"/>
          <w:szCs w:val="16"/>
        </w:rPr>
        <w:t>Ibid</w:t>
      </w:r>
      <w:r>
        <w:rPr>
          <w:sz w:val="16"/>
          <w:szCs w:val="16"/>
        </w:rPr>
        <w:t>, p.19.</w:t>
      </w:r>
    </w:p>
  </w:footnote>
  <w:footnote w:id="16">
    <w:p w14:paraId="29F9436C" w14:textId="69E3A474" w:rsidR="000F5BFF" w:rsidRPr="000F5BFF" w:rsidRDefault="000F5BFF">
      <w:pPr>
        <w:pStyle w:val="FootnoteText"/>
        <w:rPr>
          <w:lang w:val="en-US"/>
        </w:rPr>
      </w:pPr>
      <w:r w:rsidRPr="000F5BFF">
        <w:rPr>
          <w:rStyle w:val="FootnoteReference"/>
          <w:sz w:val="16"/>
          <w:szCs w:val="16"/>
        </w:rPr>
        <w:footnoteRef/>
      </w:r>
      <w:r w:rsidRPr="000F5BFF">
        <w:rPr>
          <w:sz w:val="16"/>
          <w:szCs w:val="16"/>
        </w:rPr>
        <w:t xml:space="preserve"> </w:t>
      </w:r>
      <w:bookmarkStart w:id="6" w:name="_Hlk197245609"/>
      <w:r>
        <w:rPr>
          <w:sz w:val="16"/>
          <w:szCs w:val="16"/>
        </w:rPr>
        <w:t xml:space="preserve">United Nations, </w:t>
      </w:r>
      <w:r w:rsidR="00AA7042">
        <w:rPr>
          <w:i/>
          <w:iCs/>
          <w:sz w:val="16"/>
          <w:szCs w:val="16"/>
        </w:rPr>
        <w:t>Our Work</w:t>
      </w:r>
      <w:r w:rsidR="00AA7042">
        <w:rPr>
          <w:sz w:val="16"/>
          <w:szCs w:val="16"/>
        </w:rPr>
        <w:t xml:space="preserve">, (2024) </w:t>
      </w:r>
      <w:hyperlink r:id="rId5" w:history="1">
        <w:r w:rsidR="00AA7042" w:rsidRPr="00AB20F2">
          <w:rPr>
            <w:rStyle w:val="Hyperlink"/>
            <w:sz w:val="16"/>
            <w:szCs w:val="16"/>
          </w:rPr>
          <w:t>https://www.un.org/en/our-work</w:t>
        </w:r>
      </w:hyperlink>
      <w:r w:rsidR="00AA7042">
        <w:rPr>
          <w:sz w:val="16"/>
          <w:szCs w:val="16"/>
        </w:rPr>
        <w:t xml:space="preserve"> [Accessed 03/04/2025].</w:t>
      </w:r>
      <w:bookmarkEnd w:id="6"/>
    </w:p>
  </w:footnote>
  <w:footnote w:id="17">
    <w:p w14:paraId="43F695FB" w14:textId="3F06F619" w:rsidR="005A0F75" w:rsidRPr="005A0F75" w:rsidRDefault="005A0F75">
      <w:pPr>
        <w:pStyle w:val="FootnoteText"/>
      </w:pPr>
      <w:r w:rsidRPr="005A0F75">
        <w:rPr>
          <w:rStyle w:val="FootnoteReference"/>
          <w:sz w:val="16"/>
          <w:szCs w:val="16"/>
        </w:rPr>
        <w:footnoteRef/>
      </w:r>
      <w:r w:rsidRPr="005A0F75">
        <w:rPr>
          <w:sz w:val="16"/>
          <w:szCs w:val="16"/>
        </w:rPr>
        <w:t xml:space="preserve"> </w:t>
      </w:r>
      <w:r>
        <w:rPr>
          <w:sz w:val="16"/>
          <w:szCs w:val="16"/>
        </w:rPr>
        <w:t xml:space="preserve">Kant, </w:t>
      </w:r>
      <w:r>
        <w:rPr>
          <w:i/>
          <w:iCs/>
          <w:sz w:val="16"/>
          <w:szCs w:val="16"/>
        </w:rPr>
        <w:t>perpetual Peace</w:t>
      </w:r>
      <w:r>
        <w:rPr>
          <w:sz w:val="16"/>
          <w:szCs w:val="16"/>
        </w:rPr>
        <w:t>, p.21.</w:t>
      </w:r>
    </w:p>
  </w:footnote>
  <w:footnote w:id="18">
    <w:p w14:paraId="54AF3ED6" w14:textId="7D762726" w:rsidR="003D0FCF" w:rsidRPr="003D0FCF" w:rsidRDefault="003D0FCF">
      <w:pPr>
        <w:pStyle w:val="FootnoteText"/>
      </w:pPr>
      <w:r w:rsidRPr="003D0FCF">
        <w:rPr>
          <w:rStyle w:val="FootnoteReference"/>
          <w:sz w:val="16"/>
          <w:szCs w:val="16"/>
        </w:rPr>
        <w:footnoteRef/>
      </w:r>
      <w:r w:rsidRPr="003D0FCF">
        <w:rPr>
          <w:sz w:val="16"/>
          <w:szCs w:val="16"/>
        </w:rPr>
        <w:t xml:space="preserve"> </w:t>
      </w:r>
      <w:r w:rsidR="00AA7042">
        <w:rPr>
          <w:sz w:val="16"/>
          <w:szCs w:val="16"/>
        </w:rPr>
        <w:t>Ibid.</w:t>
      </w:r>
      <w:r>
        <w:rPr>
          <w:sz w:val="16"/>
          <w:szCs w:val="16"/>
        </w:rPr>
        <w:t xml:space="preserve"> p.21.</w:t>
      </w:r>
    </w:p>
  </w:footnote>
  <w:footnote w:id="19">
    <w:p w14:paraId="22681D53" w14:textId="5F743A56" w:rsidR="000F5BFF" w:rsidRPr="000F5BFF" w:rsidRDefault="000F5BFF">
      <w:pPr>
        <w:pStyle w:val="FootnoteText"/>
        <w:rPr>
          <w:sz w:val="16"/>
          <w:szCs w:val="16"/>
        </w:rPr>
      </w:pPr>
      <w:r w:rsidRPr="000F5BFF">
        <w:rPr>
          <w:rStyle w:val="FootnoteReference"/>
          <w:sz w:val="16"/>
          <w:szCs w:val="16"/>
        </w:rPr>
        <w:footnoteRef/>
      </w:r>
      <w:r w:rsidRPr="000F5BFF">
        <w:rPr>
          <w:sz w:val="16"/>
          <w:szCs w:val="16"/>
        </w:rPr>
        <w:t xml:space="preserve"> </w:t>
      </w:r>
      <w:bookmarkStart w:id="7" w:name="_Hlk197245242"/>
      <w:r>
        <w:rPr>
          <w:sz w:val="16"/>
          <w:szCs w:val="16"/>
        </w:rPr>
        <w:t xml:space="preserve">European Union, </w:t>
      </w:r>
      <w:r w:rsidRPr="000F5BFF">
        <w:rPr>
          <w:sz w:val="16"/>
          <w:szCs w:val="16"/>
        </w:rPr>
        <w:t>Facts and figures on the European Union</w:t>
      </w:r>
      <w:r>
        <w:rPr>
          <w:sz w:val="16"/>
          <w:szCs w:val="16"/>
        </w:rPr>
        <w:t>, 2025 &lt;</w:t>
      </w:r>
      <w:r w:rsidRPr="000F5BFF">
        <w:t xml:space="preserve"> </w:t>
      </w:r>
      <w:hyperlink r:id="rId6" w:history="1">
        <w:r w:rsidRPr="00AB20F2">
          <w:rPr>
            <w:rStyle w:val="Hyperlink"/>
            <w:sz w:val="16"/>
            <w:szCs w:val="16"/>
          </w:rPr>
          <w:t>https://european-union.europa.eu/principles-countries-history/facts-and-figures-european-union_en</w:t>
        </w:r>
      </w:hyperlink>
      <w:r>
        <w:rPr>
          <w:sz w:val="16"/>
          <w:szCs w:val="16"/>
        </w:rPr>
        <w:t>&gt; [Accessed 03/05/2025].</w:t>
      </w:r>
      <w:bookmarkEnd w:id="7"/>
    </w:p>
  </w:footnote>
  <w:footnote w:id="20">
    <w:p w14:paraId="7A43A738" w14:textId="73255A69" w:rsidR="00456079" w:rsidRPr="004E3721" w:rsidRDefault="00456079" w:rsidP="00456079">
      <w:pPr>
        <w:pStyle w:val="FootnoteText"/>
      </w:pPr>
      <w:r w:rsidRPr="004E3721">
        <w:rPr>
          <w:rStyle w:val="FootnoteReference"/>
          <w:sz w:val="16"/>
          <w:szCs w:val="16"/>
        </w:rPr>
        <w:footnoteRef/>
      </w:r>
      <w:r w:rsidRPr="004E3721">
        <w:rPr>
          <w:sz w:val="16"/>
          <w:szCs w:val="16"/>
        </w:rPr>
        <w:t xml:space="preserve"> </w:t>
      </w:r>
      <w:bookmarkStart w:id="8" w:name="_Hlk197246617"/>
      <w:r w:rsidR="00E33F70">
        <w:rPr>
          <w:sz w:val="16"/>
          <w:szCs w:val="16"/>
        </w:rPr>
        <w:t xml:space="preserve">Louis </w:t>
      </w:r>
      <w:r>
        <w:rPr>
          <w:sz w:val="16"/>
          <w:szCs w:val="16"/>
        </w:rPr>
        <w:t xml:space="preserve">Kriesberg and </w:t>
      </w:r>
      <w:r w:rsidR="00E33F70">
        <w:rPr>
          <w:sz w:val="16"/>
          <w:szCs w:val="16"/>
        </w:rPr>
        <w:t xml:space="preserve">Gearoid </w:t>
      </w:r>
      <w:r>
        <w:rPr>
          <w:sz w:val="16"/>
          <w:szCs w:val="16"/>
        </w:rPr>
        <w:t>Millar, ‘</w:t>
      </w:r>
      <w:r w:rsidRPr="00DA5628">
        <w:rPr>
          <w:sz w:val="16"/>
          <w:szCs w:val="16"/>
        </w:rPr>
        <w:t>Protagonist strategies that help end violence</w:t>
      </w:r>
      <w:r>
        <w:rPr>
          <w:sz w:val="16"/>
          <w:szCs w:val="16"/>
        </w:rPr>
        <w:t>’,</w:t>
      </w:r>
      <w:r w:rsidR="00E33F70">
        <w:rPr>
          <w:sz w:val="16"/>
          <w:szCs w:val="16"/>
        </w:rPr>
        <w:t xml:space="preserve"> </w:t>
      </w:r>
      <w:r w:rsidR="00E33F70">
        <w:rPr>
          <w:i/>
          <w:iCs/>
          <w:sz w:val="16"/>
          <w:szCs w:val="16"/>
        </w:rPr>
        <w:t>Peace and Conflict Studies A Reader</w:t>
      </w:r>
      <w:r w:rsidR="00E33F70">
        <w:rPr>
          <w:sz w:val="16"/>
          <w:szCs w:val="16"/>
        </w:rPr>
        <w:t>, (2012) 208 - 220</w:t>
      </w:r>
      <w:r>
        <w:rPr>
          <w:sz w:val="16"/>
          <w:szCs w:val="16"/>
        </w:rPr>
        <w:t xml:space="preserve"> </w:t>
      </w:r>
      <w:bookmarkEnd w:id="8"/>
      <w:r w:rsidR="00E33F70">
        <w:rPr>
          <w:sz w:val="16"/>
          <w:szCs w:val="16"/>
        </w:rPr>
        <w:t>(</w:t>
      </w:r>
      <w:r>
        <w:rPr>
          <w:sz w:val="16"/>
          <w:szCs w:val="16"/>
        </w:rPr>
        <w:t>p.214</w:t>
      </w:r>
      <w:r w:rsidR="00E33F70">
        <w:rPr>
          <w:sz w:val="16"/>
          <w:szCs w:val="16"/>
        </w:rPr>
        <w:t>)</w:t>
      </w:r>
      <w:r>
        <w:rPr>
          <w:sz w:val="16"/>
          <w:szCs w:val="16"/>
        </w:rPr>
        <w:t>.</w:t>
      </w:r>
    </w:p>
  </w:footnote>
  <w:footnote w:id="21">
    <w:p w14:paraId="6ECF0ECF" w14:textId="541C53B6" w:rsidR="00C61969" w:rsidRPr="00C61969" w:rsidRDefault="00C61969">
      <w:pPr>
        <w:pStyle w:val="FootnoteText"/>
        <w:rPr>
          <w:lang w:val="en-US"/>
        </w:rPr>
      </w:pPr>
      <w:r w:rsidRPr="00C61969">
        <w:rPr>
          <w:rStyle w:val="FootnoteReference"/>
          <w:sz w:val="16"/>
          <w:szCs w:val="16"/>
        </w:rPr>
        <w:footnoteRef/>
      </w:r>
      <w:r w:rsidRPr="00C61969">
        <w:rPr>
          <w:sz w:val="16"/>
          <w:szCs w:val="16"/>
        </w:rPr>
        <w:t xml:space="preserve"> </w:t>
      </w:r>
      <w:r w:rsidR="00E33F70">
        <w:rPr>
          <w:sz w:val="16"/>
          <w:szCs w:val="16"/>
        </w:rPr>
        <w:t>Ibid,</w:t>
      </w:r>
      <w:r w:rsidR="004E3721">
        <w:rPr>
          <w:sz w:val="16"/>
          <w:szCs w:val="16"/>
        </w:rPr>
        <w:t xml:space="preserve"> p. 213.</w:t>
      </w:r>
    </w:p>
  </w:footnote>
  <w:footnote w:id="22">
    <w:p w14:paraId="1DF4BC4B" w14:textId="1461F0F5" w:rsidR="00FB70EB" w:rsidRPr="00FB70EB" w:rsidRDefault="00FB70EB">
      <w:pPr>
        <w:pStyle w:val="FootnoteText"/>
        <w:rPr>
          <w:lang w:val="en-US"/>
        </w:rPr>
      </w:pPr>
      <w:r w:rsidRPr="00FB70EB">
        <w:rPr>
          <w:rStyle w:val="FootnoteReference"/>
          <w:sz w:val="16"/>
          <w:szCs w:val="16"/>
        </w:rPr>
        <w:footnoteRef/>
      </w:r>
      <w:r w:rsidRPr="00FB70EB">
        <w:rPr>
          <w:sz w:val="16"/>
          <w:szCs w:val="16"/>
        </w:rPr>
        <w:t xml:space="preserve"> </w:t>
      </w:r>
      <w:r w:rsidR="00E33F70">
        <w:rPr>
          <w:sz w:val="16"/>
          <w:szCs w:val="16"/>
        </w:rPr>
        <w:t xml:space="preserve">Ibid, </w:t>
      </w:r>
      <w:r>
        <w:rPr>
          <w:sz w:val="16"/>
          <w:szCs w:val="16"/>
        </w:rPr>
        <w:t>p. 215.</w:t>
      </w:r>
    </w:p>
  </w:footnote>
  <w:footnote w:id="23">
    <w:p w14:paraId="2FEBBABC" w14:textId="49C630A5" w:rsidR="00FB70EB" w:rsidRPr="00FB70EB" w:rsidRDefault="00FB70EB">
      <w:pPr>
        <w:pStyle w:val="FootnoteText"/>
        <w:rPr>
          <w:lang w:val="en-US"/>
        </w:rPr>
      </w:pPr>
      <w:r w:rsidRPr="00FB70EB">
        <w:rPr>
          <w:rStyle w:val="FootnoteReference"/>
          <w:sz w:val="16"/>
          <w:szCs w:val="16"/>
        </w:rPr>
        <w:footnoteRef/>
      </w:r>
      <w:r w:rsidRPr="00FB70EB">
        <w:rPr>
          <w:sz w:val="16"/>
          <w:szCs w:val="16"/>
        </w:rPr>
        <w:t xml:space="preserve"> </w:t>
      </w:r>
      <w:r w:rsidR="00E33F70">
        <w:rPr>
          <w:sz w:val="16"/>
          <w:szCs w:val="16"/>
        </w:rPr>
        <w:t>Ibid</w:t>
      </w:r>
      <w:r w:rsidR="004912A5">
        <w:rPr>
          <w:sz w:val="16"/>
          <w:szCs w:val="16"/>
        </w:rPr>
        <w:t>,</w:t>
      </w:r>
      <w:r>
        <w:rPr>
          <w:sz w:val="16"/>
          <w:szCs w:val="16"/>
        </w:rPr>
        <w:t xml:space="preserve"> p. 215.</w:t>
      </w:r>
    </w:p>
  </w:footnote>
  <w:footnote w:id="24">
    <w:p w14:paraId="092201AF" w14:textId="7F936556" w:rsidR="00FB70EB" w:rsidRPr="004912A5" w:rsidRDefault="00FB70EB">
      <w:pPr>
        <w:pStyle w:val="FootnoteText"/>
        <w:rPr>
          <w:sz w:val="16"/>
          <w:szCs w:val="16"/>
        </w:rPr>
      </w:pPr>
      <w:r w:rsidRPr="00FB70EB">
        <w:rPr>
          <w:rStyle w:val="FootnoteReference"/>
          <w:sz w:val="16"/>
          <w:szCs w:val="16"/>
        </w:rPr>
        <w:footnoteRef/>
      </w:r>
      <w:r w:rsidRPr="00FB70EB">
        <w:rPr>
          <w:sz w:val="16"/>
          <w:szCs w:val="16"/>
        </w:rPr>
        <w:t xml:space="preserve"> </w:t>
      </w:r>
      <w:r w:rsidR="00E33F70">
        <w:rPr>
          <w:sz w:val="16"/>
          <w:szCs w:val="16"/>
        </w:rPr>
        <w:t>Ibid,</w:t>
      </w:r>
      <w:r w:rsidR="004912A5">
        <w:rPr>
          <w:sz w:val="16"/>
          <w:szCs w:val="16"/>
        </w:rPr>
        <w:t xml:space="preserve"> </w:t>
      </w:r>
      <w:r>
        <w:rPr>
          <w:sz w:val="16"/>
          <w:szCs w:val="16"/>
        </w:rPr>
        <w:t>p. 215.</w:t>
      </w:r>
    </w:p>
  </w:footnote>
  <w:footnote w:id="25">
    <w:p w14:paraId="65995E3D" w14:textId="4E5CC569" w:rsidR="00E87837" w:rsidRPr="00E87837" w:rsidRDefault="00E87837">
      <w:pPr>
        <w:pStyle w:val="FootnoteText"/>
        <w:rPr>
          <w:lang w:val="en-US"/>
        </w:rPr>
      </w:pPr>
      <w:r w:rsidRPr="00E87837">
        <w:rPr>
          <w:rStyle w:val="FootnoteReference"/>
          <w:sz w:val="16"/>
          <w:szCs w:val="16"/>
        </w:rPr>
        <w:footnoteRef/>
      </w:r>
      <w:r w:rsidRPr="00E87837">
        <w:rPr>
          <w:sz w:val="16"/>
          <w:szCs w:val="16"/>
        </w:rPr>
        <w:t xml:space="preserve"> </w:t>
      </w:r>
      <w:r w:rsidR="00E33F70">
        <w:rPr>
          <w:sz w:val="16"/>
          <w:szCs w:val="16"/>
        </w:rPr>
        <w:t>Ibid</w:t>
      </w:r>
      <w:r w:rsidR="004912A5">
        <w:rPr>
          <w:sz w:val="16"/>
          <w:szCs w:val="16"/>
        </w:rPr>
        <w:t>,</w:t>
      </w:r>
      <w:r>
        <w:rPr>
          <w:sz w:val="16"/>
          <w:szCs w:val="16"/>
        </w:rPr>
        <w:t xml:space="preserve"> p. 215.</w:t>
      </w:r>
    </w:p>
  </w:footnote>
  <w:footnote w:id="26">
    <w:p w14:paraId="08BA7736" w14:textId="314086FB" w:rsidR="00E87837" w:rsidRPr="00E87837" w:rsidRDefault="00E87837">
      <w:pPr>
        <w:pStyle w:val="FootnoteText"/>
        <w:rPr>
          <w:lang w:val="en-US"/>
        </w:rPr>
      </w:pPr>
      <w:r w:rsidRPr="00E87837">
        <w:rPr>
          <w:rStyle w:val="FootnoteReference"/>
          <w:sz w:val="16"/>
          <w:szCs w:val="16"/>
        </w:rPr>
        <w:footnoteRef/>
      </w:r>
      <w:r w:rsidRPr="00E87837">
        <w:rPr>
          <w:sz w:val="16"/>
          <w:szCs w:val="16"/>
        </w:rPr>
        <w:t xml:space="preserve"> </w:t>
      </w:r>
      <w:r w:rsidR="00D36D70">
        <w:rPr>
          <w:sz w:val="16"/>
          <w:szCs w:val="16"/>
        </w:rPr>
        <w:t>Ibid</w:t>
      </w:r>
      <w:r w:rsidR="004912A5">
        <w:rPr>
          <w:sz w:val="16"/>
          <w:szCs w:val="16"/>
        </w:rPr>
        <w:t>,</w:t>
      </w:r>
      <w:r>
        <w:rPr>
          <w:sz w:val="16"/>
          <w:szCs w:val="16"/>
        </w:rPr>
        <w:t xml:space="preserve"> p. 215.</w:t>
      </w:r>
    </w:p>
  </w:footnote>
  <w:footnote w:id="27">
    <w:p w14:paraId="3AF7D04B" w14:textId="6C98FB11" w:rsidR="00E87837" w:rsidRPr="004418F6" w:rsidRDefault="00E87837">
      <w:pPr>
        <w:pStyle w:val="FootnoteText"/>
        <w:rPr>
          <w:sz w:val="16"/>
          <w:szCs w:val="16"/>
          <w:lang w:val="en-US"/>
        </w:rPr>
      </w:pPr>
      <w:r w:rsidRPr="004418F6">
        <w:rPr>
          <w:rStyle w:val="FootnoteReference"/>
          <w:sz w:val="16"/>
          <w:szCs w:val="16"/>
        </w:rPr>
        <w:footnoteRef/>
      </w:r>
      <w:r w:rsidRPr="004418F6">
        <w:rPr>
          <w:sz w:val="16"/>
          <w:szCs w:val="16"/>
        </w:rPr>
        <w:t xml:space="preserve"> </w:t>
      </w:r>
      <w:r w:rsidR="00D36D70">
        <w:rPr>
          <w:sz w:val="16"/>
          <w:szCs w:val="16"/>
        </w:rPr>
        <w:t>Ibid</w:t>
      </w:r>
      <w:r w:rsidRPr="004418F6">
        <w:rPr>
          <w:sz w:val="16"/>
          <w:szCs w:val="16"/>
        </w:rPr>
        <w:t xml:space="preserve"> p. 215.</w:t>
      </w:r>
    </w:p>
  </w:footnote>
  <w:footnote w:id="28">
    <w:p w14:paraId="32B01B87" w14:textId="5E504F97" w:rsidR="00013DE9" w:rsidRPr="004418F6" w:rsidRDefault="00013DE9" w:rsidP="00013DE9">
      <w:pPr>
        <w:pStyle w:val="FootnoteText"/>
        <w:rPr>
          <w:sz w:val="16"/>
          <w:szCs w:val="16"/>
        </w:rPr>
      </w:pPr>
      <w:r w:rsidRPr="004418F6">
        <w:rPr>
          <w:rStyle w:val="FootnoteReference"/>
          <w:sz w:val="16"/>
          <w:szCs w:val="16"/>
        </w:rPr>
        <w:footnoteRef/>
      </w:r>
      <w:r w:rsidRPr="004418F6">
        <w:rPr>
          <w:sz w:val="16"/>
          <w:szCs w:val="16"/>
        </w:rPr>
        <w:t xml:space="preserve"> </w:t>
      </w:r>
      <w:r w:rsidRPr="004418F6">
        <w:rPr>
          <w:sz w:val="16"/>
          <w:szCs w:val="16"/>
          <w:lang w:val="en-US"/>
        </w:rPr>
        <w:t xml:space="preserve">Nicholas Van Der Bijl, </w:t>
      </w:r>
      <w:r w:rsidRPr="004418F6">
        <w:rPr>
          <w:i/>
          <w:iCs/>
          <w:sz w:val="16"/>
          <w:szCs w:val="16"/>
          <w:lang w:val="en-US"/>
        </w:rPr>
        <w:t xml:space="preserve">Operation Banner: the British Army in Northern Ireland 1969 to 2007, </w:t>
      </w:r>
      <w:r w:rsidRPr="004418F6">
        <w:rPr>
          <w:sz w:val="16"/>
          <w:szCs w:val="16"/>
          <w:lang w:val="en-US"/>
        </w:rPr>
        <w:t xml:space="preserve">(Barnsley: Pen and Sword Military, 2009). </w:t>
      </w:r>
      <w:r w:rsidR="004418F6" w:rsidRPr="004418F6">
        <w:rPr>
          <w:sz w:val="16"/>
          <w:szCs w:val="16"/>
          <w:lang w:val="en-US"/>
        </w:rPr>
        <w:t xml:space="preserve">    </w:t>
      </w:r>
      <w:r w:rsidRPr="004418F6">
        <w:rPr>
          <w:sz w:val="16"/>
          <w:szCs w:val="16"/>
          <w:lang w:val="en-US"/>
        </w:rPr>
        <w:t>p.</w:t>
      </w:r>
      <w:r w:rsidR="004418F6" w:rsidRPr="004418F6">
        <w:rPr>
          <w:sz w:val="16"/>
          <w:szCs w:val="16"/>
          <w:lang w:val="en-US"/>
        </w:rPr>
        <w:t xml:space="preserve"> 1</w:t>
      </w:r>
      <w:r w:rsidR="005C1415" w:rsidRPr="004418F6">
        <w:rPr>
          <w:sz w:val="16"/>
          <w:szCs w:val="16"/>
          <w:lang w:val="en-US"/>
        </w:rPr>
        <w:t>03</w:t>
      </w:r>
      <w:r w:rsidRPr="004418F6">
        <w:rPr>
          <w:sz w:val="16"/>
          <w:szCs w:val="16"/>
          <w:lang w:val="en-US"/>
        </w:rPr>
        <w:t>.</w:t>
      </w:r>
    </w:p>
  </w:footnote>
  <w:footnote w:id="29">
    <w:p w14:paraId="3273B945" w14:textId="4DA54823" w:rsidR="006B2B88" w:rsidRPr="006B2B88" w:rsidRDefault="006B2B88">
      <w:pPr>
        <w:pStyle w:val="FootnoteText"/>
        <w:rPr>
          <w:lang w:val="en-US"/>
        </w:rPr>
      </w:pPr>
      <w:r w:rsidRPr="006B2B88">
        <w:rPr>
          <w:rStyle w:val="FootnoteReference"/>
          <w:sz w:val="16"/>
          <w:szCs w:val="16"/>
        </w:rPr>
        <w:footnoteRef/>
      </w:r>
      <w:r w:rsidRPr="006B2B88">
        <w:rPr>
          <w:sz w:val="16"/>
          <w:szCs w:val="16"/>
        </w:rPr>
        <w:t xml:space="preserve"> </w:t>
      </w:r>
      <w:r>
        <w:rPr>
          <w:sz w:val="16"/>
          <w:szCs w:val="16"/>
          <w:lang w:val="en-US"/>
        </w:rPr>
        <w:t>Ibid,</w:t>
      </w:r>
      <w:r w:rsidRPr="004418F6">
        <w:rPr>
          <w:sz w:val="16"/>
          <w:szCs w:val="16"/>
          <w:lang w:val="en-US"/>
        </w:rPr>
        <w:t xml:space="preserve"> p.103.</w:t>
      </w:r>
    </w:p>
  </w:footnote>
  <w:footnote w:id="30">
    <w:p w14:paraId="5585A0B1" w14:textId="20DBEAA7" w:rsidR="009A7F34" w:rsidRPr="004418F6" w:rsidRDefault="009A7F34" w:rsidP="009A7F34">
      <w:pPr>
        <w:pStyle w:val="FootnoteText"/>
        <w:rPr>
          <w:sz w:val="16"/>
          <w:szCs w:val="16"/>
          <w:lang w:val="en-US"/>
        </w:rPr>
      </w:pPr>
      <w:r w:rsidRPr="004418F6">
        <w:rPr>
          <w:rStyle w:val="FootnoteReference"/>
          <w:sz w:val="16"/>
          <w:szCs w:val="16"/>
        </w:rPr>
        <w:footnoteRef/>
      </w:r>
      <w:r w:rsidRPr="004418F6">
        <w:rPr>
          <w:sz w:val="16"/>
          <w:szCs w:val="16"/>
        </w:rPr>
        <w:t xml:space="preserve"> </w:t>
      </w:r>
      <w:r w:rsidR="00D36D70">
        <w:rPr>
          <w:sz w:val="16"/>
          <w:szCs w:val="16"/>
          <w:lang w:val="en-US"/>
        </w:rPr>
        <w:t>Ibid,</w:t>
      </w:r>
      <w:r w:rsidRPr="004418F6">
        <w:rPr>
          <w:sz w:val="16"/>
          <w:szCs w:val="16"/>
          <w:lang w:val="en-US"/>
        </w:rPr>
        <w:t xml:space="preserve"> p.103.</w:t>
      </w:r>
    </w:p>
  </w:footnote>
  <w:footnote w:id="31">
    <w:p w14:paraId="2901C5FC" w14:textId="7CDC6E6D" w:rsidR="006F2ED3" w:rsidRPr="004418F6" w:rsidRDefault="006F2ED3">
      <w:pPr>
        <w:pStyle w:val="FootnoteText"/>
        <w:rPr>
          <w:sz w:val="16"/>
          <w:szCs w:val="16"/>
          <w:lang w:val="en-US"/>
        </w:rPr>
      </w:pPr>
      <w:r w:rsidRPr="004418F6">
        <w:rPr>
          <w:rStyle w:val="FootnoteReference"/>
          <w:sz w:val="16"/>
          <w:szCs w:val="16"/>
        </w:rPr>
        <w:footnoteRef/>
      </w:r>
      <w:r w:rsidRPr="004418F6">
        <w:rPr>
          <w:sz w:val="16"/>
          <w:szCs w:val="16"/>
        </w:rPr>
        <w:t xml:space="preserve"> Kriesberg and Millar, ‘Protagonist strategies that help end violence’ p. 218.</w:t>
      </w:r>
    </w:p>
  </w:footnote>
  <w:footnote w:id="32">
    <w:p w14:paraId="5A125A09" w14:textId="0FFFE8C7" w:rsidR="009A7F34" w:rsidRPr="004418F6" w:rsidRDefault="009A7F34">
      <w:pPr>
        <w:pStyle w:val="FootnoteText"/>
        <w:rPr>
          <w:sz w:val="16"/>
          <w:szCs w:val="16"/>
        </w:rPr>
      </w:pPr>
      <w:r w:rsidRPr="004418F6">
        <w:rPr>
          <w:rStyle w:val="FootnoteReference"/>
          <w:sz w:val="16"/>
          <w:szCs w:val="16"/>
        </w:rPr>
        <w:footnoteRef/>
      </w:r>
      <w:r w:rsidRPr="004418F6">
        <w:rPr>
          <w:sz w:val="16"/>
          <w:szCs w:val="16"/>
        </w:rPr>
        <w:t xml:space="preserve"> </w:t>
      </w:r>
      <w:r w:rsidR="00D36D70">
        <w:rPr>
          <w:sz w:val="16"/>
          <w:szCs w:val="16"/>
        </w:rPr>
        <w:t>Ibid,</w:t>
      </w:r>
      <w:r w:rsidRPr="004418F6">
        <w:rPr>
          <w:sz w:val="16"/>
          <w:szCs w:val="16"/>
        </w:rPr>
        <w:t xml:space="preserve"> p. 218.</w:t>
      </w:r>
    </w:p>
  </w:footnote>
  <w:footnote w:id="33">
    <w:p w14:paraId="392EE6BC" w14:textId="77777777" w:rsidR="008E6A1F" w:rsidRPr="004418F6" w:rsidRDefault="008E6A1F" w:rsidP="008E6A1F">
      <w:pPr>
        <w:pStyle w:val="FootnoteText"/>
        <w:rPr>
          <w:sz w:val="16"/>
          <w:szCs w:val="16"/>
          <w:lang w:val="en-US"/>
        </w:rPr>
      </w:pPr>
      <w:r w:rsidRPr="004418F6">
        <w:rPr>
          <w:rStyle w:val="FootnoteReference"/>
          <w:sz w:val="16"/>
          <w:szCs w:val="16"/>
        </w:rPr>
        <w:footnoteRef/>
      </w:r>
      <w:r w:rsidRPr="004418F6">
        <w:rPr>
          <w:sz w:val="16"/>
          <w:szCs w:val="16"/>
        </w:rPr>
        <w:t xml:space="preserve"> Treaty of Versailles, (Article) (no.231), regulations, (1919), (Statutory Instrument). &lt;</w:t>
      </w:r>
      <w:hyperlink r:id="rId7" w:anchor="AN=21212329&amp;db=aph" w:history="1">
        <w:r w:rsidRPr="004418F6">
          <w:rPr>
            <w:rStyle w:val="Hyperlink"/>
            <w:sz w:val="16"/>
            <w:szCs w:val="16"/>
          </w:rPr>
          <w:t>https://web-s-ebscohost-com.ezproxy.uwtsd.ac.uk/ehost/detail/detail?vid=2&amp;sid=2ef0b4d2-f959-4102-89ef-23180ca4b791%40redis&amp;bdata=JnNpdGU9ZWhvc3QtbGl2ZQ%3d%3d#AN=21212329&amp;db=aph</w:t>
        </w:r>
      </w:hyperlink>
      <w:r w:rsidRPr="004418F6">
        <w:rPr>
          <w:sz w:val="16"/>
          <w:szCs w:val="16"/>
        </w:rPr>
        <w:t>&gt;  [Accessed 27/04/2025].</w:t>
      </w:r>
    </w:p>
  </w:footnote>
  <w:footnote w:id="34">
    <w:p w14:paraId="2BD4968D" w14:textId="69F233D7" w:rsidR="0064216C" w:rsidRPr="0064216C" w:rsidRDefault="00ED06E8">
      <w:pPr>
        <w:pStyle w:val="FootnoteText"/>
        <w:rPr>
          <w:sz w:val="16"/>
          <w:szCs w:val="16"/>
        </w:rPr>
      </w:pPr>
      <w:r w:rsidRPr="004418F6">
        <w:rPr>
          <w:rStyle w:val="FootnoteReference"/>
          <w:sz w:val="16"/>
          <w:szCs w:val="16"/>
        </w:rPr>
        <w:footnoteRef/>
      </w:r>
      <w:r w:rsidRPr="004418F6">
        <w:rPr>
          <w:sz w:val="16"/>
          <w:szCs w:val="16"/>
        </w:rPr>
        <w:t xml:space="preserve"> Adolf Hitler, </w:t>
      </w:r>
      <w:r w:rsidRPr="004418F6">
        <w:rPr>
          <w:i/>
          <w:iCs/>
          <w:sz w:val="16"/>
          <w:szCs w:val="16"/>
        </w:rPr>
        <w:t>Mein Kampf</w:t>
      </w:r>
      <w:r w:rsidRPr="004418F6">
        <w:rPr>
          <w:sz w:val="16"/>
          <w:szCs w:val="16"/>
        </w:rPr>
        <w:t>, (New York: Houghton Mifflin Harcourt Publishing Company. 1998), p.464</w:t>
      </w:r>
      <w:r w:rsidR="0064216C">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B6217" w14:textId="0A569D17" w:rsidR="00630D05" w:rsidRPr="00E514FE" w:rsidRDefault="00630D05" w:rsidP="00630D05">
    <w:pPr>
      <w:pStyle w:val="Header"/>
      <w:rPr>
        <w:b/>
        <w:bCs/>
      </w:rPr>
    </w:pPr>
    <w:r w:rsidRPr="00E514FE">
      <w:t>Alex Hales-Owen (2221576)</w:t>
    </w:r>
    <w:r w:rsidRPr="00E514FE">
      <w:tab/>
    </w:r>
    <w:r w:rsidRPr="00E514FE">
      <w:tab/>
      <w:t>Concepts of Peace (HPHI5901/HPHI6901)</w:t>
    </w:r>
  </w:p>
  <w:p w14:paraId="194C95E9" w14:textId="242A2501" w:rsidR="00630D05" w:rsidRPr="00E514FE" w:rsidRDefault="00630D05" w:rsidP="00630D05">
    <w:pPr>
      <w:pStyle w:val="Header"/>
      <w:jc w:val="center"/>
      <w:rPr>
        <w:b/>
        <w:bCs/>
        <w:u w:val="single"/>
      </w:rPr>
    </w:pPr>
    <w:r w:rsidRPr="00E514FE">
      <w:rPr>
        <w:b/>
        <w:bCs/>
        <w:u w:val="single"/>
      </w:rPr>
      <w:t>Take Home Essay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02410"/>
    <w:multiLevelType w:val="hybridMultilevel"/>
    <w:tmpl w:val="61324E48"/>
    <w:lvl w:ilvl="0" w:tplc="8C3C623C">
      <w:start w:val="1"/>
      <w:numFmt w:val="decimal"/>
      <w:lvlText w:val="%1)"/>
      <w:lvlJc w:val="left"/>
      <w:pPr>
        <w:tabs>
          <w:tab w:val="num" w:pos="720"/>
        </w:tabs>
        <w:ind w:left="720" w:hanging="360"/>
      </w:pPr>
    </w:lvl>
    <w:lvl w:ilvl="1" w:tplc="3626DC70" w:tentative="1">
      <w:start w:val="1"/>
      <w:numFmt w:val="decimal"/>
      <w:lvlText w:val="%2)"/>
      <w:lvlJc w:val="left"/>
      <w:pPr>
        <w:tabs>
          <w:tab w:val="num" w:pos="1440"/>
        </w:tabs>
        <w:ind w:left="1440" w:hanging="360"/>
      </w:pPr>
    </w:lvl>
    <w:lvl w:ilvl="2" w:tplc="498294E8" w:tentative="1">
      <w:start w:val="1"/>
      <w:numFmt w:val="decimal"/>
      <w:lvlText w:val="%3)"/>
      <w:lvlJc w:val="left"/>
      <w:pPr>
        <w:tabs>
          <w:tab w:val="num" w:pos="2160"/>
        </w:tabs>
        <w:ind w:left="2160" w:hanging="360"/>
      </w:pPr>
    </w:lvl>
    <w:lvl w:ilvl="3" w:tplc="32DC858A" w:tentative="1">
      <w:start w:val="1"/>
      <w:numFmt w:val="decimal"/>
      <w:lvlText w:val="%4)"/>
      <w:lvlJc w:val="left"/>
      <w:pPr>
        <w:tabs>
          <w:tab w:val="num" w:pos="2880"/>
        </w:tabs>
        <w:ind w:left="2880" w:hanging="360"/>
      </w:pPr>
    </w:lvl>
    <w:lvl w:ilvl="4" w:tplc="766C7CB2" w:tentative="1">
      <w:start w:val="1"/>
      <w:numFmt w:val="decimal"/>
      <w:lvlText w:val="%5)"/>
      <w:lvlJc w:val="left"/>
      <w:pPr>
        <w:tabs>
          <w:tab w:val="num" w:pos="3600"/>
        </w:tabs>
        <w:ind w:left="3600" w:hanging="360"/>
      </w:pPr>
    </w:lvl>
    <w:lvl w:ilvl="5" w:tplc="148EE86E" w:tentative="1">
      <w:start w:val="1"/>
      <w:numFmt w:val="decimal"/>
      <w:lvlText w:val="%6)"/>
      <w:lvlJc w:val="left"/>
      <w:pPr>
        <w:tabs>
          <w:tab w:val="num" w:pos="4320"/>
        </w:tabs>
        <w:ind w:left="4320" w:hanging="360"/>
      </w:pPr>
    </w:lvl>
    <w:lvl w:ilvl="6" w:tplc="7E8A0424" w:tentative="1">
      <w:start w:val="1"/>
      <w:numFmt w:val="decimal"/>
      <w:lvlText w:val="%7)"/>
      <w:lvlJc w:val="left"/>
      <w:pPr>
        <w:tabs>
          <w:tab w:val="num" w:pos="5040"/>
        </w:tabs>
        <w:ind w:left="5040" w:hanging="360"/>
      </w:pPr>
    </w:lvl>
    <w:lvl w:ilvl="7" w:tplc="235615CC" w:tentative="1">
      <w:start w:val="1"/>
      <w:numFmt w:val="decimal"/>
      <w:lvlText w:val="%8)"/>
      <w:lvlJc w:val="left"/>
      <w:pPr>
        <w:tabs>
          <w:tab w:val="num" w:pos="5760"/>
        </w:tabs>
        <w:ind w:left="5760" w:hanging="360"/>
      </w:pPr>
    </w:lvl>
    <w:lvl w:ilvl="8" w:tplc="71762546" w:tentative="1">
      <w:start w:val="1"/>
      <w:numFmt w:val="decimal"/>
      <w:lvlText w:val="%9)"/>
      <w:lvlJc w:val="left"/>
      <w:pPr>
        <w:tabs>
          <w:tab w:val="num" w:pos="6480"/>
        </w:tabs>
        <w:ind w:left="6480" w:hanging="360"/>
      </w:pPr>
    </w:lvl>
  </w:abstractNum>
  <w:abstractNum w:abstractNumId="1" w15:restartNumberingAfterBreak="0">
    <w:nsid w:val="0D7B6496"/>
    <w:multiLevelType w:val="hybridMultilevel"/>
    <w:tmpl w:val="43DCC644"/>
    <w:lvl w:ilvl="0" w:tplc="B6D248BE">
      <w:start w:val="1"/>
      <w:numFmt w:val="decimal"/>
      <w:lvlText w:val="%1)"/>
      <w:lvlJc w:val="left"/>
      <w:pPr>
        <w:tabs>
          <w:tab w:val="num" w:pos="720"/>
        </w:tabs>
        <w:ind w:left="720" w:hanging="360"/>
      </w:pPr>
    </w:lvl>
    <w:lvl w:ilvl="1" w:tplc="2BC2244C" w:tentative="1">
      <w:start w:val="1"/>
      <w:numFmt w:val="decimal"/>
      <w:lvlText w:val="%2)"/>
      <w:lvlJc w:val="left"/>
      <w:pPr>
        <w:tabs>
          <w:tab w:val="num" w:pos="1440"/>
        </w:tabs>
        <w:ind w:left="1440" w:hanging="360"/>
      </w:pPr>
    </w:lvl>
    <w:lvl w:ilvl="2" w:tplc="F3E062C6" w:tentative="1">
      <w:start w:val="1"/>
      <w:numFmt w:val="decimal"/>
      <w:lvlText w:val="%3)"/>
      <w:lvlJc w:val="left"/>
      <w:pPr>
        <w:tabs>
          <w:tab w:val="num" w:pos="2160"/>
        </w:tabs>
        <w:ind w:left="2160" w:hanging="360"/>
      </w:pPr>
    </w:lvl>
    <w:lvl w:ilvl="3" w:tplc="B002CF38" w:tentative="1">
      <w:start w:val="1"/>
      <w:numFmt w:val="decimal"/>
      <w:lvlText w:val="%4)"/>
      <w:lvlJc w:val="left"/>
      <w:pPr>
        <w:tabs>
          <w:tab w:val="num" w:pos="2880"/>
        </w:tabs>
        <w:ind w:left="2880" w:hanging="360"/>
      </w:pPr>
    </w:lvl>
    <w:lvl w:ilvl="4" w:tplc="2C64402E" w:tentative="1">
      <w:start w:val="1"/>
      <w:numFmt w:val="decimal"/>
      <w:lvlText w:val="%5)"/>
      <w:lvlJc w:val="left"/>
      <w:pPr>
        <w:tabs>
          <w:tab w:val="num" w:pos="3600"/>
        </w:tabs>
        <w:ind w:left="3600" w:hanging="360"/>
      </w:pPr>
    </w:lvl>
    <w:lvl w:ilvl="5" w:tplc="8FEE2688" w:tentative="1">
      <w:start w:val="1"/>
      <w:numFmt w:val="decimal"/>
      <w:lvlText w:val="%6)"/>
      <w:lvlJc w:val="left"/>
      <w:pPr>
        <w:tabs>
          <w:tab w:val="num" w:pos="4320"/>
        </w:tabs>
        <w:ind w:left="4320" w:hanging="360"/>
      </w:pPr>
    </w:lvl>
    <w:lvl w:ilvl="6" w:tplc="AEB6ED58" w:tentative="1">
      <w:start w:val="1"/>
      <w:numFmt w:val="decimal"/>
      <w:lvlText w:val="%7)"/>
      <w:lvlJc w:val="left"/>
      <w:pPr>
        <w:tabs>
          <w:tab w:val="num" w:pos="5040"/>
        </w:tabs>
        <w:ind w:left="5040" w:hanging="360"/>
      </w:pPr>
    </w:lvl>
    <w:lvl w:ilvl="7" w:tplc="01FEED06" w:tentative="1">
      <w:start w:val="1"/>
      <w:numFmt w:val="decimal"/>
      <w:lvlText w:val="%8)"/>
      <w:lvlJc w:val="left"/>
      <w:pPr>
        <w:tabs>
          <w:tab w:val="num" w:pos="5760"/>
        </w:tabs>
        <w:ind w:left="5760" w:hanging="360"/>
      </w:pPr>
    </w:lvl>
    <w:lvl w:ilvl="8" w:tplc="A692CD32" w:tentative="1">
      <w:start w:val="1"/>
      <w:numFmt w:val="decimal"/>
      <w:lvlText w:val="%9)"/>
      <w:lvlJc w:val="left"/>
      <w:pPr>
        <w:tabs>
          <w:tab w:val="num" w:pos="6480"/>
        </w:tabs>
        <w:ind w:left="6480" w:hanging="360"/>
      </w:pPr>
    </w:lvl>
  </w:abstractNum>
  <w:abstractNum w:abstractNumId="2" w15:restartNumberingAfterBreak="0">
    <w:nsid w:val="4BC877EC"/>
    <w:multiLevelType w:val="hybridMultilevel"/>
    <w:tmpl w:val="84B0BA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BD5B9D"/>
    <w:multiLevelType w:val="hybridMultilevel"/>
    <w:tmpl w:val="DA3E35C4"/>
    <w:lvl w:ilvl="0" w:tplc="16CE2496">
      <w:start w:val="1"/>
      <w:numFmt w:val="decimal"/>
      <w:lvlText w:val="%1)"/>
      <w:lvlJc w:val="left"/>
      <w:pPr>
        <w:tabs>
          <w:tab w:val="num" w:pos="720"/>
        </w:tabs>
        <w:ind w:left="720" w:hanging="360"/>
      </w:pPr>
    </w:lvl>
    <w:lvl w:ilvl="1" w:tplc="09869C58" w:tentative="1">
      <w:start w:val="1"/>
      <w:numFmt w:val="decimal"/>
      <w:lvlText w:val="%2)"/>
      <w:lvlJc w:val="left"/>
      <w:pPr>
        <w:tabs>
          <w:tab w:val="num" w:pos="1440"/>
        </w:tabs>
        <w:ind w:left="1440" w:hanging="360"/>
      </w:pPr>
    </w:lvl>
    <w:lvl w:ilvl="2" w:tplc="68423A30" w:tentative="1">
      <w:start w:val="1"/>
      <w:numFmt w:val="decimal"/>
      <w:lvlText w:val="%3)"/>
      <w:lvlJc w:val="left"/>
      <w:pPr>
        <w:tabs>
          <w:tab w:val="num" w:pos="2160"/>
        </w:tabs>
        <w:ind w:left="2160" w:hanging="360"/>
      </w:pPr>
    </w:lvl>
    <w:lvl w:ilvl="3" w:tplc="9C18AF64" w:tentative="1">
      <w:start w:val="1"/>
      <w:numFmt w:val="decimal"/>
      <w:lvlText w:val="%4)"/>
      <w:lvlJc w:val="left"/>
      <w:pPr>
        <w:tabs>
          <w:tab w:val="num" w:pos="2880"/>
        </w:tabs>
        <w:ind w:left="2880" w:hanging="360"/>
      </w:pPr>
    </w:lvl>
    <w:lvl w:ilvl="4" w:tplc="1A0A69DC" w:tentative="1">
      <w:start w:val="1"/>
      <w:numFmt w:val="decimal"/>
      <w:lvlText w:val="%5)"/>
      <w:lvlJc w:val="left"/>
      <w:pPr>
        <w:tabs>
          <w:tab w:val="num" w:pos="3600"/>
        </w:tabs>
        <w:ind w:left="3600" w:hanging="360"/>
      </w:pPr>
    </w:lvl>
    <w:lvl w:ilvl="5" w:tplc="A71A14F4" w:tentative="1">
      <w:start w:val="1"/>
      <w:numFmt w:val="decimal"/>
      <w:lvlText w:val="%6)"/>
      <w:lvlJc w:val="left"/>
      <w:pPr>
        <w:tabs>
          <w:tab w:val="num" w:pos="4320"/>
        </w:tabs>
        <w:ind w:left="4320" w:hanging="360"/>
      </w:pPr>
    </w:lvl>
    <w:lvl w:ilvl="6" w:tplc="52A8690E" w:tentative="1">
      <w:start w:val="1"/>
      <w:numFmt w:val="decimal"/>
      <w:lvlText w:val="%7)"/>
      <w:lvlJc w:val="left"/>
      <w:pPr>
        <w:tabs>
          <w:tab w:val="num" w:pos="5040"/>
        </w:tabs>
        <w:ind w:left="5040" w:hanging="360"/>
      </w:pPr>
    </w:lvl>
    <w:lvl w:ilvl="7" w:tplc="98DA683C" w:tentative="1">
      <w:start w:val="1"/>
      <w:numFmt w:val="decimal"/>
      <w:lvlText w:val="%8)"/>
      <w:lvlJc w:val="left"/>
      <w:pPr>
        <w:tabs>
          <w:tab w:val="num" w:pos="5760"/>
        </w:tabs>
        <w:ind w:left="5760" w:hanging="360"/>
      </w:pPr>
    </w:lvl>
    <w:lvl w:ilvl="8" w:tplc="21924896" w:tentative="1">
      <w:start w:val="1"/>
      <w:numFmt w:val="decimal"/>
      <w:lvlText w:val="%9)"/>
      <w:lvlJc w:val="left"/>
      <w:pPr>
        <w:tabs>
          <w:tab w:val="num" w:pos="6480"/>
        </w:tabs>
        <w:ind w:left="6480" w:hanging="360"/>
      </w:pPr>
    </w:lvl>
  </w:abstractNum>
  <w:abstractNum w:abstractNumId="4" w15:restartNumberingAfterBreak="0">
    <w:nsid w:val="7EAA245D"/>
    <w:multiLevelType w:val="hybridMultilevel"/>
    <w:tmpl w:val="9D1CBC04"/>
    <w:lvl w:ilvl="0" w:tplc="9BDE29F6">
      <w:start w:val="1"/>
      <w:numFmt w:val="decimal"/>
      <w:lvlText w:val="%1)"/>
      <w:lvlJc w:val="left"/>
      <w:pPr>
        <w:tabs>
          <w:tab w:val="num" w:pos="720"/>
        </w:tabs>
        <w:ind w:left="720" w:hanging="360"/>
      </w:pPr>
    </w:lvl>
    <w:lvl w:ilvl="1" w:tplc="41749258" w:tentative="1">
      <w:start w:val="1"/>
      <w:numFmt w:val="decimal"/>
      <w:lvlText w:val="%2)"/>
      <w:lvlJc w:val="left"/>
      <w:pPr>
        <w:tabs>
          <w:tab w:val="num" w:pos="1440"/>
        </w:tabs>
        <w:ind w:left="1440" w:hanging="360"/>
      </w:pPr>
    </w:lvl>
    <w:lvl w:ilvl="2" w:tplc="D18206A4" w:tentative="1">
      <w:start w:val="1"/>
      <w:numFmt w:val="decimal"/>
      <w:lvlText w:val="%3)"/>
      <w:lvlJc w:val="left"/>
      <w:pPr>
        <w:tabs>
          <w:tab w:val="num" w:pos="2160"/>
        </w:tabs>
        <w:ind w:left="2160" w:hanging="360"/>
      </w:pPr>
    </w:lvl>
    <w:lvl w:ilvl="3" w:tplc="169252C6" w:tentative="1">
      <w:start w:val="1"/>
      <w:numFmt w:val="decimal"/>
      <w:lvlText w:val="%4)"/>
      <w:lvlJc w:val="left"/>
      <w:pPr>
        <w:tabs>
          <w:tab w:val="num" w:pos="2880"/>
        </w:tabs>
        <w:ind w:left="2880" w:hanging="360"/>
      </w:pPr>
    </w:lvl>
    <w:lvl w:ilvl="4" w:tplc="038EB9A4" w:tentative="1">
      <w:start w:val="1"/>
      <w:numFmt w:val="decimal"/>
      <w:lvlText w:val="%5)"/>
      <w:lvlJc w:val="left"/>
      <w:pPr>
        <w:tabs>
          <w:tab w:val="num" w:pos="3600"/>
        </w:tabs>
        <w:ind w:left="3600" w:hanging="360"/>
      </w:pPr>
    </w:lvl>
    <w:lvl w:ilvl="5" w:tplc="493865B0" w:tentative="1">
      <w:start w:val="1"/>
      <w:numFmt w:val="decimal"/>
      <w:lvlText w:val="%6)"/>
      <w:lvlJc w:val="left"/>
      <w:pPr>
        <w:tabs>
          <w:tab w:val="num" w:pos="4320"/>
        </w:tabs>
        <w:ind w:left="4320" w:hanging="360"/>
      </w:pPr>
    </w:lvl>
    <w:lvl w:ilvl="6" w:tplc="A4225334" w:tentative="1">
      <w:start w:val="1"/>
      <w:numFmt w:val="decimal"/>
      <w:lvlText w:val="%7)"/>
      <w:lvlJc w:val="left"/>
      <w:pPr>
        <w:tabs>
          <w:tab w:val="num" w:pos="5040"/>
        </w:tabs>
        <w:ind w:left="5040" w:hanging="360"/>
      </w:pPr>
    </w:lvl>
    <w:lvl w:ilvl="7" w:tplc="574456F4" w:tentative="1">
      <w:start w:val="1"/>
      <w:numFmt w:val="decimal"/>
      <w:lvlText w:val="%8)"/>
      <w:lvlJc w:val="left"/>
      <w:pPr>
        <w:tabs>
          <w:tab w:val="num" w:pos="5760"/>
        </w:tabs>
        <w:ind w:left="5760" w:hanging="360"/>
      </w:pPr>
    </w:lvl>
    <w:lvl w:ilvl="8" w:tplc="4D985460" w:tentative="1">
      <w:start w:val="1"/>
      <w:numFmt w:val="decimal"/>
      <w:lvlText w:val="%9)"/>
      <w:lvlJc w:val="left"/>
      <w:pPr>
        <w:tabs>
          <w:tab w:val="num" w:pos="6480"/>
        </w:tabs>
        <w:ind w:left="6480" w:hanging="360"/>
      </w:pPr>
    </w:lvl>
  </w:abstractNum>
  <w:num w:numId="1" w16cid:durableId="1213929311">
    <w:abstractNumId w:val="2"/>
  </w:num>
  <w:num w:numId="2" w16cid:durableId="431097466">
    <w:abstractNumId w:val="3"/>
  </w:num>
  <w:num w:numId="3" w16cid:durableId="1366906731">
    <w:abstractNumId w:val="1"/>
  </w:num>
  <w:num w:numId="4" w16cid:durableId="623197273">
    <w:abstractNumId w:val="4"/>
  </w:num>
  <w:num w:numId="5" w16cid:durableId="504439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D05"/>
    <w:rsid w:val="00013DE9"/>
    <w:rsid w:val="00022E1A"/>
    <w:rsid w:val="0006667C"/>
    <w:rsid w:val="00070B7B"/>
    <w:rsid w:val="000A0C24"/>
    <w:rsid w:val="000B5634"/>
    <w:rsid w:val="000D5002"/>
    <w:rsid w:val="000F5BFF"/>
    <w:rsid w:val="001508A4"/>
    <w:rsid w:val="0019555E"/>
    <w:rsid w:val="00196447"/>
    <w:rsid w:val="001A4E4F"/>
    <w:rsid w:val="002268E0"/>
    <w:rsid w:val="002310EA"/>
    <w:rsid w:val="00275899"/>
    <w:rsid w:val="00285230"/>
    <w:rsid w:val="002A5122"/>
    <w:rsid w:val="002D62F4"/>
    <w:rsid w:val="002E4967"/>
    <w:rsid w:val="00374179"/>
    <w:rsid w:val="00392B78"/>
    <w:rsid w:val="003A1D06"/>
    <w:rsid w:val="003B4435"/>
    <w:rsid w:val="003D0FCF"/>
    <w:rsid w:val="00424A15"/>
    <w:rsid w:val="004418F6"/>
    <w:rsid w:val="00456079"/>
    <w:rsid w:val="004912A5"/>
    <w:rsid w:val="004C3130"/>
    <w:rsid w:val="004C5AEB"/>
    <w:rsid w:val="004D643D"/>
    <w:rsid w:val="004E3721"/>
    <w:rsid w:val="005139A1"/>
    <w:rsid w:val="005A0F75"/>
    <w:rsid w:val="005A6D1E"/>
    <w:rsid w:val="005C1415"/>
    <w:rsid w:val="005E0398"/>
    <w:rsid w:val="006073A1"/>
    <w:rsid w:val="00630D05"/>
    <w:rsid w:val="0064216C"/>
    <w:rsid w:val="00687E29"/>
    <w:rsid w:val="00693776"/>
    <w:rsid w:val="0069642F"/>
    <w:rsid w:val="006B2B88"/>
    <w:rsid w:val="006F2ED3"/>
    <w:rsid w:val="00710A39"/>
    <w:rsid w:val="007167B8"/>
    <w:rsid w:val="007374E9"/>
    <w:rsid w:val="00745DA1"/>
    <w:rsid w:val="007770A7"/>
    <w:rsid w:val="007773EE"/>
    <w:rsid w:val="007A24D8"/>
    <w:rsid w:val="00811363"/>
    <w:rsid w:val="00817930"/>
    <w:rsid w:val="0087383C"/>
    <w:rsid w:val="008B2E98"/>
    <w:rsid w:val="008E6A1F"/>
    <w:rsid w:val="00900DC2"/>
    <w:rsid w:val="009A7F34"/>
    <w:rsid w:val="00A07D58"/>
    <w:rsid w:val="00A16312"/>
    <w:rsid w:val="00A360F9"/>
    <w:rsid w:val="00A63D23"/>
    <w:rsid w:val="00A66338"/>
    <w:rsid w:val="00A96C37"/>
    <w:rsid w:val="00AA7042"/>
    <w:rsid w:val="00AB3D8F"/>
    <w:rsid w:val="00AD7954"/>
    <w:rsid w:val="00AE4533"/>
    <w:rsid w:val="00AF708E"/>
    <w:rsid w:val="00B1726C"/>
    <w:rsid w:val="00B36073"/>
    <w:rsid w:val="00B6444A"/>
    <w:rsid w:val="00B82FB5"/>
    <w:rsid w:val="00BA2FC6"/>
    <w:rsid w:val="00BD2CBF"/>
    <w:rsid w:val="00C241D9"/>
    <w:rsid w:val="00C47BB6"/>
    <w:rsid w:val="00C57B33"/>
    <w:rsid w:val="00C61969"/>
    <w:rsid w:val="00CD1D6E"/>
    <w:rsid w:val="00D05295"/>
    <w:rsid w:val="00D36D70"/>
    <w:rsid w:val="00D53D58"/>
    <w:rsid w:val="00D77B89"/>
    <w:rsid w:val="00DA5628"/>
    <w:rsid w:val="00DA5723"/>
    <w:rsid w:val="00DB0CEB"/>
    <w:rsid w:val="00E10245"/>
    <w:rsid w:val="00E20E39"/>
    <w:rsid w:val="00E33F70"/>
    <w:rsid w:val="00E514FE"/>
    <w:rsid w:val="00E76B72"/>
    <w:rsid w:val="00E87837"/>
    <w:rsid w:val="00E95375"/>
    <w:rsid w:val="00ED06E8"/>
    <w:rsid w:val="00ED5A3C"/>
    <w:rsid w:val="00F74FC9"/>
    <w:rsid w:val="00FB5006"/>
    <w:rsid w:val="00FB70EB"/>
    <w:rsid w:val="00FC1CA8"/>
    <w:rsid w:val="00FD5A5B"/>
    <w:rsid w:val="00FD7E07"/>
    <w:rsid w:val="00FE1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5E46D"/>
  <w15:chartTrackingRefBased/>
  <w15:docId w15:val="{4CC02F51-17E5-4DC3-BE1F-B122C2520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CA8"/>
    <w:rPr>
      <w:rFonts w:ascii="Calibri" w:hAnsi="Calibri"/>
    </w:rPr>
  </w:style>
  <w:style w:type="paragraph" w:styleId="Heading1">
    <w:name w:val="heading 1"/>
    <w:basedOn w:val="Normal"/>
    <w:next w:val="Normal"/>
    <w:link w:val="Heading1Char"/>
    <w:uiPriority w:val="9"/>
    <w:qFormat/>
    <w:rsid w:val="00630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0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0D0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D0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30D0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30D0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30D0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30D0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30D0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D05"/>
    <w:rPr>
      <w:rFonts w:eastAsiaTheme="majorEastAsia" w:cstheme="majorBidi"/>
      <w:color w:val="272727" w:themeColor="text1" w:themeTint="D8"/>
    </w:rPr>
  </w:style>
  <w:style w:type="paragraph" w:styleId="Title">
    <w:name w:val="Title"/>
    <w:basedOn w:val="Normal"/>
    <w:next w:val="Normal"/>
    <w:link w:val="TitleChar"/>
    <w:uiPriority w:val="10"/>
    <w:qFormat/>
    <w:rsid w:val="00630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D0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D05"/>
    <w:pPr>
      <w:spacing w:before="160"/>
      <w:jc w:val="center"/>
    </w:pPr>
    <w:rPr>
      <w:i/>
      <w:iCs/>
      <w:color w:val="404040" w:themeColor="text1" w:themeTint="BF"/>
    </w:rPr>
  </w:style>
  <w:style w:type="character" w:customStyle="1" w:styleId="QuoteChar">
    <w:name w:val="Quote Char"/>
    <w:basedOn w:val="DefaultParagraphFont"/>
    <w:link w:val="Quote"/>
    <w:uiPriority w:val="29"/>
    <w:rsid w:val="00630D05"/>
    <w:rPr>
      <w:rFonts w:ascii="Calibri" w:hAnsi="Calibri"/>
      <w:i/>
      <w:iCs/>
      <w:color w:val="404040" w:themeColor="text1" w:themeTint="BF"/>
    </w:rPr>
  </w:style>
  <w:style w:type="paragraph" w:styleId="ListParagraph">
    <w:name w:val="List Paragraph"/>
    <w:basedOn w:val="Normal"/>
    <w:uiPriority w:val="34"/>
    <w:qFormat/>
    <w:rsid w:val="00630D05"/>
    <w:pPr>
      <w:ind w:left="720"/>
      <w:contextualSpacing/>
    </w:pPr>
  </w:style>
  <w:style w:type="character" w:styleId="IntenseEmphasis">
    <w:name w:val="Intense Emphasis"/>
    <w:basedOn w:val="DefaultParagraphFont"/>
    <w:uiPriority w:val="21"/>
    <w:qFormat/>
    <w:rsid w:val="00630D05"/>
    <w:rPr>
      <w:i/>
      <w:iCs/>
      <w:color w:val="0F4761" w:themeColor="accent1" w:themeShade="BF"/>
    </w:rPr>
  </w:style>
  <w:style w:type="paragraph" w:styleId="IntenseQuote">
    <w:name w:val="Intense Quote"/>
    <w:basedOn w:val="Normal"/>
    <w:next w:val="Normal"/>
    <w:link w:val="IntenseQuoteChar"/>
    <w:uiPriority w:val="30"/>
    <w:qFormat/>
    <w:rsid w:val="00630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D05"/>
    <w:rPr>
      <w:rFonts w:ascii="Calibri" w:hAnsi="Calibri"/>
      <w:i/>
      <w:iCs/>
      <w:color w:val="0F4761" w:themeColor="accent1" w:themeShade="BF"/>
    </w:rPr>
  </w:style>
  <w:style w:type="character" w:styleId="IntenseReference">
    <w:name w:val="Intense Reference"/>
    <w:basedOn w:val="DefaultParagraphFont"/>
    <w:uiPriority w:val="32"/>
    <w:qFormat/>
    <w:rsid w:val="00630D05"/>
    <w:rPr>
      <w:b/>
      <w:bCs/>
      <w:smallCaps/>
      <w:color w:val="0F4761" w:themeColor="accent1" w:themeShade="BF"/>
      <w:spacing w:val="5"/>
    </w:rPr>
  </w:style>
  <w:style w:type="paragraph" w:styleId="Header">
    <w:name w:val="header"/>
    <w:basedOn w:val="Normal"/>
    <w:link w:val="HeaderChar"/>
    <w:uiPriority w:val="99"/>
    <w:unhideWhenUsed/>
    <w:rsid w:val="00630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D05"/>
    <w:rPr>
      <w:rFonts w:ascii="Calibri" w:hAnsi="Calibri"/>
    </w:rPr>
  </w:style>
  <w:style w:type="paragraph" w:styleId="Footer">
    <w:name w:val="footer"/>
    <w:basedOn w:val="Normal"/>
    <w:link w:val="FooterChar"/>
    <w:uiPriority w:val="99"/>
    <w:unhideWhenUsed/>
    <w:rsid w:val="00630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D05"/>
    <w:rPr>
      <w:rFonts w:ascii="Calibri" w:hAnsi="Calibri"/>
    </w:rPr>
  </w:style>
  <w:style w:type="paragraph" w:styleId="FootnoteText">
    <w:name w:val="footnote text"/>
    <w:basedOn w:val="Normal"/>
    <w:link w:val="FootnoteTextChar"/>
    <w:uiPriority w:val="99"/>
    <w:unhideWhenUsed/>
    <w:rsid w:val="00811363"/>
    <w:pPr>
      <w:spacing w:after="0" w:line="240" w:lineRule="auto"/>
    </w:pPr>
    <w:rPr>
      <w:sz w:val="20"/>
      <w:szCs w:val="20"/>
    </w:rPr>
  </w:style>
  <w:style w:type="character" w:customStyle="1" w:styleId="FootnoteTextChar">
    <w:name w:val="Footnote Text Char"/>
    <w:basedOn w:val="DefaultParagraphFont"/>
    <w:link w:val="FootnoteText"/>
    <w:uiPriority w:val="99"/>
    <w:rsid w:val="00811363"/>
    <w:rPr>
      <w:rFonts w:ascii="Calibri" w:hAnsi="Calibri"/>
      <w:sz w:val="20"/>
      <w:szCs w:val="20"/>
    </w:rPr>
  </w:style>
  <w:style w:type="character" w:styleId="FootnoteReference">
    <w:name w:val="footnote reference"/>
    <w:basedOn w:val="DefaultParagraphFont"/>
    <w:uiPriority w:val="99"/>
    <w:semiHidden/>
    <w:unhideWhenUsed/>
    <w:rsid w:val="00811363"/>
    <w:rPr>
      <w:vertAlign w:val="superscript"/>
    </w:rPr>
  </w:style>
  <w:style w:type="character" w:styleId="Hyperlink">
    <w:name w:val="Hyperlink"/>
    <w:basedOn w:val="DefaultParagraphFont"/>
    <w:uiPriority w:val="99"/>
    <w:unhideWhenUsed/>
    <w:rsid w:val="007374E9"/>
    <w:rPr>
      <w:color w:val="467886" w:themeColor="hyperlink"/>
      <w:u w:val="single"/>
    </w:rPr>
  </w:style>
  <w:style w:type="character" w:styleId="UnresolvedMention">
    <w:name w:val="Unresolved Mention"/>
    <w:basedOn w:val="DefaultParagraphFont"/>
    <w:uiPriority w:val="99"/>
    <w:semiHidden/>
    <w:unhideWhenUsed/>
    <w:rsid w:val="007374E9"/>
    <w:rPr>
      <w:color w:val="605E5C"/>
      <w:shd w:val="clear" w:color="auto" w:fill="E1DFDD"/>
    </w:rPr>
  </w:style>
  <w:style w:type="paragraph" w:styleId="NormalWeb">
    <w:name w:val="Normal (Web)"/>
    <w:basedOn w:val="Normal"/>
    <w:uiPriority w:val="99"/>
    <w:semiHidden/>
    <w:unhideWhenUsed/>
    <w:rsid w:val="00013D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28523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10385">
      <w:bodyDiv w:val="1"/>
      <w:marLeft w:val="0"/>
      <w:marRight w:val="0"/>
      <w:marTop w:val="0"/>
      <w:marBottom w:val="0"/>
      <w:divBdr>
        <w:top w:val="none" w:sz="0" w:space="0" w:color="auto"/>
        <w:left w:val="none" w:sz="0" w:space="0" w:color="auto"/>
        <w:bottom w:val="none" w:sz="0" w:space="0" w:color="auto"/>
        <w:right w:val="none" w:sz="0" w:space="0" w:color="auto"/>
      </w:divBdr>
      <w:divsChild>
        <w:div w:id="2005739530">
          <w:marLeft w:val="806"/>
          <w:marRight w:val="0"/>
          <w:marTop w:val="200"/>
          <w:marBottom w:val="0"/>
          <w:divBdr>
            <w:top w:val="none" w:sz="0" w:space="0" w:color="auto"/>
            <w:left w:val="none" w:sz="0" w:space="0" w:color="auto"/>
            <w:bottom w:val="none" w:sz="0" w:space="0" w:color="auto"/>
            <w:right w:val="none" w:sz="0" w:space="0" w:color="auto"/>
          </w:divBdr>
        </w:div>
      </w:divsChild>
    </w:div>
    <w:div w:id="232012758">
      <w:bodyDiv w:val="1"/>
      <w:marLeft w:val="0"/>
      <w:marRight w:val="0"/>
      <w:marTop w:val="0"/>
      <w:marBottom w:val="0"/>
      <w:divBdr>
        <w:top w:val="none" w:sz="0" w:space="0" w:color="auto"/>
        <w:left w:val="none" w:sz="0" w:space="0" w:color="auto"/>
        <w:bottom w:val="none" w:sz="0" w:space="0" w:color="auto"/>
        <w:right w:val="none" w:sz="0" w:space="0" w:color="auto"/>
      </w:divBdr>
    </w:div>
    <w:div w:id="281766310">
      <w:bodyDiv w:val="1"/>
      <w:marLeft w:val="0"/>
      <w:marRight w:val="0"/>
      <w:marTop w:val="0"/>
      <w:marBottom w:val="0"/>
      <w:divBdr>
        <w:top w:val="none" w:sz="0" w:space="0" w:color="auto"/>
        <w:left w:val="none" w:sz="0" w:space="0" w:color="auto"/>
        <w:bottom w:val="none" w:sz="0" w:space="0" w:color="auto"/>
        <w:right w:val="none" w:sz="0" w:space="0" w:color="auto"/>
      </w:divBdr>
    </w:div>
    <w:div w:id="775949732">
      <w:bodyDiv w:val="1"/>
      <w:marLeft w:val="0"/>
      <w:marRight w:val="0"/>
      <w:marTop w:val="0"/>
      <w:marBottom w:val="0"/>
      <w:divBdr>
        <w:top w:val="none" w:sz="0" w:space="0" w:color="auto"/>
        <w:left w:val="none" w:sz="0" w:space="0" w:color="auto"/>
        <w:bottom w:val="none" w:sz="0" w:space="0" w:color="auto"/>
        <w:right w:val="none" w:sz="0" w:space="0" w:color="auto"/>
      </w:divBdr>
    </w:div>
    <w:div w:id="835805318">
      <w:bodyDiv w:val="1"/>
      <w:marLeft w:val="0"/>
      <w:marRight w:val="0"/>
      <w:marTop w:val="0"/>
      <w:marBottom w:val="0"/>
      <w:divBdr>
        <w:top w:val="none" w:sz="0" w:space="0" w:color="auto"/>
        <w:left w:val="none" w:sz="0" w:space="0" w:color="auto"/>
        <w:bottom w:val="none" w:sz="0" w:space="0" w:color="auto"/>
        <w:right w:val="none" w:sz="0" w:space="0" w:color="auto"/>
      </w:divBdr>
      <w:divsChild>
        <w:div w:id="510071567">
          <w:marLeft w:val="0"/>
          <w:marRight w:val="0"/>
          <w:marTop w:val="0"/>
          <w:marBottom w:val="0"/>
          <w:divBdr>
            <w:top w:val="none" w:sz="0" w:space="0" w:color="auto"/>
            <w:left w:val="none" w:sz="0" w:space="0" w:color="auto"/>
            <w:bottom w:val="none" w:sz="0" w:space="0" w:color="auto"/>
            <w:right w:val="none" w:sz="0" w:space="0" w:color="auto"/>
          </w:divBdr>
        </w:div>
      </w:divsChild>
    </w:div>
    <w:div w:id="868223399">
      <w:bodyDiv w:val="1"/>
      <w:marLeft w:val="0"/>
      <w:marRight w:val="0"/>
      <w:marTop w:val="0"/>
      <w:marBottom w:val="0"/>
      <w:divBdr>
        <w:top w:val="none" w:sz="0" w:space="0" w:color="auto"/>
        <w:left w:val="none" w:sz="0" w:space="0" w:color="auto"/>
        <w:bottom w:val="none" w:sz="0" w:space="0" w:color="auto"/>
        <w:right w:val="none" w:sz="0" w:space="0" w:color="auto"/>
      </w:divBdr>
      <w:divsChild>
        <w:div w:id="1073237736">
          <w:marLeft w:val="806"/>
          <w:marRight w:val="0"/>
          <w:marTop w:val="200"/>
          <w:marBottom w:val="0"/>
          <w:divBdr>
            <w:top w:val="none" w:sz="0" w:space="0" w:color="auto"/>
            <w:left w:val="none" w:sz="0" w:space="0" w:color="auto"/>
            <w:bottom w:val="none" w:sz="0" w:space="0" w:color="auto"/>
            <w:right w:val="none" w:sz="0" w:space="0" w:color="auto"/>
          </w:divBdr>
        </w:div>
      </w:divsChild>
    </w:div>
    <w:div w:id="959729004">
      <w:bodyDiv w:val="1"/>
      <w:marLeft w:val="0"/>
      <w:marRight w:val="0"/>
      <w:marTop w:val="0"/>
      <w:marBottom w:val="0"/>
      <w:divBdr>
        <w:top w:val="none" w:sz="0" w:space="0" w:color="auto"/>
        <w:left w:val="none" w:sz="0" w:space="0" w:color="auto"/>
        <w:bottom w:val="none" w:sz="0" w:space="0" w:color="auto"/>
        <w:right w:val="none" w:sz="0" w:space="0" w:color="auto"/>
      </w:divBdr>
    </w:div>
    <w:div w:id="963384317">
      <w:bodyDiv w:val="1"/>
      <w:marLeft w:val="0"/>
      <w:marRight w:val="0"/>
      <w:marTop w:val="0"/>
      <w:marBottom w:val="0"/>
      <w:divBdr>
        <w:top w:val="none" w:sz="0" w:space="0" w:color="auto"/>
        <w:left w:val="none" w:sz="0" w:space="0" w:color="auto"/>
        <w:bottom w:val="none" w:sz="0" w:space="0" w:color="auto"/>
        <w:right w:val="none" w:sz="0" w:space="0" w:color="auto"/>
      </w:divBdr>
    </w:div>
    <w:div w:id="1181167620">
      <w:bodyDiv w:val="1"/>
      <w:marLeft w:val="0"/>
      <w:marRight w:val="0"/>
      <w:marTop w:val="0"/>
      <w:marBottom w:val="0"/>
      <w:divBdr>
        <w:top w:val="none" w:sz="0" w:space="0" w:color="auto"/>
        <w:left w:val="none" w:sz="0" w:space="0" w:color="auto"/>
        <w:bottom w:val="none" w:sz="0" w:space="0" w:color="auto"/>
        <w:right w:val="none" w:sz="0" w:space="0" w:color="auto"/>
      </w:divBdr>
    </w:div>
    <w:div w:id="1216745171">
      <w:bodyDiv w:val="1"/>
      <w:marLeft w:val="0"/>
      <w:marRight w:val="0"/>
      <w:marTop w:val="0"/>
      <w:marBottom w:val="0"/>
      <w:divBdr>
        <w:top w:val="none" w:sz="0" w:space="0" w:color="auto"/>
        <w:left w:val="none" w:sz="0" w:space="0" w:color="auto"/>
        <w:bottom w:val="none" w:sz="0" w:space="0" w:color="auto"/>
        <w:right w:val="none" w:sz="0" w:space="0" w:color="auto"/>
      </w:divBdr>
    </w:div>
    <w:div w:id="1222326899">
      <w:bodyDiv w:val="1"/>
      <w:marLeft w:val="0"/>
      <w:marRight w:val="0"/>
      <w:marTop w:val="0"/>
      <w:marBottom w:val="0"/>
      <w:divBdr>
        <w:top w:val="none" w:sz="0" w:space="0" w:color="auto"/>
        <w:left w:val="none" w:sz="0" w:space="0" w:color="auto"/>
        <w:bottom w:val="none" w:sz="0" w:space="0" w:color="auto"/>
        <w:right w:val="none" w:sz="0" w:space="0" w:color="auto"/>
      </w:divBdr>
      <w:divsChild>
        <w:div w:id="610865799">
          <w:marLeft w:val="0"/>
          <w:marRight w:val="0"/>
          <w:marTop w:val="0"/>
          <w:marBottom w:val="0"/>
          <w:divBdr>
            <w:top w:val="none" w:sz="0" w:space="0" w:color="auto"/>
            <w:left w:val="none" w:sz="0" w:space="0" w:color="auto"/>
            <w:bottom w:val="none" w:sz="0" w:space="0" w:color="auto"/>
            <w:right w:val="none" w:sz="0" w:space="0" w:color="auto"/>
          </w:divBdr>
        </w:div>
      </w:divsChild>
    </w:div>
    <w:div w:id="1265069309">
      <w:bodyDiv w:val="1"/>
      <w:marLeft w:val="0"/>
      <w:marRight w:val="0"/>
      <w:marTop w:val="0"/>
      <w:marBottom w:val="0"/>
      <w:divBdr>
        <w:top w:val="none" w:sz="0" w:space="0" w:color="auto"/>
        <w:left w:val="none" w:sz="0" w:space="0" w:color="auto"/>
        <w:bottom w:val="none" w:sz="0" w:space="0" w:color="auto"/>
        <w:right w:val="none" w:sz="0" w:space="0" w:color="auto"/>
      </w:divBdr>
    </w:div>
    <w:div w:id="1312560585">
      <w:bodyDiv w:val="1"/>
      <w:marLeft w:val="0"/>
      <w:marRight w:val="0"/>
      <w:marTop w:val="0"/>
      <w:marBottom w:val="0"/>
      <w:divBdr>
        <w:top w:val="none" w:sz="0" w:space="0" w:color="auto"/>
        <w:left w:val="none" w:sz="0" w:space="0" w:color="auto"/>
        <w:bottom w:val="none" w:sz="0" w:space="0" w:color="auto"/>
        <w:right w:val="none" w:sz="0" w:space="0" w:color="auto"/>
      </w:divBdr>
    </w:div>
    <w:div w:id="1332485500">
      <w:bodyDiv w:val="1"/>
      <w:marLeft w:val="0"/>
      <w:marRight w:val="0"/>
      <w:marTop w:val="0"/>
      <w:marBottom w:val="0"/>
      <w:divBdr>
        <w:top w:val="none" w:sz="0" w:space="0" w:color="auto"/>
        <w:left w:val="none" w:sz="0" w:space="0" w:color="auto"/>
        <w:bottom w:val="none" w:sz="0" w:space="0" w:color="auto"/>
        <w:right w:val="none" w:sz="0" w:space="0" w:color="auto"/>
      </w:divBdr>
    </w:div>
    <w:div w:id="1350988655">
      <w:bodyDiv w:val="1"/>
      <w:marLeft w:val="0"/>
      <w:marRight w:val="0"/>
      <w:marTop w:val="0"/>
      <w:marBottom w:val="0"/>
      <w:divBdr>
        <w:top w:val="none" w:sz="0" w:space="0" w:color="auto"/>
        <w:left w:val="none" w:sz="0" w:space="0" w:color="auto"/>
        <w:bottom w:val="none" w:sz="0" w:space="0" w:color="auto"/>
        <w:right w:val="none" w:sz="0" w:space="0" w:color="auto"/>
      </w:divBdr>
      <w:divsChild>
        <w:div w:id="1991980371">
          <w:marLeft w:val="806"/>
          <w:marRight w:val="0"/>
          <w:marTop w:val="200"/>
          <w:marBottom w:val="0"/>
          <w:divBdr>
            <w:top w:val="none" w:sz="0" w:space="0" w:color="auto"/>
            <w:left w:val="none" w:sz="0" w:space="0" w:color="auto"/>
            <w:bottom w:val="none" w:sz="0" w:space="0" w:color="auto"/>
            <w:right w:val="none" w:sz="0" w:space="0" w:color="auto"/>
          </w:divBdr>
        </w:div>
      </w:divsChild>
    </w:div>
    <w:div w:id="1559512950">
      <w:bodyDiv w:val="1"/>
      <w:marLeft w:val="0"/>
      <w:marRight w:val="0"/>
      <w:marTop w:val="0"/>
      <w:marBottom w:val="0"/>
      <w:divBdr>
        <w:top w:val="none" w:sz="0" w:space="0" w:color="auto"/>
        <w:left w:val="none" w:sz="0" w:space="0" w:color="auto"/>
        <w:bottom w:val="none" w:sz="0" w:space="0" w:color="auto"/>
        <w:right w:val="none" w:sz="0" w:space="0" w:color="auto"/>
      </w:divBdr>
    </w:div>
    <w:div w:id="1586918349">
      <w:bodyDiv w:val="1"/>
      <w:marLeft w:val="0"/>
      <w:marRight w:val="0"/>
      <w:marTop w:val="0"/>
      <w:marBottom w:val="0"/>
      <w:divBdr>
        <w:top w:val="none" w:sz="0" w:space="0" w:color="auto"/>
        <w:left w:val="none" w:sz="0" w:space="0" w:color="auto"/>
        <w:bottom w:val="none" w:sz="0" w:space="0" w:color="auto"/>
        <w:right w:val="none" w:sz="0" w:space="0" w:color="auto"/>
      </w:divBdr>
    </w:div>
    <w:div w:id="1636526788">
      <w:bodyDiv w:val="1"/>
      <w:marLeft w:val="0"/>
      <w:marRight w:val="0"/>
      <w:marTop w:val="0"/>
      <w:marBottom w:val="0"/>
      <w:divBdr>
        <w:top w:val="none" w:sz="0" w:space="0" w:color="auto"/>
        <w:left w:val="none" w:sz="0" w:space="0" w:color="auto"/>
        <w:bottom w:val="none" w:sz="0" w:space="0" w:color="auto"/>
        <w:right w:val="none" w:sz="0" w:space="0" w:color="auto"/>
      </w:divBdr>
    </w:div>
    <w:div w:id="1695690933">
      <w:bodyDiv w:val="1"/>
      <w:marLeft w:val="0"/>
      <w:marRight w:val="0"/>
      <w:marTop w:val="0"/>
      <w:marBottom w:val="0"/>
      <w:divBdr>
        <w:top w:val="none" w:sz="0" w:space="0" w:color="auto"/>
        <w:left w:val="none" w:sz="0" w:space="0" w:color="auto"/>
        <w:bottom w:val="none" w:sz="0" w:space="0" w:color="auto"/>
        <w:right w:val="none" w:sz="0" w:space="0" w:color="auto"/>
      </w:divBdr>
    </w:div>
    <w:div w:id="1765564072">
      <w:bodyDiv w:val="1"/>
      <w:marLeft w:val="0"/>
      <w:marRight w:val="0"/>
      <w:marTop w:val="0"/>
      <w:marBottom w:val="0"/>
      <w:divBdr>
        <w:top w:val="none" w:sz="0" w:space="0" w:color="auto"/>
        <w:left w:val="none" w:sz="0" w:space="0" w:color="auto"/>
        <w:bottom w:val="none" w:sz="0" w:space="0" w:color="auto"/>
        <w:right w:val="none" w:sz="0" w:space="0" w:color="auto"/>
      </w:divBdr>
      <w:divsChild>
        <w:div w:id="1497844394">
          <w:marLeft w:val="806"/>
          <w:marRight w:val="0"/>
          <w:marTop w:val="200"/>
          <w:marBottom w:val="0"/>
          <w:divBdr>
            <w:top w:val="none" w:sz="0" w:space="0" w:color="auto"/>
            <w:left w:val="none" w:sz="0" w:space="0" w:color="auto"/>
            <w:bottom w:val="none" w:sz="0" w:space="0" w:color="auto"/>
            <w:right w:val="none" w:sz="0" w:space="0" w:color="auto"/>
          </w:divBdr>
        </w:div>
      </w:divsChild>
    </w:div>
    <w:div w:id="1934246117">
      <w:bodyDiv w:val="1"/>
      <w:marLeft w:val="0"/>
      <w:marRight w:val="0"/>
      <w:marTop w:val="0"/>
      <w:marBottom w:val="0"/>
      <w:divBdr>
        <w:top w:val="none" w:sz="0" w:space="0" w:color="auto"/>
        <w:left w:val="none" w:sz="0" w:space="0" w:color="auto"/>
        <w:bottom w:val="none" w:sz="0" w:space="0" w:color="auto"/>
        <w:right w:val="none" w:sz="0" w:space="0" w:color="auto"/>
      </w:divBdr>
    </w:div>
    <w:div w:id="204328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rticles/c5y41z4351qo" TargetMode="External"/><Relationship Id="rId13" Type="http://schemas.openxmlformats.org/officeDocument/2006/relationships/hyperlink" Target="https://www.un.org/en/our-wo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opean-union.europa.eu/principles-countries-history/facts-and-figures-european-union_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onofhumanity.org/map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urworldindata.org/the-global-terrorism-database-how-do-researchers-measure-terrorism" TargetMode="External"/><Relationship Id="rId4" Type="http://schemas.openxmlformats.org/officeDocument/2006/relationships/settings" Target="settings.xml"/><Relationship Id="rId9" Type="http://schemas.openxmlformats.org/officeDocument/2006/relationships/hyperlink" Target="https://www.dailymail.co.uk/news/article-14631703/Canadas-PM-vows-boost-military-spending-protect-against-Americas-threats-sovereignty.html" TargetMode="External"/><Relationship Id="rId14" Type="http://schemas.openxmlformats.org/officeDocument/2006/relationships/hyperlink" Target="https://web-s-ebscohost-com.ezproxy.uwtsd.ac.uk/ehost/detail/detail?vid=2&amp;sid=2ef0b4d2-f959-4102-89ef-23180ca4b791%40redis&amp;bdata=JnNpdGU9ZWhvc3QtbGl2ZQ%3d%3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ailymail.co.uk/news/article-14631703/Canadas-PM-vows-boost-military-spending-protect-against-Americas-threats-sovereignty.html" TargetMode="External"/><Relationship Id="rId7" Type="http://schemas.openxmlformats.org/officeDocument/2006/relationships/hyperlink" Target="https://web-s-ebscohost-com.ezproxy.uwtsd.ac.uk/ehost/detail/detail?vid=2&amp;sid=2ef0b4d2-f959-4102-89ef-23180ca4b791%40redis&amp;bdata=JnNpdGU9ZWhvc3QtbGl2ZQ%3d%3d" TargetMode="External"/><Relationship Id="rId2" Type="http://schemas.openxmlformats.org/officeDocument/2006/relationships/hyperlink" Target="https://www.bbc.co.uk/news/articles/c5y41z4351qo" TargetMode="External"/><Relationship Id="rId1" Type="http://schemas.openxmlformats.org/officeDocument/2006/relationships/hyperlink" Target="https://www.visionofhumanity.org/maps/" TargetMode="External"/><Relationship Id="rId6" Type="http://schemas.openxmlformats.org/officeDocument/2006/relationships/hyperlink" Target="https://european-union.europa.eu/principles-countries-history/facts-and-figures-european-union_en" TargetMode="External"/><Relationship Id="rId5" Type="http://schemas.openxmlformats.org/officeDocument/2006/relationships/hyperlink" Target="https://www.un.org/en/our-work" TargetMode="External"/><Relationship Id="rId4" Type="http://schemas.openxmlformats.org/officeDocument/2006/relationships/hyperlink" Target="https://ourworldindata.org/the-global-terrorism-database-how-do-researchers-measure-terro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25807-7373-4FCD-8CD0-AE0FD885C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20</cp:revision>
  <cp:lastPrinted>2025-05-04T10:48:00Z</cp:lastPrinted>
  <dcterms:created xsi:type="dcterms:W3CDTF">2025-04-21T14:35:00Z</dcterms:created>
  <dcterms:modified xsi:type="dcterms:W3CDTF">2025-05-04T17:06:00Z</dcterms:modified>
</cp:coreProperties>
</file>