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F3184" w14:textId="53D9745A" w:rsidR="00F30EE8" w:rsidRDefault="00F30EE8" w:rsidP="00667D1A">
      <w:pPr>
        <w:jc w:val="center"/>
        <w:rPr>
          <w:noProof/>
        </w:rPr>
      </w:pPr>
    </w:p>
    <w:p w14:paraId="49DC3FAC" w14:textId="77777777" w:rsidR="00667D1A" w:rsidRDefault="00667D1A" w:rsidP="00667D1A">
      <w:pPr>
        <w:jc w:val="center"/>
        <w:rPr>
          <w:noProof/>
        </w:rPr>
      </w:pPr>
    </w:p>
    <w:p w14:paraId="4E8B2ABA" w14:textId="77777777" w:rsidR="00667D1A" w:rsidRDefault="00667D1A" w:rsidP="00667D1A">
      <w:pPr>
        <w:jc w:val="center"/>
        <w:rPr>
          <w:noProof/>
        </w:rPr>
      </w:pPr>
    </w:p>
    <w:p w14:paraId="453ECA53" w14:textId="77777777" w:rsidR="00667D1A" w:rsidRDefault="00667D1A" w:rsidP="00667D1A">
      <w:pPr>
        <w:jc w:val="center"/>
        <w:rPr>
          <w:noProof/>
        </w:rPr>
      </w:pPr>
    </w:p>
    <w:p w14:paraId="2181F9A6" w14:textId="77777777" w:rsidR="00667D1A" w:rsidRDefault="00667D1A" w:rsidP="00667D1A">
      <w:pPr>
        <w:jc w:val="center"/>
        <w:rPr>
          <w:noProof/>
        </w:rPr>
      </w:pPr>
    </w:p>
    <w:p w14:paraId="196D30D6" w14:textId="77777777" w:rsidR="00667D1A" w:rsidRDefault="00667D1A" w:rsidP="00667D1A">
      <w:pPr>
        <w:jc w:val="center"/>
        <w:rPr>
          <w:noProof/>
        </w:rPr>
      </w:pPr>
    </w:p>
    <w:p w14:paraId="03B5CC07" w14:textId="77777777" w:rsidR="00667D1A" w:rsidRDefault="00667D1A" w:rsidP="00667D1A">
      <w:pPr>
        <w:jc w:val="center"/>
        <w:rPr>
          <w:noProof/>
        </w:rPr>
      </w:pPr>
    </w:p>
    <w:p w14:paraId="4E13A6EE" w14:textId="77777777" w:rsidR="00667D1A" w:rsidRDefault="00667D1A" w:rsidP="00667D1A">
      <w:pPr>
        <w:jc w:val="center"/>
        <w:rPr>
          <w:noProof/>
        </w:rPr>
      </w:pPr>
    </w:p>
    <w:p w14:paraId="575470C4" w14:textId="77777777" w:rsidR="00667D1A" w:rsidRDefault="00667D1A" w:rsidP="00667D1A">
      <w:pPr>
        <w:jc w:val="center"/>
        <w:rPr>
          <w:noProof/>
        </w:rPr>
      </w:pPr>
    </w:p>
    <w:p w14:paraId="37248DAB" w14:textId="77777777" w:rsidR="00667D1A" w:rsidRDefault="00667D1A" w:rsidP="00667D1A">
      <w:pPr>
        <w:jc w:val="center"/>
        <w:rPr>
          <w:noProof/>
        </w:rPr>
      </w:pPr>
    </w:p>
    <w:p w14:paraId="2635B856" w14:textId="77777777" w:rsidR="00667D1A" w:rsidRDefault="00667D1A" w:rsidP="00667D1A">
      <w:pPr>
        <w:jc w:val="center"/>
        <w:rPr>
          <w:noProof/>
        </w:rPr>
      </w:pPr>
    </w:p>
    <w:p w14:paraId="760FA600" w14:textId="77777777" w:rsidR="00667D1A" w:rsidRDefault="00667D1A" w:rsidP="008B474D">
      <w:pPr>
        <w:rPr>
          <w:noProof/>
        </w:rPr>
      </w:pPr>
    </w:p>
    <w:p w14:paraId="72918181" w14:textId="77777777" w:rsidR="00667D1A" w:rsidRDefault="00667D1A" w:rsidP="00667D1A">
      <w:pPr>
        <w:jc w:val="center"/>
        <w:rPr>
          <w:noProof/>
        </w:rPr>
      </w:pPr>
    </w:p>
    <w:p w14:paraId="080F1C43" w14:textId="611C5C8F" w:rsidR="00667D1A" w:rsidRPr="00667D1A" w:rsidRDefault="00667D1A" w:rsidP="00667D1A">
      <w:pPr>
        <w:spacing w:after="0"/>
        <w:jc w:val="center"/>
        <w:rPr>
          <w:rFonts w:ascii="Arial" w:hAnsi="Arial" w:cs="Arial"/>
          <w:noProof/>
        </w:rPr>
      </w:pPr>
      <w:r w:rsidRPr="00667D1A">
        <w:rPr>
          <w:rFonts w:ascii="Arial" w:hAnsi="Arial" w:cs="Arial"/>
          <w:noProof/>
        </w:rPr>
        <w:t>LCHS4003</w:t>
      </w:r>
      <w:r w:rsidRPr="00667D1A">
        <w:rPr>
          <w:rFonts w:ascii="Arial" w:hAnsi="Arial" w:cs="Arial"/>
          <w:noProof/>
        </w:rPr>
        <w:t xml:space="preserve"> </w:t>
      </w:r>
      <w:r w:rsidRPr="00667D1A">
        <w:rPr>
          <w:rFonts w:ascii="Arial" w:eastAsia="Times New Roman" w:hAnsi="Arial" w:cs="Arial"/>
          <w:kern w:val="0"/>
          <w:lang w:eastAsia="en-GB"/>
          <w14:ligatures w14:val="none"/>
        </w:rPr>
        <w:t>Introduction to Health and Social Care</w:t>
      </w:r>
    </w:p>
    <w:p w14:paraId="3D5936E5" w14:textId="77777777" w:rsidR="00667D1A" w:rsidRPr="00667D1A" w:rsidRDefault="00667D1A" w:rsidP="00667D1A">
      <w:pPr>
        <w:jc w:val="center"/>
        <w:rPr>
          <w:rFonts w:ascii="Arial" w:hAnsi="Arial" w:cs="Arial"/>
          <w:noProof/>
        </w:rPr>
      </w:pPr>
      <w:r w:rsidRPr="00667D1A">
        <w:rPr>
          <w:rFonts w:ascii="Arial" w:hAnsi="Arial" w:cs="Arial"/>
        </w:rPr>
        <w:t>Portfolio – Two Tasks</w:t>
      </w:r>
      <w:r w:rsidRPr="00667D1A">
        <w:rPr>
          <w:rFonts w:ascii="Arial" w:hAnsi="Arial" w:cs="Arial"/>
        </w:rPr>
        <w:br/>
      </w:r>
      <w:r w:rsidRPr="00667D1A">
        <w:rPr>
          <w:rFonts w:ascii="Arial" w:hAnsi="Arial" w:cs="Arial"/>
          <w:noProof/>
        </w:rPr>
        <w:t>Dr Helen Parsons</w:t>
      </w:r>
    </w:p>
    <w:p w14:paraId="18BFCF92" w14:textId="17268F6E" w:rsidR="00667D1A" w:rsidRPr="00667D1A" w:rsidRDefault="00667D1A" w:rsidP="00667D1A">
      <w:pPr>
        <w:spacing w:after="0"/>
        <w:jc w:val="center"/>
        <w:rPr>
          <w:rFonts w:ascii="Arial" w:hAnsi="Arial" w:cs="Arial"/>
          <w:noProof/>
        </w:rPr>
      </w:pPr>
      <w:r w:rsidRPr="00667D1A">
        <w:rPr>
          <w:rFonts w:ascii="Arial" w:hAnsi="Arial" w:cs="Arial"/>
          <w:noProof/>
        </w:rPr>
        <w:t>Najma Mir</w:t>
      </w:r>
    </w:p>
    <w:p w14:paraId="118AD887" w14:textId="77777777" w:rsidR="00667D1A" w:rsidRPr="00667D1A" w:rsidRDefault="00667D1A" w:rsidP="00667D1A">
      <w:pPr>
        <w:spacing w:after="0"/>
        <w:jc w:val="center"/>
        <w:rPr>
          <w:rFonts w:ascii="Arial" w:hAnsi="Arial" w:cs="Arial"/>
          <w:noProof/>
        </w:rPr>
      </w:pPr>
      <w:r w:rsidRPr="00667D1A">
        <w:rPr>
          <w:rFonts w:ascii="Arial" w:hAnsi="Arial" w:cs="Arial"/>
          <w:noProof/>
        </w:rPr>
        <w:t>2522176</w:t>
      </w:r>
    </w:p>
    <w:p w14:paraId="5DBFBC2B" w14:textId="16A16745" w:rsidR="00667D1A" w:rsidRPr="00667D1A" w:rsidRDefault="00667D1A" w:rsidP="00667D1A">
      <w:pPr>
        <w:spacing w:after="0"/>
        <w:jc w:val="center"/>
        <w:rPr>
          <w:rFonts w:ascii="Arial" w:hAnsi="Arial" w:cs="Arial"/>
        </w:rPr>
      </w:pPr>
    </w:p>
    <w:p w14:paraId="084EFB55" w14:textId="77777777" w:rsidR="00667D1A" w:rsidRPr="00667D1A" w:rsidRDefault="00667D1A" w:rsidP="00667D1A">
      <w:pPr>
        <w:jc w:val="center"/>
        <w:rPr>
          <w:rFonts w:ascii="Arial" w:hAnsi="Arial" w:cs="Arial"/>
        </w:rPr>
      </w:pPr>
    </w:p>
    <w:p w14:paraId="533EE3C2" w14:textId="77777777" w:rsidR="00667D1A" w:rsidRDefault="00667D1A" w:rsidP="00667D1A">
      <w:pPr>
        <w:jc w:val="center"/>
      </w:pPr>
    </w:p>
    <w:p w14:paraId="59334D85" w14:textId="77777777" w:rsidR="00667D1A" w:rsidRDefault="00667D1A" w:rsidP="00667D1A">
      <w:pPr>
        <w:jc w:val="center"/>
      </w:pPr>
    </w:p>
    <w:p w14:paraId="30C601F4" w14:textId="77777777" w:rsidR="00667D1A" w:rsidRDefault="00667D1A" w:rsidP="00667D1A">
      <w:pPr>
        <w:jc w:val="center"/>
      </w:pPr>
    </w:p>
    <w:p w14:paraId="08F48307" w14:textId="77777777" w:rsidR="00667D1A" w:rsidRDefault="00667D1A" w:rsidP="00667D1A">
      <w:pPr>
        <w:jc w:val="center"/>
      </w:pPr>
    </w:p>
    <w:p w14:paraId="4135E3E5" w14:textId="77777777" w:rsidR="00667D1A" w:rsidRDefault="00667D1A" w:rsidP="00667D1A">
      <w:pPr>
        <w:jc w:val="center"/>
      </w:pPr>
    </w:p>
    <w:p w14:paraId="56F421FF" w14:textId="77777777" w:rsidR="00667D1A" w:rsidRDefault="00667D1A" w:rsidP="00667D1A">
      <w:pPr>
        <w:jc w:val="center"/>
      </w:pPr>
    </w:p>
    <w:p w14:paraId="3383E292" w14:textId="77777777" w:rsidR="00667D1A" w:rsidRDefault="00667D1A" w:rsidP="00667D1A">
      <w:pPr>
        <w:jc w:val="center"/>
      </w:pPr>
    </w:p>
    <w:p w14:paraId="22AC36C4" w14:textId="445B2AB6" w:rsidR="00667D1A" w:rsidRDefault="00667D1A" w:rsidP="00667D1A">
      <w:r>
        <w:rPr>
          <w:noProof/>
        </w:rPr>
        <w:lastRenderedPageBreak/>
        <w:drawing>
          <wp:anchor distT="0" distB="0" distL="114300" distR="114300" simplePos="0" relativeHeight="251658240" behindDoc="1" locked="0" layoutInCell="1" allowOverlap="1" wp14:anchorId="60ED60D6" wp14:editId="51949F4A">
            <wp:simplePos x="0" y="0"/>
            <wp:positionH relativeFrom="column">
              <wp:posOffset>20316</wp:posOffset>
            </wp:positionH>
            <wp:positionV relativeFrom="paragraph">
              <wp:posOffset>263122</wp:posOffset>
            </wp:positionV>
            <wp:extent cx="5731510" cy="8597265"/>
            <wp:effectExtent l="0" t="0" r="2540" b="0"/>
            <wp:wrapTight wrapText="bothSides">
              <wp:wrapPolygon edited="0">
                <wp:start x="0" y="0"/>
                <wp:lineTo x="0" y="21538"/>
                <wp:lineTo x="21538" y="21538"/>
                <wp:lineTo x="21538" y="0"/>
                <wp:lineTo x="0" y="0"/>
              </wp:wrapPolygon>
            </wp:wrapTight>
            <wp:docPr id="2" name="Picture 1" descr="a_clean_professional_infographic_poster_educat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_clean_professional_infographic_poster_educati.png"/>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14:sizeRelH relativeFrom="page">
              <wp14:pctWidth>0</wp14:pctWidth>
            </wp14:sizeRelH>
            <wp14:sizeRelV relativeFrom="page">
              <wp14:pctHeight>0</wp14:pctHeight>
            </wp14:sizeRelV>
          </wp:anchor>
        </w:drawing>
      </w:r>
      <w:r>
        <w:t>Task 1:</w:t>
      </w:r>
    </w:p>
    <w:p w14:paraId="2E5BB127" w14:textId="01C1B684" w:rsidR="00667D1A" w:rsidRDefault="00667D1A" w:rsidP="00667D1A">
      <w:r>
        <w:lastRenderedPageBreak/>
        <w:t>Task 2:</w:t>
      </w:r>
    </w:p>
    <w:p w14:paraId="74B658BF" w14:textId="77777777" w:rsidR="00667D1A" w:rsidRDefault="00667D1A" w:rsidP="00667D1A"/>
    <w:p w14:paraId="10C01073" w14:textId="76A3001D" w:rsidR="00667D1A" w:rsidRPr="00667D1A" w:rsidRDefault="00667D1A" w:rsidP="00A22C06">
      <w:pPr>
        <w:spacing w:line="480" w:lineRule="auto"/>
        <w:jc w:val="center"/>
        <w:rPr>
          <w:rFonts w:ascii="Arial" w:hAnsi="Arial" w:cs="Arial"/>
          <w:b/>
          <w:bCs/>
          <w:u w:val="single"/>
        </w:rPr>
      </w:pPr>
      <w:r w:rsidRPr="00667D1A">
        <w:rPr>
          <w:rFonts w:ascii="Arial" w:hAnsi="Arial" w:cs="Arial"/>
          <w:b/>
          <w:bCs/>
          <w:u w:val="single"/>
        </w:rPr>
        <w:t>Residential Care Homes</w:t>
      </w:r>
    </w:p>
    <w:p w14:paraId="74539438" w14:textId="613A3429" w:rsidR="00667D1A" w:rsidRPr="009B4C1C" w:rsidRDefault="00667D1A" w:rsidP="00A22C06">
      <w:pPr>
        <w:spacing w:line="480" w:lineRule="auto"/>
        <w:rPr>
          <w:rFonts w:ascii="Arial" w:hAnsi="Arial" w:cs="Arial"/>
          <w:b/>
          <w:bCs/>
        </w:rPr>
      </w:pPr>
      <w:r w:rsidRPr="009B4C1C">
        <w:rPr>
          <w:rFonts w:ascii="Arial" w:hAnsi="Arial" w:cs="Arial"/>
          <w:b/>
          <w:bCs/>
        </w:rPr>
        <w:t>Introduction</w:t>
      </w:r>
    </w:p>
    <w:p w14:paraId="60843F48" w14:textId="77777777" w:rsidR="00667D1A" w:rsidRPr="00667D1A" w:rsidRDefault="00667D1A" w:rsidP="00A22C06">
      <w:pPr>
        <w:spacing w:line="480" w:lineRule="auto"/>
        <w:rPr>
          <w:rFonts w:ascii="Arial" w:hAnsi="Arial" w:cs="Arial"/>
        </w:rPr>
      </w:pPr>
      <w:r w:rsidRPr="00667D1A">
        <w:rPr>
          <w:rFonts w:ascii="Arial" w:hAnsi="Arial" w:cs="Arial"/>
        </w:rPr>
        <w:t>Residential care homes are an important component of the United Kingdom’s social care system. They provide accommodation, personal care and support for individuals who are unable to live independently due to age, disability or illness. Residential care homes aim to promote wellbeing, safety and dignity while meeting the daily needs of service users. This essay explores the historical origins of residential care homes, critically evaluates how they function today and discusses their significance in enhancing the quality of life of individuals who use these services.</w:t>
      </w:r>
    </w:p>
    <w:p w14:paraId="4C7C9F7F" w14:textId="77777777" w:rsidR="00667D1A" w:rsidRPr="00667D1A" w:rsidRDefault="00667D1A" w:rsidP="00A22C06">
      <w:pPr>
        <w:spacing w:line="480" w:lineRule="auto"/>
        <w:rPr>
          <w:rFonts w:ascii="Arial" w:hAnsi="Arial" w:cs="Arial"/>
          <w:b/>
          <w:bCs/>
        </w:rPr>
      </w:pPr>
      <w:r w:rsidRPr="00667D1A">
        <w:rPr>
          <w:rFonts w:ascii="Arial" w:hAnsi="Arial" w:cs="Arial"/>
          <w:b/>
          <w:bCs/>
        </w:rPr>
        <w:t>Origins and Historical Development</w:t>
      </w:r>
    </w:p>
    <w:p w14:paraId="62771055" w14:textId="2D8F1F22" w:rsidR="00667D1A" w:rsidRPr="00667D1A" w:rsidRDefault="00667D1A" w:rsidP="00A22C06">
      <w:pPr>
        <w:spacing w:line="480" w:lineRule="auto"/>
        <w:rPr>
          <w:rFonts w:ascii="Arial" w:hAnsi="Arial" w:cs="Arial"/>
        </w:rPr>
      </w:pPr>
      <w:r w:rsidRPr="00667D1A">
        <w:rPr>
          <w:rFonts w:ascii="Arial" w:hAnsi="Arial" w:cs="Arial"/>
        </w:rPr>
        <w:t>The origins of residential care can be traced back to the nineteenth-century Poor Law system. Under the Poor Law Amendment Act 1834, individuals who could not support themselves were often accommodated in workhouses. These institutions provided basic care but were frequently criticised for their poor conditions and lack of dignity for residents (</w:t>
      </w:r>
      <w:r>
        <w:rPr>
          <w:rFonts w:ascii="Arial" w:hAnsi="Arial" w:cs="Arial"/>
        </w:rPr>
        <w:t>Williams, 2022</w:t>
      </w:r>
      <w:r w:rsidRPr="00667D1A">
        <w:rPr>
          <w:rFonts w:ascii="Arial" w:hAnsi="Arial" w:cs="Arial"/>
        </w:rPr>
        <w:t>).</w:t>
      </w:r>
      <w:r w:rsidR="00590605">
        <w:rPr>
          <w:rFonts w:ascii="Arial" w:hAnsi="Arial" w:cs="Arial"/>
        </w:rPr>
        <w:t xml:space="preserve"> After</w:t>
      </w:r>
      <w:r w:rsidRPr="00667D1A">
        <w:rPr>
          <w:rFonts w:ascii="Arial" w:hAnsi="Arial" w:cs="Arial"/>
        </w:rPr>
        <w:t xml:space="preserve"> the creation of the welfare state and the National Health Service in 1948, social care provision gradually moved away from the workhouse model. The National Assistance Act 1948 placed greater responsibility on local authorities to provide residential accommodation for older people and vulnerable adults. This marked a significant shift towards a more supportive and welfare-focused approach to care (</w:t>
      </w:r>
      <w:r>
        <w:rPr>
          <w:rFonts w:ascii="Arial" w:hAnsi="Arial" w:cs="Arial"/>
        </w:rPr>
        <w:t>Williams, 2022</w:t>
      </w:r>
      <w:r w:rsidRPr="00667D1A">
        <w:rPr>
          <w:rFonts w:ascii="Arial" w:hAnsi="Arial" w:cs="Arial"/>
        </w:rPr>
        <w:t>).</w:t>
      </w:r>
    </w:p>
    <w:p w14:paraId="7F8E2994" w14:textId="213BA28F" w:rsidR="00667D1A" w:rsidRPr="00667D1A" w:rsidRDefault="00667D1A" w:rsidP="00A22C06">
      <w:pPr>
        <w:spacing w:line="480" w:lineRule="auto"/>
        <w:rPr>
          <w:rFonts w:ascii="Arial" w:hAnsi="Arial" w:cs="Arial"/>
        </w:rPr>
      </w:pPr>
      <w:r w:rsidRPr="00667D1A">
        <w:rPr>
          <w:rFonts w:ascii="Arial" w:hAnsi="Arial" w:cs="Arial"/>
        </w:rPr>
        <w:t xml:space="preserve">Throughout the late twentieth and early twenty-first centuries, concerns regarding quality standards and safeguarding led to increased regulation of residential care services. The introduction of the Care Standards Act 2000 and the establishment of the Care Quality Commission (CQC) strengthened accountability and monitoring within the sector. These </w:t>
      </w:r>
      <w:r w:rsidRPr="00667D1A">
        <w:rPr>
          <w:rFonts w:ascii="Arial" w:hAnsi="Arial" w:cs="Arial"/>
        </w:rPr>
        <w:lastRenderedPageBreak/>
        <w:t>developments contributed to the creation of a more professional and person-centred care environment</w:t>
      </w:r>
      <w:r>
        <w:rPr>
          <w:rFonts w:ascii="Arial" w:hAnsi="Arial" w:cs="Arial"/>
        </w:rPr>
        <w:t xml:space="preserve"> (Care Quality Commission, 2024).</w:t>
      </w:r>
    </w:p>
    <w:p w14:paraId="6B22378A" w14:textId="77777777" w:rsidR="00667D1A" w:rsidRPr="00667D1A" w:rsidRDefault="00667D1A" w:rsidP="00A22C06">
      <w:pPr>
        <w:spacing w:line="480" w:lineRule="auto"/>
        <w:rPr>
          <w:rFonts w:ascii="Arial" w:hAnsi="Arial" w:cs="Arial"/>
          <w:b/>
          <w:bCs/>
        </w:rPr>
      </w:pPr>
      <w:r w:rsidRPr="00667D1A">
        <w:rPr>
          <w:rFonts w:ascii="Arial" w:hAnsi="Arial" w:cs="Arial"/>
          <w:b/>
          <w:bCs/>
        </w:rPr>
        <w:t>Current Functioning of Residential Care Homes</w:t>
      </w:r>
    </w:p>
    <w:p w14:paraId="1AB9A97D" w14:textId="6518AAB4" w:rsidR="00667D1A" w:rsidRPr="00667D1A" w:rsidRDefault="00667D1A" w:rsidP="00A22C06">
      <w:pPr>
        <w:spacing w:line="480" w:lineRule="auto"/>
        <w:rPr>
          <w:rFonts w:ascii="Arial" w:hAnsi="Arial" w:cs="Arial"/>
        </w:rPr>
      </w:pPr>
      <w:r>
        <w:rPr>
          <w:rFonts w:ascii="Arial" w:hAnsi="Arial" w:cs="Arial"/>
        </w:rPr>
        <w:t>Residential</w:t>
      </w:r>
      <w:r w:rsidRPr="00667D1A">
        <w:rPr>
          <w:rFonts w:ascii="Arial" w:hAnsi="Arial" w:cs="Arial"/>
        </w:rPr>
        <w:t xml:space="preserve"> care homes provide </w:t>
      </w:r>
      <w:r>
        <w:rPr>
          <w:rFonts w:ascii="Arial" w:hAnsi="Arial" w:cs="Arial"/>
        </w:rPr>
        <w:t>24-hour</w:t>
      </w:r>
      <w:r w:rsidRPr="00667D1A">
        <w:rPr>
          <w:rFonts w:ascii="Arial" w:hAnsi="Arial" w:cs="Arial"/>
        </w:rPr>
        <w:t xml:space="preserve"> support to individuals who require assistance with activities of daily living. Services typically include personal care, meal provision, medication support, housekeeping and opportunities for social interaction. Staff work closely with healthcare professionals, family members and other agencies to ensure that residents receive holistic care that meets their physical, emotional and social needs.</w:t>
      </w:r>
    </w:p>
    <w:p w14:paraId="5FA7D9BB" w14:textId="77376AFB" w:rsidR="00667D1A" w:rsidRPr="00667D1A" w:rsidRDefault="00667D1A" w:rsidP="00A22C06">
      <w:pPr>
        <w:spacing w:line="480" w:lineRule="auto"/>
        <w:rPr>
          <w:rFonts w:ascii="Arial" w:hAnsi="Arial" w:cs="Arial"/>
        </w:rPr>
      </w:pPr>
      <w:r w:rsidRPr="00667D1A">
        <w:rPr>
          <w:rFonts w:ascii="Arial" w:hAnsi="Arial" w:cs="Arial"/>
        </w:rPr>
        <w:t>A key feature of contemporary residential care is the principle of person-centred care. This approach focuses on respecting individual preferences, promoting dignity and supporting independence wherever possible (</w:t>
      </w:r>
      <w:r w:rsidR="004E23EF">
        <w:rPr>
          <w:rFonts w:ascii="Arial" w:hAnsi="Arial" w:cs="Arial"/>
        </w:rPr>
        <w:t>Damant et al. 2026</w:t>
      </w:r>
      <w:r w:rsidRPr="00667D1A">
        <w:rPr>
          <w:rFonts w:ascii="Arial" w:hAnsi="Arial" w:cs="Arial"/>
        </w:rPr>
        <w:t>). Care plans are developed around the specific needs of each resident and are reviewed regularly to ensure that care remains appropriate and effective.</w:t>
      </w:r>
    </w:p>
    <w:p w14:paraId="4558B30D" w14:textId="1679C221" w:rsidR="00667D1A" w:rsidRPr="00667D1A" w:rsidRDefault="00667D1A" w:rsidP="00A22C06">
      <w:pPr>
        <w:spacing w:line="480" w:lineRule="auto"/>
        <w:rPr>
          <w:rFonts w:ascii="Arial" w:hAnsi="Arial" w:cs="Arial"/>
        </w:rPr>
      </w:pPr>
      <w:r w:rsidRPr="00667D1A">
        <w:rPr>
          <w:rFonts w:ascii="Arial" w:hAnsi="Arial" w:cs="Arial"/>
        </w:rPr>
        <w:t>Despite these benefits, residential care homes face significant challenges. Workforce shortages remain a persistent issue within the adult social care sector, creating pressures on staffing levels and service delivery (</w:t>
      </w:r>
      <w:r>
        <w:rPr>
          <w:rFonts w:ascii="Arial" w:hAnsi="Arial" w:cs="Arial"/>
        </w:rPr>
        <w:t>Dudman et al. 2018</w:t>
      </w:r>
      <w:r w:rsidRPr="00667D1A">
        <w:rPr>
          <w:rFonts w:ascii="Arial" w:hAnsi="Arial" w:cs="Arial"/>
        </w:rPr>
        <w:t>). Furthermore, increasing demand from an ageing population and ongoing funding constraints can affect the ability of providers to maintain consistently high standards of care. Consequently, while residential care homes provide essential support, their effectiveness is influenced by wider economic and policy factors.</w:t>
      </w:r>
    </w:p>
    <w:p w14:paraId="76D9C493" w14:textId="77777777" w:rsidR="00667D1A" w:rsidRPr="00667D1A" w:rsidRDefault="00667D1A" w:rsidP="00A22C06">
      <w:pPr>
        <w:spacing w:line="480" w:lineRule="auto"/>
        <w:rPr>
          <w:rFonts w:ascii="Arial" w:hAnsi="Arial" w:cs="Arial"/>
          <w:b/>
          <w:bCs/>
        </w:rPr>
      </w:pPr>
      <w:r w:rsidRPr="00667D1A">
        <w:rPr>
          <w:rFonts w:ascii="Arial" w:hAnsi="Arial" w:cs="Arial"/>
          <w:b/>
          <w:bCs/>
        </w:rPr>
        <w:t>Significance for Quality of Life</w:t>
      </w:r>
    </w:p>
    <w:p w14:paraId="1B5726DA" w14:textId="2DA2B556" w:rsidR="00667D1A" w:rsidRPr="00667D1A" w:rsidRDefault="00667D1A" w:rsidP="003323A7">
      <w:pPr>
        <w:spacing w:line="480" w:lineRule="auto"/>
        <w:rPr>
          <w:rFonts w:ascii="Arial" w:hAnsi="Arial" w:cs="Arial"/>
        </w:rPr>
      </w:pPr>
      <w:r w:rsidRPr="00667D1A">
        <w:rPr>
          <w:rFonts w:ascii="Arial" w:hAnsi="Arial" w:cs="Arial"/>
        </w:rPr>
        <w:t>Residential care homes make a substantial contribution to the quality of life of service users. They provide a safe and supportive environment where individuals receive assistance with everyday activities while maintaining access to healthcare and social opportunities. For many residents, care homes reduce the risks associated with loneliness, social isolation and unmet care needs</w:t>
      </w:r>
      <w:r w:rsidR="006867DE">
        <w:rPr>
          <w:rFonts w:ascii="Arial" w:hAnsi="Arial" w:cs="Arial"/>
        </w:rPr>
        <w:t xml:space="preserve"> (Hanratty et al. 2018)</w:t>
      </w:r>
    </w:p>
    <w:p w14:paraId="797A3EF3" w14:textId="27CC6E51" w:rsidR="00667D1A" w:rsidRPr="00667D1A" w:rsidRDefault="00667D1A" w:rsidP="003323A7">
      <w:pPr>
        <w:spacing w:line="480" w:lineRule="auto"/>
        <w:rPr>
          <w:rFonts w:ascii="Arial" w:hAnsi="Arial" w:cs="Arial"/>
        </w:rPr>
      </w:pPr>
      <w:r w:rsidRPr="00667D1A">
        <w:rPr>
          <w:rFonts w:ascii="Arial" w:hAnsi="Arial" w:cs="Arial"/>
        </w:rPr>
        <w:lastRenderedPageBreak/>
        <w:t>The social aspects of residential care are particularly important. Organised activities, communal living and opportunities for interaction can enhance emotional wellbeing and support positive mental health outcomes (Monteiro</w:t>
      </w:r>
      <w:r w:rsidRPr="00667D1A">
        <w:rPr>
          <w:rFonts w:ascii="Arial" w:hAnsi="Arial" w:cs="Arial"/>
        </w:rPr>
        <w:t xml:space="preserve"> et al. 2025</w:t>
      </w:r>
      <w:r w:rsidRPr="00667D1A">
        <w:rPr>
          <w:rFonts w:ascii="Arial" w:hAnsi="Arial" w:cs="Arial"/>
        </w:rPr>
        <w:t>). In addition, continuous monitoring by trained staff enables the early identification of health concerns, potentially preventing deterioration and improving overall wellbeing.</w:t>
      </w:r>
    </w:p>
    <w:p w14:paraId="54A4A49D" w14:textId="1B126559" w:rsidR="00042126" w:rsidRDefault="00042126" w:rsidP="003323A7">
      <w:pPr>
        <w:spacing w:line="480" w:lineRule="auto"/>
        <w:rPr>
          <w:rFonts w:ascii="Arial" w:hAnsi="Arial" w:cs="Arial"/>
        </w:rPr>
      </w:pPr>
      <w:r w:rsidRPr="00042126">
        <w:rPr>
          <w:rFonts w:ascii="Arial" w:hAnsi="Arial" w:cs="Arial"/>
        </w:rPr>
        <w:t xml:space="preserve">Despite the important role that residential care homes play, the sector faces several significant challenges. One major challenge is workforce shortages, which can increase staff workload and affect the continuity and quality of care provided to residents. </w:t>
      </w:r>
      <w:r w:rsidR="008A3524">
        <w:rPr>
          <w:rFonts w:ascii="Arial" w:hAnsi="Arial" w:cs="Arial"/>
        </w:rPr>
        <w:t>Furthermore, r</w:t>
      </w:r>
      <w:r w:rsidR="0005703F" w:rsidRPr="0005703F">
        <w:rPr>
          <w:rFonts w:ascii="Arial" w:hAnsi="Arial" w:cs="Arial"/>
        </w:rPr>
        <w:t>esidents often require assistance with daily activities, which can increase dependency on care staff. While this support is necessary to ensure safety and wellbeing, excessive reliance on routines and staff decision-making may reduce opportunities for residents to exercise choice and control over their daily lives. Research by Moilanen et al. (2021) found that autonomy is closely associated with quality of life in residential care settings and that care practices can either promote or restrict residents' ability to make independent decisions. Therefore, residential care providers must adopt person-centred approaches that encourage self-determination while continuing to meet residents' care needs</w:t>
      </w:r>
      <w:r w:rsidR="00C733C4">
        <w:rPr>
          <w:rFonts w:ascii="Arial" w:hAnsi="Arial" w:cs="Arial"/>
        </w:rPr>
        <w:t xml:space="preserve"> (Chen,</w:t>
      </w:r>
      <w:r w:rsidR="003710A5">
        <w:rPr>
          <w:rFonts w:ascii="Arial" w:hAnsi="Arial" w:cs="Arial"/>
        </w:rPr>
        <w:t xml:space="preserve"> Bolt, </w:t>
      </w:r>
      <w:proofErr w:type="spellStart"/>
      <w:r w:rsidR="003710A5" w:rsidRPr="00C733C4">
        <w:rPr>
          <w:rFonts w:ascii="Arial" w:hAnsi="Arial" w:cs="Arial"/>
        </w:rPr>
        <w:t>Hooimeijer</w:t>
      </w:r>
      <w:proofErr w:type="spellEnd"/>
      <w:r w:rsidR="003710A5">
        <w:rPr>
          <w:rFonts w:ascii="Arial" w:hAnsi="Arial" w:cs="Arial"/>
        </w:rPr>
        <w:t xml:space="preserve">, 2024). </w:t>
      </w:r>
    </w:p>
    <w:p w14:paraId="352D8965" w14:textId="4B4BFA45" w:rsidR="00667D1A" w:rsidRPr="00667D1A" w:rsidRDefault="00667D1A" w:rsidP="003323A7">
      <w:pPr>
        <w:spacing w:line="480" w:lineRule="auto"/>
        <w:rPr>
          <w:rFonts w:ascii="Arial" w:hAnsi="Arial" w:cs="Arial"/>
          <w:b/>
          <w:bCs/>
        </w:rPr>
      </w:pPr>
      <w:r w:rsidRPr="00667D1A">
        <w:rPr>
          <w:rFonts w:ascii="Arial" w:hAnsi="Arial" w:cs="Arial"/>
          <w:b/>
          <w:bCs/>
        </w:rPr>
        <w:t>Conclusion</w:t>
      </w:r>
    </w:p>
    <w:p w14:paraId="2EFCAC2D" w14:textId="77777777" w:rsidR="00667D1A" w:rsidRDefault="00667D1A" w:rsidP="003323A7">
      <w:pPr>
        <w:spacing w:line="480" w:lineRule="auto"/>
        <w:rPr>
          <w:rFonts w:ascii="Arial" w:hAnsi="Arial" w:cs="Arial"/>
        </w:rPr>
      </w:pPr>
      <w:r w:rsidRPr="00667D1A">
        <w:rPr>
          <w:rFonts w:ascii="Arial" w:hAnsi="Arial" w:cs="Arial"/>
        </w:rPr>
        <w:t>In conclusion, residential care homes have evolved significantly from their origins in the Poor Law workhouse system. Modern services provide comprehensive support through person-centred approaches that prioritise safety, dignity and wellbeing. Although challenges such as workforce shortages and funding pressures continue to affect the sector, residential care homes remain a vital part of the UK’s social care system. Their ability to improve quality of life through practical support, social engagement and healthcare access demonstrates their continuing importance within contemporary society.</w:t>
      </w:r>
    </w:p>
    <w:p w14:paraId="586D70ED" w14:textId="77777777" w:rsidR="003323A7" w:rsidRPr="00667D1A" w:rsidRDefault="003323A7" w:rsidP="003323A7">
      <w:pPr>
        <w:spacing w:line="480" w:lineRule="auto"/>
        <w:rPr>
          <w:rFonts w:ascii="Arial" w:hAnsi="Arial" w:cs="Arial"/>
        </w:rPr>
      </w:pPr>
    </w:p>
    <w:p w14:paraId="33B011CF" w14:textId="7DDBDB4E" w:rsidR="006867DE" w:rsidRPr="00667D1A" w:rsidRDefault="00667D1A" w:rsidP="000D4F24">
      <w:pPr>
        <w:spacing w:line="360" w:lineRule="auto"/>
        <w:rPr>
          <w:rFonts w:ascii="Arial" w:hAnsi="Arial" w:cs="Arial"/>
          <w:b/>
          <w:bCs/>
        </w:rPr>
      </w:pPr>
      <w:r w:rsidRPr="00667D1A">
        <w:rPr>
          <w:rFonts w:ascii="Arial" w:hAnsi="Arial" w:cs="Arial"/>
          <w:b/>
          <w:bCs/>
        </w:rPr>
        <w:lastRenderedPageBreak/>
        <w:t>Reference List</w:t>
      </w:r>
    </w:p>
    <w:p w14:paraId="794660B9" w14:textId="77777777" w:rsidR="00590605" w:rsidRDefault="00590605" w:rsidP="000D4F24">
      <w:pPr>
        <w:spacing w:line="360" w:lineRule="auto"/>
        <w:rPr>
          <w:rFonts w:ascii="Arial" w:hAnsi="Arial" w:cs="Arial"/>
        </w:rPr>
      </w:pPr>
      <w:r w:rsidRPr="00667D1A">
        <w:rPr>
          <w:rFonts w:ascii="Arial" w:hAnsi="Arial" w:cs="Arial"/>
        </w:rPr>
        <w:t xml:space="preserve">Care Quality Commission (2024) </w:t>
      </w:r>
      <w:r w:rsidRPr="00667D1A">
        <w:rPr>
          <w:rFonts w:ascii="Arial" w:hAnsi="Arial" w:cs="Arial"/>
          <w:i/>
          <w:iCs/>
        </w:rPr>
        <w:t>The State of Health Care and Adult Social Care in England 2023/24</w:t>
      </w:r>
      <w:r w:rsidRPr="00667D1A">
        <w:rPr>
          <w:rFonts w:ascii="Arial" w:hAnsi="Arial" w:cs="Arial"/>
        </w:rPr>
        <w:t>. London: CQC.</w:t>
      </w:r>
    </w:p>
    <w:p w14:paraId="44213490" w14:textId="77777777" w:rsidR="00C62345" w:rsidRDefault="00C62345" w:rsidP="000D4F24">
      <w:pPr>
        <w:spacing w:line="360" w:lineRule="auto"/>
        <w:rPr>
          <w:rFonts w:ascii="Arial" w:hAnsi="Arial" w:cs="Arial"/>
        </w:rPr>
      </w:pPr>
      <w:r w:rsidRPr="00C62345">
        <w:rPr>
          <w:rFonts w:ascii="Arial" w:hAnsi="Arial" w:cs="Arial"/>
        </w:rPr>
        <w:t xml:space="preserve">Chen, M., Bolt, G., &amp; </w:t>
      </w:r>
      <w:proofErr w:type="spellStart"/>
      <w:r w:rsidRPr="00C62345">
        <w:rPr>
          <w:rFonts w:ascii="Arial" w:hAnsi="Arial" w:cs="Arial"/>
        </w:rPr>
        <w:t>Hooimeijer</w:t>
      </w:r>
      <w:proofErr w:type="spellEnd"/>
      <w:r w:rsidRPr="00C62345">
        <w:rPr>
          <w:rFonts w:ascii="Arial" w:hAnsi="Arial" w:cs="Arial"/>
        </w:rPr>
        <w:t>, P. (2024). The impact of residential environment on older people's capabilities to live independently: a survey in Beijing. </w:t>
      </w:r>
      <w:r w:rsidRPr="00C62345">
        <w:rPr>
          <w:rFonts w:ascii="Arial" w:hAnsi="Arial" w:cs="Arial"/>
          <w:i/>
          <w:iCs/>
        </w:rPr>
        <w:t>BMC public health</w:t>
      </w:r>
      <w:r w:rsidRPr="00C62345">
        <w:rPr>
          <w:rFonts w:ascii="Arial" w:hAnsi="Arial" w:cs="Arial"/>
        </w:rPr>
        <w:t>, </w:t>
      </w:r>
      <w:r w:rsidRPr="00C62345">
        <w:rPr>
          <w:rFonts w:ascii="Arial" w:hAnsi="Arial" w:cs="Arial"/>
          <w:i/>
          <w:iCs/>
        </w:rPr>
        <w:t>24</w:t>
      </w:r>
      <w:r w:rsidRPr="00C62345">
        <w:rPr>
          <w:rFonts w:ascii="Arial" w:hAnsi="Arial" w:cs="Arial"/>
        </w:rPr>
        <w:t>(1), 843. https://doi.org/10.1186/s12889-024-18262-x</w:t>
      </w:r>
      <w:r w:rsidRPr="00C62345">
        <w:rPr>
          <w:rFonts w:ascii="Arial" w:hAnsi="Arial" w:cs="Arial"/>
        </w:rPr>
        <w:t xml:space="preserve"> </w:t>
      </w:r>
    </w:p>
    <w:p w14:paraId="1BF9882E" w14:textId="5E036AB3" w:rsidR="00590605" w:rsidRDefault="00590605" w:rsidP="000D4F24">
      <w:pPr>
        <w:spacing w:line="360" w:lineRule="auto"/>
        <w:rPr>
          <w:rFonts w:ascii="Arial" w:hAnsi="Arial" w:cs="Arial"/>
        </w:rPr>
      </w:pPr>
      <w:r w:rsidRPr="004E23EF">
        <w:rPr>
          <w:rFonts w:ascii="Arial" w:hAnsi="Arial" w:cs="Arial"/>
        </w:rPr>
        <w:t xml:space="preserve">Damant, J., </w:t>
      </w:r>
      <w:proofErr w:type="spellStart"/>
      <w:r w:rsidRPr="004E23EF">
        <w:rPr>
          <w:rFonts w:ascii="Arial" w:hAnsi="Arial" w:cs="Arial"/>
        </w:rPr>
        <w:t>Hamashima</w:t>
      </w:r>
      <w:proofErr w:type="spellEnd"/>
      <w:r w:rsidRPr="004E23EF">
        <w:rPr>
          <w:rFonts w:ascii="Arial" w:hAnsi="Arial" w:cs="Arial"/>
        </w:rPr>
        <w:t xml:space="preserve">, Y., Toma, M., Smith, N., Taylor, J., Caprioli, T., Jasim, S., Prato, L., </w:t>
      </w:r>
      <w:proofErr w:type="spellStart"/>
      <w:r w:rsidRPr="004E23EF">
        <w:rPr>
          <w:rFonts w:ascii="Arial" w:hAnsi="Arial" w:cs="Arial"/>
        </w:rPr>
        <w:t>Mcleod</w:t>
      </w:r>
      <w:proofErr w:type="spellEnd"/>
      <w:r w:rsidRPr="004E23EF">
        <w:rPr>
          <w:rFonts w:ascii="Arial" w:hAnsi="Arial" w:cs="Arial"/>
        </w:rPr>
        <w:t>, H., Giebel, C., Peters, M., Ferguson Montague, A., Wright, L., Knapp, M., &amp; Towers, A. M. (2026). Investigating Person-Centred Care Planning in Care Homes Across England: An Exploratory Study of Practices and Contextual Factors. </w:t>
      </w:r>
      <w:r w:rsidRPr="004E23EF">
        <w:rPr>
          <w:rFonts w:ascii="Arial" w:hAnsi="Arial" w:cs="Arial"/>
          <w:i/>
          <w:iCs/>
        </w:rPr>
        <w:t>Journal of advanced nursing</w:t>
      </w:r>
      <w:r w:rsidRPr="004E23EF">
        <w:rPr>
          <w:rFonts w:ascii="Arial" w:hAnsi="Arial" w:cs="Arial"/>
        </w:rPr>
        <w:t>, </w:t>
      </w:r>
      <w:r w:rsidRPr="004E23EF">
        <w:rPr>
          <w:rFonts w:ascii="Arial" w:hAnsi="Arial" w:cs="Arial"/>
          <w:i/>
          <w:iCs/>
        </w:rPr>
        <w:t>82</w:t>
      </w:r>
      <w:r w:rsidRPr="004E23EF">
        <w:rPr>
          <w:rFonts w:ascii="Arial" w:hAnsi="Arial" w:cs="Arial"/>
        </w:rPr>
        <w:t>(1), 617–631. https://doi.org/10.1111/jan.16965</w:t>
      </w:r>
    </w:p>
    <w:p w14:paraId="4EEA00A3" w14:textId="77777777" w:rsidR="00590605" w:rsidRDefault="00590605" w:rsidP="000D4F24">
      <w:pPr>
        <w:spacing w:line="360" w:lineRule="auto"/>
        <w:rPr>
          <w:rFonts w:ascii="Arial" w:hAnsi="Arial" w:cs="Arial"/>
        </w:rPr>
      </w:pPr>
      <w:r w:rsidRPr="00667D1A">
        <w:rPr>
          <w:rFonts w:ascii="Arial" w:hAnsi="Arial" w:cs="Arial"/>
        </w:rPr>
        <w:t>Dudman, J., Meyer, J., Holman, C., &amp; Moyle, W. (2018). Recognition of the complexity facing residential care homes: a practitioner inquiry. </w:t>
      </w:r>
      <w:r w:rsidRPr="00667D1A">
        <w:rPr>
          <w:rFonts w:ascii="Arial" w:hAnsi="Arial" w:cs="Arial"/>
          <w:i/>
          <w:iCs/>
        </w:rPr>
        <w:t>Primary health care research &amp; development</w:t>
      </w:r>
      <w:r w:rsidRPr="00667D1A">
        <w:rPr>
          <w:rFonts w:ascii="Arial" w:hAnsi="Arial" w:cs="Arial"/>
        </w:rPr>
        <w:t>, </w:t>
      </w:r>
      <w:r w:rsidRPr="00667D1A">
        <w:rPr>
          <w:rFonts w:ascii="Arial" w:hAnsi="Arial" w:cs="Arial"/>
          <w:i/>
          <w:iCs/>
        </w:rPr>
        <w:t>19</w:t>
      </w:r>
      <w:r w:rsidRPr="00667D1A">
        <w:rPr>
          <w:rFonts w:ascii="Arial" w:hAnsi="Arial" w:cs="Arial"/>
        </w:rPr>
        <w:t>(6), 584–590. https://doi.org/10.1017/S1463423618000105</w:t>
      </w:r>
    </w:p>
    <w:p w14:paraId="227F1A5D" w14:textId="32928081" w:rsidR="006867DE" w:rsidRDefault="006867DE" w:rsidP="000D4F24">
      <w:pPr>
        <w:spacing w:line="360" w:lineRule="auto"/>
        <w:rPr>
          <w:rFonts w:ascii="Arial" w:hAnsi="Arial" w:cs="Arial"/>
        </w:rPr>
      </w:pPr>
      <w:r w:rsidRPr="006867DE">
        <w:rPr>
          <w:rFonts w:ascii="Arial" w:hAnsi="Arial" w:cs="Arial"/>
        </w:rPr>
        <w:t xml:space="preserve">Hanratty, B., Stow, D., </w:t>
      </w:r>
      <w:proofErr w:type="spellStart"/>
      <w:r w:rsidRPr="006867DE">
        <w:rPr>
          <w:rFonts w:ascii="Arial" w:hAnsi="Arial" w:cs="Arial"/>
        </w:rPr>
        <w:t>Collingridge</w:t>
      </w:r>
      <w:proofErr w:type="spellEnd"/>
      <w:r w:rsidRPr="006867DE">
        <w:rPr>
          <w:rFonts w:ascii="Arial" w:hAnsi="Arial" w:cs="Arial"/>
        </w:rPr>
        <w:t xml:space="preserve"> Moore, D., </w:t>
      </w:r>
      <w:proofErr w:type="spellStart"/>
      <w:r w:rsidRPr="006867DE">
        <w:rPr>
          <w:rFonts w:ascii="Arial" w:hAnsi="Arial" w:cs="Arial"/>
        </w:rPr>
        <w:t>Valtorta</w:t>
      </w:r>
      <w:proofErr w:type="spellEnd"/>
      <w:r w:rsidRPr="006867DE">
        <w:rPr>
          <w:rFonts w:ascii="Arial" w:hAnsi="Arial" w:cs="Arial"/>
        </w:rPr>
        <w:t>, N. K., &amp; Matthews, F. (2018). Loneliness as a risk factor for care home admission in the English Longitudinal Study of Ageing. </w:t>
      </w:r>
      <w:r w:rsidRPr="006867DE">
        <w:rPr>
          <w:rFonts w:ascii="Arial" w:hAnsi="Arial" w:cs="Arial"/>
          <w:i/>
          <w:iCs/>
        </w:rPr>
        <w:t>Age and ageing</w:t>
      </w:r>
      <w:r w:rsidRPr="006867DE">
        <w:rPr>
          <w:rFonts w:ascii="Arial" w:hAnsi="Arial" w:cs="Arial"/>
        </w:rPr>
        <w:t>, </w:t>
      </w:r>
      <w:r w:rsidRPr="006867DE">
        <w:rPr>
          <w:rFonts w:ascii="Arial" w:hAnsi="Arial" w:cs="Arial"/>
          <w:i/>
          <w:iCs/>
        </w:rPr>
        <w:t>47</w:t>
      </w:r>
      <w:r w:rsidRPr="006867DE">
        <w:rPr>
          <w:rFonts w:ascii="Arial" w:hAnsi="Arial" w:cs="Arial"/>
        </w:rPr>
        <w:t>(6), 896–900. https://doi.org/10.1093/ageing/afy095</w:t>
      </w:r>
    </w:p>
    <w:p w14:paraId="2F384FF5" w14:textId="3160F5CB" w:rsidR="00610ABD" w:rsidRPr="00610ABD" w:rsidRDefault="00610ABD" w:rsidP="000D4F24">
      <w:pPr>
        <w:spacing w:line="360" w:lineRule="auto"/>
        <w:rPr>
          <w:rFonts w:ascii="Arial" w:hAnsi="Arial" w:cs="Arial"/>
        </w:rPr>
      </w:pPr>
      <w:r w:rsidRPr="00610ABD">
        <w:rPr>
          <w:rFonts w:ascii="Arial" w:hAnsi="Arial" w:cs="Arial"/>
        </w:rPr>
        <w:t xml:space="preserve">Moilanen, T., Kangasniemi, M., </w:t>
      </w:r>
      <w:proofErr w:type="spellStart"/>
      <w:r w:rsidRPr="00610ABD">
        <w:rPr>
          <w:rFonts w:ascii="Arial" w:hAnsi="Arial" w:cs="Arial"/>
        </w:rPr>
        <w:t>Papinaho</w:t>
      </w:r>
      <w:proofErr w:type="spellEnd"/>
      <w:r w:rsidRPr="00610ABD">
        <w:rPr>
          <w:rFonts w:ascii="Arial" w:hAnsi="Arial" w:cs="Arial"/>
        </w:rPr>
        <w:t xml:space="preserve">, O., </w:t>
      </w:r>
      <w:proofErr w:type="spellStart"/>
      <w:r w:rsidRPr="00610ABD">
        <w:rPr>
          <w:rFonts w:ascii="Arial" w:hAnsi="Arial" w:cs="Arial"/>
        </w:rPr>
        <w:t>Mynttinen</w:t>
      </w:r>
      <w:proofErr w:type="spellEnd"/>
      <w:r w:rsidRPr="00610ABD">
        <w:rPr>
          <w:rFonts w:ascii="Arial" w:hAnsi="Arial" w:cs="Arial"/>
        </w:rPr>
        <w:t xml:space="preserve">, M., </w:t>
      </w:r>
      <w:proofErr w:type="spellStart"/>
      <w:r w:rsidRPr="00610ABD">
        <w:rPr>
          <w:rFonts w:ascii="Arial" w:hAnsi="Arial" w:cs="Arial"/>
        </w:rPr>
        <w:t>Siipi</w:t>
      </w:r>
      <w:proofErr w:type="spellEnd"/>
      <w:r w:rsidRPr="00610ABD">
        <w:rPr>
          <w:rFonts w:ascii="Arial" w:hAnsi="Arial" w:cs="Arial"/>
        </w:rPr>
        <w:t>, H., Suominen, S., &amp; Suhonen, R. (2021). Older people's perceived autonomy in residential care: An integrative review. Nursing ethics, 28(3), 414–434. https://doi.org/10.1177/0969733020948115</w:t>
      </w:r>
    </w:p>
    <w:p w14:paraId="02274256" w14:textId="77777777" w:rsidR="00590605" w:rsidRDefault="00590605" w:rsidP="000D4F24">
      <w:pPr>
        <w:spacing w:line="360" w:lineRule="auto"/>
        <w:rPr>
          <w:rFonts w:ascii="Arial" w:hAnsi="Arial" w:cs="Arial"/>
        </w:rPr>
      </w:pPr>
      <w:r w:rsidRPr="00667D1A">
        <w:rPr>
          <w:rFonts w:ascii="Arial" w:hAnsi="Arial" w:cs="Arial"/>
        </w:rPr>
        <w:t>Monteiro JM, Gonçalves R, Bastos A, Barbosa MR. Social engagement and wellbeing in late life: a systematic review. </w:t>
      </w:r>
      <w:r w:rsidRPr="00667D1A">
        <w:rPr>
          <w:rFonts w:ascii="Arial" w:hAnsi="Arial" w:cs="Arial"/>
          <w:i/>
          <w:iCs/>
        </w:rPr>
        <w:t>Ageing and Society</w:t>
      </w:r>
      <w:r w:rsidRPr="00667D1A">
        <w:rPr>
          <w:rFonts w:ascii="Arial" w:hAnsi="Arial" w:cs="Arial"/>
        </w:rPr>
        <w:t>. 2025;45(7):1327-1354. doi:10.1017/S0144686X24000011</w:t>
      </w:r>
    </w:p>
    <w:p w14:paraId="37289DE8" w14:textId="77777777" w:rsidR="00590605" w:rsidRPr="00667D1A" w:rsidRDefault="00590605" w:rsidP="000D4F24">
      <w:pPr>
        <w:spacing w:line="360" w:lineRule="auto"/>
        <w:rPr>
          <w:rFonts w:ascii="Arial" w:hAnsi="Arial" w:cs="Arial"/>
        </w:rPr>
      </w:pPr>
      <w:r w:rsidRPr="00667D1A">
        <w:rPr>
          <w:rFonts w:ascii="Arial" w:hAnsi="Arial" w:cs="Arial"/>
        </w:rPr>
        <w:t>Williams, S. (2022). ‘</w:t>
      </w:r>
      <w:proofErr w:type="gramStart"/>
      <w:r w:rsidRPr="00667D1A">
        <w:rPr>
          <w:rFonts w:ascii="Arial" w:hAnsi="Arial" w:cs="Arial"/>
        </w:rPr>
        <w:t>poverty</w:t>
      </w:r>
      <w:proofErr w:type="gramEnd"/>
      <w:r w:rsidRPr="00667D1A">
        <w:rPr>
          <w:rFonts w:ascii="Arial" w:hAnsi="Arial" w:cs="Arial"/>
        </w:rPr>
        <w:t>, gender and old age in the Victorian and Edwardian workhouse.’ Continuity and Change, 37(3), 389–421. https://doi.org/10.1017/s0268416023000036</w:t>
      </w:r>
    </w:p>
    <w:sectPr w:rsidR="00590605" w:rsidRPr="00667D1A" w:rsidSect="00667D1A">
      <w:head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7088A6" w14:textId="77777777" w:rsidR="00AF2366" w:rsidRDefault="00AF2366">
      <w:pPr>
        <w:spacing w:after="0" w:line="240" w:lineRule="auto"/>
      </w:pPr>
    </w:p>
  </w:endnote>
  <w:endnote w:type="continuationSeparator" w:id="0">
    <w:p w14:paraId="32E13CC0" w14:textId="77777777" w:rsidR="00AF2366" w:rsidRDefault="00AF23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04AB4" w14:textId="77777777" w:rsidR="00AF2366" w:rsidRDefault="00AF2366">
      <w:pPr>
        <w:spacing w:after="0" w:line="240" w:lineRule="auto"/>
      </w:pPr>
    </w:p>
  </w:footnote>
  <w:footnote w:type="continuationSeparator" w:id="0">
    <w:p w14:paraId="370D61C6" w14:textId="77777777" w:rsidR="00AF2366" w:rsidRDefault="00AF236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71D5E" w14:textId="77777777" w:rsidR="00667D1A" w:rsidRPr="00667D1A" w:rsidRDefault="00667D1A" w:rsidP="00667D1A">
    <w:pPr>
      <w:spacing w:after="0"/>
      <w:rPr>
        <w:rFonts w:ascii="Arial" w:hAnsi="Arial" w:cs="Arial"/>
        <w:noProof/>
        <w:sz w:val="18"/>
        <w:szCs w:val="18"/>
      </w:rPr>
    </w:pPr>
    <w:r w:rsidRPr="00667D1A">
      <w:rPr>
        <w:rFonts w:ascii="Arial" w:hAnsi="Arial" w:cs="Arial"/>
        <w:noProof/>
        <w:sz w:val="18"/>
        <w:szCs w:val="18"/>
      </w:rPr>
      <w:t>Najma Mir</w:t>
    </w:r>
  </w:p>
  <w:p w14:paraId="268E644F" w14:textId="77777777" w:rsidR="00667D1A" w:rsidRPr="00667D1A" w:rsidRDefault="00667D1A" w:rsidP="00667D1A">
    <w:pPr>
      <w:spacing w:after="0"/>
      <w:rPr>
        <w:rFonts w:ascii="Arial" w:hAnsi="Arial" w:cs="Arial"/>
        <w:noProof/>
        <w:sz w:val="18"/>
        <w:szCs w:val="18"/>
      </w:rPr>
    </w:pPr>
    <w:r w:rsidRPr="00667D1A">
      <w:rPr>
        <w:rFonts w:ascii="Arial" w:hAnsi="Arial" w:cs="Arial"/>
        <w:noProof/>
        <w:sz w:val="18"/>
        <w:szCs w:val="18"/>
      </w:rPr>
      <w:t>2522176</w:t>
    </w:r>
  </w:p>
  <w:p w14:paraId="69E38570" w14:textId="77777777" w:rsidR="00667D1A" w:rsidRDefault="00667D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8A1"/>
    <w:rsid w:val="00042126"/>
    <w:rsid w:val="0005703F"/>
    <w:rsid w:val="000D4F24"/>
    <w:rsid w:val="003323A7"/>
    <w:rsid w:val="003710A5"/>
    <w:rsid w:val="003B05E8"/>
    <w:rsid w:val="004256EE"/>
    <w:rsid w:val="004E23EF"/>
    <w:rsid w:val="00531BC8"/>
    <w:rsid w:val="00590605"/>
    <w:rsid w:val="00610ABD"/>
    <w:rsid w:val="00667D1A"/>
    <w:rsid w:val="006867DE"/>
    <w:rsid w:val="008A3524"/>
    <w:rsid w:val="008B474D"/>
    <w:rsid w:val="009B4C1C"/>
    <w:rsid w:val="009D68A1"/>
    <w:rsid w:val="00A22C06"/>
    <w:rsid w:val="00AF2366"/>
    <w:rsid w:val="00C62345"/>
    <w:rsid w:val="00C733C4"/>
    <w:rsid w:val="00C926A6"/>
    <w:rsid w:val="00F30EE8"/>
    <w:rsid w:val="00F44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68404"/>
  <w15:chartTrackingRefBased/>
  <w15:docId w15:val="{F1976A25-2B96-4C4A-935E-B809F920F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D1A"/>
  </w:style>
  <w:style w:type="paragraph" w:styleId="Heading1">
    <w:name w:val="heading 1"/>
    <w:basedOn w:val="Normal"/>
    <w:next w:val="Normal"/>
    <w:link w:val="Heading1Char"/>
    <w:uiPriority w:val="9"/>
    <w:qFormat/>
    <w:rsid w:val="009D68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68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68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68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68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68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68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68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68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68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68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68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68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68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68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68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68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68A1"/>
    <w:rPr>
      <w:rFonts w:eastAsiaTheme="majorEastAsia" w:cstheme="majorBidi"/>
      <w:color w:val="272727" w:themeColor="text1" w:themeTint="D8"/>
    </w:rPr>
  </w:style>
  <w:style w:type="paragraph" w:styleId="Title">
    <w:name w:val="Title"/>
    <w:basedOn w:val="Normal"/>
    <w:next w:val="Normal"/>
    <w:link w:val="TitleChar"/>
    <w:uiPriority w:val="10"/>
    <w:qFormat/>
    <w:rsid w:val="009D68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8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8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8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8A1"/>
    <w:pPr>
      <w:spacing w:before="160"/>
      <w:jc w:val="center"/>
    </w:pPr>
    <w:rPr>
      <w:i/>
      <w:iCs/>
      <w:color w:val="404040" w:themeColor="text1" w:themeTint="BF"/>
    </w:rPr>
  </w:style>
  <w:style w:type="character" w:customStyle="1" w:styleId="QuoteChar">
    <w:name w:val="Quote Char"/>
    <w:basedOn w:val="DefaultParagraphFont"/>
    <w:link w:val="Quote"/>
    <w:uiPriority w:val="29"/>
    <w:rsid w:val="009D68A1"/>
    <w:rPr>
      <w:i/>
      <w:iCs/>
      <w:color w:val="404040" w:themeColor="text1" w:themeTint="BF"/>
    </w:rPr>
  </w:style>
  <w:style w:type="paragraph" w:styleId="ListParagraph">
    <w:name w:val="List Paragraph"/>
    <w:basedOn w:val="Normal"/>
    <w:uiPriority w:val="34"/>
    <w:qFormat/>
    <w:rsid w:val="009D68A1"/>
    <w:pPr>
      <w:ind w:left="720"/>
      <w:contextualSpacing/>
    </w:pPr>
  </w:style>
  <w:style w:type="character" w:styleId="IntenseEmphasis">
    <w:name w:val="Intense Emphasis"/>
    <w:basedOn w:val="DefaultParagraphFont"/>
    <w:uiPriority w:val="21"/>
    <w:qFormat/>
    <w:rsid w:val="009D68A1"/>
    <w:rPr>
      <w:i/>
      <w:iCs/>
      <w:color w:val="0F4761" w:themeColor="accent1" w:themeShade="BF"/>
    </w:rPr>
  </w:style>
  <w:style w:type="paragraph" w:styleId="IntenseQuote">
    <w:name w:val="Intense Quote"/>
    <w:basedOn w:val="Normal"/>
    <w:next w:val="Normal"/>
    <w:link w:val="IntenseQuoteChar"/>
    <w:uiPriority w:val="30"/>
    <w:qFormat/>
    <w:rsid w:val="009D68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68A1"/>
    <w:rPr>
      <w:i/>
      <w:iCs/>
      <w:color w:val="0F4761" w:themeColor="accent1" w:themeShade="BF"/>
    </w:rPr>
  </w:style>
  <w:style w:type="character" w:styleId="IntenseReference">
    <w:name w:val="Intense Reference"/>
    <w:basedOn w:val="DefaultParagraphFont"/>
    <w:uiPriority w:val="32"/>
    <w:qFormat/>
    <w:rsid w:val="009D68A1"/>
    <w:rPr>
      <w:b/>
      <w:bCs/>
      <w:smallCaps/>
      <w:color w:val="0F4761" w:themeColor="accent1" w:themeShade="BF"/>
      <w:spacing w:val="5"/>
    </w:rPr>
  </w:style>
  <w:style w:type="paragraph" w:styleId="Header">
    <w:name w:val="header"/>
    <w:basedOn w:val="Normal"/>
    <w:link w:val="HeaderChar"/>
    <w:uiPriority w:val="99"/>
    <w:unhideWhenUsed/>
    <w:rsid w:val="00667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D1A"/>
  </w:style>
  <w:style w:type="paragraph" w:styleId="Footer">
    <w:name w:val="footer"/>
    <w:basedOn w:val="Normal"/>
    <w:link w:val="FooterChar"/>
    <w:uiPriority w:val="99"/>
    <w:unhideWhenUsed/>
    <w:rsid w:val="00667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D1A"/>
  </w:style>
  <w:style w:type="paragraph" w:styleId="NormalWeb">
    <w:name w:val="Normal (Web)"/>
    <w:basedOn w:val="Normal"/>
    <w:uiPriority w:val="99"/>
    <w:semiHidden/>
    <w:unhideWhenUsed/>
    <w:rsid w:val="0005703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2f6128a98ab92cf6706682b934e174a">
  <xsd:schema xmlns:xsd="http://www.w3.org/2001/XMLSchema" xmlns:xs="http://www.w3.org/2001/XMLSchema" xmlns:p="http://schemas.microsoft.com/office/2006/metadata/properties" xmlns:ns3="901b7179-a49d-4669-ab88-101a0e80079b" targetNamespace="http://schemas.microsoft.com/office/2006/metadata/properties" ma:root="true" ma:fieldsID="0b05b6ab8d9f32e246155da089f7607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93BD8E6E-AE5C-44B4-8042-11DB0A298EFC}">
  <ds:schemaRefs>
    <ds:schemaRef ds:uri="http://schemas.openxmlformats.org/officeDocument/2006/bibliography"/>
  </ds:schemaRefs>
</ds:datastoreItem>
</file>

<file path=customXml/itemProps2.xml><?xml version="1.0" encoding="utf-8"?>
<ds:datastoreItem xmlns:ds="http://schemas.openxmlformats.org/officeDocument/2006/customXml" ds:itemID="{4A012CC7-EC21-4336-86A7-0F910D3B72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D58138-D647-465F-A2B5-A76ECAC99A27}">
  <ds:schemaRefs>
    <ds:schemaRef ds:uri="http://schemas.microsoft.com/sharepoint/v3/contenttype/forms"/>
  </ds:schemaRefs>
</ds:datastoreItem>
</file>

<file path=customXml/itemProps4.xml><?xml version="1.0" encoding="utf-8"?>
<ds:datastoreItem xmlns:ds="http://schemas.openxmlformats.org/officeDocument/2006/customXml" ds:itemID="{C0D58DF7-9489-4791-82EC-485B241BB8CA}">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1170</Words>
  <Characters>6675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Najmabai Mir (2522176)</dc:creator>
  <cp:keywords/>
  <dc:description/>
  <cp:lastModifiedBy>Najmabai Mir (2522176)</cp:lastModifiedBy>
  <cp:revision>2</cp:revision>
  <dcterms:created xsi:type="dcterms:W3CDTF">2026-06-22T08:50:00Z</dcterms:created>
  <dcterms:modified xsi:type="dcterms:W3CDTF">2026-06-22T08:50:00Z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