
<file path=[Content_Types].xml><?xml version="1.0" encoding="utf-8"?>
<Types xmlns="http://schemas.openxmlformats.org/package/2006/content-types">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ED7F16" w14:textId="77777777" w:rsidR="00896351" w:rsidRDefault="00896351" w:rsidP="00896351"/>
    <w:p w14:paraId="6D316514" w14:textId="77777777" w:rsidR="00896351" w:rsidRDefault="00896351" w:rsidP="00896351"/>
    <w:p w14:paraId="1AFF944C" w14:textId="77777777" w:rsidR="00896351" w:rsidRPr="00F16466" w:rsidRDefault="00896351" w:rsidP="00896351">
      <w:pPr>
        <w:jc w:val="center"/>
        <w:rPr>
          <w:rFonts w:cs="Arial"/>
          <w:b/>
          <w:sz w:val="36"/>
          <w:szCs w:val="36"/>
        </w:rPr>
      </w:pPr>
      <w:r w:rsidRPr="00F16466">
        <w:rPr>
          <w:rFonts w:cs="Arial"/>
          <w:b/>
          <w:sz w:val="36"/>
          <w:szCs w:val="36"/>
        </w:rPr>
        <w:t>Trinity Saint David University.</w:t>
      </w:r>
    </w:p>
    <w:p w14:paraId="59E8EDF7" w14:textId="77777777" w:rsidR="00896351" w:rsidRPr="00F16466" w:rsidRDefault="00896351" w:rsidP="00896351">
      <w:pPr>
        <w:jc w:val="center"/>
        <w:rPr>
          <w:rFonts w:cs="Arial"/>
          <w:b/>
          <w:sz w:val="36"/>
          <w:szCs w:val="36"/>
        </w:rPr>
      </w:pPr>
      <w:r w:rsidRPr="00F16466">
        <w:rPr>
          <w:rFonts w:cs="Arial"/>
          <w:b/>
          <w:sz w:val="36"/>
          <w:szCs w:val="36"/>
        </w:rPr>
        <w:t>Industry 4.0</w:t>
      </w:r>
      <w:r>
        <w:rPr>
          <w:rFonts w:cs="Arial"/>
          <w:b/>
          <w:sz w:val="36"/>
          <w:szCs w:val="36"/>
        </w:rPr>
        <w:t xml:space="preserve"> Advanced Manufacturing.</w:t>
      </w:r>
    </w:p>
    <w:p w14:paraId="57FE0C13" w14:textId="77777777" w:rsidR="00896351" w:rsidRPr="003C2ABF" w:rsidRDefault="00896351" w:rsidP="00896351">
      <w:pPr>
        <w:jc w:val="center"/>
        <w:rPr>
          <w:rFonts w:cs="Arial"/>
          <w:b/>
          <w:szCs w:val="24"/>
        </w:rPr>
      </w:pPr>
    </w:p>
    <w:p w14:paraId="48220B98" w14:textId="77777777" w:rsidR="00896351" w:rsidRDefault="00896351" w:rsidP="00896351">
      <w:pPr>
        <w:jc w:val="center"/>
        <w:rPr>
          <w:rFonts w:cs="Arial"/>
          <w:b/>
          <w:szCs w:val="24"/>
        </w:rPr>
      </w:pPr>
      <w:r>
        <w:rPr>
          <w:rFonts w:cs="Arial"/>
          <w:b/>
          <w:noProof/>
          <w:szCs w:val="24"/>
          <w:lang w:eastAsia="en-GB"/>
        </w:rPr>
        <w:drawing>
          <wp:inline distT="0" distB="0" distL="0" distR="0" wp14:anchorId="240FC3E9" wp14:editId="0BDB7772">
            <wp:extent cx="3598164" cy="1440180"/>
            <wp:effectExtent l="0" t="0" r="2540" b="762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14:paraId="5D23A620" w14:textId="77777777" w:rsidR="00896351" w:rsidRDefault="00896351" w:rsidP="00896351">
      <w:pPr>
        <w:jc w:val="center"/>
        <w:rPr>
          <w:rFonts w:cs="Arial"/>
          <w:b/>
          <w:szCs w:val="24"/>
        </w:rPr>
      </w:pPr>
    </w:p>
    <w:p w14:paraId="3BA906A5" w14:textId="77777777" w:rsidR="00896351" w:rsidRDefault="00896351" w:rsidP="00896351">
      <w:pPr>
        <w:jc w:val="center"/>
        <w:rPr>
          <w:rFonts w:cs="Arial"/>
          <w:b/>
          <w:szCs w:val="24"/>
        </w:rPr>
      </w:pPr>
    </w:p>
    <w:p w14:paraId="5E70CCCB" w14:textId="7C8AFFCE" w:rsidR="00896351" w:rsidRPr="003C2ABF" w:rsidRDefault="00896351" w:rsidP="00896351">
      <w:pPr>
        <w:jc w:val="center"/>
        <w:rPr>
          <w:rFonts w:cs="Arial"/>
          <w:b/>
          <w:szCs w:val="24"/>
        </w:rPr>
      </w:pPr>
      <w:r>
        <w:rPr>
          <w:rFonts w:cs="Arial"/>
          <w:b/>
          <w:szCs w:val="24"/>
        </w:rPr>
        <w:t>ACPA700</w:t>
      </w:r>
      <w:r w:rsidR="00DB175F">
        <w:rPr>
          <w:rFonts w:cs="Arial"/>
          <w:b/>
          <w:szCs w:val="24"/>
        </w:rPr>
        <w:t>2</w:t>
      </w:r>
    </w:p>
    <w:p w14:paraId="286D7452" w14:textId="30620CFE" w:rsidR="00896351" w:rsidRDefault="00DB175F" w:rsidP="00DB175F">
      <w:pPr>
        <w:jc w:val="center"/>
        <w:rPr>
          <w:rFonts w:cs="Arial"/>
          <w:b/>
          <w:szCs w:val="24"/>
        </w:rPr>
      </w:pPr>
      <w:r>
        <w:rPr>
          <w:rFonts w:cs="Arial"/>
          <w:b/>
          <w:szCs w:val="24"/>
        </w:rPr>
        <w:t>Finance Management and Planning</w:t>
      </w:r>
    </w:p>
    <w:p w14:paraId="0A1428D6" w14:textId="77777777" w:rsidR="00896351" w:rsidRDefault="00896351" w:rsidP="00896351">
      <w:pPr>
        <w:rPr>
          <w:rFonts w:cs="Arial"/>
          <w:b/>
          <w:szCs w:val="24"/>
        </w:rPr>
      </w:pPr>
    </w:p>
    <w:p w14:paraId="426F5250" w14:textId="77777777" w:rsidR="00896351" w:rsidRDefault="00896351" w:rsidP="00896351">
      <w:pPr>
        <w:rPr>
          <w:rFonts w:cs="Arial"/>
          <w:b/>
          <w:szCs w:val="24"/>
        </w:rPr>
      </w:pPr>
      <w:r w:rsidRPr="003C2ABF">
        <w:rPr>
          <w:rFonts w:cs="Arial"/>
          <w:b/>
          <w:szCs w:val="24"/>
        </w:rPr>
        <w:t>Carl Jones Student 2134125.</w:t>
      </w:r>
    </w:p>
    <w:p w14:paraId="43B5A639" w14:textId="77777777" w:rsidR="00896351" w:rsidRDefault="00896351" w:rsidP="00896351">
      <w:pPr>
        <w:rPr>
          <w:rFonts w:cs="Arial"/>
          <w:b/>
          <w:szCs w:val="24"/>
        </w:rPr>
      </w:pPr>
      <w:r>
        <w:rPr>
          <w:rFonts w:cs="Arial"/>
          <w:b/>
          <w:szCs w:val="24"/>
        </w:rPr>
        <w:t>Cohort 07/22</w:t>
      </w:r>
    </w:p>
    <w:p w14:paraId="2AB6A669" w14:textId="1BAED781" w:rsidR="00896351" w:rsidRPr="003C2ABF" w:rsidRDefault="00896351" w:rsidP="00896351">
      <w:pPr>
        <w:rPr>
          <w:rFonts w:cs="Arial"/>
          <w:b/>
          <w:szCs w:val="24"/>
        </w:rPr>
      </w:pPr>
      <w:r>
        <w:rPr>
          <w:rFonts w:cs="Arial"/>
          <w:b/>
          <w:szCs w:val="24"/>
        </w:rPr>
        <w:t xml:space="preserve">Lecturer </w:t>
      </w:r>
      <w:r w:rsidR="00DB175F">
        <w:rPr>
          <w:rFonts w:cs="Arial"/>
          <w:b/>
          <w:szCs w:val="24"/>
        </w:rPr>
        <w:t>Howard Davies</w:t>
      </w:r>
    </w:p>
    <w:p w14:paraId="3C1ACB7C" w14:textId="77777777" w:rsidR="00896351" w:rsidRPr="003A38DA" w:rsidRDefault="00896351" w:rsidP="00896351">
      <w:pPr>
        <w:rPr>
          <w:b/>
        </w:rPr>
      </w:pPr>
    </w:p>
    <w:p w14:paraId="6AFD1682" w14:textId="113CFAF7" w:rsidR="00896351" w:rsidRDefault="00896351" w:rsidP="00896351">
      <w:pPr>
        <w:rPr>
          <w:rFonts w:cs="Arial"/>
          <w:b/>
          <w:szCs w:val="24"/>
        </w:rPr>
      </w:pPr>
      <w:r w:rsidRPr="003A38DA">
        <w:rPr>
          <w:rFonts w:cs="Arial"/>
          <w:b/>
          <w:szCs w:val="24"/>
        </w:rPr>
        <w:t xml:space="preserve">Assignment </w:t>
      </w:r>
      <w:r>
        <w:rPr>
          <w:rFonts w:cs="Arial"/>
          <w:b/>
          <w:szCs w:val="24"/>
        </w:rPr>
        <w:t>2</w:t>
      </w:r>
      <w:r w:rsidRPr="003A38DA">
        <w:rPr>
          <w:rFonts w:cs="Arial"/>
          <w:b/>
          <w:szCs w:val="24"/>
        </w:rPr>
        <w:t xml:space="preserve"> – </w:t>
      </w:r>
      <w:r w:rsidR="00DB175F">
        <w:rPr>
          <w:rFonts w:cs="Arial"/>
          <w:b/>
          <w:szCs w:val="24"/>
        </w:rPr>
        <w:t xml:space="preserve">Business </w:t>
      </w:r>
      <w:r>
        <w:rPr>
          <w:rFonts w:cs="Arial"/>
          <w:b/>
          <w:szCs w:val="24"/>
        </w:rPr>
        <w:t>Report</w:t>
      </w:r>
    </w:p>
    <w:p w14:paraId="0A55577D" w14:textId="035ABB76" w:rsidR="00896351" w:rsidRPr="00F876AE" w:rsidRDefault="00DB175F" w:rsidP="00896351">
      <w:r>
        <w:t>Business Report to establish the risks and rewards of a £5m partnership with Aston Martin</w:t>
      </w:r>
      <w:r w:rsidR="00D410F5">
        <w:t xml:space="preserve"> Lagonda</w:t>
      </w:r>
      <w:r>
        <w:t>.</w:t>
      </w:r>
    </w:p>
    <w:p w14:paraId="070A1D5F" w14:textId="77777777" w:rsidR="00896351" w:rsidRPr="003A38DA" w:rsidRDefault="00896351" w:rsidP="00896351">
      <w:pPr>
        <w:rPr>
          <w:rFonts w:cs="Arial"/>
          <w:b/>
          <w:szCs w:val="24"/>
        </w:rPr>
      </w:pPr>
    </w:p>
    <w:p w14:paraId="2A157983" w14:textId="77777777" w:rsidR="00896351" w:rsidRDefault="00896351" w:rsidP="00896351">
      <w:pPr>
        <w:rPr>
          <w:rFonts w:cs="Arial"/>
          <w:szCs w:val="24"/>
        </w:rPr>
      </w:pPr>
    </w:p>
    <w:p w14:paraId="14E372AE" w14:textId="77777777" w:rsidR="00896351" w:rsidRPr="00EF70BA" w:rsidRDefault="00896351" w:rsidP="00896351">
      <w:pPr>
        <w:rPr>
          <w:rFonts w:cs="Arial"/>
          <w:b/>
          <w:bCs/>
          <w:szCs w:val="24"/>
        </w:rPr>
      </w:pPr>
    </w:p>
    <w:p w14:paraId="74B339C0" w14:textId="77777777" w:rsidR="00896351" w:rsidRPr="00870F14" w:rsidRDefault="00896351" w:rsidP="00896351">
      <w:pPr>
        <w:rPr>
          <w:rFonts w:cs="Arial"/>
          <w:szCs w:val="24"/>
        </w:rPr>
      </w:pPr>
    </w:p>
    <w:p w14:paraId="1ABB71F7" w14:textId="56F8FD15" w:rsidR="00896351" w:rsidRDefault="00AD3728" w:rsidP="00AD3728">
      <w:pPr>
        <w:tabs>
          <w:tab w:val="left" w:pos="3540"/>
        </w:tabs>
        <w:rPr>
          <w:rFonts w:cs="Arial"/>
          <w:szCs w:val="24"/>
        </w:rPr>
      </w:pPr>
      <w:r>
        <w:rPr>
          <w:rFonts w:cs="Arial"/>
          <w:szCs w:val="24"/>
        </w:rPr>
        <w:tab/>
      </w:r>
    </w:p>
    <w:p w14:paraId="1C635C50" w14:textId="77777777" w:rsidR="003E28A9" w:rsidRDefault="003E28A9" w:rsidP="00896351">
      <w:pPr>
        <w:rPr>
          <w:rFonts w:cs="Arial"/>
          <w:szCs w:val="24"/>
        </w:rPr>
      </w:pPr>
    </w:p>
    <w:p w14:paraId="6AD19622" w14:textId="77777777" w:rsidR="003E28A9" w:rsidRDefault="003E28A9" w:rsidP="00896351">
      <w:pPr>
        <w:rPr>
          <w:rFonts w:cs="Arial"/>
          <w:szCs w:val="24"/>
        </w:rPr>
      </w:pPr>
    </w:p>
    <w:sdt>
      <w:sdtPr>
        <w:rPr>
          <w:rFonts w:asciiTheme="minorHAnsi" w:eastAsiaTheme="minorHAnsi" w:hAnsiTheme="minorHAnsi" w:cstheme="minorBidi"/>
          <w:color w:val="auto"/>
          <w:sz w:val="24"/>
          <w:szCs w:val="22"/>
          <w:lang w:val="en-GB"/>
        </w:rPr>
        <w:id w:val="-1027398226"/>
        <w:docPartObj>
          <w:docPartGallery w:val="Table of Contents"/>
          <w:docPartUnique/>
        </w:docPartObj>
      </w:sdtPr>
      <w:sdtEndPr>
        <w:rPr>
          <w:b/>
          <w:bCs/>
          <w:noProof/>
        </w:rPr>
      </w:sdtEndPr>
      <w:sdtContent>
        <w:p w14:paraId="0A771B6A" w14:textId="69D9BE31" w:rsidR="00A64BD9" w:rsidRPr="00A64BD9" w:rsidRDefault="00A64BD9">
          <w:pPr>
            <w:pStyle w:val="TOCHeading"/>
            <w:rPr>
              <w:b/>
              <w:bCs/>
              <w:color w:val="auto"/>
              <w:u w:val="single"/>
            </w:rPr>
          </w:pPr>
          <w:r w:rsidRPr="00A64BD9">
            <w:rPr>
              <w:b/>
              <w:bCs/>
              <w:color w:val="auto"/>
              <w:u w:val="single"/>
            </w:rPr>
            <w:t>Contents</w:t>
          </w:r>
        </w:p>
        <w:p w14:paraId="492257A8" w14:textId="5CA2DD84" w:rsidR="00156762" w:rsidRDefault="00A64BD9">
          <w:pPr>
            <w:pStyle w:val="TOC1"/>
            <w:tabs>
              <w:tab w:val="right" w:leader="dot" w:pos="9016"/>
            </w:tabs>
            <w:rPr>
              <w:rFonts w:eastAsiaTheme="minorEastAsia"/>
              <w:noProof/>
              <w:kern w:val="2"/>
              <w:sz w:val="22"/>
              <w:lang w:eastAsia="en-GB"/>
              <w14:ligatures w14:val="standardContextual"/>
            </w:rPr>
          </w:pPr>
          <w:r>
            <w:fldChar w:fldCharType="begin"/>
          </w:r>
          <w:r>
            <w:instrText xml:space="preserve"> TOC \o "1-3" \h \z \u </w:instrText>
          </w:r>
          <w:r>
            <w:fldChar w:fldCharType="separate"/>
          </w:r>
          <w:hyperlink w:anchor="_Toc146791853" w:history="1">
            <w:r w:rsidR="00156762" w:rsidRPr="00F2773D">
              <w:rPr>
                <w:rStyle w:val="Hyperlink"/>
                <w:noProof/>
              </w:rPr>
              <w:t>Executive Summary</w:t>
            </w:r>
            <w:r w:rsidR="00156762">
              <w:rPr>
                <w:noProof/>
                <w:webHidden/>
              </w:rPr>
              <w:tab/>
            </w:r>
            <w:r w:rsidR="00156762">
              <w:rPr>
                <w:noProof/>
                <w:webHidden/>
              </w:rPr>
              <w:fldChar w:fldCharType="begin"/>
            </w:r>
            <w:r w:rsidR="00156762">
              <w:rPr>
                <w:noProof/>
                <w:webHidden/>
              </w:rPr>
              <w:instrText xml:space="preserve"> PAGEREF _Toc146791853 \h </w:instrText>
            </w:r>
            <w:r w:rsidR="00156762">
              <w:rPr>
                <w:noProof/>
                <w:webHidden/>
              </w:rPr>
            </w:r>
            <w:r w:rsidR="00156762">
              <w:rPr>
                <w:noProof/>
                <w:webHidden/>
              </w:rPr>
              <w:fldChar w:fldCharType="separate"/>
            </w:r>
            <w:r w:rsidR="00156762">
              <w:rPr>
                <w:noProof/>
                <w:webHidden/>
              </w:rPr>
              <w:t>3</w:t>
            </w:r>
            <w:r w:rsidR="00156762">
              <w:rPr>
                <w:noProof/>
                <w:webHidden/>
              </w:rPr>
              <w:fldChar w:fldCharType="end"/>
            </w:r>
          </w:hyperlink>
        </w:p>
        <w:p w14:paraId="45899B64" w14:textId="184AE159" w:rsidR="00156762" w:rsidRDefault="00000000">
          <w:pPr>
            <w:pStyle w:val="TOC1"/>
            <w:tabs>
              <w:tab w:val="right" w:leader="dot" w:pos="9016"/>
            </w:tabs>
            <w:rPr>
              <w:rFonts w:eastAsiaTheme="minorEastAsia"/>
              <w:noProof/>
              <w:kern w:val="2"/>
              <w:sz w:val="22"/>
              <w:lang w:eastAsia="en-GB"/>
              <w14:ligatures w14:val="standardContextual"/>
            </w:rPr>
          </w:pPr>
          <w:hyperlink w:anchor="_Toc146791854" w:history="1">
            <w:r w:rsidR="00156762" w:rsidRPr="00F2773D">
              <w:rPr>
                <w:rStyle w:val="Hyperlink"/>
                <w:noProof/>
              </w:rPr>
              <w:t>Introduction</w:t>
            </w:r>
            <w:r w:rsidR="00156762">
              <w:rPr>
                <w:noProof/>
                <w:webHidden/>
              </w:rPr>
              <w:tab/>
            </w:r>
            <w:r w:rsidR="00156762">
              <w:rPr>
                <w:noProof/>
                <w:webHidden/>
              </w:rPr>
              <w:fldChar w:fldCharType="begin"/>
            </w:r>
            <w:r w:rsidR="00156762">
              <w:rPr>
                <w:noProof/>
                <w:webHidden/>
              </w:rPr>
              <w:instrText xml:space="preserve"> PAGEREF _Toc146791854 \h </w:instrText>
            </w:r>
            <w:r w:rsidR="00156762">
              <w:rPr>
                <w:noProof/>
                <w:webHidden/>
              </w:rPr>
            </w:r>
            <w:r w:rsidR="00156762">
              <w:rPr>
                <w:noProof/>
                <w:webHidden/>
              </w:rPr>
              <w:fldChar w:fldCharType="separate"/>
            </w:r>
            <w:r w:rsidR="00156762">
              <w:rPr>
                <w:noProof/>
                <w:webHidden/>
              </w:rPr>
              <w:t>4</w:t>
            </w:r>
            <w:r w:rsidR="00156762">
              <w:rPr>
                <w:noProof/>
                <w:webHidden/>
              </w:rPr>
              <w:fldChar w:fldCharType="end"/>
            </w:r>
          </w:hyperlink>
        </w:p>
        <w:p w14:paraId="4B1B14E8" w14:textId="7D0B9EB5" w:rsidR="00156762" w:rsidRDefault="00000000">
          <w:pPr>
            <w:pStyle w:val="TOC1"/>
            <w:tabs>
              <w:tab w:val="right" w:leader="dot" w:pos="9016"/>
            </w:tabs>
            <w:rPr>
              <w:rFonts w:eastAsiaTheme="minorEastAsia"/>
              <w:noProof/>
              <w:kern w:val="2"/>
              <w:sz w:val="22"/>
              <w:lang w:eastAsia="en-GB"/>
              <w14:ligatures w14:val="standardContextual"/>
            </w:rPr>
          </w:pPr>
          <w:hyperlink w:anchor="_Toc146791855" w:history="1">
            <w:r w:rsidR="00156762" w:rsidRPr="00F2773D">
              <w:rPr>
                <w:rStyle w:val="Hyperlink"/>
                <w:noProof/>
              </w:rPr>
              <w:t>Financial analysis.</w:t>
            </w:r>
            <w:r w:rsidR="00156762">
              <w:rPr>
                <w:noProof/>
                <w:webHidden/>
              </w:rPr>
              <w:tab/>
            </w:r>
            <w:r w:rsidR="00156762">
              <w:rPr>
                <w:noProof/>
                <w:webHidden/>
              </w:rPr>
              <w:fldChar w:fldCharType="begin"/>
            </w:r>
            <w:r w:rsidR="00156762">
              <w:rPr>
                <w:noProof/>
                <w:webHidden/>
              </w:rPr>
              <w:instrText xml:space="preserve"> PAGEREF _Toc146791855 \h </w:instrText>
            </w:r>
            <w:r w:rsidR="00156762">
              <w:rPr>
                <w:noProof/>
                <w:webHidden/>
              </w:rPr>
            </w:r>
            <w:r w:rsidR="00156762">
              <w:rPr>
                <w:noProof/>
                <w:webHidden/>
              </w:rPr>
              <w:fldChar w:fldCharType="separate"/>
            </w:r>
            <w:r w:rsidR="00156762">
              <w:rPr>
                <w:noProof/>
                <w:webHidden/>
              </w:rPr>
              <w:t>5</w:t>
            </w:r>
            <w:r w:rsidR="00156762">
              <w:rPr>
                <w:noProof/>
                <w:webHidden/>
              </w:rPr>
              <w:fldChar w:fldCharType="end"/>
            </w:r>
          </w:hyperlink>
        </w:p>
        <w:p w14:paraId="68FDF05B" w14:textId="1180C58E" w:rsidR="00156762" w:rsidRDefault="00000000">
          <w:pPr>
            <w:pStyle w:val="TOC2"/>
            <w:tabs>
              <w:tab w:val="right" w:leader="dot" w:pos="9016"/>
            </w:tabs>
            <w:rPr>
              <w:rFonts w:eastAsiaTheme="minorEastAsia"/>
              <w:noProof/>
              <w:kern w:val="2"/>
              <w:sz w:val="22"/>
              <w:lang w:eastAsia="en-GB"/>
              <w14:ligatures w14:val="standardContextual"/>
            </w:rPr>
          </w:pPr>
          <w:hyperlink w:anchor="_Toc146791856" w:history="1">
            <w:r w:rsidR="00156762" w:rsidRPr="00F2773D">
              <w:rPr>
                <w:rStyle w:val="Hyperlink"/>
                <w:noProof/>
              </w:rPr>
              <w:t>Use of Financial Ratios.</w:t>
            </w:r>
            <w:r w:rsidR="00156762">
              <w:rPr>
                <w:noProof/>
                <w:webHidden/>
              </w:rPr>
              <w:tab/>
            </w:r>
            <w:r w:rsidR="00156762">
              <w:rPr>
                <w:noProof/>
                <w:webHidden/>
              </w:rPr>
              <w:fldChar w:fldCharType="begin"/>
            </w:r>
            <w:r w:rsidR="00156762">
              <w:rPr>
                <w:noProof/>
                <w:webHidden/>
              </w:rPr>
              <w:instrText xml:space="preserve"> PAGEREF _Toc146791856 \h </w:instrText>
            </w:r>
            <w:r w:rsidR="00156762">
              <w:rPr>
                <w:noProof/>
                <w:webHidden/>
              </w:rPr>
            </w:r>
            <w:r w:rsidR="00156762">
              <w:rPr>
                <w:noProof/>
                <w:webHidden/>
              </w:rPr>
              <w:fldChar w:fldCharType="separate"/>
            </w:r>
            <w:r w:rsidR="00156762">
              <w:rPr>
                <w:noProof/>
                <w:webHidden/>
              </w:rPr>
              <w:t>5</w:t>
            </w:r>
            <w:r w:rsidR="00156762">
              <w:rPr>
                <w:noProof/>
                <w:webHidden/>
              </w:rPr>
              <w:fldChar w:fldCharType="end"/>
            </w:r>
          </w:hyperlink>
        </w:p>
        <w:p w14:paraId="70FAB85C" w14:textId="3B2B2497" w:rsidR="00156762" w:rsidRDefault="00000000">
          <w:pPr>
            <w:pStyle w:val="TOC2"/>
            <w:tabs>
              <w:tab w:val="right" w:leader="dot" w:pos="9016"/>
            </w:tabs>
            <w:rPr>
              <w:rFonts w:eastAsiaTheme="minorEastAsia"/>
              <w:noProof/>
              <w:kern w:val="2"/>
              <w:sz w:val="22"/>
              <w:lang w:eastAsia="en-GB"/>
              <w14:ligatures w14:val="standardContextual"/>
            </w:rPr>
          </w:pPr>
          <w:hyperlink w:anchor="_Toc146791857" w:history="1">
            <w:r w:rsidR="00156762" w:rsidRPr="00F2773D">
              <w:rPr>
                <w:rStyle w:val="Hyperlink"/>
                <w:noProof/>
              </w:rPr>
              <w:t>Limitations of Financial Ratios.</w:t>
            </w:r>
            <w:r w:rsidR="00156762">
              <w:rPr>
                <w:noProof/>
                <w:webHidden/>
              </w:rPr>
              <w:tab/>
            </w:r>
            <w:r w:rsidR="00156762">
              <w:rPr>
                <w:noProof/>
                <w:webHidden/>
              </w:rPr>
              <w:fldChar w:fldCharType="begin"/>
            </w:r>
            <w:r w:rsidR="00156762">
              <w:rPr>
                <w:noProof/>
                <w:webHidden/>
              </w:rPr>
              <w:instrText xml:space="preserve"> PAGEREF _Toc146791857 \h </w:instrText>
            </w:r>
            <w:r w:rsidR="00156762">
              <w:rPr>
                <w:noProof/>
                <w:webHidden/>
              </w:rPr>
            </w:r>
            <w:r w:rsidR="00156762">
              <w:rPr>
                <w:noProof/>
                <w:webHidden/>
              </w:rPr>
              <w:fldChar w:fldCharType="separate"/>
            </w:r>
            <w:r w:rsidR="00156762">
              <w:rPr>
                <w:noProof/>
                <w:webHidden/>
              </w:rPr>
              <w:t>6</w:t>
            </w:r>
            <w:r w:rsidR="00156762">
              <w:rPr>
                <w:noProof/>
                <w:webHidden/>
              </w:rPr>
              <w:fldChar w:fldCharType="end"/>
            </w:r>
          </w:hyperlink>
        </w:p>
        <w:p w14:paraId="5D7F9170" w14:textId="7AF5B75C" w:rsidR="00156762" w:rsidRDefault="00000000">
          <w:pPr>
            <w:pStyle w:val="TOC3"/>
            <w:tabs>
              <w:tab w:val="right" w:leader="dot" w:pos="9016"/>
            </w:tabs>
            <w:rPr>
              <w:rFonts w:eastAsiaTheme="minorEastAsia"/>
              <w:noProof/>
              <w:kern w:val="2"/>
              <w:sz w:val="22"/>
              <w:lang w:eastAsia="en-GB"/>
              <w14:ligatures w14:val="standardContextual"/>
            </w:rPr>
          </w:pPr>
          <w:hyperlink w:anchor="_Toc146791858" w:history="1">
            <w:r w:rsidR="00156762" w:rsidRPr="00F2773D">
              <w:rPr>
                <w:rStyle w:val="Hyperlink"/>
                <w:noProof/>
              </w:rPr>
              <w:t>Human error.</w:t>
            </w:r>
            <w:r w:rsidR="00156762">
              <w:rPr>
                <w:noProof/>
                <w:webHidden/>
              </w:rPr>
              <w:tab/>
            </w:r>
            <w:r w:rsidR="00156762">
              <w:rPr>
                <w:noProof/>
                <w:webHidden/>
              </w:rPr>
              <w:fldChar w:fldCharType="begin"/>
            </w:r>
            <w:r w:rsidR="00156762">
              <w:rPr>
                <w:noProof/>
                <w:webHidden/>
              </w:rPr>
              <w:instrText xml:space="preserve"> PAGEREF _Toc146791858 \h </w:instrText>
            </w:r>
            <w:r w:rsidR="00156762">
              <w:rPr>
                <w:noProof/>
                <w:webHidden/>
              </w:rPr>
            </w:r>
            <w:r w:rsidR="00156762">
              <w:rPr>
                <w:noProof/>
                <w:webHidden/>
              </w:rPr>
              <w:fldChar w:fldCharType="separate"/>
            </w:r>
            <w:r w:rsidR="00156762">
              <w:rPr>
                <w:noProof/>
                <w:webHidden/>
              </w:rPr>
              <w:t>6</w:t>
            </w:r>
            <w:r w:rsidR="00156762">
              <w:rPr>
                <w:noProof/>
                <w:webHidden/>
              </w:rPr>
              <w:fldChar w:fldCharType="end"/>
            </w:r>
          </w:hyperlink>
        </w:p>
        <w:p w14:paraId="01FB64CF" w14:textId="4DB91461" w:rsidR="00156762" w:rsidRDefault="00000000">
          <w:pPr>
            <w:pStyle w:val="TOC3"/>
            <w:tabs>
              <w:tab w:val="right" w:leader="dot" w:pos="9016"/>
            </w:tabs>
            <w:rPr>
              <w:rFonts w:eastAsiaTheme="minorEastAsia"/>
              <w:noProof/>
              <w:kern w:val="2"/>
              <w:sz w:val="22"/>
              <w:lang w:eastAsia="en-GB"/>
              <w14:ligatures w14:val="standardContextual"/>
            </w:rPr>
          </w:pPr>
          <w:hyperlink w:anchor="_Toc146791859" w:history="1">
            <w:r w:rsidR="00156762" w:rsidRPr="00F2773D">
              <w:rPr>
                <w:rStyle w:val="Hyperlink"/>
                <w:noProof/>
              </w:rPr>
              <w:t>Accounting methods.</w:t>
            </w:r>
            <w:r w:rsidR="00156762">
              <w:rPr>
                <w:noProof/>
                <w:webHidden/>
              </w:rPr>
              <w:tab/>
            </w:r>
            <w:r w:rsidR="00156762">
              <w:rPr>
                <w:noProof/>
                <w:webHidden/>
              </w:rPr>
              <w:fldChar w:fldCharType="begin"/>
            </w:r>
            <w:r w:rsidR="00156762">
              <w:rPr>
                <w:noProof/>
                <w:webHidden/>
              </w:rPr>
              <w:instrText xml:space="preserve"> PAGEREF _Toc146791859 \h </w:instrText>
            </w:r>
            <w:r w:rsidR="00156762">
              <w:rPr>
                <w:noProof/>
                <w:webHidden/>
              </w:rPr>
            </w:r>
            <w:r w:rsidR="00156762">
              <w:rPr>
                <w:noProof/>
                <w:webHidden/>
              </w:rPr>
              <w:fldChar w:fldCharType="separate"/>
            </w:r>
            <w:r w:rsidR="00156762">
              <w:rPr>
                <w:noProof/>
                <w:webHidden/>
              </w:rPr>
              <w:t>6</w:t>
            </w:r>
            <w:r w:rsidR="00156762">
              <w:rPr>
                <w:noProof/>
                <w:webHidden/>
              </w:rPr>
              <w:fldChar w:fldCharType="end"/>
            </w:r>
          </w:hyperlink>
        </w:p>
        <w:p w14:paraId="24571AFD" w14:textId="67CC57FC" w:rsidR="00156762" w:rsidRDefault="00000000">
          <w:pPr>
            <w:pStyle w:val="TOC3"/>
            <w:tabs>
              <w:tab w:val="right" w:leader="dot" w:pos="9016"/>
            </w:tabs>
            <w:rPr>
              <w:rFonts w:eastAsiaTheme="minorEastAsia"/>
              <w:noProof/>
              <w:kern w:val="2"/>
              <w:sz w:val="22"/>
              <w:lang w:eastAsia="en-GB"/>
              <w14:ligatures w14:val="standardContextual"/>
            </w:rPr>
          </w:pPr>
          <w:hyperlink w:anchor="_Toc146791860" w:history="1">
            <w:r w:rsidR="00156762" w:rsidRPr="00F2773D">
              <w:rPr>
                <w:rStyle w:val="Hyperlink"/>
                <w:noProof/>
              </w:rPr>
              <w:t>Inflation.</w:t>
            </w:r>
            <w:r w:rsidR="00156762">
              <w:rPr>
                <w:noProof/>
                <w:webHidden/>
              </w:rPr>
              <w:tab/>
            </w:r>
            <w:r w:rsidR="00156762">
              <w:rPr>
                <w:noProof/>
                <w:webHidden/>
              </w:rPr>
              <w:fldChar w:fldCharType="begin"/>
            </w:r>
            <w:r w:rsidR="00156762">
              <w:rPr>
                <w:noProof/>
                <w:webHidden/>
              </w:rPr>
              <w:instrText xml:space="preserve"> PAGEREF _Toc146791860 \h </w:instrText>
            </w:r>
            <w:r w:rsidR="00156762">
              <w:rPr>
                <w:noProof/>
                <w:webHidden/>
              </w:rPr>
            </w:r>
            <w:r w:rsidR="00156762">
              <w:rPr>
                <w:noProof/>
                <w:webHidden/>
              </w:rPr>
              <w:fldChar w:fldCharType="separate"/>
            </w:r>
            <w:r w:rsidR="00156762">
              <w:rPr>
                <w:noProof/>
                <w:webHidden/>
              </w:rPr>
              <w:t>6</w:t>
            </w:r>
            <w:r w:rsidR="00156762">
              <w:rPr>
                <w:noProof/>
                <w:webHidden/>
              </w:rPr>
              <w:fldChar w:fldCharType="end"/>
            </w:r>
          </w:hyperlink>
        </w:p>
        <w:p w14:paraId="3CB321D2" w14:textId="53BC069A" w:rsidR="00156762" w:rsidRDefault="00000000">
          <w:pPr>
            <w:pStyle w:val="TOC3"/>
            <w:tabs>
              <w:tab w:val="right" w:leader="dot" w:pos="9016"/>
            </w:tabs>
            <w:rPr>
              <w:rFonts w:eastAsiaTheme="minorEastAsia"/>
              <w:noProof/>
              <w:kern w:val="2"/>
              <w:sz w:val="22"/>
              <w:lang w:eastAsia="en-GB"/>
              <w14:ligatures w14:val="standardContextual"/>
            </w:rPr>
          </w:pPr>
          <w:hyperlink w:anchor="_Toc146791861" w:history="1">
            <w:r w:rsidR="00156762" w:rsidRPr="00F2773D">
              <w:rPr>
                <w:rStyle w:val="Hyperlink"/>
                <w:noProof/>
              </w:rPr>
              <w:t>Historical information.</w:t>
            </w:r>
            <w:r w:rsidR="00156762">
              <w:rPr>
                <w:noProof/>
                <w:webHidden/>
              </w:rPr>
              <w:tab/>
            </w:r>
            <w:r w:rsidR="00156762">
              <w:rPr>
                <w:noProof/>
                <w:webHidden/>
              </w:rPr>
              <w:fldChar w:fldCharType="begin"/>
            </w:r>
            <w:r w:rsidR="00156762">
              <w:rPr>
                <w:noProof/>
                <w:webHidden/>
              </w:rPr>
              <w:instrText xml:space="preserve"> PAGEREF _Toc146791861 \h </w:instrText>
            </w:r>
            <w:r w:rsidR="00156762">
              <w:rPr>
                <w:noProof/>
                <w:webHidden/>
              </w:rPr>
            </w:r>
            <w:r w:rsidR="00156762">
              <w:rPr>
                <w:noProof/>
                <w:webHidden/>
              </w:rPr>
              <w:fldChar w:fldCharType="separate"/>
            </w:r>
            <w:r w:rsidR="00156762">
              <w:rPr>
                <w:noProof/>
                <w:webHidden/>
              </w:rPr>
              <w:t>6</w:t>
            </w:r>
            <w:r w:rsidR="00156762">
              <w:rPr>
                <w:noProof/>
                <w:webHidden/>
              </w:rPr>
              <w:fldChar w:fldCharType="end"/>
            </w:r>
          </w:hyperlink>
        </w:p>
        <w:p w14:paraId="3F2551D3" w14:textId="3D86DEB9" w:rsidR="00156762" w:rsidRDefault="00000000">
          <w:pPr>
            <w:pStyle w:val="TOC3"/>
            <w:tabs>
              <w:tab w:val="right" w:leader="dot" w:pos="9016"/>
            </w:tabs>
            <w:rPr>
              <w:rFonts w:eastAsiaTheme="minorEastAsia"/>
              <w:noProof/>
              <w:kern w:val="2"/>
              <w:sz w:val="22"/>
              <w:lang w:eastAsia="en-GB"/>
              <w14:ligatures w14:val="standardContextual"/>
            </w:rPr>
          </w:pPr>
          <w:hyperlink w:anchor="_Toc146791862" w:history="1">
            <w:r w:rsidR="00156762" w:rsidRPr="00F2773D">
              <w:rPr>
                <w:rStyle w:val="Hyperlink"/>
                <w:noProof/>
                <w:shd w:val="clear" w:color="auto" w:fill="F7F7F8"/>
              </w:rPr>
              <w:t>Seasonality</w:t>
            </w:r>
            <w:r w:rsidR="00156762">
              <w:rPr>
                <w:noProof/>
                <w:webHidden/>
              </w:rPr>
              <w:tab/>
            </w:r>
            <w:r w:rsidR="00156762">
              <w:rPr>
                <w:noProof/>
                <w:webHidden/>
              </w:rPr>
              <w:fldChar w:fldCharType="begin"/>
            </w:r>
            <w:r w:rsidR="00156762">
              <w:rPr>
                <w:noProof/>
                <w:webHidden/>
              </w:rPr>
              <w:instrText xml:space="preserve"> PAGEREF _Toc146791862 \h </w:instrText>
            </w:r>
            <w:r w:rsidR="00156762">
              <w:rPr>
                <w:noProof/>
                <w:webHidden/>
              </w:rPr>
            </w:r>
            <w:r w:rsidR="00156762">
              <w:rPr>
                <w:noProof/>
                <w:webHidden/>
              </w:rPr>
              <w:fldChar w:fldCharType="separate"/>
            </w:r>
            <w:r w:rsidR="00156762">
              <w:rPr>
                <w:noProof/>
                <w:webHidden/>
              </w:rPr>
              <w:t>6</w:t>
            </w:r>
            <w:r w:rsidR="00156762">
              <w:rPr>
                <w:noProof/>
                <w:webHidden/>
              </w:rPr>
              <w:fldChar w:fldCharType="end"/>
            </w:r>
          </w:hyperlink>
        </w:p>
        <w:p w14:paraId="15C0F202" w14:textId="2832015B" w:rsidR="00156762" w:rsidRDefault="00000000">
          <w:pPr>
            <w:pStyle w:val="TOC3"/>
            <w:tabs>
              <w:tab w:val="right" w:leader="dot" w:pos="9016"/>
            </w:tabs>
            <w:rPr>
              <w:rFonts w:eastAsiaTheme="minorEastAsia"/>
              <w:noProof/>
              <w:kern w:val="2"/>
              <w:sz w:val="22"/>
              <w:lang w:eastAsia="en-GB"/>
              <w14:ligatures w14:val="standardContextual"/>
            </w:rPr>
          </w:pPr>
          <w:hyperlink w:anchor="_Toc146791863" w:history="1">
            <w:r w:rsidR="00156762" w:rsidRPr="00F2773D">
              <w:rPr>
                <w:rStyle w:val="Hyperlink"/>
                <w:noProof/>
                <w:shd w:val="clear" w:color="auto" w:fill="F7F7F8"/>
              </w:rPr>
              <w:t>Fraud</w:t>
            </w:r>
            <w:r w:rsidR="00156762">
              <w:rPr>
                <w:noProof/>
                <w:webHidden/>
              </w:rPr>
              <w:tab/>
            </w:r>
            <w:r w:rsidR="00156762">
              <w:rPr>
                <w:noProof/>
                <w:webHidden/>
              </w:rPr>
              <w:fldChar w:fldCharType="begin"/>
            </w:r>
            <w:r w:rsidR="00156762">
              <w:rPr>
                <w:noProof/>
                <w:webHidden/>
              </w:rPr>
              <w:instrText xml:space="preserve"> PAGEREF _Toc146791863 \h </w:instrText>
            </w:r>
            <w:r w:rsidR="00156762">
              <w:rPr>
                <w:noProof/>
                <w:webHidden/>
              </w:rPr>
            </w:r>
            <w:r w:rsidR="00156762">
              <w:rPr>
                <w:noProof/>
                <w:webHidden/>
              </w:rPr>
              <w:fldChar w:fldCharType="separate"/>
            </w:r>
            <w:r w:rsidR="00156762">
              <w:rPr>
                <w:noProof/>
                <w:webHidden/>
              </w:rPr>
              <w:t>6</w:t>
            </w:r>
            <w:r w:rsidR="00156762">
              <w:rPr>
                <w:noProof/>
                <w:webHidden/>
              </w:rPr>
              <w:fldChar w:fldCharType="end"/>
            </w:r>
          </w:hyperlink>
        </w:p>
        <w:p w14:paraId="2610EEDA" w14:textId="18790D4C" w:rsidR="00156762" w:rsidRDefault="00000000">
          <w:pPr>
            <w:pStyle w:val="TOC3"/>
            <w:tabs>
              <w:tab w:val="right" w:leader="dot" w:pos="9016"/>
            </w:tabs>
            <w:rPr>
              <w:rFonts w:eastAsiaTheme="minorEastAsia"/>
              <w:noProof/>
              <w:kern w:val="2"/>
              <w:sz w:val="22"/>
              <w:lang w:eastAsia="en-GB"/>
              <w14:ligatures w14:val="standardContextual"/>
            </w:rPr>
          </w:pPr>
          <w:hyperlink w:anchor="_Toc146791864" w:history="1">
            <w:r w:rsidR="00156762" w:rsidRPr="00F2773D">
              <w:rPr>
                <w:rStyle w:val="Hyperlink"/>
                <w:noProof/>
              </w:rPr>
              <w:t>Quantitative data types used to calculate ratios.</w:t>
            </w:r>
            <w:r w:rsidR="00156762">
              <w:rPr>
                <w:noProof/>
                <w:webHidden/>
              </w:rPr>
              <w:tab/>
            </w:r>
            <w:r w:rsidR="00156762">
              <w:rPr>
                <w:noProof/>
                <w:webHidden/>
              </w:rPr>
              <w:fldChar w:fldCharType="begin"/>
            </w:r>
            <w:r w:rsidR="00156762">
              <w:rPr>
                <w:noProof/>
                <w:webHidden/>
              </w:rPr>
              <w:instrText xml:space="preserve"> PAGEREF _Toc146791864 \h </w:instrText>
            </w:r>
            <w:r w:rsidR="00156762">
              <w:rPr>
                <w:noProof/>
                <w:webHidden/>
              </w:rPr>
            </w:r>
            <w:r w:rsidR="00156762">
              <w:rPr>
                <w:noProof/>
                <w:webHidden/>
              </w:rPr>
              <w:fldChar w:fldCharType="separate"/>
            </w:r>
            <w:r w:rsidR="00156762">
              <w:rPr>
                <w:noProof/>
                <w:webHidden/>
              </w:rPr>
              <w:t>6</w:t>
            </w:r>
            <w:r w:rsidR="00156762">
              <w:rPr>
                <w:noProof/>
                <w:webHidden/>
              </w:rPr>
              <w:fldChar w:fldCharType="end"/>
            </w:r>
          </w:hyperlink>
        </w:p>
        <w:p w14:paraId="72A7D68B" w14:textId="7C80210F" w:rsidR="00156762" w:rsidRDefault="00000000">
          <w:pPr>
            <w:pStyle w:val="TOC1"/>
            <w:tabs>
              <w:tab w:val="right" w:leader="dot" w:pos="9016"/>
            </w:tabs>
            <w:rPr>
              <w:rFonts w:eastAsiaTheme="minorEastAsia"/>
              <w:noProof/>
              <w:kern w:val="2"/>
              <w:sz w:val="22"/>
              <w:lang w:eastAsia="en-GB"/>
              <w14:ligatures w14:val="standardContextual"/>
            </w:rPr>
          </w:pPr>
          <w:hyperlink w:anchor="_Toc146791865" w:history="1">
            <w:r w:rsidR="00156762" w:rsidRPr="00F2773D">
              <w:rPr>
                <w:rStyle w:val="Hyperlink"/>
                <w:noProof/>
              </w:rPr>
              <w:t>Ratios used to assess business’s financial performance.</w:t>
            </w:r>
            <w:r w:rsidR="00156762">
              <w:rPr>
                <w:noProof/>
                <w:webHidden/>
              </w:rPr>
              <w:tab/>
            </w:r>
            <w:r w:rsidR="00156762">
              <w:rPr>
                <w:noProof/>
                <w:webHidden/>
              </w:rPr>
              <w:fldChar w:fldCharType="begin"/>
            </w:r>
            <w:r w:rsidR="00156762">
              <w:rPr>
                <w:noProof/>
                <w:webHidden/>
              </w:rPr>
              <w:instrText xml:space="preserve"> PAGEREF _Toc146791865 \h </w:instrText>
            </w:r>
            <w:r w:rsidR="00156762">
              <w:rPr>
                <w:noProof/>
                <w:webHidden/>
              </w:rPr>
            </w:r>
            <w:r w:rsidR="00156762">
              <w:rPr>
                <w:noProof/>
                <w:webHidden/>
              </w:rPr>
              <w:fldChar w:fldCharType="separate"/>
            </w:r>
            <w:r w:rsidR="00156762">
              <w:rPr>
                <w:noProof/>
                <w:webHidden/>
              </w:rPr>
              <w:t>7</w:t>
            </w:r>
            <w:r w:rsidR="00156762">
              <w:rPr>
                <w:noProof/>
                <w:webHidden/>
              </w:rPr>
              <w:fldChar w:fldCharType="end"/>
            </w:r>
          </w:hyperlink>
        </w:p>
        <w:p w14:paraId="2BDE78ED" w14:textId="15A6EA33" w:rsidR="00156762" w:rsidRDefault="00000000">
          <w:pPr>
            <w:pStyle w:val="TOC2"/>
            <w:tabs>
              <w:tab w:val="right" w:leader="dot" w:pos="9016"/>
            </w:tabs>
            <w:rPr>
              <w:rFonts w:eastAsiaTheme="minorEastAsia"/>
              <w:noProof/>
              <w:kern w:val="2"/>
              <w:sz w:val="22"/>
              <w:lang w:eastAsia="en-GB"/>
              <w14:ligatures w14:val="standardContextual"/>
            </w:rPr>
          </w:pPr>
          <w:hyperlink w:anchor="_Toc146791866" w:history="1">
            <w:r w:rsidR="00156762" w:rsidRPr="00F2773D">
              <w:rPr>
                <w:rStyle w:val="Hyperlink"/>
                <w:noProof/>
              </w:rPr>
              <w:t>Profitability Ratios.</w:t>
            </w:r>
            <w:r w:rsidR="00156762">
              <w:rPr>
                <w:noProof/>
                <w:webHidden/>
              </w:rPr>
              <w:tab/>
            </w:r>
            <w:r w:rsidR="00156762">
              <w:rPr>
                <w:noProof/>
                <w:webHidden/>
              </w:rPr>
              <w:fldChar w:fldCharType="begin"/>
            </w:r>
            <w:r w:rsidR="00156762">
              <w:rPr>
                <w:noProof/>
                <w:webHidden/>
              </w:rPr>
              <w:instrText xml:space="preserve"> PAGEREF _Toc146791866 \h </w:instrText>
            </w:r>
            <w:r w:rsidR="00156762">
              <w:rPr>
                <w:noProof/>
                <w:webHidden/>
              </w:rPr>
            </w:r>
            <w:r w:rsidR="00156762">
              <w:rPr>
                <w:noProof/>
                <w:webHidden/>
              </w:rPr>
              <w:fldChar w:fldCharType="separate"/>
            </w:r>
            <w:r w:rsidR="00156762">
              <w:rPr>
                <w:noProof/>
                <w:webHidden/>
              </w:rPr>
              <w:t>7</w:t>
            </w:r>
            <w:r w:rsidR="00156762">
              <w:rPr>
                <w:noProof/>
                <w:webHidden/>
              </w:rPr>
              <w:fldChar w:fldCharType="end"/>
            </w:r>
          </w:hyperlink>
        </w:p>
        <w:p w14:paraId="10D1DB44" w14:textId="13A8DFA4" w:rsidR="00156762" w:rsidRDefault="00000000">
          <w:pPr>
            <w:pStyle w:val="TOC3"/>
            <w:tabs>
              <w:tab w:val="right" w:leader="dot" w:pos="9016"/>
            </w:tabs>
            <w:rPr>
              <w:rFonts w:eastAsiaTheme="minorEastAsia"/>
              <w:noProof/>
              <w:kern w:val="2"/>
              <w:sz w:val="22"/>
              <w:lang w:eastAsia="en-GB"/>
              <w14:ligatures w14:val="standardContextual"/>
            </w:rPr>
          </w:pPr>
          <w:hyperlink w:anchor="_Toc146791867" w:history="1">
            <w:r w:rsidR="00156762" w:rsidRPr="00F2773D">
              <w:rPr>
                <w:rStyle w:val="Hyperlink"/>
                <w:noProof/>
              </w:rPr>
              <w:t>Gross Profit Margin Ratio %.</w:t>
            </w:r>
            <w:r w:rsidR="00156762">
              <w:rPr>
                <w:noProof/>
                <w:webHidden/>
              </w:rPr>
              <w:tab/>
            </w:r>
            <w:r w:rsidR="00156762">
              <w:rPr>
                <w:noProof/>
                <w:webHidden/>
              </w:rPr>
              <w:fldChar w:fldCharType="begin"/>
            </w:r>
            <w:r w:rsidR="00156762">
              <w:rPr>
                <w:noProof/>
                <w:webHidden/>
              </w:rPr>
              <w:instrText xml:space="preserve"> PAGEREF _Toc146791867 \h </w:instrText>
            </w:r>
            <w:r w:rsidR="00156762">
              <w:rPr>
                <w:noProof/>
                <w:webHidden/>
              </w:rPr>
            </w:r>
            <w:r w:rsidR="00156762">
              <w:rPr>
                <w:noProof/>
                <w:webHidden/>
              </w:rPr>
              <w:fldChar w:fldCharType="separate"/>
            </w:r>
            <w:r w:rsidR="00156762">
              <w:rPr>
                <w:noProof/>
                <w:webHidden/>
              </w:rPr>
              <w:t>7</w:t>
            </w:r>
            <w:r w:rsidR="00156762">
              <w:rPr>
                <w:noProof/>
                <w:webHidden/>
              </w:rPr>
              <w:fldChar w:fldCharType="end"/>
            </w:r>
          </w:hyperlink>
        </w:p>
        <w:p w14:paraId="5DD577E6" w14:textId="278FF1AD" w:rsidR="00156762" w:rsidRDefault="00000000">
          <w:pPr>
            <w:pStyle w:val="TOC3"/>
            <w:tabs>
              <w:tab w:val="right" w:leader="dot" w:pos="9016"/>
            </w:tabs>
            <w:rPr>
              <w:rFonts w:eastAsiaTheme="minorEastAsia"/>
              <w:noProof/>
              <w:kern w:val="2"/>
              <w:sz w:val="22"/>
              <w:lang w:eastAsia="en-GB"/>
              <w14:ligatures w14:val="standardContextual"/>
            </w:rPr>
          </w:pPr>
          <w:hyperlink w:anchor="_Toc146791868" w:history="1">
            <w:r w:rsidR="00156762" w:rsidRPr="00F2773D">
              <w:rPr>
                <w:rStyle w:val="Hyperlink"/>
                <w:noProof/>
              </w:rPr>
              <w:t>Operating Profit Ratio %</w:t>
            </w:r>
            <w:r w:rsidR="00156762">
              <w:rPr>
                <w:noProof/>
                <w:webHidden/>
              </w:rPr>
              <w:tab/>
            </w:r>
            <w:r w:rsidR="00156762">
              <w:rPr>
                <w:noProof/>
                <w:webHidden/>
              </w:rPr>
              <w:fldChar w:fldCharType="begin"/>
            </w:r>
            <w:r w:rsidR="00156762">
              <w:rPr>
                <w:noProof/>
                <w:webHidden/>
              </w:rPr>
              <w:instrText xml:space="preserve"> PAGEREF _Toc146791868 \h </w:instrText>
            </w:r>
            <w:r w:rsidR="00156762">
              <w:rPr>
                <w:noProof/>
                <w:webHidden/>
              </w:rPr>
            </w:r>
            <w:r w:rsidR="00156762">
              <w:rPr>
                <w:noProof/>
                <w:webHidden/>
              </w:rPr>
              <w:fldChar w:fldCharType="separate"/>
            </w:r>
            <w:r w:rsidR="00156762">
              <w:rPr>
                <w:noProof/>
                <w:webHidden/>
              </w:rPr>
              <w:t>8</w:t>
            </w:r>
            <w:r w:rsidR="00156762">
              <w:rPr>
                <w:noProof/>
                <w:webHidden/>
              </w:rPr>
              <w:fldChar w:fldCharType="end"/>
            </w:r>
          </w:hyperlink>
        </w:p>
        <w:p w14:paraId="6165953C" w14:textId="52308A1C" w:rsidR="00156762" w:rsidRDefault="00000000">
          <w:pPr>
            <w:pStyle w:val="TOC3"/>
            <w:tabs>
              <w:tab w:val="right" w:leader="dot" w:pos="9016"/>
            </w:tabs>
            <w:rPr>
              <w:rFonts w:eastAsiaTheme="minorEastAsia"/>
              <w:noProof/>
              <w:kern w:val="2"/>
              <w:sz w:val="22"/>
              <w:lang w:eastAsia="en-GB"/>
              <w14:ligatures w14:val="standardContextual"/>
            </w:rPr>
          </w:pPr>
          <w:hyperlink w:anchor="_Toc146791869" w:history="1">
            <w:r w:rsidR="00156762" w:rsidRPr="00F2773D">
              <w:rPr>
                <w:rStyle w:val="Hyperlink"/>
                <w:noProof/>
              </w:rPr>
              <w:t>Net Income Ratio %</w:t>
            </w:r>
            <w:r w:rsidR="00156762">
              <w:rPr>
                <w:noProof/>
                <w:webHidden/>
              </w:rPr>
              <w:tab/>
            </w:r>
            <w:r w:rsidR="00156762">
              <w:rPr>
                <w:noProof/>
                <w:webHidden/>
              </w:rPr>
              <w:fldChar w:fldCharType="begin"/>
            </w:r>
            <w:r w:rsidR="00156762">
              <w:rPr>
                <w:noProof/>
                <w:webHidden/>
              </w:rPr>
              <w:instrText xml:space="preserve"> PAGEREF _Toc146791869 \h </w:instrText>
            </w:r>
            <w:r w:rsidR="00156762">
              <w:rPr>
                <w:noProof/>
                <w:webHidden/>
              </w:rPr>
            </w:r>
            <w:r w:rsidR="00156762">
              <w:rPr>
                <w:noProof/>
                <w:webHidden/>
              </w:rPr>
              <w:fldChar w:fldCharType="separate"/>
            </w:r>
            <w:r w:rsidR="00156762">
              <w:rPr>
                <w:noProof/>
                <w:webHidden/>
              </w:rPr>
              <w:t>9</w:t>
            </w:r>
            <w:r w:rsidR="00156762">
              <w:rPr>
                <w:noProof/>
                <w:webHidden/>
              </w:rPr>
              <w:fldChar w:fldCharType="end"/>
            </w:r>
          </w:hyperlink>
        </w:p>
        <w:p w14:paraId="111B011B" w14:textId="4513415A" w:rsidR="00156762" w:rsidRDefault="00000000">
          <w:pPr>
            <w:pStyle w:val="TOC3"/>
            <w:tabs>
              <w:tab w:val="right" w:leader="dot" w:pos="9016"/>
            </w:tabs>
            <w:rPr>
              <w:rFonts w:eastAsiaTheme="minorEastAsia"/>
              <w:noProof/>
              <w:kern w:val="2"/>
              <w:sz w:val="22"/>
              <w:lang w:eastAsia="en-GB"/>
              <w14:ligatures w14:val="standardContextual"/>
            </w:rPr>
          </w:pPr>
          <w:hyperlink w:anchor="_Toc146791870" w:history="1">
            <w:r w:rsidR="00156762" w:rsidRPr="00F2773D">
              <w:rPr>
                <w:rStyle w:val="Hyperlink"/>
                <w:noProof/>
              </w:rPr>
              <w:t>Return on Assets Ratio</w:t>
            </w:r>
            <w:r w:rsidR="00156762">
              <w:rPr>
                <w:noProof/>
                <w:webHidden/>
              </w:rPr>
              <w:tab/>
            </w:r>
            <w:r w:rsidR="00156762">
              <w:rPr>
                <w:noProof/>
                <w:webHidden/>
              </w:rPr>
              <w:fldChar w:fldCharType="begin"/>
            </w:r>
            <w:r w:rsidR="00156762">
              <w:rPr>
                <w:noProof/>
                <w:webHidden/>
              </w:rPr>
              <w:instrText xml:space="preserve"> PAGEREF _Toc146791870 \h </w:instrText>
            </w:r>
            <w:r w:rsidR="00156762">
              <w:rPr>
                <w:noProof/>
                <w:webHidden/>
              </w:rPr>
            </w:r>
            <w:r w:rsidR="00156762">
              <w:rPr>
                <w:noProof/>
                <w:webHidden/>
              </w:rPr>
              <w:fldChar w:fldCharType="separate"/>
            </w:r>
            <w:r w:rsidR="00156762">
              <w:rPr>
                <w:noProof/>
                <w:webHidden/>
              </w:rPr>
              <w:t>10</w:t>
            </w:r>
            <w:r w:rsidR="00156762">
              <w:rPr>
                <w:noProof/>
                <w:webHidden/>
              </w:rPr>
              <w:fldChar w:fldCharType="end"/>
            </w:r>
          </w:hyperlink>
        </w:p>
        <w:p w14:paraId="54062846" w14:textId="16EE6503" w:rsidR="00156762" w:rsidRDefault="00000000">
          <w:pPr>
            <w:pStyle w:val="TOC3"/>
            <w:tabs>
              <w:tab w:val="right" w:leader="dot" w:pos="9016"/>
            </w:tabs>
            <w:rPr>
              <w:rFonts w:eastAsiaTheme="minorEastAsia"/>
              <w:noProof/>
              <w:kern w:val="2"/>
              <w:sz w:val="22"/>
              <w:lang w:eastAsia="en-GB"/>
              <w14:ligatures w14:val="standardContextual"/>
            </w:rPr>
          </w:pPr>
          <w:hyperlink w:anchor="_Toc146791871" w:history="1">
            <w:r w:rsidR="00156762" w:rsidRPr="00F2773D">
              <w:rPr>
                <w:rStyle w:val="Hyperlink"/>
                <w:noProof/>
              </w:rPr>
              <w:t>Return on Shareholders’ equity ratio %</w:t>
            </w:r>
            <w:r w:rsidR="00156762">
              <w:rPr>
                <w:noProof/>
                <w:webHidden/>
              </w:rPr>
              <w:tab/>
            </w:r>
            <w:r w:rsidR="00156762">
              <w:rPr>
                <w:noProof/>
                <w:webHidden/>
              </w:rPr>
              <w:fldChar w:fldCharType="begin"/>
            </w:r>
            <w:r w:rsidR="00156762">
              <w:rPr>
                <w:noProof/>
                <w:webHidden/>
              </w:rPr>
              <w:instrText xml:space="preserve"> PAGEREF _Toc146791871 \h </w:instrText>
            </w:r>
            <w:r w:rsidR="00156762">
              <w:rPr>
                <w:noProof/>
                <w:webHidden/>
              </w:rPr>
            </w:r>
            <w:r w:rsidR="00156762">
              <w:rPr>
                <w:noProof/>
                <w:webHidden/>
              </w:rPr>
              <w:fldChar w:fldCharType="separate"/>
            </w:r>
            <w:r w:rsidR="00156762">
              <w:rPr>
                <w:noProof/>
                <w:webHidden/>
              </w:rPr>
              <w:t>10</w:t>
            </w:r>
            <w:r w:rsidR="00156762">
              <w:rPr>
                <w:noProof/>
                <w:webHidden/>
              </w:rPr>
              <w:fldChar w:fldCharType="end"/>
            </w:r>
          </w:hyperlink>
        </w:p>
        <w:p w14:paraId="0B43D981" w14:textId="56088492" w:rsidR="00156762" w:rsidRDefault="00000000">
          <w:pPr>
            <w:pStyle w:val="TOC2"/>
            <w:tabs>
              <w:tab w:val="right" w:leader="dot" w:pos="9016"/>
            </w:tabs>
            <w:rPr>
              <w:rFonts w:eastAsiaTheme="minorEastAsia"/>
              <w:noProof/>
              <w:kern w:val="2"/>
              <w:sz w:val="22"/>
              <w:lang w:eastAsia="en-GB"/>
              <w14:ligatures w14:val="standardContextual"/>
            </w:rPr>
          </w:pPr>
          <w:hyperlink w:anchor="_Toc146791872" w:history="1">
            <w:r w:rsidR="00156762" w:rsidRPr="00F2773D">
              <w:rPr>
                <w:rStyle w:val="Hyperlink"/>
                <w:noProof/>
              </w:rPr>
              <w:t>Liquidity Ratios.</w:t>
            </w:r>
            <w:r w:rsidR="00156762">
              <w:rPr>
                <w:noProof/>
                <w:webHidden/>
              </w:rPr>
              <w:tab/>
            </w:r>
            <w:r w:rsidR="00156762">
              <w:rPr>
                <w:noProof/>
                <w:webHidden/>
              </w:rPr>
              <w:fldChar w:fldCharType="begin"/>
            </w:r>
            <w:r w:rsidR="00156762">
              <w:rPr>
                <w:noProof/>
                <w:webHidden/>
              </w:rPr>
              <w:instrText xml:space="preserve"> PAGEREF _Toc146791872 \h </w:instrText>
            </w:r>
            <w:r w:rsidR="00156762">
              <w:rPr>
                <w:noProof/>
                <w:webHidden/>
              </w:rPr>
            </w:r>
            <w:r w:rsidR="00156762">
              <w:rPr>
                <w:noProof/>
                <w:webHidden/>
              </w:rPr>
              <w:fldChar w:fldCharType="separate"/>
            </w:r>
            <w:r w:rsidR="00156762">
              <w:rPr>
                <w:noProof/>
                <w:webHidden/>
              </w:rPr>
              <w:t>11</w:t>
            </w:r>
            <w:r w:rsidR="00156762">
              <w:rPr>
                <w:noProof/>
                <w:webHidden/>
              </w:rPr>
              <w:fldChar w:fldCharType="end"/>
            </w:r>
          </w:hyperlink>
        </w:p>
        <w:p w14:paraId="44FBD5B2" w14:textId="731064B6" w:rsidR="00156762" w:rsidRDefault="00000000">
          <w:pPr>
            <w:pStyle w:val="TOC3"/>
            <w:tabs>
              <w:tab w:val="right" w:leader="dot" w:pos="9016"/>
            </w:tabs>
            <w:rPr>
              <w:rFonts w:eastAsiaTheme="minorEastAsia"/>
              <w:noProof/>
              <w:kern w:val="2"/>
              <w:sz w:val="22"/>
              <w:lang w:eastAsia="en-GB"/>
              <w14:ligatures w14:val="standardContextual"/>
            </w:rPr>
          </w:pPr>
          <w:hyperlink w:anchor="_Toc146791873" w:history="1">
            <w:r w:rsidR="00156762" w:rsidRPr="00F2773D">
              <w:rPr>
                <w:rStyle w:val="Hyperlink"/>
                <w:noProof/>
              </w:rPr>
              <w:t>Current Ratio</w:t>
            </w:r>
            <w:r w:rsidR="00156762">
              <w:rPr>
                <w:noProof/>
                <w:webHidden/>
              </w:rPr>
              <w:tab/>
            </w:r>
            <w:r w:rsidR="00156762">
              <w:rPr>
                <w:noProof/>
                <w:webHidden/>
              </w:rPr>
              <w:fldChar w:fldCharType="begin"/>
            </w:r>
            <w:r w:rsidR="00156762">
              <w:rPr>
                <w:noProof/>
                <w:webHidden/>
              </w:rPr>
              <w:instrText xml:space="preserve"> PAGEREF _Toc146791873 \h </w:instrText>
            </w:r>
            <w:r w:rsidR="00156762">
              <w:rPr>
                <w:noProof/>
                <w:webHidden/>
              </w:rPr>
            </w:r>
            <w:r w:rsidR="00156762">
              <w:rPr>
                <w:noProof/>
                <w:webHidden/>
              </w:rPr>
              <w:fldChar w:fldCharType="separate"/>
            </w:r>
            <w:r w:rsidR="00156762">
              <w:rPr>
                <w:noProof/>
                <w:webHidden/>
              </w:rPr>
              <w:t>11</w:t>
            </w:r>
            <w:r w:rsidR="00156762">
              <w:rPr>
                <w:noProof/>
                <w:webHidden/>
              </w:rPr>
              <w:fldChar w:fldCharType="end"/>
            </w:r>
          </w:hyperlink>
        </w:p>
        <w:p w14:paraId="0C41F179" w14:textId="22E290EE" w:rsidR="00156762" w:rsidRDefault="00000000">
          <w:pPr>
            <w:pStyle w:val="TOC3"/>
            <w:tabs>
              <w:tab w:val="right" w:leader="dot" w:pos="9016"/>
            </w:tabs>
            <w:rPr>
              <w:rFonts w:eastAsiaTheme="minorEastAsia"/>
              <w:noProof/>
              <w:kern w:val="2"/>
              <w:sz w:val="22"/>
              <w:lang w:eastAsia="en-GB"/>
              <w14:ligatures w14:val="standardContextual"/>
            </w:rPr>
          </w:pPr>
          <w:hyperlink w:anchor="_Toc146791874" w:history="1">
            <w:r w:rsidR="00156762" w:rsidRPr="00F2773D">
              <w:rPr>
                <w:rStyle w:val="Hyperlink"/>
                <w:noProof/>
              </w:rPr>
              <w:t>Quick Ratio (Acid Test Ratio).</w:t>
            </w:r>
            <w:r w:rsidR="00156762">
              <w:rPr>
                <w:noProof/>
                <w:webHidden/>
              </w:rPr>
              <w:tab/>
            </w:r>
            <w:r w:rsidR="00156762">
              <w:rPr>
                <w:noProof/>
                <w:webHidden/>
              </w:rPr>
              <w:fldChar w:fldCharType="begin"/>
            </w:r>
            <w:r w:rsidR="00156762">
              <w:rPr>
                <w:noProof/>
                <w:webHidden/>
              </w:rPr>
              <w:instrText xml:space="preserve"> PAGEREF _Toc146791874 \h </w:instrText>
            </w:r>
            <w:r w:rsidR="00156762">
              <w:rPr>
                <w:noProof/>
                <w:webHidden/>
              </w:rPr>
            </w:r>
            <w:r w:rsidR="00156762">
              <w:rPr>
                <w:noProof/>
                <w:webHidden/>
              </w:rPr>
              <w:fldChar w:fldCharType="separate"/>
            </w:r>
            <w:r w:rsidR="00156762">
              <w:rPr>
                <w:noProof/>
                <w:webHidden/>
              </w:rPr>
              <w:t>12</w:t>
            </w:r>
            <w:r w:rsidR="00156762">
              <w:rPr>
                <w:noProof/>
                <w:webHidden/>
              </w:rPr>
              <w:fldChar w:fldCharType="end"/>
            </w:r>
          </w:hyperlink>
        </w:p>
        <w:p w14:paraId="58D96055" w14:textId="26A59420" w:rsidR="00156762" w:rsidRDefault="00000000">
          <w:pPr>
            <w:pStyle w:val="TOC3"/>
            <w:tabs>
              <w:tab w:val="right" w:leader="dot" w:pos="9016"/>
            </w:tabs>
            <w:rPr>
              <w:rFonts w:eastAsiaTheme="minorEastAsia"/>
              <w:noProof/>
              <w:kern w:val="2"/>
              <w:sz w:val="22"/>
              <w:lang w:eastAsia="en-GB"/>
              <w14:ligatures w14:val="standardContextual"/>
            </w:rPr>
          </w:pPr>
          <w:hyperlink w:anchor="_Toc146791875" w:history="1">
            <w:r w:rsidR="00156762" w:rsidRPr="00F2773D">
              <w:rPr>
                <w:rStyle w:val="Hyperlink"/>
                <w:noProof/>
              </w:rPr>
              <w:t>Cash Ratio</w:t>
            </w:r>
            <w:r w:rsidR="00156762">
              <w:rPr>
                <w:noProof/>
                <w:webHidden/>
              </w:rPr>
              <w:tab/>
            </w:r>
            <w:r w:rsidR="00156762">
              <w:rPr>
                <w:noProof/>
                <w:webHidden/>
              </w:rPr>
              <w:fldChar w:fldCharType="begin"/>
            </w:r>
            <w:r w:rsidR="00156762">
              <w:rPr>
                <w:noProof/>
                <w:webHidden/>
              </w:rPr>
              <w:instrText xml:space="preserve"> PAGEREF _Toc146791875 \h </w:instrText>
            </w:r>
            <w:r w:rsidR="00156762">
              <w:rPr>
                <w:noProof/>
                <w:webHidden/>
              </w:rPr>
            </w:r>
            <w:r w:rsidR="00156762">
              <w:rPr>
                <w:noProof/>
                <w:webHidden/>
              </w:rPr>
              <w:fldChar w:fldCharType="separate"/>
            </w:r>
            <w:r w:rsidR="00156762">
              <w:rPr>
                <w:noProof/>
                <w:webHidden/>
              </w:rPr>
              <w:t>12</w:t>
            </w:r>
            <w:r w:rsidR="00156762">
              <w:rPr>
                <w:noProof/>
                <w:webHidden/>
              </w:rPr>
              <w:fldChar w:fldCharType="end"/>
            </w:r>
          </w:hyperlink>
        </w:p>
        <w:p w14:paraId="2651919E" w14:textId="4C5C7652" w:rsidR="00156762" w:rsidRDefault="00000000">
          <w:pPr>
            <w:pStyle w:val="TOC2"/>
            <w:tabs>
              <w:tab w:val="right" w:leader="dot" w:pos="9016"/>
            </w:tabs>
            <w:rPr>
              <w:rFonts w:eastAsiaTheme="minorEastAsia"/>
              <w:noProof/>
              <w:kern w:val="2"/>
              <w:sz w:val="22"/>
              <w:lang w:eastAsia="en-GB"/>
              <w14:ligatures w14:val="standardContextual"/>
            </w:rPr>
          </w:pPr>
          <w:hyperlink w:anchor="_Toc146791876" w:history="1">
            <w:r w:rsidR="00156762" w:rsidRPr="00F2773D">
              <w:rPr>
                <w:rStyle w:val="Hyperlink"/>
                <w:noProof/>
              </w:rPr>
              <w:t>Activity Ratios.</w:t>
            </w:r>
            <w:r w:rsidR="00156762">
              <w:rPr>
                <w:noProof/>
                <w:webHidden/>
              </w:rPr>
              <w:tab/>
            </w:r>
            <w:r w:rsidR="00156762">
              <w:rPr>
                <w:noProof/>
                <w:webHidden/>
              </w:rPr>
              <w:fldChar w:fldCharType="begin"/>
            </w:r>
            <w:r w:rsidR="00156762">
              <w:rPr>
                <w:noProof/>
                <w:webHidden/>
              </w:rPr>
              <w:instrText xml:space="preserve"> PAGEREF _Toc146791876 \h </w:instrText>
            </w:r>
            <w:r w:rsidR="00156762">
              <w:rPr>
                <w:noProof/>
                <w:webHidden/>
              </w:rPr>
            </w:r>
            <w:r w:rsidR="00156762">
              <w:rPr>
                <w:noProof/>
                <w:webHidden/>
              </w:rPr>
              <w:fldChar w:fldCharType="separate"/>
            </w:r>
            <w:r w:rsidR="00156762">
              <w:rPr>
                <w:noProof/>
                <w:webHidden/>
              </w:rPr>
              <w:t>13</w:t>
            </w:r>
            <w:r w:rsidR="00156762">
              <w:rPr>
                <w:noProof/>
                <w:webHidden/>
              </w:rPr>
              <w:fldChar w:fldCharType="end"/>
            </w:r>
          </w:hyperlink>
        </w:p>
        <w:p w14:paraId="224C3417" w14:textId="348A9C52" w:rsidR="00156762" w:rsidRDefault="00000000">
          <w:pPr>
            <w:pStyle w:val="TOC3"/>
            <w:tabs>
              <w:tab w:val="right" w:leader="dot" w:pos="9016"/>
            </w:tabs>
            <w:rPr>
              <w:rFonts w:eastAsiaTheme="minorEastAsia"/>
              <w:noProof/>
              <w:kern w:val="2"/>
              <w:sz w:val="22"/>
              <w:lang w:eastAsia="en-GB"/>
              <w14:ligatures w14:val="standardContextual"/>
            </w:rPr>
          </w:pPr>
          <w:hyperlink w:anchor="_Toc146791877" w:history="1">
            <w:r w:rsidR="00156762" w:rsidRPr="00F2773D">
              <w:rPr>
                <w:rStyle w:val="Hyperlink"/>
                <w:noProof/>
              </w:rPr>
              <w:t>Day sales outstanding</w:t>
            </w:r>
            <w:r w:rsidR="00156762">
              <w:rPr>
                <w:noProof/>
                <w:webHidden/>
              </w:rPr>
              <w:tab/>
            </w:r>
            <w:r w:rsidR="00156762">
              <w:rPr>
                <w:noProof/>
                <w:webHidden/>
              </w:rPr>
              <w:fldChar w:fldCharType="begin"/>
            </w:r>
            <w:r w:rsidR="00156762">
              <w:rPr>
                <w:noProof/>
                <w:webHidden/>
              </w:rPr>
              <w:instrText xml:space="preserve"> PAGEREF _Toc146791877 \h </w:instrText>
            </w:r>
            <w:r w:rsidR="00156762">
              <w:rPr>
                <w:noProof/>
                <w:webHidden/>
              </w:rPr>
            </w:r>
            <w:r w:rsidR="00156762">
              <w:rPr>
                <w:noProof/>
                <w:webHidden/>
              </w:rPr>
              <w:fldChar w:fldCharType="separate"/>
            </w:r>
            <w:r w:rsidR="00156762">
              <w:rPr>
                <w:noProof/>
                <w:webHidden/>
              </w:rPr>
              <w:t>13</w:t>
            </w:r>
            <w:r w:rsidR="00156762">
              <w:rPr>
                <w:noProof/>
                <w:webHidden/>
              </w:rPr>
              <w:fldChar w:fldCharType="end"/>
            </w:r>
          </w:hyperlink>
        </w:p>
        <w:p w14:paraId="60771A17" w14:textId="04298B47" w:rsidR="00156762" w:rsidRDefault="00000000">
          <w:pPr>
            <w:pStyle w:val="TOC3"/>
            <w:tabs>
              <w:tab w:val="right" w:leader="dot" w:pos="9016"/>
            </w:tabs>
            <w:rPr>
              <w:rFonts w:eastAsiaTheme="minorEastAsia"/>
              <w:noProof/>
              <w:kern w:val="2"/>
              <w:sz w:val="22"/>
              <w:lang w:eastAsia="en-GB"/>
              <w14:ligatures w14:val="standardContextual"/>
            </w:rPr>
          </w:pPr>
          <w:hyperlink w:anchor="_Toc146791878" w:history="1">
            <w:r w:rsidR="00156762" w:rsidRPr="00F2773D">
              <w:rPr>
                <w:rStyle w:val="Hyperlink"/>
                <w:noProof/>
              </w:rPr>
              <w:t>Inventory Turnover Ratio</w:t>
            </w:r>
            <w:r w:rsidR="00156762">
              <w:rPr>
                <w:noProof/>
                <w:webHidden/>
              </w:rPr>
              <w:tab/>
            </w:r>
            <w:r w:rsidR="00156762">
              <w:rPr>
                <w:noProof/>
                <w:webHidden/>
              </w:rPr>
              <w:fldChar w:fldCharType="begin"/>
            </w:r>
            <w:r w:rsidR="00156762">
              <w:rPr>
                <w:noProof/>
                <w:webHidden/>
              </w:rPr>
              <w:instrText xml:space="preserve"> PAGEREF _Toc146791878 \h </w:instrText>
            </w:r>
            <w:r w:rsidR="00156762">
              <w:rPr>
                <w:noProof/>
                <w:webHidden/>
              </w:rPr>
            </w:r>
            <w:r w:rsidR="00156762">
              <w:rPr>
                <w:noProof/>
                <w:webHidden/>
              </w:rPr>
              <w:fldChar w:fldCharType="separate"/>
            </w:r>
            <w:r w:rsidR="00156762">
              <w:rPr>
                <w:noProof/>
                <w:webHidden/>
              </w:rPr>
              <w:t>13</w:t>
            </w:r>
            <w:r w:rsidR="00156762">
              <w:rPr>
                <w:noProof/>
                <w:webHidden/>
              </w:rPr>
              <w:fldChar w:fldCharType="end"/>
            </w:r>
          </w:hyperlink>
        </w:p>
        <w:p w14:paraId="5430C5FC" w14:textId="68408101" w:rsidR="00156762" w:rsidRDefault="00000000">
          <w:pPr>
            <w:pStyle w:val="TOC3"/>
            <w:tabs>
              <w:tab w:val="right" w:leader="dot" w:pos="9016"/>
            </w:tabs>
            <w:rPr>
              <w:rFonts w:eastAsiaTheme="minorEastAsia"/>
              <w:noProof/>
              <w:kern w:val="2"/>
              <w:sz w:val="22"/>
              <w:lang w:eastAsia="en-GB"/>
              <w14:ligatures w14:val="standardContextual"/>
            </w:rPr>
          </w:pPr>
          <w:hyperlink w:anchor="_Toc146791879" w:history="1">
            <w:r w:rsidR="00156762" w:rsidRPr="00F2773D">
              <w:rPr>
                <w:rStyle w:val="Hyperlink"/>
                <w:noProof/>
              </w:rPr>
              <w:t>Days Payable Outstanding Ratio</w:t>
            </w:r>
            <w:r w:rsidR="00156762">
              <w:rPr>
                <w:noProof/>
                <w:webHidden/>
              </w:rPr>
              <w:tab/>
            </w:r>
            <w:r w:rsidR="00156762">
              <w:rPr>
                <w:noProof/>
                <w:webHidden/>
              </w:rPr>
              <w:fldChar w:fldCharType="begin"/>
            </w:r>
            <w:r w:rsidR="00156762">
              <w:rPr>
                <w:noProof/>
                <w:webHidden/>
              </w:rPr>
              <w:instrText xml:space="preserve"> PAGEREF _Toc146791879 \h </w:instrText>
            </w:r>
            <w:r w:rsidR="00156762">
              <w:rPr>
                <w:noProof/>
                <w:webHidden/>
              </w:rPr>
            </w:r>
            <w:r w:rsidR="00156762">
              <w:rPr>
                <w:noProof/>
                <w:webHidden/>
              </w:rPr>
              <w:fldChar w:fldCharType="separate"/>
            </w:r>
            <w:r w:rsidR="00156762">
              <w:rPr>
                <w:noProof/>
                <w:webHidden/>
              </w:rPr>
              <w:t>14</w:t>
            </w:r>
            <w:r w:rsidR="00156762">
              <w:rPr>
                <w:noProof/>
                <w:webHidden/>
              </w:rPr>
              <w:fldChar w:fldCharType="end"/>
            </w:r>
          </w:hyperlink>
        </w:p>
        <w:p w14:paraId="6E284862" w14:textId="5C4B646F" w:rsidR="00156762" w:rsidRDefault="00000000">
          <w:pPr>
            <w:pStyle w:val="TOC2"/>
            <w:tabs>
              <w:tab w:val="right" w:leader="dot" w:pos="9016"/>
            </w:tabs>
            <w:rPr>
              <w:rFonts w:eastAsiaTheme="minorEastAsia"/>
              <w:noProof/>
              <w:kern w:val="2"/>
              <w:sz w:val="22"/>
              <w:lang w:eastAsia="en-GB"/>
              <w14:ligatures w14:val="standardContextual"/>
            </w:rPr>
          </w:pPr>
          <w:hyperlink w:anchor="_Toc146791880" w:history="1">
            <w:r w:rsidR="00156762" w:rsidRPr="00F2773D">
              <w:rPr>
                <w:rStyle w:val="Hyperlink"/>
                <w:noProof/>
              </w:rPr>
              <w:t>Financial Ratios</w:t>
            </w:r>
            <w:r w:rsidR="00156762">
              <w:rPr>
                <w:noProof/>
                <w:webHidden/>
              </w:rPr>
              <w:tab/>
            </w:r>
            <w:r w:rsidR="00156762">
              <w:rPr>
                <w:noProof/>
                <w:webHidden/>
              </w:rPr>
              <w:fldChar w:fldCharType="begin"/>
            </w:r>
            <w:r w:rsidR="00156762">
              <w:rPr>
                <w:noProof/>
                <w:webHidden/>
              </w:rPr>
              <w:instrText xml:space="preserve"> PAGEREF _Toc146791880 \h </w:instrText>
            </w:r>
            <w:r w:rsidR="00156762">
              <w:rPr>
                <w:noProof/>
                <w:webHidden/>
              </w:rPr>
            </w:r>
            <w:r w:rsidR="00156762">
              <w:rPr>
                <w:noProof/>
                <w:webHidden/>
              </w:rPr>
              <w:fldChar w:fldCharType="separate"/>
            </w:r>
            <w:r w:rsidR="00156762">
              <w:rPr>
                <w:noProof/>
                <w:webHidden/>
              </w:rPr>
              <w:t>14</w:t>
            </w:r>
            <w:r w:rsidR="00156762">
              <w:rPr>
                <w:noProof/>
                <w:webHidden/>
              </w:rPr>
              <w:fldChar w:fldCharType="end"/>
            </w:r>
          </w:hyperlink>
        </w:p>
        <w:p w14:paraId="1A6DD0C3" w14:textId="63CF6766" w:rsidR="00156762" w:rsidRDefault="00000000">
          <w:pPr>
            <w:pStyle w:val="TOC3"/>
            <w:tabs>
              <w:tab w:val="right" w:leader="dot" w:pos="9016"/>
            </w:tabs>
            <w:rPr>
              <w:rFonts w:eastAsiaTheme="minorEastAsia"/>
              <w:noProof/>
              <w:kern w:val="2"/>
              <w:sz w:val="22"/>
              <w:lang w:eastAsia="en-GB"/>
              <w14:ligatures w14:val="standardContextual"/>
            </w:rPr>
          </w:pPr>
          <w:hyperlink w:anchor="_Toc146791881" w:history="1">
            <w:r w:rsidR="00156762" w:rsidRPr="00F2773D">
              <w:rPr>
                <w:rStyle w:val="Hyperlink"/>
                <w:noProof/>
              </w:rPr>
              <w:t>Gearing Ratio</w:t>
            </w:r>
            <w:r w:rsidR="00156762">
              <w:rPr>
                <w:noProof/>
                <w:webHidden/>
              </w:rPr>
              <w:tab/>
            </w:r>
            <w:r w:rsidR="00156762">
              <w:rPr>
                <w:noProof/>
                <w:webHidden/>
              </w:rPr>
              <w:fldChar w:fldCharType="begin"/>
            </w:r>
            <w:r w:rsidR="00156762">
              <w:rPr>
                <w:noProof/>
                <w:webHidden/>
              </w:rPr>
              <w:instrText xml:space="preserve"> PAGEREF _Toc146791881 \h </w:instrText>
            </w:r>
            <w:r w:rsidR="00156762">
              <w:rPr>
                <w:noProof/>
                <w:webHidden/>
              </w:rPr>
            </w:r>
            <w:r w:rsidR="00156762">
              <w:rPr>
                <w:noProof/>
                <w:webHidden/>
              </w:rPr>
              <w:fldChar w:fldCharType="separate"/>
            </w:r>
            <w:r w:rsidR="00156762">
              <w:rPr>
                <w:noProof/>
                <w:webHidden/>
              </w:rPr>
              <w:t>14</w:t>
            </w:r>
            <w:r w:rsidR="00156762">
              <w:rPr>
                <w:noProof/>
                <w:webHidden/>
              </w:rPr>
              <w:fldChar w:fldCharType="end"/>
            </w:r>
          </w:hyperlink>
        </w:p>
        <w:p w14:paraId="01EE97BE" w14:textId="1590EF5F" w:rsidR="00156762" w:rsidRDefault="00000000">
          <w:pPr>
            <w:pStyle w:val="TOC3"/>
            <w:tabs>
              <w:tab w:val="right" w:leader="dot" w:pos="9016"/>
            </w:tabs>
            <w:rPr>
              <w:rFonts w:eastAsiaTheme="minorEastAsia"/>
              <w:noProof/>
              <w:kern w:val="2"/>
              <w:sz w:val="22"/>
              <w:lang w:eastAsia="en-GB"/>
              <w14:ligatures w14:val="standardContextual"/>
            </w:rPr>
          </w:pPr>
          <w:hyperlink w:anchor="_Toc146791882" w:history="1">
            <w:r w:rsidR="00156762" w:rsidRPr="00F2773D">
              <w:rPr>
                <w:rStyle w:val="Hyperlink"/>
                <w:noProof/>
              </w:rPr>
              <w:t>Debt / Equity ratio.</w:t>
            </w:r>
            <w:r w:rsidR="00156762">
              <w:rPr>
                <w:noProof/>
                <w:webHidden/>
              </w:rPr>
              <w:tab/>
            </w:r>
            <w:r w:rsidR="00156762">
              <w:rPr>
                <w:noProof/>
                <w:webHidden/>
              </w:rPr>
              <w:fldChar w:fldCharType="begin"/>
            </w:r>
            <w:r w:rsidR="00156762">
              <w:rPr>
                <w:noProof/>
                <w:webHidden/>
              </w:rPr>
              <w:instrText xml:space="preserve"> PAGEREF _Toc146791882 \h </w:instrText>
            </w:r>
            <w:r w:rsidR="00156762">
              <w:rPr>
                <w:noProof/>
                <w:webHidden/>
              </w:rPr>
            </w:r>
            <w:r w:rsidR="00156762">
              <w:rPr>
                <w:noProof/>
                <w:webHidden/>
              </w:rPr>
              <w:fldChar w:fldCharType="separate"/>
            </w:r>
            <w:r w:rsidR="00156762">
              <w:rPr>
                <w:noProof/>
                <w:webHidden/>
              </w:rPr>
              <w:t>15</w:t>
            </w:r>
            <w:r w:rsidR="00156762">
              <w:rPr>
                <w:noProof/>
                <w:webHidden/>
              </w:rPr>
              <w:fldChar w:fldCharType="end"/>
            </w:r>
          </w:hyperlink>
        </w:p>
        <w:p w14:paraId="394011C4" w14:textId="48D27ECD" w:rsidR="00156762" w:rsidRDefault="00000000">
          <w:pPr>
            <w:pStyle w:val="TOC3"/>
            <w:tabs>
              <w:tab w:val="right" w:leader="dot" w:pos="9016"/>
            </w:tabs>
            <w:rPr>
              <w:rFonts w:eastAsiaTheme="minorEastAsia"/>
              <w:noProof/>
              <w:kern w:val="2"/>
              <w:sz w:val="22"/>
              <w:lang w:eastAsia="en-GB"/>
              <w14:ligatures w14:val="standardContextual"/>
            </w:rPr>
          </w:pPr>
          <w:hyperlink w:anchor="_Toc146791883" w:history="1">
            <w:r w:rsidR="00156762" w:rsidRPr="00F2773D">
              <w:rPr>
                <w:rStyle w:val="Hyperlink"/>
                <w:noProof/>
              </w:rPr>
              <w:t>Long term Debt / Equity ratio</w:t>
            </w:r>
            <w:r w:rsidR="00156762">
              <w:rPr>
                <w:noProof/>
                <w:webHidden/>
              </w:rPr>
              <w:tab/>
            </w:r>
            <w:r w:rsidR="00156762">
              <w:rPr>
                <w:noProof/>
                <w:webHidden/>
              </w:rPr>
              <w:fldChar w:fldCharType="begin"/>
            </w:r>
            <w:r w:rsidR="00156762">
              <w:rPr>
                <w:noProof/>
                <w:webHidden/>
              </w:rPr>
              <w:instrText xml:space="preserve"> PAGEREF _Toc146791883 \h </w:instrText>
            </w:r>
            <w:r w:rsidR="00156762">
              <w:rPr>
                <w:noProof/>
                <w:webHidden/>
              </w:rPr>
            </w:r>
            <w:r w:rsidR="00156762">
              <w:rPr>
                <w:noProof/>
                <w:webHidden/>
              </w:rPr>
              <w:fldChar w:fldCharType="separate"/>
            </w:r>
            <w:r w:rsidR="00156762">
              <w:rPr>
                <w:noProof/>
                <w:webHidden/>
              </w:rPr>
              <w:t>15</w:t>
            </w:r>
            <w:r w:rsidR="00156762">
              <w:rPr>
                <w:noProof/>
                <w:webHidden/>
              </w:rPr>
              <w:fldChar w:fldCharType="end"/>
            </w:r>
          </w:hyperlink>
        </w:p>
        <w:p w14:paraId="69F65974" w14:textId="3E6C280C" w:rsidR="00156762" w:rsidRDefault="00000000">
          <w:pPr>
            <w:pStyle w:val="TOC3"/>
            <w:tabs>
              <w:tab w:val="right" w:leader="dot" w:pos="9016"/>
            </w:tabs>
            <w:rPr>
              <w:rFonts w:eastAsiaTheme="minorEastAsia"/>
              <w:noProof/>
              <w:kern w:val="2"/>
              <w:sz w:val="22"/>
              <w:lang w:eastAsia="en-GB"/>
              <w14:ligatures w14:val="standardContextual"/>
            </w:rPr>
          </w:pPr>
          <w:hyperlink w:anchor="_Toc146791884" w:history="1">
            <w:r w:rsidR="00156762" w:rsidRPr="00F2773D">
              <w:rPr>
                <w:rStyle w:val="Hyperlink"/>
                <w:noProof/>
              </w:rPr>
              <w:t>Interest Coverage Ratio</w:t>
            </w:r>
            <w:r w:rsidR="00156762">
              <w:rPr>
                <w:noProof/>
                <w:webHidden/>
              </w:rPr>
              <w:tab/>
            </w:r>
            <w:r w:rsidR="00156762">
              <w:rPr>
                <w:noProof/>
                <w:webHidden/>
              </w:rPr>
              <w:fldChar w:fldCharType="begin"/>
            </w:r>
            <w:r w:rsidR="00156762">
              <w:rPr>
                <w:noProof/>
                <w:webHidden/>
              </w:rPr>
              <w:instrText xml:space="preserve"> PAGEREF _Toc146791884 \h </w:instrText>
            </w:r>
            <w:r w:rsidR="00156762">
              <w:rPr>
                <w:noProof/>
                <w:webHidden/>
              </w:rPr>
            </w:r>
            <w:r w:rsidR="00156762">
              <w:rPr>
                <w:noProof/>
                <w:webHidden/>
              </w:rPr>
              <w:fldChar w:fldCharType="separate"/>
            </w:r>
            <w:r w:rsidR="00156762">
              <w:rPr>
                <w:noProof/>
                <w:webHidden/>
              </w:rPr>
              <w:t>16</w:t>
            </w:r>
            <w:r w:rsidR="00156762">
              <w:rPr>
                <w:noProof/>
                <w:webHidden/>
              </w:rPr>
              <w:fldChar w:fldCharType="end"/>
            </w:r>
          </w:hyperlink>
        </w:p>
        <w:p w14:paraId="2AD2B266" w14:textId="1D7162AB" w:rsidR="00156762" w:rsidRDefault="00000000">
          <w:pPr>
            <w:pStyle w:val="TOC2"/>
            <w:tabs>
              <w:tab w:val="right" w:leader="dot" w:pos="9016"/>
            </w:tabs>
            <w:rPr>
              <w:rFonts w:eastAsiaTheme="minorEastAsia"/>
              <w:noProof/>
              <w:kern w:val="2"/>
              <w:sz w:val="22"/>
              <w:lang w:eastAsia="en-GB"/>
              <w14:ligatures w14:val="standardContextual"/>
            </w:rPr>
          </w:pPr>
          <w:hyperlink w:anchor="_Toc146791885" w:history="1">
            <w:r w:rsidR="00156762" w:rsidRPr="00F2773D">
              <w:rPr>
                <w:rStyle w:val="Hyperlink"/>
                <w:noProof/>
              </w:rPr>
              <w:t>Investor Ratios.</w:t>
            </w:r>
            <w:r w:rsidR="00156762">
              <w:rPr>
                <w:noProof/>
                <w:webHidden/>
              </w:rPr>
              <w:tab/>
            </w:r>
            <w:r w:rsidR="00156762">
              <w:rPr>
                <w:noProof/>
                <w:webHidden/>
              </w:rPr>
              <w:fldChar w:fldCharType="begin"/>
            </w:r>
            <w:r w:rsidR="00156762">
              <w:rPr>
                <w:noProof/>
                <w:webHidden/>
              </w:rPr>
              <w:instrText xml:space="preserve"> PAGEREF _Toc146791885 \h </w:instrText>
            </w:r>
            <w:r w:rsidR="00156762">
              <w:rPr>
                <w:noProof/>
                <w:webHidden/>
              </w:rPr>
            </w:r>
            <w:r w:rsidR="00156762">
              <w:rPr>
                <w:noProof/>
                <w:webHidden/>
              </w:rPr>
              <w:fldChar w:fldCharType="separate"/>
            </w:r>
            <w:r w:rsidR="00156762">
              <w:rPr>
                <w:noProof/>
                <w:webHidden/>
              </w:rPr>
              <w:t>17</w:t>
            </w:r>
            <w:r w:rsidR="00156762">
              <w:rPr>
                <w:noProof/>
                <w:webHidden/>
              </w:rPr>
              <w:fldChar w:fldCharType="end"/>
            </w:r>
          </w:hyperlink>
        </w:p>
        <w:p w14:paraId="7012C52C" w14:textId="36BE45B5" w:rsidR="00156762" w:rsidRDefault="00000000">
          <w:pPr>
            <w:pStyle w:val="TOC3"/>
            <w:tabs>
              <w:tab w:val="right" w:leader="dot" w:pos="9016"/>
            </w:tabs>
            <w:rPr>
              <w:rFonts w:eastAsiaTheme="minorEastAsia"/>
              <w:noProof/>
              <w:kern w:val="2"/>
              <w:sz w:val="22"/>
              <w:lang w:eastAsia="en-GB"/>
              <w14:ligatures w14:val="standardContextual"/>
            </w:rPr>
          </w:pPr>
          <w:hyperlink w:anchor="_Toc146791886" w:history="1">
            <w:r w:rsidR="00156762" w:rsidRPr="00F2773D">
              <w:rPr>
                <w:rStyle w:val="Hyperlink"/>
                <w:noProof/>
              </w:rPr>
              <w:t>Earnings per Ordinary Share Ratio</w:t>
            </w:r>
            <w:r w:rsidR="00156762">
              <w:rPr>
                <w:noProof/>
                <w:webHidden/>
              </w:rPr>
              <w:tab/>
            </w:r>
            <w:r w:rsidR="00156762">
              <w:rPr>
                <w:noProof/>
                <w:webHidden/>
              </w:rPr>
              <w:fldChar w:fldCharType="begin"/>
            </w:r>
            <w:r w:rsidR="00156762">
              <w:rPr>
                <w:noProof/>
                <w:webHidden/>
              </w:rPr>
              <w:instrText xml:space="preserve"> PAGEREF _Toc146791886 \h </w:instrText>
            </w:r>
            <w:r w:rsidR="00156762">
              <w:rPr>
                <w:noProof/>
                <w:webHidden/>
              </w:rPr>
            </w:r>
            <w:r w:rsidR="00156762">
              <w:rPr>
                <w:noProof/>
                <w:webHidden/>
              </w:rPr>
              <w:fldChar w:fldCharType="separate"/>
            </w:r>
            <w:r w:rsidR="00156762">
              <w:rPr>
                <w:noProof/>
                <w:webHidden/>
              </w:rPr>
              <w:t>17</w:t>
            </w:r>
            <w:r w:rsidR="00156762">
              <w:rPr>
                <w:noProof/>
                <w:webHidden/>
              </w:rPr>
              <w:fldChar w:fldCharType="end"/>
            </w:r>
          </w:hyperlink>
        </w:p>
        <w:p w14:paraId="1B232C30" w14:textId="10BF0AAD" w:rsidR="00156762" w:rsidRDefault="00000000">
          <w:pPr>
            <w:pStyle w:val="TOC3"/>
            <w:tabs>
              <w:tab w:val="right" w:leader="dot" w:pos="9016"/>
            </w:tabs>
            <w:rPr>
              <w:rFonts w:eastAsiaTheme="minorEastAsia"/>
              <w:noProof/>
              <w:kern w:val="2"/>
              <w:sz w:val="22"/>
              <w:lang w:eastAsia="en-GB"/>
              <w14:ligatures w14:val="standardContextual"/>
            </w:rPr>
          </w:pPr>
          <w:hyperlink w:anchor="_Toc146791887" w:history="1">
            <w:r w:rsidR="00156762" w:rsidRPr="00F2773D">
              <w:rPr>
                <w:rStyle w:val="Hyperlink"/>
                <w:noProof/>
              </w:rPr>
              <w:t>Price per Earnings Ratio</w:t>
            </w:r>
            <w:r w:rsidR="00156762">
              <w:rPr>
                <w:noProof/>
                <w:webHidden/>
              </w:rPr>
              <w:tab/>
            </w:r>
            <w:r w:rsidR="00156762">
              <w:rPr>
                <w:noProof/>
                <w:webHidden/>
              </w:rPr>
              <w:fldChar w:fldCharType="begin"/>
            </w:r>
            <w:r w:rsidR="00156762">
              <w:rPr>
                <w:noProof/>
                <w:webHidden/>
              </w:rPr>
              <w:instrText xml:space="preserve"> PAGEREF _Toc146791887 \h </w:instrText>
            </w:r>
            <w:r w:rsidR="00156762">
              <w:rPr>
                <w:noProof/>
                <w:webHidden/>
              </w:rPr>
            </w:r>
            <w:r w:rsidR="00156762">
              <w:rPr>
                <w:noProof/>
                <w:webHidden/>
              </w:rPr>
              <w:fldChar w:fldCharType="separate"/>
            </w:r>
            <w:r w:rsidR="00156762">
              <w:rPr>
                <w:noProof/>
                <w:webHidden/>
              </w:rPr>
              <w:t>17</w:t>
            </w:r>
            <w:r w:rsidR="00156762">
              <w:rPr>
                <w:noProof/>
                <w:webHidden/>
              </w:rPr>
              <w:fldChar w:fldCharType="end"/>
            </w:r>
          </w:hyperlink>
        </w:p>
        <w:p w14:paraId="2F62E303" w14:textId="3FD1B057" w:rsidR="00156762" w:rsidRDefault="00000000">
          <w:pPr>
            <w:pStyle w:val="TOC1"/>
            <w:tabs>
              <w:tab w:val="right" w:leader="dot" w:pos="9016"/>
            </w:tabs>
            <w:rPr>
              <w:rFonts w:eastAsiaTheme="minorEastAsia"/>
              <w:noProof/>
              <w:kern w:val="2"/>
              <w:sz w:val="22"/>
              <w:lang w:eastAsia="en-GB"/>
              <w14:ligatures w14:val="standardContextual"/>
            </w:rPr>
          </w:pPr>
          <w:hyperlink w:anchor="_Toc146791888" w:history="1">
            <w:r w:rsidR="00156762" w:rsidRPr="00F2773D">
              <w:rPr>
                <w:rStyle w:val="Hyperlink"/>
                <w:noProof/>
              </w:rPr>
              <w:t>Bibliography</w:t>
            </w:r>
            <w:r w:rsidR="00156762">
              <w:rPr>
                <w:noProof/>
                <w:webHidden/>
              </w:rPr>
              <w:tab/>
            </w:r>
            <w:r w:rsidR="00156762">
              <w:rPr>
                <w:noProof/>
                <w:webHidden/>
              </w:rPr>
              <w:fldChar w:fldCharType="begin"/>
            </w:r>
            <w:r w:rsidR="00156762">
              <w:rPr>
                <w:noProof/>
                <w:webHidden/>
              </w:rPr>
              <w:instrText xml:space="preserve"> PAGEREF _Toc146791888 \h </w:instrText>
            </w:r>
            <w:r w:rsidR="00156762">
              <w:rPr>
                <w:noProof/>
                <w:webHidden/>
              </w:rPr>
            </w:r>
            <w:r w:rsidR="00156762">
              <w:rPr>
                <w:noProof/>
                <w:webHidden/>
              </w:rPr>
              <w:fldChar w:fldCharType="separate"/>
            </w:r>
            <w:r w:rsidR="00156762">
              <w:rPr>
                <w:noProof/>
                <w:webHidden/>
              </w:rPr>
              <w:t>18</w:t>
            </w:r>
            <w:r w:rsidR="00156762">
              <w:rPr>
                <w:noProof/>
                <w:webHidden/>
              </w:rPr>
              <w:fldChar w:fldCharType="end"/>
            </w:r>
          </w:hyperlink>
        </w:p>
        <w:p w14:paraId="16637A0B" w14:textId="7FABBF0E" w:rsidR="00A64BD9" w:rsidRDefault="00A64BD9">
          <w:r>
            <w:rPr>
              <w:b/>
              <w:bCs/>
              <w:noProof/>
            </w:rPr>
            <w:fldChar w:fldCharType="end"/>
          </w:r>
        </w:p>
      </w:sdtContent>
    </w:sdt>
    <w:p w14:paraId="212A9E72" w14:textId="77777777" w:rsidR="003E28A9" w:rsidRDefault="003E28A9" w:rsidP="00896351">
      <w:pPr>
        <w:rPr>
          <w:rFonts w:cs="Arial"/>
          <w:szCs w:val="24"/>
        </w:rPr>
      </w:pPr>
    </w:p>
    <w:p w14:paraId="195BABF6" w14:textId="2403FB9C" w:rsidR="001C1940" w:rsidRDefault="001C1940">
      <w:pPr>
        <w:pStyle w:val="TableofFigures"/>
        <w:tabs>
          <w:tab w:val="right" w:leader="dot" w:pos="9016"/>
        </w:tabs>
        <w:rPr>
          <w:noProof/>
        </w:rPr>
      </w:pPr>
      <w:r>
        <w:rPr>
          <w:rFonts w:cs="Arial"/>
          <w:szCs w:val="24"/>
        </w:rPr>
        <w:fldChar w:fldCharType="begin"/>
      </w:r>
      <w:r>
        <w:rPr>
          <w:rFonts w:cs="Arial"/>
          <w:szCs w:val="24"/>
        </w:rPr>
        <w:instrText xml:space="preserve"> TOC \h \z \c "Figure" </w:instrText>
      </w:r>
      <w:r>
        <w:rPr>
          <w:rFonts w:cs="Arial"/>
          <w:szCs w:val="24"/>
        </w:rPr>
        <w:fldChar w:fldCharType="separate"/>
      </w:r>
      <w:hyperlink w:anchor="_Toc146558607" w:history="1">
        <w:r w:rsidRPr="00647D1E">
          <w:rPr>
            <w:rStyle w:val="Hyperlink"/>
            <w:noProof/>
          </w:rPr>
          <w:t>Figure 1 Aston Martin Financial Performance</w:t>
        </w:r>
        <w:r>
          <w:rPr>
            <w:noProof/>
            <w:webHidden/>
          </w:rPr>
          <w:tab/>
        </w:r>
        <w:r>
          <w:rPr>
            <w:noProof/>
            <w:webHidden/>
          </w:rPr>
          <w:fldChar w:fldCharType="begin"/>
        </w:r>
        <w:r>
          <w:rPr>
            <w:noProof/>
            <w:webHidden/>
          </w:rPr>
          <w:instrText xml:space="preserve"> PAGEREF _Toc146558607 \h </w:instrText>
        </w:r>
        <w:r>
          <w:rPr>
            <w:noProof/>
            <w:webHidden/>
          </w:rPr>
        </w:r>
        <w:r>
          <w:rPr>
            <w:noProof/>
            <w:webHidden/>
          </w:rPr>
          <w:fldChar w:fldCharType="separate"/>
        </w:r>
        <w:r w:rsidR="000561DA">
          <w:rPr>
            <w:noProof/>
            <w:webHidden/>
          </w:rPr>
          <w:t>7</w:t>
        </w:r>
        <w:r>
          <w:rPr>
            <w:noProof/>
            <w:webHidden/>
          </w:rPr>
          <w:fldChar w:fldCharType="end"/>
        </w:r>
      </w:hyperlink>
    </w:p>
    <w:p w14:paraId="6AFA4DAF" w14:textId="6CE0CAF7" w:rsidR="003E28A9" w:rsidRDefault="001C1940" w:rsidP="00896351">
      <w:pPr>
        <w:rPr>
          <w:rFonts w:cs="Arial"/>
          <w:szCs w:val="24"/>
        </w:rPr>
      </w:pPr>
      <w:r>
        <w:rPr>
          <w:rFonts w:cs="Arial"/>
          <w:szCs w:val="24"/>
        </w:rPr>
        <w:fldChar w:fldCharType="end"/>
      </w:r>
    </w:p>
    <w:p w14:paraId="031DFDA3" w14:textId="12A88D28" w:rsidR="003E28A9" w:rsidRDefault="003E28A9" w:rsidP="00896351">
      <w:pPr>
        <w:rPr>
          <w:rFonts w:cs="Arial"/>
          <w:szCs w:val="24"/>
        </w:rPr>
      </w:pPr>
    </w:p>
    <w:p w14:paraId="5200D0C3" w14:textId="0606FE65" w:rsidR="003E28A9" w:rsidRDefault="00255B8D" w:rsidP="00896351">
      <w:pPr>
        <w:rPr>
          <w:rFonts w:cs="Arial"/>
          <w:szCs w:val="24"/>
        </w:rPr>
      </w:pPr>
      <w:r>
        <w:rPr>
          <w:rFonts w:cs="Arial"/>
          <w:szCs w:val="24"/>
        </w:rPr>
        <w:fldChar w:fldCharType="begin"/>
      </w:r>
      <w:r>
        <w:rPr>
          <w:rFonts w:cs="Arial"/>
          <w:szCs w:val="24"/>
        </w:rPr>
        <w:instrText xml:space="preserve"> REF _Ref146558992 \h </w:instrText>
      </w:r>
      <w:r>
        <w:rPr>
          <w:rFonts w:cs="Arial"/>
          <w:szCs w:val="24"/>
        </w:rPr>
      </w:r>
      <w:r>
        <w:rPr>
          <w:rFonts w:cs="Arial"/>
          <w:szCs w:val="24"/>
        </w:rPr>
        <w:fldChar w:fldCharType="separate"/>
      </w:r>
      <w:r w:rsidR="001C4E42">
        <w:t xml:space="preserve">Table </w:t>
      </w:r>
      <w:r w:rsidR="001C4E42">
        <w:rPr>
          <w:noProof/>
        </w:rPr>
        <w:t>1</w:t>
      </w:r>
      <w:r w:rsidR="001C4E42">
        <w:t xml:space="preserve"> Gross Profit Margin Ratios</w:t>
      </w:r>
      <w:r>
        <w:rPr>
          <w:rFonts w:cs="Arial"/>
          <w:szCs w:val="24"/>
        </w:rPr>
        <w:fldChar w:fldCharType="end"/>
      </w:r>
      <w:r>
        <w:rPr>
          <w:rFonts w:cs="Arial"/>
          <w:szCs w:val="24"/>
        </w:rPr>
        <w:t>………………………….</w:t>
      </w:r>
      <w:r>
        <w:rPr>
          <w:rFonts w:cs="Arial"/>
          <w:szCs w:val="24"/>
        </w:rPr>
        <w:fldChar w:fldCharType="begin"/>
      </w:r>
      <w:r>
        <w:rPr>
          <w:rFonts w:cs="Arial"/>
          <w:szCs w:val="24"/>
        </w:rPr>
        <w:instrText xml:space="preserve"> PAGEREF _Ref146558992 \h </w:instrText>
      </w:r>
      <w:r>
        <w:rPr>
          <w:rFonts w:cs="Arial"/>
          <w:szCs w:val="24"/>
        </w:rPr>
      </w:r>
      <w:r>
        <w:rPr>
          <w:rFonts w:cs="Arial"/>
          <w:szCs w:val="24"/>
        </w:rPr>
        <w:fldChar w:fldCharType="separate"/>
      </w:r>
      <w:r w:rsidR="001C4E42">
        <w:rPr>
          <w:rFonts w:cs="Arial"/>
          <w:noProof/>
          <w:szCs w:val="24"/>
        </w:rPr>
        <w:t>8</w:t>
      </w:r>
      <w:r>
        <w:rPr>
          <w:rFonts w:cs="Arial"/>
          <w:szCs w:val="24"/>
        </w:rPr>
        <w:fldChar w:fldCharType="end"/>
      </w:r>
    </w:p>
    <w:p w14:paraId="5F701ED1" w14:textId="69D7F828" w:rsidR="00156762" w:rsidRDefault="00255B8D" w:rsidP="00896351">
      <w:pPr>
        <w:rPr>
          <w:rFonts w:cs="Arial"/>
          <w:szCs w:val="24"/>
        </w:rPr>
      </w:pPr>
      <w:r>
        <w:rPr>
          <w:rFonts w:cs="Arial"/>
          <w:szCs w:val="24"/>
        </w:rPr>
        <w:fldChar w:fldCharType="begin"/>
      </w:r>
      <w:r>
        <w:rPr>
          <w:rFonts w:cs="Arial"/>
          <w:szCs w:val="24"/>
        </w:rPr>
        <w:instrText xml:space="preserve"> REF _Ref146813363 \h </w:instrText>
      </w:r>
      <w:r>
        <w:rPr>
          <w:rFonts w:cs="Arial"/>
          <w:szCs w:val="24"/>
        </w:rPr>
      </w:r>
      <w:r>
        <w:rPr>
          <w:rFonts w:cs="Arial"/>
          <w:szCs w:val="24"/>
        </w:rPr>
        <w:fldChar w:fldCharType="separate"/>
      </w:r>
      <w:r w:rsidR="001C4E42">
        <w:t xml:space="preserve">Table </w:t>
      </w:r>
      <w:r w:rsidR="001C4E42">
        <w:rPr>
          <w:noProof/>
        </w:rPr>
        <w:t>2</w:t>
      </w:r>
      <w:r w:rsidR="001C4E42">
        <w:t xml:space="preserve"> Operating Profit Ratios</w:t>
      </w:r>
      <w:r>
        <w:rPr>
          <w:rFonts w:cs="Arial"/>
          <w:szCs w:val="24"/>
        </w:rPr>
        <w:fldChar w:fldCharType="end"/>
      </w:r>
      <w:r w:rsidR="00794367">
        <w:rPr>
          <w:rFonts w:cs="Arial"/>
          <w:szCs w:val="24"/>
        </w:rPr>
        <w:t>……………………………….</w:t>
      </w:r>
      <w:r w:rsidR="00794367">
        <w:rPr>
          <w:rFonts w:cs="Arial"/>
          <w:szCs w:val="24"/>
        </w:rPr>
        <w:fldChar w:fldCharType="begin"/>
      </w:r>
      <w:r w:rsidR="00794367">
        <w:rPr>
          <w:rFonts w:cs="Arial"/>
          <w:szCs w:val="24"/>
        </w:rPr>
        <w:instrText xml:space="preserve"> PAGEREF _Ref146813363 \h </w:instrText>
      </w:r>
      <w:r w:rsidR="00794367">
        <w:rPr>
          <w:rFonts w:cs="Arial"/>
          <w:szCs w:val="24"/>
        </w:rPr>
      </w:r>
      <w:r w:rsidR="00794367">
        <w:rPr>
          <w:rFonts w:cs="Arial"/>
          <w:szCs w:val="24"/>
        </w:rPr>
        <w:fldChar w:fldCharType="separate"/>
      </w:r>
      <w:r w:rsidR="001C4E42">
        <w:rPr>
          <w:rFonts w:cs="Arial"/>
          <w:noProof/>
          <w:szCs w:val="24"/>
        </w:rPr>
        <w:t>9</w:t>
      </w:r>
      <w:r w:rsidR="00794367">
        <w:rPr>
          <w:rFonts w:cs="Arial"/>
          <w:szCs w:val="24"/>
        </w:rPr>
        <w:fldChar w:fldCharType="end"/>
      </w:r>
    </w:p>
    <w:p w14:paraId="6A04CC34" w14:textId="0545CCDB" w:rsidR="00156762" w:rsidRDefault="00794367" w:rsidP="00896351">
      <w:pPr>
        <w:rPr>
          <w:rFonts w:cs="Arial"/>
          <w:szCs w:val="24"/>
        </w:rPr>
      </w:pPr>
      <w:r>
        <w:rPr>
          <w:rFonts w:cs="Arial"/>
          <w:szCs w:val="24"/>
        </w:rPr>
        <w:fldChar w:fldCharType="begin"/>
      </w:r>
      <w:r>
        <w:rPr>
          <w:rFonts w:cs="Arial"/>
          <w:szCs w:val="24"/>
        </w:rPr>
        <w:instrText xml:space="preserve"> REF _Ref146813516 \h </w:instrText>
      </w:r>
      <w:r>
        <w:rPr>
          <w:rFonts w:cs="Arial"/>
          <w:szCs w:val="24"/>
        </w:rPr>
      </w:r>
      <w:r>
        <w:rPr>
          <w:rFonts w:cs="Arial"/>
          <w:szCs w:val="24"/>
        </w:rPr>
        <w:fldChar w:fldCharType="separate"/>
      </w:r>
      <w:r w:rsidR="001C4E42">
        <w:t xml:space="preserve">Table </w:t>
      </w:r>
      <w:r w:rsidR="001C4E42">
        <w:rPr>
          <w:noProof/>
        </w:rPr>
        <w:t>3</w:t>
      </w:r>
      <w:r w:rsidR="001C4E42">
        <w:t xml:space="preserve"> Net Income Ratios</w:t>
      </w:r>
      <w:r>
        <w:rPr>
          <w:rFonts w:cs="Arial"/>
          <w:szCs w:val="24"/>
        </w:rPr>
        <w:fldChar w:fldCharType="end"/>
      </w:r>
      <w:r>
        <w:rPr>
          <w:rFonts w:cs="Arial"/>
          <w:szCs w:val="24"/>
        </w:rPr>
        <w:t>………………</w:t>
      </w:r>
      <w:r w:rsidR="001C4E42">
        <w:rPr>
          <w:rFonts w:cs="Arial"/>
          <w:szCs w:val="24"/>
        </w:rPr>
        <w:t>…</w:t>
      </w:r>
      <w:r>
        <w:rPr>
          <w:rFonts w:cs="Arial"/>
          <w:szCs w:val="24"/>
        </w:rPr>
        <w:t>……………………</w:t>
      </w:r>
      <w:r>
        <w:rPr>
          <w:rFonts w:cs="Arial"/>
          <w:szCs w:val="24"/>
        </w:rPr>
        <w:fldChar w:fldCharType="begin"/>
      </w:r>
      <w:r>
        <w:rPr>
          <w:rFonts w:cs="Arial"/>
          <w:szCs w:val="24"/>
        </w:rPr>
        <w:instrText xml:space="preserve"> PAGEREF _Ref146813516 \h </w:instrText>
      </w:r>
      <w:r>
        <w:rPr>
          <w:rFonts w:cs="Arial"/>
          <w:szCs w:val="24"/>
        </w:rPr>
      </w:r>
      <w:r>
        <w:rPr>
          <w:rFonts w:cs="Arial"/>
          <w:szCs w:val="24"/>
        </w:rPr>
        <w:fldChar w:fldCharType="separate"/>
      </w:r>
      <w:r w:rsidR="001C4E42">
        <w:rPr>
          <w:rFonts w:cs="Arial"/>
          <w:noProof/>
          <w:szCs w:val="24"/>
        </w:rPr>
        <w:t>10</w:t>
      </w:r>
      <w:r>
        <w:rPr>
          <w:rFonts w:cs="Arial"/>
          <w:szCs w:val="24"/>
        </w:rPr>
        <w:fldChar w:fldCharType="end"/>
      </w:r>
    </w:p>
    <w:p w14:paraId="03491BEF" w14:textId="2F54219B" w:rsidR="00156762" w:rsidRDefault="00794367" w:rsidP="00896351">
      <w:pPr>
        <w:rPr>
          <w:rFonts w:cs="Arial"/>
          <w:szCs w:val="24"/>
        </w:rPr>
      </w:pPr>
      <w:r>
        <w:rPr>
          <w:rFonts w:cs="Arial"/>
          <w:szCs w:val="24"/>
        </w:rPr>
        <w:fldChar w:fldCharType="begin"/>
      </w:r>
      <w:r>
        <w:rPr>
          <w:rFonts w:cs="Arial"/>
          <w:szCs w:val="24"/>
        </w:rPr>
        <w:instrText xml:space="preserve"> REF _Ref146813549 \h </w:instrText>
      </w:r>
      <w:r>
        <w:rPr>
          <w:rFonts w:cs="Arial"/>
          <w:szCs w:val="24"/>
        </w:rPr>
      </w:r>
      <w:r>
        <w:rPr>
          <w:rFonts w:cs="Arial"/>
          <w:szCs w:val="24"/>
        </w:rPr>
        <w:fldChar w:fldCharType="separate"/>
      </w:r>
      <w:r w:rsidR="001C4E42">
        <w:t xml:space="preserve">Table </w:t>
      </w:r>
      <w:r w:rsidR="001C4E42">
        <w:rPr>
          <w:noProof/>
        </w:rPr>
        <w:t>4</w:t>
      </w:r>
      <w:r w:rsidR="001C4E42">
        <w:t xml:space="preserve"> Return on Assets Margin Ratios</w:t>
      </w:r>
      <w:r>
        <w:rPr>
          <w:rFonts w:cs="Arial"/>
          <w:szCs w:val="24"/>
        </w:rPr>
        <w:fldChar w:fldCharType="end"/>
      </w:r>
      <w:proofErr w:type="gramStart"/>
      <w:r>
        <w:rPr>
          <w:rFonts w:cs="Arial"/>
          <w:szCs w:val="24"/>
        </w:rPr>
        <w:t>…</w:t>
      </w:r>
      <w:r w:rsidR="001C4E42">
        <w:rPr>
          <w:rFonts w:cs="Arial"/>
          <w:szCs w:val="24"/>
        </w:rPr>
        <w:t>..</w:t>
      </w:r>
      <w:proofErr w:type="gramEnd"/>
      <w:r>
        <w:rPr>
          <w:rFonts w:cs="Arial"/>
          <w:szCs w:val="24"/>
        </w:rPr>
        <w:t>……………..</w:t>
      </w:r>
      <w:r>
        <w:rPr>
          <w:rFonts w:cs="Arial"/>
          <w:szCs w:val="24"/>
        </w:rPr>
        <w:fldChar w:fldCharType="begin"/>
      </w:r>
      <w:r>
        <w:rPr>
          <w:rFonts w:cs="Arial"/>
          <w:szCs w:val="24"/>
        </w:rPr>
        <w:instrText xml:space="preserve"> PAGEREF _Ref146813549 \h </w:instrText>
      </w:r>
      <w:r>
        <w:rPr>
          <w:rFonts w:cs="Arial"/>
          <w:szCs w:val="24"/>
        </w:rPr>
      </w:r>
      <w:r>
        <w:rPr>
          <w:rFonts w:cs="Arial"/>
          <w:szCs w:val="24"/>
        </w:rPr>
        <w:fldChar w:fldCharType="separate"/>
      </w:r>
      <w:r w:rsidR="001C4E42">
        <w:rPr>
          <w:rFonts w:cs="Arial"/>
          <w:noProof/>
          <w:szCs w:val="24"/>
        </w:rPr>
        <w:t>10</w:t>
      </w:r>
      <w:r>
        <w:rPr>
          <w:rFonts w:cs="Arial"/>
          <w:szCs w:val="24"/>
        </w:rPr>
        <w:fldChar w:fldCharType="end"/>
      </w:r>
    </w:p>
    <w:p w14:paraId="283BA82A" w14:textId="7A02679B" w:rsidR="00156762" w:rsidRDefault="00794367" w:rsidP="00896351">
      <w:pPr>
        <w:rPr>
          <w:rFonts w:cs="Arial"/>
          <w:szCs w:val="24"/>
        </w:rPr>
      </w:pPr>
      <w:r>
        <w:rPr>
          <w:rFonts w:cs="Arial"/>
          <w:szCs w:val="24"/>
        </w:rPr>
        <w:fldChar w:fldCharType="begin"/>
      </w:r>
      <w:r>
        <w:rPr>
          <w:rFonts w:cs="Arial"/>
          <w:szCs w:val="24"/>
        </w:rPr>
        <w:instrText xml:space="preserve"> REF _Ref146813596 \h </w:instrText>
      </w:r>
      <w:r>
        <w:rPr>
          <w:rFonts w:cs="Arial"/>
          <w:szCs w:val="24"/>
        </w:rPr>
      </w:r>
      <w:r>
        <w:rPr>
          <w:rFonts w:cs="Arial"/>
          <w:szCs w:val="24"/>
        </w:rPr>
        <w:fldChar w:fldCharType="separate"/>
      </w:r>
      <w:r w:rsidR="001C4E42">
        <w:t xml:space="preserve">Table </w:t>
      </w:r>
      <w:r w:rsidR="001C4E42">
        <w:rPr>
          <w:noProof/>
        </w:rPr>
        <w:t>5</w:t>
      </w:r>
      <w:r w:rsidR="001C4E42">
        <w:t xml:space="preserve"> Return on Shareholders' Equity Ratios</w:t>
      </w:r>
      <w:r>
        <w:rPr>
          <w:rFonts w:cs="Arial"/>
          <w:szCs w:val="24"/>
        </w:rPr>
        <w:fldChar w:fldCharType="end"/>
      </w:r>
      <w:r>
        <w:rPr>
          <w:rFonts w:cs="Arial"/>
          <w:szCs w:val="24"/>
        </w:rPr>
        <w:t>…………</w:t>
      </w:r>
      <w:r>
        <w:rPr>
          <w:rFonts w:cs="Arial"/>
          <w:szCs w:val="24"/>
        </w:rPr>
        <w:fldChar w:fldCharType="begin"/>
      </w:r>
      <w:r>
        <w:rPr>
          <w:rFonts w:cs="Arial"/>
          <w:szCs w:val="24"/>
        </w:rPr>
        <w:instrText xml:space="preserve"> PAGEREF _Ref146813596 \h </w:instrText>
      </w:r>
      <w:r>
        <w:rPr>
          <w:rFonts w:cs="Arial"/>
          <w:szCs w:val="24"/>
        </w:rPr>
      </w:r>
      <w:r>
        <w:rPr>
          <w:rFonts w:cs="Arial"/>
          <w:szCs w:val="24"/>
        </w:rPr>
        <w:fldChar w:fldCharType="separate"/>
      </w:r>
      <w:r w:rsidR="001C4E42">
        <w:rPr>
          <w:rFonts w:cs="Arial"/>
          <w:noProof/>
          <w:szCs w:val="24"/>
        </w:rPr>
        <w:t>11</w:t>
      </w:r>
      <w:r>
        <w:rPr>
          <w:rFonts w:cs="Arial"/>
          <w:szCs w:val="24"/>
        </w:rPr>
        <w:fldChar w:fldCharType="end"/>
      </w:r>
    </w:p>
    <w:p w14:paraId="00302F8B" w14:textId="3E8938C3" w:rsidR="00156762" w:rsidRDefault="00794367" w:rsidP="00896351">
      <w:pPr>
        <w:rPr>
          <w:rFonts w:cs="Arial"/>
          <w:szCs w:val="24"/>
        </w:rPr>
      </w:pPr>
      <w:r>
        <w:rPr>
          <w:rFonts w:cs="Arial"/>
          <w:szCs w:val="24"/>
        </w:rPr>
        <w:fldChar w:fldCharType="begin"/>
      </w:r>
      <w:r>
        <w:rPr>
          <w:rFonts w:cs="Arial"/>
          <w:szCs w:val="24"/>
        </w:rPr>
        <w:instrText xml:space="preserve"> REF _Ref146813624 \h </w:instrText>
      </w:r>
      <w:r>
        <w:rPr>
          <w:rFonts w:cs="Arial"/>
          <w:szCs w:val="24"/>
        </w:rPr>
      </w:r>
      <w:r>
        <w:rPr>
          <w:rFonts w:cs="Arial"/>
          <w:szCs w:val="24"/>
        </w:rPr>
        <w:fldChar w:fldCharType="separate"/>
      </w:r>
      <w:r w:rsidR="001C4E42">
        <w:t xml:space="preserve">Table </w:t>
      </w:r>
      <w:r w:rsidR="001C4E42">
        <w:rPr>
          <w:noProof/>
        </w:rPr>
        <w:t>6</w:t>
      </w:r>
      <w:r w:rsidR="001C4E42">
        <w:t xml:space="preserve"> Current Ratios</w:t>
      </w:r>
      <w:r>
        <w:rPr>
          <w:rFonts w:cs="Arial"/>
          <w:szCs w:val="24"/>
        </w:rPr>
        <w:fldChar w:fldCharType="end"/>
      </w:r>
      <w:r>
        <w:rPr>
          <w:rFonts w:cs="Arial"/>
          <w:szCs w:val="24"/>
        </w:rPr>
        <w:t>…………………………………………</w:t>
      </w:r>
      <w:proofErr w:type="gramStart"/>
      <w:r>
        <w:rPr>
          <w:rFonts w:cs="Arial"/>
          <w:szCs w:val="24"/>
        </w:rPr>
        <w:t>…..</w:t>
      </w:r>
      <w:proofErr w:type="gramEnd"/>
      <w:r>
        <w:rPr>
          <w:rFonts w:cs="Arial"/>
          <w:szCs w:val="24"/>
        </w:rPr>
        <w:fldChar w:fldCharType="begin"/>
      </w:r>
      <w:r>
        <w:rPr>
          <w:rFonts w:cs="Arial"/>
          <w:szCs w:val="24"/>
        </w:rPr>
        <w:instrText xml:space="preserve"> PAGEREF _Ref146813624 \h </w:instrText>
      </w:r>
      <w:r>
        <w:rPr>
          <w:rFonts w:cs="Arial"/>
          <w:szCs w:val="24"/>
        </w:rPr>
      </w:r>
      <w:r>
        <w:rPr>
          <w:rFonts w:cs="Arial"/>
          <w:szCs w:val="24"/>
        </w:rPr>
        <w:fldChar w:fldCharType="separate"/>
      </w:r>
      <w:r w:rsidR="001C4E42">
        <w:rPr>
          <w:rFonts w:cs="Arial"/>
          <w:noProof/>
          <w:szCs w:val="24"/>
        </w:rPr>
        <w:t>12</w:t>
      </w:r>
      <w:r>
        <w:rPr>
          <w:rFonts w:cs="Arial"/>
          <w:szCs w:val="24"/>
        </w:rPr>
        <w:fldChar w:fldCharType="end"/>
      </w:r>
    </w:p>
    <w:p w14:paraId="1DED97C6" w14:textId="7F728164" w:rsidR="00156762" w:rsidRDefault="00794367" w:rsidP="00896351">
      <w:pPr>
        <w:rPr>
          <w:rFonts w:cs="Arial"/>
          <w:szCs w:val="24"/>
        </w:rPr>
      </w:pPr>
      <w:r>
        <w:rPr>
          <w:rFonts w:cs="Arial"/>
          <w:szCs w:val="24"/>
        </w:rPr>
        <w:fldChar w:fldCharType="begin"/>
      </w:r>
      <w:r>
        <w:rPr>
          <w:rFonts w:cs="Arial"/>
          <w:szCs w:val="24"/>
        </w:rPr>
        <w:instrText xml:space="preserve"> REF _Ref146813678 \h </w:instrText>
      </w:r>
      <w:r>
        <w:rPr>
          <w:rFonts w:cs="Arial"/>
          <w:szCs w:val="24"/>
        </w:rPr>
      </w:r>
      <w:r>
        <w:rPr>
          <w:rFonts w:cs="Arial"/>
          <w:szCs w:val="24"/>
        </w:rPr>
        <w:fldChar w:fldCharType="separate"/>
      </w:r>
      <w:r w:rsidR="001C4E42">
        <w:t xml:space="preserve">Table </w:t>
      </w:r>
      <w:r w:rsidR="001C4E42">
        <w:rPr>
          <w:noProof/>
        </w:rPr>
        <w:t>7</w:t>
      </w:r>
      <w:r w:rsidR="001C4E42">
        <w:t xml:space="preserve"> Quick Ratios</w:t>
      </w:r>
      <w:r>
        <w:rPr>
          <w:rFonts w:cs="Arial"/>
          <w:szCs w:val="24"/>
        </w:rPr>
        <w:fldChar w:fldCharType="end"/>
      </w:r>
      <w:r>
        <w:rPr>
          <w:rFonts w:cs="Arial"/>
          <w:szCs w:val="24"/>
        </w:rPr>
        <w:t>…………………………………………………</w:t>
      </w:r>
      <w:r>
        <w:rPr>
          <w:rFonts w:cs="Arial"/>
          <w:szCs w:val="24"/>
        </w:rPr>
        <w:fldChar w:fldCharType="begin"/>
      </w:r>
      <w:r>
        <w:rPr>
          <w:rFonts w:cs="Arial"/>
          <w:szCs w:val="24"/>
        </w:rPr>
        <w:instrText xml:space="preserve"> PAGEREF _Ref146813678 \h </w:instrText>
      </w:r>
      <w:r>
        <w:rPr>
          <w:rFonts w:cs="Arial"/>
          <w:szCs w:val="24"/>
        </w:rPr>
      </w:r>
      <w:r>
        <w:rPr>
          <w:rFonts w:cs="Arial"/>
          <w:szCs w:val="24"/>
        </w:rPr>
        <w:fldChar w:fldCharType="separate"/>
      </w:r>
      <w:r w:rsidR="001C4E42">
        <w:rPr>
          <w:rFonts w:cs="Arial"/>
          <w:noProof/>
          <w:szCs w:val="24"/>
        </w:rPr>
        <w:t>12</w:t>
      </w:r>
      <w:r>
        <w:rPr>
          <w:rFonts w:cs="Arial"/>
          <w:szCs w:val="24"/>
        </w:rPr>
        <w:fldChar w:fldCharType="end"/>
      </w:r>
    </w:p>
    <w:p w14:paraId="5EF9DD2C" w14:textId="2832602D" w:rsidR="00794367" w:rsidRDefault="00794367" w:rsidP="00896351">
      <w:pPr>
        <w:rPr>
          <w:rFonts w:cs="Arial"/>
          <w:szCs w:val="24"/>
        </w:rPr>
      </w:pPr>
      <w:r>
        <w:rPr>
          <w:rFonts w:cs="Arial"/>
          <w:szCs w:val="24"/>
        </w:rPr>
        <w:fldChar w:fldCharType="begin"/>
      </w:r>
      <w:r>
        <w:rPr>
          <w:rFonts w:cs="Arial"/>
          <w:szCs w:val="24"/>
        </w:rPr>
        <w:instrText xml:space="preserve"> REF _Ref146813748 \h </w:instrText>
      </w:r>
      <w:r>
        <w:rPr>
          <w:rFonts w:cs="Arial"/>
          <w:szCs w:val="24"/>
        </w:rPr>
      </w:r>
      <w:r>
        <w:rPr>
          <w:rFonts w:cs="Arial"/>
          <w:szCs w:val="24"/>
        </w:rPr>
        <w:fldChar w:fldCharType="separate"/>
      </w:r>
      <w:r w:rsidR="001C4E42">
        <w:t xml:space="preserve">Table </w:t>
      </w:r>
      <w:r w:rsidR="001C4E42">
        <w:rPr>
          <w:noProof/>
        </w:rPr>
        <w:t>8</w:t>
      </w:r>
      <w:r w:rsidR="001C4E42">
        <w:t xml:space="preserve"> Cash Ratios</w:t>
      </w:r>
      <w:r>
        <w:rPr>
          <w:rFonts w:cs="Arial"/>
          <w:szCs w:val="24"/>
        </w:rPr>
        <w:fldChar w:fldCharType="end"/>
      </w:r>
      <w:r>
        <w:rPr>
          <w:rFonts w:cs="Arial"/>
          <w:szCs w:val="24"/>
        </w:rPr>
        <w:t>………………………………………………</w:t>
      </w:r>
      <w:proofErr w:type="gramStart"/>
      <w:r>
        <w:rPr>
          <w:rFonts w:cs="Arial"/>
          <w:szCs w:val="24"/>
        </w:rPr>
        <w:t>…..</w:t>
      </w:r>
      <w:proofErr w:type="gramEnd"/>
      <w:r>
        <w:rPr>
          <w:rFonts w:cs="Arial"/>
          <w:szCs w:val="24"/>
        </w:rPr>
        <w:fldChar w:fldCharType="begin"/>
      </w:r>
      <w:r>
        <w:rPr>
          <w:rFonts w:cs="Arial"/>
          <w:szCs w:val="24"/>
        </w:rPr>
        <w:instrText xml:space="preserve"> PAGEREF _Ref146813748 \h </w:instrText>
      </w:r>
      <w:r>
        <w:rPr>
          <w:rFonts w:cs="Arial"/>
          <w:szCs w:val="24"/>
        </w:rPr>
      </w:r>
      <w:r>
        <w:rPr>
          <w:rFonts w:cs="Arial"/>
          <w:szCs w:val="24"/>
        </w:rPr>
        <w:fldChar w:fldCharType="separate"/>
      </w:r>
      <w:r w:rsidR="001C4E42">
        <w:rPr>
          <w:rFonts w:cs="Arial"/>
          <w:noProof/>
          <w:szCs w:val="24"/>
        </w:rPr>
        <w:t>13</w:t>
      </w:r>
      <w:r>
        <w:rPr>
          <w:rFonts w:cs="Arial"/>
          <w:szCs w:val="24"/>
        </w:rPr>
        <w:fldChar w:fldCharType="end"/>
      </w:r>
    </w:p>
    <w:p w14:paraId="2787FA79" w14:textId="07989A8A" w:rsidR="00156762" w:rsidRDefault="00794367" w:rsidP="00896351">
      <w:pPr>
        <w:rPr>
          <w:rFonts w:cs="Arial"/>
          <w:szCs w:val="24"/>
        </w:rPr>
      </w:pPr>
      <w:r>
        <w:rPr>
          <w:rFonts w:cs="Arial"/>
          <w:szCs w:val="24"/>
        </w:rPr>
        <w:fldChar w:fldCharType="begin"/>
      </w:r>
      <w:r>
        <w:rPr>
          <w:rFonts w:cs="Arial"/>
          <w:szCs w:val="24"/>
        </w:rPr>
        <w:instrText xml:space="preserve"> REF _Ref146813709 \h </w:instrText>
      </w:r>
      <w:r>
        <w:rPr>
          <w:rFonts w:cs="Arial"/>
          <w:szCs w:val="24"/>
        </w:rPr>
      </w:r>
      <w:r>
        <w:rPr>
          <w:rFonts w:cs="Arial"/>
          <w:szCs w:val="24"/>
        </w:rPr>
        <w:fldChar w:fldCharType="separate"/>
      </w:r>
      <w:r w:rsidR="001C4E42">
        <w:t xml:space="preserve">Table </w:t>
      </w:r>
      <w:r w:rsidR="001C4E42">
        <w:rPr>
          <w:noProof/>
        </w:rPr>
        <w:t>9</w:t>
      </w:r>
      <w:r w:rsidR="001C4E42">
        <w:t xml:space="preserve"> Days Sales Outstanding Ratio</w:t>
      </w:r>
      <w:r>
        <w:rPr>
          <w:rFonts w:cs="Arial"/>
          <w:szCs w:val="24"/>
        </w:rPr>
        <w:fldChar w:fldCharType="end"/>
      </w:r>
      <w:r>
        <w:rPr>
          <w:rFonts w:cs="Arial"/>
          <w:szCs w:val="24"/>
        </w:rPr>
        <w:t>………</w:t>
      </w:r>
      <w:proofErr w:type="gramStart"/>
      <w:r>
        <w:rPr>
          <w:rFonts w:cs="Arial"/>
          <w:szCs w:val="24"/>
        </w:rPr>
        <w:t>…</w:t>
      </w:r>
      <w:r w:rsidR="001C4E42">
        <w:rPr>
          <w:rFonts w:cs="Arial"/>
          <w:szCs w:val="24"/>
        </w:rPr>
        <w:t>..</w:t>
      </w:r>
      <w:proofErr w:type="gramEnd"/>
      <w:r>
        <w:rPr>
          <w:rFonts w:cs="Arial"/>
          <w:szCs w:val="24"/>
        </w:rPr>
        <w:t>…………..</w:t>
      </w:r>
      <w:r>
        <w:rPr>
          <w:rFonts w:cs="Arial"/>
          <w:szCs w:val="24"/>
        </w:rPr>
        <w:fldChar w:fldCharType="begin"/>
      </w:r>
      <w:r>
        <w:rPr>
          <w:rFonts w:cs="Arial"/>
          <w:szCs w:val="24"/>
        </w:rPr>
        <w:instrText xml:space="preserve"> PAGEREF _Ref146813709 \h </w:instrText>
      </w:r>
      <w:r>
        <w:rPr>
          <w:rFonts w:cs="Arial"/>
          <w:szCs w:val="24"/>
        </w:rPr>
      </w:r>
      <w:r>
        <w:rPr>
          <w:rFonts w:cs="Arial"/>
          <w:szCs w:val="24"/>
        </w:rPr>
        <w:fldChar w:fldCharType="separate"/>
      </w:r>
      <w:r w:rsidR="001C4E42">
        <w:rPr>
          <w:rFonts w:cs="Arial"/>
          <w:noProof/>
          <w:szCs w:val="24"/>
        </w:rPr>
        <w:t>14</w:t>
      </w:r>
      <w:r>
        <w:rPr>
          <w:rFonts w:cs="Arial"/>
          <w:szCs w:val="24"/>
        </w:rPr>
        <w:fldChar w:fldCharType="end"/>
      </w:r>
    </w:p>
    <w:p w14:paraId="281DAD90" w14:textId="1ADABA60" w:rsidR="00156762" w:rsidRDefault="00794367" w:rsidP="00896351">
      <w:pPr>
        <w:rPr>
          <w:rFonts w:cs="Arial"/>
          <w:szCs w:val="24"/>
        </w:rPr>
      </w:pPr>
      <w:r>
        <w:rPr>
          <w:rFonts w:cs="Arial"/>
          <w:szCs w:val="24"/>
        </w:rPr>
        <w:fldChar w:fldCharType="begin"/>
      </w:r>
      <w:r>
        <w:rPr>
          <w:rFonts w:cs="Arial"/>
          <w:szCs w:val="24"/>
        </w:rPr>
        <w:instrText xml:space="preserve"> REF _Ref146813782 \h </w:instrText>
      </w:r>
      <w:r>
        <w:rPr>
          <w:rFonts w:cs="Arial"/>
          <w:szCs w:val="24"/>
        </w:rPr>
      </w:r>
      <w:r>
        <w:rPr>
          <w:rFonts w:cs="Arial"/>
          <w:szCs w:val="24"/>
        </w:rPr>
        <w:fldChar w:fldCharType="separate"/>
      </w:r>
      <w:r w:rsidR="001C4E42">
        <w:t xml:space="preserve">Table </w:t>
      </w:r>
      <w:r w:rsidR="001C4E42">
        <w:rPr>
          <w:noProof/>
        </w:rPr>
        <w:t>10</w:t>
      </w:r>
      <w:r w:rsidR="001C4E42">
        <w:t xml:space="preserve"> Inventory Turnover Ratio</w:t>
      </w:r>
      <w:r>
        <w:rPr>
          <w:rFonts w:cs="Arial"/>
          <w:szCs w:val="24"/>
        </w:rPr>
        <w:fldChar w:fldCharType="end"/>
      </w:r>
      <w:r>
        <w:rPr>
          <w:rFonts w:cs="Arial"/>
          <w:szCs w:val="24"/>
        </w:rPr>
        <w:t>…………………………...</w:t>
      </w:r>
      <w:r>
        <w:rPr>
          <w:rFonts w:cs="Arial"/>
          <w:szCs w:val="24"/>
        </w:rPr>
        <w:fldChar w:fldCharType="begin"/>
      </w:r>
      <w:r>
        <w:rPr>
          <w:rFonts w:cs="Arial"/>
          <w:szCs w:val="24"/>
        </w:rPr>
        <w:instrText xml:space="preserve"> PAGEREF _Ref146813782 \h </w:instrText>
      </w:r>
      <w:r>
        <w:rPr>
          <w:rFonts w:cs="Arial"/>
          <w:szCs w:val="24"/>
        </w:rPr>
      </w:r>
      <w:r>
        <w:rPr>
          <w:rFonts w:cs="Arial"/>
          <w:szCs w:val="24"/>
        </w:rPr>
        <w:fldChar w:fldCharType="separate"/>
      </w:r>
      <w:r w:rsidR="001C4E42">
        <w:rPr>
          <w:rFonts w:cs="Arial"/>
          <w:noProof/>
          <w:szCs w:val="24"/>
        </w:rPr>
        <w:t>14</w:t>
      </w:r>
      <w:r>
        <w:rPr>
          <w:rFonts w:cs="Arial"/>
          <w:szCs w:val="24"/>
        </w:rPr>
        <w:fldChar w:fldCharType="end"/>
      </w:r>
    </w:p>
    <w:p w14:paraId="59D5A1E3" w14:textId="1555A684" w:rsidR="00156762" w:rsidRDefault="00794367" w:rsidP="00896351">
      <w:pPr>
        <w:rPr>
          <w:rFonts w:cs="Arial"/>
          <w:szCs w:val="24"/>
        </w:rPr>
      </w:pPr>
      <w:r>
        <w:rPr>
          <w:rFonts w:cs="Arial"/>
          <w:szCs w:val="24"/>
        </w:rPr>
        <w:fldChar w:fldCharType="begin"/>
      </w:r>
      <w:r>
        <w:rPr>
          <w:rFonts w:cs="Arial"/>
          <w:szCs w:val="24"/>
        </w:rPr>
        <w:instrText xml:space="preserve"> REF _Ref146813925 \h </w:instrText>
      </w:r>
      <w:r>
        <w:rPr>
          <w:rFonts w:cs="Arial"/>
          <w:szCs w:val="24"/>
        </w:rPr>
      </w:r>
      <w:r>
        <w:rPr>
          <w:rFonts w:cs="Arial"/>
          <w:szCs w:val="24"/>
        </w:rPr>
        <w:fldChar w:fldCharType="separate"/>
      </w:r>
      <w:r w:rsidR="001C4E42">
        <w:t xml:space="preserve">Table </w:t>
      </w:r>
      <w:r w:rsidR="001C4E42">
        <w:rPr>
          <w:noProof/>
        </w:rPr>
        <w:t>11</w:t>
      </w:r>
      <w:r w:rsidR="001C4E42">
        <w:t xml:space="preserve"> Days Payable Outstanding Ratio</w:t>
      </w:r>
      <w:r>
        <w:rPr>
          <w:rFonts w:cs="Arial"/>
          <w:szCs w:val="24"/>
        </w:rPr>
        <w:fldChar w:fldCharType="end"/>
      </w:r>
      <w:r>
        <w:rPr>
          <w:rFonts w:cs="Arial"/>
          <w:szCs w:val="24"/>
        </w:rPr>
        <w:t>…</w:t>
      </w:r>
      <w:proofErr w:type="gramStart"/>
      <w:r>
        <w:rPr>
          <w:rFonts w:cs="Arial"/>
          <w:szCs w:val="24"/>
        </w:rPr>
        <w:t>…</w:t>
      </w:r>
      <w:r w:rsidR="001C4E42">
        <w:rPr>
          <w:rFonts w:cs="Arial"/>
          <w:szCs w:val="24"/>
        </w:rPr>
        <w:t>..</w:t>
      </w:r>
      <w:proofErr w:type="gramEnd"/>
      <w:r>
        <w:rPr>
          <w:rFonts w:cs="Arial"/>
          <w:szCs w:val="24"/>
        </w:rPr>
        <w:t>………….</w:t>
      </w:r>
      <w:r>
        <w:rPr>
          <w:rFonts w:cs="Arial"/>
          <w:szCs w:val="24"/>
        </w:rPr>
        <w:fldChar w:fldCharType="begin"/>
      </w:r>
      <w:r>
        <w:rPr>
          <w:rFonts w:cs="Arial"/>
          <w:szCs w:val="24"/>
        </w:rPr>
        <w:instrText xml:space="preserve"> PAGEREF _Ref146813925 \h </w:instrText>
      </w:r>
      <w:r>
        <w:rPr>
          <w:rFonts w:cs="Arial"/>
          <w:szCs w:val="24"/>
        </w:rPr>
      </w:r>
      <w:r>
        <w:rPr>
          <w:rFonts w:cs="Arial"/>
          <w:szCs w:val="24"/>
        </w:rPr>
        <w:fldChar w:fldCharType="separate"/>
      </w:r>
      <w:r w:rsidR="001C4E42">
        <w:rPr>
          <w:rFonts w:cs="Arial"/>
          <w:noProof/>
          <w:szCs w:val="24"/>
        </w:rPr>
        <w:t>15</w:t>
      </w:r>
      <w:r>
        <w:rPr>
          <w:rFonts w:cs="Arial"/>
          <w:szCs w:val="24"/>
        </w:rPr>
        <w:fldChar w:fldCharType="end"/>
      </w:r>
    </w:p>
    <w:p w14:paraId="08881FE3" w14:textId="5F1967DF" w:rsidR="00156762" w:rsidRDefault="00794367" w:rsidP="00896351">
      <w:pPr>
        <w:rPr>
          <w:rFonts w:cs="Arial"/>
          <w:szCs w:val="24"/>
        </w:rPr>
      </w:pPr>
      <w:r>
        <w:rPr>
          <w:rFonts w:cs="Arial"/>
          <w:szCs w:val="24"/>
        </w:rPr>
        <w:fldChar w:fldCharType="begin"/>
      </w:r>
      <w:r>
        <w:rPr>
          <w:rFonts w:cs="Arial"/>
          <w:szCs w:val="24"/>
        </w:rPr>
        <w:instrText xml:space="preserve"> REF _Ref146813954 \h </w:instrText>
      </w:r>
      <w:r>
        <w:rPr>
          <w:rFonts w:cs="Arial"/>
          <w:szCs w:val="24"/>
        </w:rPr>
      </w:r>
      <w:r>
        <w:rPr>
          <w:rFonts w:cs="Arial"/>
          <w:szCs w:val="24"/>
        </w:rPr>
        <w:fldChar w:fldCharType="separate"/>
      </w:r>
      <w:r w:rsidR="001C4E42">
        <w:t xml:space="preserve">Table </w:t>
      </w:r>
      <w:r w:rsidR="001C4E42">
        <w:rPr>
          <w:noProof/>
        </w:rPr>
        <w:t>12</w:t>
      </w:r>
      <w:r w:rsidR="001C4E42">
        <w:t xml:space="preserve"> Gearing Ratio</w:t>
      </w:r>
      <w:r>
        <w:rPr>
          <w:rFonts w:cs="Arial"/>
          <w:szCs w:val="24"/>
        </w:rPr>
        <w:fldChar w:fldCharType="end"/>
      </w:r>
      <w:r>
        <w:rPr>
          <w:rFonts w:cs="Arial"/>
          <w:szCs w:val="24"/>
        </w:rPr>
        <w:t>…………………………</w:t>
      </w:r>
      <w:proofErr w:type="gramStart"/>
      <w:r>
        <w:rPr>
          <w:rFonts w:cs="Arial"/>
          <w:szCs w:val="24"/>
        </w:rPr>
        <w:t>…</w:t>
      </w:r>
      <w:r w:rsidR="000377CA">
        <w:rPr>
          <w:rFonts w:cs="Arial"/>
          <w:szCs w:val="24"/>
        </w:rPr>
        <w:t>..</w:t>
      </w:r>
      <w:proofErr w:type="gramEnd"/>
      <w:r>
        <w:rPr>
          <w:rFonts w:cs="Arial"/>
          <w:szCs w:val="24"/>
        </w:rPr>
        <w:t>……</w:t>
      </w:r>
      <w:r w:rsidR="001C4E42">
        <w:rPr>
          <w:rFonts w:cs="Arial"/>
          <w:szCs w:val="24"/>
        </w:rPr>
        <w:t>..</w:t>
      </w:r>
      <w:r>
        <w:rPr>
          <w:rFonts w:cs="Arial"/>
          <w:szCs w:val="24"/>
        </w:rPr>
        <w:t>……….</w:t>
      </w:r>
      <w:r>
        <w:rPr>
          <w:rFonts w:cs="Arial"/>
          <w:szCs w:val="24"/>
        </w:rPr>
        <w:fldChar w:fldCharType="begin"/>
      </w:r>
      <w:r>
        <w:rPr>
          <w:rFonts w:cs="Arial"/>
          <w:szCs w:val="24"/>
        </w:rPr>
        <w:instrText xml:space="preserve"> PAGEREF _Ref146813954 \h </w:instrText>
      </w:r>
      <w:r>
        <w:rPr>
          <w:rFonts w:cs="Arial"/>
          <w:szCs w:val="24"/>
        </w:rPr>
      </w:r>
      <w:r>
        <w:rPr>
          <w:rFonts w:cs="Arial"/>
          <w:szCs w:val="24"/>
        </w:rPr>
        <w:fldChar w:fldCharType="separate"/>
      </w:r>
      <w:r w:rsidR="001C4E42">
        <w:rPr>
          <w:rFonts w:cs="Arial"/>
          <w:noProof/>
          <w:szCs w:val="24"/>
        </w:rPr>
        <w:t>15</w:t>
      </w:r>
      <w:r>
        <w:rPr>
          <w:rFonts w:cs="Arial"/>
          <w:szCs w:val="24"/>
        </w:rPr>
        <w:fldChar w:fldCharType="end"/>
      </w:r>
    </w:p>
    <w:p w14:paraId="70BA8ABF" w14:textId="2CBFA805" w:rsidR="00156762" w:rsidRDefault="00794367" w:rsidP="00896351">
      <w:pPr>
        <w:rPr>
          <w:rFonts w:cs="Arial"/>
          <w:szCs w:val="24"/>
        </w:rPr>
      </w:pPr>
      <w:r>
        <w:rPr>
          <w:rFonts w:cs="Arial"/>
          <w:szCs w:val="24"/>
        </w:rPr>
        <w:fldChar w:fldCharType="begin"/>
      </w:r>
      <w:r>
        <w:rPr>
          <w:rFonts w:cs="Arial"/>
          <w:szCs w:val="24"/>
        </w:rPr>
        <w:instrText xml:space="preserve"> REF _Ref146813984 \h </w:instrText>
      </w:r>
      <w:r>
        <w:rPr>
          <w:rFonts w:cs="Arial"/>
          <w:szCs w:val="24"/>
        </w:rPr>
      </w:r>
      <w:r>
        <w:rPr>
          <w:rFonts w:cs="Arial"/>
          <w:szCs w:val="24"/>
        </w:rPr>
        <w:fldChar w:fldCharType="separate"/>
      </w:r>
      <w:r w:rsidR="001C4E42">
        <w:t xml:space="preserve">Table </w:t>
      </w:r>
      <w:r w:rsidR="001C4E42">
        <w:rPr>
          <w:noProof/>
        </w:rPr>
        <w:t>13</w:t>
      </w:r>
      <w:r w:rsidR="001C4E42">
        <w:t xml:space="preserve"> Debt / Equity Ratio</w:t>
      </w:r>
      <w:r>
        <w:rPr>
          <w:rFonts w:cs="Arial"/>
          <w:szCs w:val="24"/>
        </w:rPr>
        <w:fldChar w:fldCharType="end"/>
      </w:r>
      <w:r>
        <w:rPr>
          <w:rFonts w:cs="Arial"/>
          <w:szCs w:val="24"/>
        </w:rPr>
        <w:t>…………………………</w:t>
      </w:r>
      <w:r w:rsidR="001C4E42">
        <w:rPr>
          <w:rFonts w:cs="Arial"/>
          <w:szCs w:val="24"/>
        </w:rPr>
        <w:t>…….</w:t>
      </w:r>
      <w:r>
        <w:rPr>
          <w:rFonts w:cs="Arial"/>
          <w:szCs w:val="24"/>
        </w:rPr>
        <w:t>…….</w:t>
      </w:r>
      <w:r w:rsidR="000377CA">
        <w:rPr>
          <w:rFonts w:cs="Arial"/>
          <w:szCs w:val="24"/>
        </w:rPr>
        <w:fldChar w:fldCharType="begin"/>
      </w:r>
      <w:r w:rsidR="000377CA">
        <w:rPr>
          <w:rFonts w:cs="Arial"/>
          <w:szCs w:val="24"/>
        </w:rPr>
        <w:instrText xml:space="preserve"> PAGEREF _Ref146813984 \h </w:instrText>
      </w:r>
      <w:r w:rsidR="000377CA">
        <w:rPr>
          <w:rFonts w:cs="Arial"/>
          <w:szCs w:val="24"/>
        </w:rPr>
      </w:r>
      <w:r w:rsidR="000377CA">
        <w:rPr>
          <w:rFonts w:cs="Arial"/>
          <w:szCs w:val="24"/>
        </w:rPr>
        <w:fldChar w:fldCharType="separate"/>
      </w:r>
      <w:r w:rsidR="001C4E42">
        <w:rPr>
          <w:rFonts w:cs="Arial"/>
          <w:noProof/>
          <w:szCs w:val="24"/>
        </w:rPr>
        <w:t>16</w:t>
      </w:r>
      <w:r w:rsidR="000377CA">
        <w:rPr>
          <w:rFonts w:cs="Arial"/>
          <w:szCs w:val="24"/>
        </w:rPr>
        <w:fldChar w:fldCharType="end"/>
      </w:r>
    </w:p>
    <w:p w14:paraId="67DE9FC3" w14:textId="7DDB156F" w:rsidR="00156762" w:rsidRDefault="000377CA" w:rsidP="00896351">
      <w:pPr>
        <w:rPr>
          <w:rFonts w:cs="Arial"/>
          <w:szCs w:val="24"/>
        </w:rPr>
      </w:pPr>
      <w:r>
        <w:rPr>
          <w:rFonts w:cs="Arial"/>
          <w:szCs w:val="24"/>
        </w:rPr>
        <w:fldChar w:fldCharType="begin"/>
      </w:r>
      <w:r>
        <w:rPr>
          <w:rFonts w:cs="Arial"/>
          <w:szCs w:val="24"/>
        </w:rPr>
        <w:instrText xml:space="preserve"> REF _Ref146814040 \h </w:instrText>
      </w:r>
      <w:r>
        <w:rPr>
          <w:rFonts w:cs="Arial"/>
          <w:szCs w:val="24"/>
        </w:rPr>
      </w:r>
      <w:r>
        <w:rPr>
          <w:rFonts w:cs="Arial"/>
          <w:szCs w:val="24"/>
        </w:rPr>
        <w:fldChar w:fldCharType="separate"/>
      </w:r>
      <w:r w:rsidR="001C4E42">
        <w:t xml:space="preserve">Table </w:t>
      </w:r>
      <w:r w:rsidR="001C4E42">
        <w:rPr>
          <w:noProof/>
        </w:rPr>
        <w:t>14</w:t>
      </w:r>
      <w:r w:rsidR="001C4E42">
        <w:t xml:space="preserve"> Long-Term Debt / Equity Ratio</w:t>
      </w:r>
      <w:r>
        <w:rPr>
          <w:rFonts w:cs="Arial"/>
          <w:szCs w:val="24"/>
        </w:rPr>
        <w:fldChar w:fldCharType="end"/>
      </w:r>
      <w:r>
        <w:rPr>
          <w:rFonts w:cs="Arial"/>
          <w:szCs w:val="24"/>
        </w:rPr>
        <w:t>……</w:t>
      </w:r>
      <w:r w:rsidR="001C4E42">
        <w:rPr>
          <w:rFonts w:cs="Arial"/>
          <w:szCs w:val="24"/>
        </w:rPr>
        <w:t>.</w:t>
      </w:r>
      <w:r>
        <w:rPr>
          <w:rFonts w:cs="Arial"/>
          <w:szCs w:val="24"/>
        </w:rPr>
        <w:t>…………</w:t>
      </w:r>
      <w:proofErr w:type="gramStart"/>
      <w:r>
        <w:rPr>
          <w:rFonts w:cs="Arial"/>
          <w:szCs w:val="24"/>
        </w:rPr>
        <w:t>…..</w:t>
      </w:r>
      <w:proofErr w:type="gramEnd"/>
      <w:r>
        <w:rPr>
          <w:rFonts w:cs="Arial"/>
          <w:szCs w:val="24"/>
        </w:rPr>
        <w:fldChar w:fldCharType="begin"/>
      </w:r>
      <w:r>
        <w:rPr>
          <w:rFonts w:cs="Arial"/>
          <w:szCs w:val="24"/>
        </w:rPr>
        <w:instrText xml:space="preserve"> PAGEREF _Ref146814040 \h </w:instrText>
      </w:r>
      <w:r>
        <w:rPr>
          <w:rFonts w:cs="Arial"/>
          <w:szCs w:val="24"/>
        </w:rPr>
      </w:r>
      <w:r>
        <w:rPr>
          <w:rFonts w:cs="Arial"/>
          <w:szCs w:val="24"/>
        </w:rPr>
        <w:fldChar w:fldCharType="separate"/>
      </w:r>
      <w:r w:rsidR="001C4E42">
        <w:rPr>
          <w:rFonts w:cs="Arial"/>
          <w:noProof/>
          <w:szCs w:val="24"/>
        </w:rPr>
        <w:t>16</w:t>
      </w:r>
      <w:r>
        <w:rPr>
          <w:rFonts w:cs="Arial"/>
          <w:szCs w:val="24"/>
        </w:rPr>
        <w:fldChar w:fldCharType="end"/>
      </w:r>
    </w:p>
    <w:p w14:paraId="70387E19" w14:textId="472C08D5" w:rsidR="00156762" w:rsidRDefault="000377CA" w:rsidP="00896351">
      <w:pPr>
        <w:rPr>
          <w:rFonts w:cs="Arial"/>
          <w:szCs w:val="24"/>
        </w:rPr>
      </w:pPr>
      <w:r>
        <w:rPr>
          <w:rFonts w:cs="Arial"/>
          <w:szCs w:val="24"/>
        </w:rPr>
        <w:fldChar w:fldCharType="begin"/>
      </w:r>
      <w:r>
        <w:rPr>
          <w:rFonts w:cs="Arial"/>
          <w:szCs w:val="24"/>
        </w:rPr>
        <w:instrText xml:space="preserve"> REF _Ref146814072 \h </w:instrText>
      </w:r>
      <w:r>
        <w:rPr>
          <w:rFonts w:cs="Arial"/>
          <w:szCs w:val="24"/>
        </w:rPr>
      </w:r>
      <w:r>
        <w:rPr>
          <w:rFonts w:cs="Arial"/>
          <w:szCs w:val="24"/>
        </w:rPr>
        <w:fldChar w:fldCharType="separate"/>
      </w:r>
      <w:r w:rsidR="001C4E42">
        <w:t xml:space="preserve">Table </w:t>
      </w:r>
      <w:r w:rsidR="001C4E42">
        <w:rPr>
          <w:noProof/>
        </w:rPr>
        <w:t>15</w:t>
      </w:r>
      <w:r w:rsidR="001C4E42">
        <w:t xml:space="preserve"> Interest Coverage Ratio.</w:t>
      </w:r>
      <w:r>
        <w:rPr>
          <w:rFonts w:cs="Arial"/>
          <w:szCs w:val="24"/>
        </w:rPr>
        <w:fldChar w:fldCharType="end"/>
      </w:r>
      <w:r>
        <w:rPr>
          <w:rFonts w:cs="Arial"/>
          <w:szCs w:val="24"/>
        </w:rPr>
        <w:t>................................</w:t>
      </w:r>
      <w:r>
        <w:rPr>
          <w:rFonts w:cs="Arial"/>
          <w:szCs w:val="24"/>
        </w:rPr>
        <w:fldChar w:fldCharType="begin"/>
      </w:r>
      <w:r>
        <w:rPr>
          <w:rFonts w:cs="Arial"/>
          <w:szCs w:val="24"/>
        </w:rPr>
        <w:instrText xml:space="preserve"> PAGEREF _Ref146814072 \h </w:instrText>
      </w:r>
      <w:r>
        <w:rPr>
          <w:rFonts w:cs="Arial"/>
          <w:szCs w:val="24"/>
        </w:rPr>
      </w:r>
      <w:r>
        <w:rPr>
          <w:rFonts w:cs="Arial"/>
          <w:szCs w:val="24"/>
        </w:rPr>
        <w:fldChar w:fldCharType="separate"/>
      </w:r>
      <w:r w:rsidR="001C4E42">
        <w:rPr>
          <w:rFonts w:cs="Arial"/>
          <w:noProof/>
          <w:szCs w:val="24"/>
        </w:rPr>
        <w:t>17</w:t>
      </w:r>
      <w:r>
        <w:rPr>
          <w:rFonts w:cs="Arial"/>
          <w:szCs w:val="24"/>
        </w:rPr>
        <w:fldChar w:fldCharType="end"/>
      </w:r>
    </w:p>
    <w:p w14:paraId="2AFE074D" w14:textId="6BA6BBC9" w:rsidR="00156762" w:rsidRDefault="000377CA" w:rsidP="00896351">
      <w:pPr>
        <w:rPr>
          <w:rFonts w:cs="Arial"/>
          <w:szCs w:val="24"/>
        </w:rPr>
      </w:pPr>
      <w:r>
        <w:rPr>
          <w:rFonts w:cs="Arial"/>
          <w:szCs w:val="24"/>
        </w:rPr>
        <w:fldChar w:fldCharType="begin"/>
      </w:r>
      <w:r>
        <w:rPr>
          <w:rFonts w:cs="Arial"/>
          <w:szCs w:val="24"/>
        </w:rPr>
        <w:instrText xml:space="preserve"> REF _Ref146814105 \h </w:instrText>
      </w:r>
      <w:r>
        <w:rPr>
          <w:rFonts w:cs="Arial"/>
          <w:szCs w:val="24"/>
        </w:rPr>
      </w:r>
      <w:r>
        <w:rPr>
          <w:rFonts w:cs="Arial"/>
          <w:szCs w:val="24"/>
        </w:rPr>
        <w:fldChar w:fldCharType="separate"/>
      </w:r>
      <w:r w:rsidR="001C4E42">
        <w:t xml:space="preserve">Table </w:t>
      </w:r>
      <w:r w:rsidR="001C4E42">
        <w:rPr>
          <w:noProof/>
        </w:rPr>
        <w:t>16</w:t>
      </w:r>
      <w:r w:rsidR="001C4E42">
        <w:t xml:space="preserve"> Earnings per Ordinary Share Ratio</w:t>
      </w:r>
      <w:r>
        <w:rPr>
          <w:rFonts w:cs="Arial"/>
          <w:szCs w:val="24"/>
        </w:rPr>
        <w:fldChar w:fldCharType="end"/>
      </w:r>
      <w:r>
        <w:rPr>
          <w:rFonts w:cs="Arial"/>
          <w:szCs w:val="24"/>
        </w:rPr>
        <w:t>………</w:t>
      </w:r>
      <w:proofErr w:type="gramStart"/>
      <w:r w:rsidR="001C4E42">
        <w:rPr>
          <w:rFonts w:cs="Arial"/>
          <w:szCs w:val="24"/>
        </w:rPr>
        <w:t>….</w:t>
      </w:r>
      <w:r>
        <w:rPr>
          <w:rFonts w:cs="Arial"/>
          <w:szCs w:val="24"/>
        </w:rPr>
        <w:t>…..</w:t>
      </w:r>
      <w:proofErr w:type="gramEnd"/>
      <w:r>
        <w:rPr>
          <w:rFonts w:cs="Arial"/>
          <w:szCs w:val="24"/>
        </w:rPr>
        <w:fldChar w:fldCharType="begin"/>
      </w:r>
      <w:r>
        <w:rPr>
          <w:rFonts w:cs="Arial"/>
          <w:szCs w:val="24"/>
        </w:rPr>
        <w:instrText xml:space="preserve"> PAGEREF _Ref146814105 \h </w:instrText>
      </w:r>
      <w:r>
        <w:rPr>
          <w:rFonts w:cs="Arial"/>
          <w:szCs w:val="24"/>
        </w:rPr>
      </w:r>
      <w:r>
        <w:rPr>
          <w:rFonts w:cs="Arial"/>
          <w:szCs w:val="24"/>
        </w:rPr>
        <w:fldChar w:fldCharType="separate"/>
      </w:r>
      <w:r w:rsidR="001C4E42">
        <w:rPr>
          <w:rFonts w:cs="Arial"/>
          <w:noProof/>
          <w:szCs w:val="24"/>
        </w:rPr>
        <w:t>17</w:t>
      </w:r>
      <w:r>
        <w:rPr>
          <w:rFonts w:cs="Arial"/>
          <w:szCs w:val="24"/>
        </w:rPr>
        <w:fldChar w:fldCharType="end"/>
      </w:r>
    </w:p>
    <w:p w14:paraId="2148EF49" w14:textId="0A904D39" w:rsidR="00156762" w:rsidRDefault="000377CA" w:rsidP="00896351">
      <w:pPr>
        <w:rPr>
          <w:rFonts w:cs="Arial"/>
          <w:szCs w:val="24"/>
        </w:rPr>
      </w:pPr>
      <w:r>
        <w:rPr>
          <w:rFonts w:cs="Arial"/>
          <w:szCs w:val="24"/>
        </w:rPr>
        <w:fldChar w:fldCharType="begin"/>
      </w:r>
      <w:r>
        <w:rPr>
          <w:rFonts w:cs="Arial"/>
          <w:szCs w:val="24"/>
        </w:rPr>
        <w:instrText xml:space="preserve"> REF _Ref146814136 \h </w:instrText>
      </w:r>
      <w:r>
        <w:rPr>
          <w:rFonts w:cs="Arial"/>
          <w:szCs w:val="24"/>
        </w:rPr>
      </w:r>
      <w:r>
        <w:rPr>
          <w:rFonts w:cs="Arial"/>
          <w:szCs w:val="24"/>
        </w:rPr>
        <w:fldChar w:fldCharType="separate"/>
      </w:r>
      <w:r w:rsidR="001C4E42">
        <w:t xml:space="preserve">Table </w:t>
      </w:r>
      <w:r w:rsidR="001C4E42">
        <w:rPr>
          <w:noProof/>
        </w:rPr>
        <w:t>17</w:t>
      </w:r>
      <w:r w:rsidR="001C4E42">
        <w:t xml:space="preserve"> Price per Earnings Ratio</w:t>
      </w:r>
      <w:r>
        <w:rPr>
          <w:rFonts w:cs="Arial"/>
          <w:szCs w:val="24"/>
        </w:rPr>
        <w:fldChar w:fldCharType="end"/>
      </w:r>
      <w:r>
        <w:rPr>
          <w:rFonts w:cs="Arial"/>
          <w:szCs w:val="24"/>
        </w:rPr>
        <w:t>…………………….…</w:t>
      </w:r>
      <w:proofErr w:type="gramStart"/>
      <w:r>
        <w:rPr>
          <w:rFonts w:cs="Arial"/>
          <w:szCs w:val="24"/>
        </w:rPr>
        <w:t>…</w:t>
      </w:r>
      <w:r w:rsidR="001C4E42">
        <w:rPr>
          <w:rFonts w:cs="Arial"/>
          <w:szCs w:val="24"/>
        </w:rPr>
        <w:t>..</w:t>
      </w:r>
      <w:proofErr w:type="gramEnd"/>
      <w:r>
        <w:rPr>
          <w:rFonts w:cs="Arial"/>
          <w:szCs w:val="24"/>
        </w:rPr>
        <w:t>…</w:t>
      </w:r>
      <w:r>
        <w:rPr>
          <w:rFonts w:cs="Arial"/>
          <w:szCs w:val="24"/>
        </w:rPr>
        <w:fldChar w:fldCharType="begin"/>
      </w:r>
      <w:r>
        <w:rPr>
          <w:rFonts w:cs="Arial"/>
          <w:szCs w:val="24"/>
        </w:rPr>
        <w:instrText xml:space="preserve"> PAGEREF _Ref146814136 \h </w:instrText>
      </w:r>
      <w:r>
        <w:rPr>
          <w:rFonts w:cs="Arial"/>
          <w:szCs w:val="24"/>
        </w:rPr>
      </w:r>
      <w:r>
        <w:rPr>
          <w:rFonts w:cs="Arial"/>
          <w:szCs w:val="24"/>
        </w:rPr>
        <w:fldChar w:fldCharType="separate"/>
      </w:r>
      <w:r w:rsidR="001C4E42">
        <w:rPr>
          <w:rFonts w:cs="Arial"/>
          <w:noProof/>
          <w:szCs w:val="24"/>
        </w:rPr>
        <w:t>18</w:t>
      </w:r>
      <w:r>
        <w:rPr>
          <w:rFonts w:cs="Arial"/>
          <w:szCs w:val="24"/>
        </w:rPr>
        <w:fldChar w:fldCharType="end"/>
      </w:r>
    </w:p>
    <w:p w14:paraId="3852333A" w14:textId="77777777" w:rsidR="00156762" w:rsidRDefault="00156762" w:rsidP="00896351">
      <w:pPr>
        <w:rPr>
          <w:rFonts w:cs="Arial"/>
          <w:szCs w:val="24"/>
        </w:rPr>
      </w:pPr>
    </w:p>
    <w:p w14:paraId="19A7F642" w14:textId="77777777" w:rsidR="00156762" w:rsidRDefault="00156762" w:rsidP="00896351">
      <w:pPr>
        <w:rPr>
          <w:rFonts w:cs="Arial"/>
          <w:szCs w:val="24"/>
        </w:rPr>
      </w:pPr>
    </w:p>
    <w:p w14:paraId="07B79523" w14:textId="77777777" w:rsidR="00156762" w:rsidRDefault="00156762" w:rsidP="00896351">
      <w:pPr>
        <w:rPr>
          <w:rFonts w:cs="Arial"/>
          <w:szCs w:val="24"/>
        </w:rPr>
      </w:pPr>
    </w:p>
    <w:p w14:paraId="5FF7C743" w14:textId="77777777" w:rsidR="00156762" w:rsidRDefault="00156762" w:rsidP="00896351">
      <w:pPr>
        <w:rPr>
          <w:rFonts w:cs="Arial"/>
          <w:szCs w:val="24"/>
        </w:rPr>
      </w:pPr>
    </w:p>
    <w:p w14:paraId="00EBF035" w14:textId="08F336C9" w:rsidR="003E28A9" w:rsidRDefault="000561DA" w:rsidP="00BE3113">
      <w:pPr>
        <w:pStyle w:val="Heading1"/>
      </w:pPr>
      <w:bookmarkStart w:id="0" w:name="_Toc146791853"/>
      <w:r>
        <w:lastRenderedPageBreak/>
        <w:t>E</w:t>
      </w:r>
      <w:r w:rsidR="004E324F">
        <w:t xml:space="preserve">xecutive </w:t>
      </w:r>
      <w:r w:rsidR="003E28A9">
        <w:t>Summary</w:t>
      </w:r>
      <w:bookmarkEnd w:id="0"/>
    </w:p>
    <w:p w14:paraId="0274DEF5" w14:textId="368FD331" w:rsidR="00EB1CFC" w:rsidRDefault="00EB1CFC" w:rsidP="00102FD9">
      <w:pPr>
        <w:rPr>
          <w:szCs w:val="24"/>
        </w:rPr>
      </w:pPr>
      <w:r>
        <w:rPr>
          <w:szCs w:val="24"/>
        </w:rPr>
        <w:t xml:space="preserve">Using the Financial Ratios calculated in this report it will be very difficult </w:t>
      </w:r>
      <w:r w:rsidR="0035036A">
        <w:rPr>
          <w:szCs w:val="24"/>
        </w:rPr>
        <w:t xml:space="preserve">to </w:t>
      </w:r>
      <w:r>
        <w:rPr>
          <w:szCs w:val="24"/>
        </w:rPr>
        <w:t xml:space="preserve">justify investing in a partnership with Aston Martin. Aston Martin have been consistently </w:t>
      </w:r>
      <w:r w:rsidR="00BA0E3F">
        <w:rPr>
          <w:szCs w:val="24"/>
        </w:rPr>
        <w:t>outperformed</w:t>
      </w:r>
      <w:r>
        <w:rPr>
          <w:szCs w:val="24"/>
        </w:rPr>
        <w:t xml:space="preserve"> by peers Ferrari and Mercedes</w:t>
      </w:r>
      <w:r w:rsidR="0035036A">
        <w:rPr>
          <w:szCs w:val="24"/>
        </w:rPr>
        <w:t xml:space="preserve"> (see Financial </w:t>
      </w:r>
      <w:r w:rsidR="007C7470">
        <w:rPr>
          <w:szCs w:val="24"/>
        </w:rPr>
        <w:t>R</w:t>
      </w:r>
      <w:r w:rsidR="0035036A">
        <w:rPr>
          <w:szCs w:val="24"/>
        </w:rPr>
        <w:t>atios</w:t>
      </w:r>
      <w:r w:rsidR="007C7470">
        <w:rPr>
          <w:szCs w:val="24"/>
        </w:rPr>
        <w:t>’</w:t>
      </w:r>
      <w:r w:rsidR="0035036A">
        <w:rPr>
          <w:szCs w:val="24"/>
        </w:rPr>
        <w:t xml:space="preserve"> analysis)</w:t>
      </w:r>
      <w:r>
        <w:rPr>
          <w:szCs w:val="24"/>
        </w:rPr>
        <w:t>, and in a very competitive automotive market they are struggling to improve financially.</w:t>
      </w:r>
      <w:r w:rsidR="00C5059E">
        <w:rPr>
          <w:szCs w:val="24"/>
        </w:rPr>
        <w:t xml:space="preserve"> In the 5-year period analysed there were no </w:t>
      </w:r>
      <w:r w:rsidR="0012169F">
        <w:rPr>
          <w:szCs w:val="24"/>
        </w:rPr>
        <w:t xml:space="preserve">declared </w:t>
      </w:r>
      <w:r w:rsidR="00C5059E">
        <w:rPr>
          <w:szCs w:val="24"/>
        </w:rPr>
        <w:t>dividend payments</w:t>
      </w:r>
      <w:r w:rsidR="007C7470">
        <w:rPr>
          <w:szCs w:val="24"/>
        </w:rPr>
        <w:t xml:space="preserve">, making Net </w:t>
      </w:r>
      <w:r w:rsidR="00E232A1">
        <w:rPr>
          <w:szCs w:val="24"/>
        </w:rPr>
        <w:t>Income</w:t>
      </w:r>
      <w:r w:rsidR="007C7470">
        <w:rPr>
          <w:szCs w:val="24"/>
        </w:rPr>
        <w:t xml:space="preserve"> Losses in the last </w:t>
      </w:r>
      <w:r w:rsidR="00E232A1">
        <w:rPr>
          <w:szCs w:val="24"/>
        </w:rPr>
        <w:t>each</w:t>
      </w:r>
      <w:r w:rsidR="007C7470">
        <w:rPr>
          <w:szCs w:val="24"/>
        </w:rPr>
        <w:t xml:space="preserve"> year</w:t>
      </w:r>
      <w:r w:rsidR="00E232A1">
        <w:rPr>
          <w:szCs w:val="24"/>
        </w:rPr>
        <w:t xml:space="preserve"> of the 5-year period</w:t>
      </w:r>
      <w:r w:rsidR="00C5059E">
        <w:rPr>
          <w:szCs w:val="24"/>
        </w:rPr>
        <w:t>.</w:t>
      </w:r>
      <w:r w:rsidR="005A01CD">
        <w:rPr>
          <w:szCs w:val="24"/>
        </w:rPr>
        <w:t xml:space="preserve"> However, the information below leads me to believe that they can turn things around.</w:t>
      </w:r>
    </w:p>
    <w:p w14:paraId="70C89871" w14:textId="12C62701" w:rsidR="00B33B61" w:rsidRDefault="00BA0E3F" w:rsidP="00102FD9">
      <w:pPr>
        <w:rPr>
          <w:szCs w:val="24"/>
        </w:rPr>
      </w:pPr>
      <w:r>
        <w:rPr>
          <w:szCs w:val="24"/>
        </w:rPr>
        <w:t xml:space="preserve">In the 2023 AGM Executive Chairman Lawrence Stroll acknowledged that 2022 was not without </w:t>
      </w:r>
      <w:r w:rsidR="005A01CD">
        <w:rPr>
          <w:szCs w:val="24"/>
        </w:rPr>
        <w:t xml:space="preserve">industry wide </w:t>
      </w:r>
      <w:r>
        <w:rPr>
          <w:szCs w:val="24"/>
        </w:rPr>
        <w:t>challenges, but with positive transformational changes being implemented he was looking forward to achieving the company vision and targets. CEO Tobias Moers was replaced by Amedeo Felisa in Ma</w:t>
      </w:r>
      <w:r w:rsidR="00B33B61">
        <w:rPr>
          <w:szCs w:val="24"/>
        </w:rPr>
        <w:t>y</w:t>
      </w:r>
      <w:r>
        <w:rPr>
          <w:szCs w:val="24"/>
        </w:rPr>
        <w:t xml:space="preserve"> 2022</w:t>
      </w:r>
      <w:r w:rsidR="00B33B61">
        <w:rPr>
          <w:szCs w:val="24"/>
        </w:rPr>
        <w:t>, having previously been CEO at Ferrari.</w:t>
      </w:r>
      <w:r w:rsidR="005A01CD">
        <w:rPr>
          <w:szCs w:val="24"/>
        </w:rPr>
        <w:t xml:space="preserve"> Further organisational changes have also been implemented, which include a new CFO in Doug Lafferty.</w:t>
      </w:r>
    </w:p>
    <w:p w14:paraId="29BD4DAC" w14:textId="5CA5D915" w:rsidR="00B33B61" w:rsidRDefault="00B33B61" w:rsidP="00102FD9">
      <w:pPr>
        <w:rPr>
          <w:szCs w:val="24"/>
        </w:rPr>
      </w:pPr>
      <w:r>
        <w:rPr>
          <w:szCs w:val="24"/>
        </w:rPr>
        <w:t xml:space="preserve">New market strategies were highlighted </w:t>
      </w:r>
      <w:r w:rsidR="00C5059E">
        <w:rPr>
          <w:szCs w:val="24"/>
        </w:rPr>
        <w:t xml:space="preserve">in the 2022 annual report </w:t>
      </w:r>
      <w:r>
        <w:rPr>
          <w:szCs w:val="24"/>
        </w:rPr>
        <w:t>including engaging with the Aston Martin F1 global fanbase of 150million, with &gt;95% of US customers saying Aston Martin’s presence in F1 making them more likely to consider the brand.</w:t>
      </w:r>
    </w:p>
    <w:p w14:paraId="6DBEE80C" w14:textId="74235F76" w:rsidR="00EB1CFC" w:rsidRDefault="005A01CD" w:rsidP="00102FD9">
      <w:pPr>
        <w:rPr>
          <w:szCs w:val="24"/>
        </w:rPr>
      </w:pPr>
      <w:r>
        <w:rPr>
          <w:szCs w:val="24"/>
        </w:rPr>
        <w:t>New product lines including the DBX707, V12 Vantage, the ultra-luxury DBR22and DBS770 all being sold out for the year.</w:t>
      </w:r>
      <w:r w:rsidR="00C5059E">
        <w:rPr>
          <w:szCs w:val="24"/>
        </w:rPr>
        <w:t xml:space="preserve"> Q4 price increases across the range of 21% were seen, and the company continues to target a 40%+ gross margin on future product.</w:t>
      </w:r>
      <w:r w:rsidR="00FD779D">
        <w:rPr>
          <w:szCs w:val="24"/>
        </w:rPr>
        <w:t xml:space="preserve"> Increasing Revenue and reducing cost of goods sold and administrative costs will help push the </w:t>
      </w:r>
      <w:r w:rsidR="007C7470">
        <w:rPr>
          <w:szCs w:val="24"/>
        </w:rPr>
        <w:t>Net Profit Margin into positive results.</w:t>
      </w:r>
    </w:p>
    <w:p w14:paraId="33A3A634" w14:textId="70678CF0" w:rsidR="005A01CD" w:rsidRDefault="005A01CD" w:rsidP="00102FD9">
      <w:pPr>
        <w:rPr>
          <w:szCs w:val="24"/>
        </w:rPr>
      </w:pPr>
      <w:r>
        <w:rPr>
          <w:szCs w:val="24"/>
        </w:rPr>
        <w:t xml:space="preserve">A target to deliver £2b of revenue looks like it will be achieved by 2025. In </w:t>
      </w:r>
      <w:r w:rsidR="00C5059E">
        <w:rPr>
          <w:szCs w:val="24"/>
        </w:rPr>
        <w:t>September</w:t>
      </w:r>
      <w:r>
        <w:rPr>
          <w:szCs w:val="24"/>
        </w:rPr>
        <w:t xml:space="preserve"> 2022, a £645m equity capital raise </w:t>
      </w:r>
      <w:r w:rsidR="00C5059E">
        <w:rPr>
          <w:szCs w:val="24"/>
        </w:rPr>
        <w:t>will help to restructure its balance sheet, enhancing shareholder value.</w:t>
      </w:r>
    </w:p>
    <w:p w14:paraId="61563D83" w14:textId="3CDE804E" w:rsidR="003E28A9" w:rsidRDefault="00E87D63" w:rsidP="00102FD9">
      <w:r>
        <w:t xml:space="preserve">I would not recommend </w:t>
      </w:r>
      <w:r w:rsidR="00FD779D">
        <w:t>entering</w:t>
      </w:r>
      <w:r>
        <w:t xml:space="preserve"> any partnership given their current financial performance but would revisit following the 2023 financial report to see if improvement targets have been met and new leadership has worked in turning around the business.</w:t>
      </w:r>
    </w:p>
    <w:p w14:paraId="63DC6468" w14:textId="77777777" w:rsidR="003E28A9" w:rsidRDefault="003E28A9"/>
    <w:p w14:paraId="66F3FAE1" w14:textId="77777777" w:rsidR="003E28A9" w:rsidRDefault="003E28A9"/>
    <w:p w14:paraId="63BA0823" w14:textId="77777777" w:rsidR="003E28A9" w:rsidRDefault="003E28A9"/>
    <w:p w14:paraId="404AF615" w14:textId="551AE4FE" w:rsidR="003E28A9" w:rsidRDefault="00156762" w:rsidP="00156762">
      <w:pPr>
        <w:tabs>
          <w:tab w:val="left" w:pos="7216"/>
        </w:tabs>
      </w:pPr>
      <w:r>
        <w:tab/>
      </w:r>
    </w:p>
    <w:p w14:paraId="2AF42545" w14:textId="77777777" w:rsidR="003E28A9" w:rsidRDefault="003E28A9"/>
    <w:p w14:paraId="7493776C" w14:textId="77777777" w:rsidR="003E28A9" w:rsidRDefault="003E28A9"/>
    <w:p w14:paraId="75334C06" w14:textId="77777777" w:rsidR="003E28A9" w:rsidRDefault="003E28A9"/>
    <w:p w14:paraId="4A505B58" w14:textId="77777777" w:rsidR="001C1940" w:rsidRDefault="001C1940"/>
    <w:p w14:paraId="55808546" w14:textId="7A414C59" w:rsidR="003E28A9" w:rsidRDefault="00CB7495" w:rsidP="00294BAF">
      <w:pPr>
        <w:pStyle w:val="Heading1"/>
      </w:pPr>
      <w:bookmarkStart w:id="1" w:name="_Toc146791854"/>
      <w:r>
        <w:lastRenderedPageBreak/>
        <w:t>I</w:t>
      </w:r>
      <w:r w:rsidR="003E28A9">
        <w:t>ntroduction</w:t>
      </w:r>
      <w:bookmarkEnd w:id="1"/>
    </w:p>
    <w:p w14:paraId="5DCA6D45" w14:textId="03375A35" w:rsidR="003E28A9" w:rsidRDefault="00010035">
      <w:r>
        <w:t>Aston Martin is a car manufacturer f</w:t>
      </w:r>
      <w:r w:rsidR="003E28A9">
        <w:t>ounded in 1913 by Lionel Martin and Robert Bamford</w:t>
      </w:r>
      <w:r>
        <w:t>, from its inception</w:t>
      </w:r>
      <w:r w:rsidR="003E28A9">
        <w:t xml:space="preserve"> the company has focused on originality and </w:t>
      </w:r>
      <w:r w:rsidR="00D410F5">
        <w:t xml:space="preserve">build </w:t>
      </w:r>
      <w:r w:rsidR="003E28A9">
        <w:t xml:space="preserve">quality. Now an iconic, global brand renowned for its style, </w:t>
      </w:r>
      <w:r w:rsidR="00D410F5">
        <w:t>performance,</w:t>
      </w:r>
      <w:r w:rsidR="00BE3113">
        <w:t xml:space="preserve"> hand-built </w:t>
      </w:r>
      <w:r>
        <w:t>quality,</w:t>
      </w:r>
      <w:r w:rsidR="003E28A9">
        <w:t xml:space="preserve"> and exclusivity. </w:t>
      </w:r>
      <w:r w:rsidR="00BF4082">
        <w:t xml:space="preserve">The vehicles are manufactured in the UK, at sites </w:t>
      </w:r>
      <w:r w:rsidR="00BE3113">
        <w:t>at</w:t>
      </w:r>
      <w:r w:rsidR="00BF4082">
        <w:t xml:space="preserve"> Graydon in Warwickshire, and St Athans in Wales</w:t>
      </w:r>
      <w:r w:rsidR="00952589">
        <w:t xml:space="preserve"> </w:t>
      </w:r>
      <w:sdt>
        <w:sdtPr>
          <w:id w:val="178010781"/>
          <w:citation/>
        </w:sdtPr>
        <w:sdtContent>
          <w:r w:rsidR="00952589">
            <w:fldChar w:fldCharType="begin"/>
          </w:r>
          <w:r w:rsidR="00952589">
            <w:instrText xml:space="preserve"> CITATION Ast17 \l 2057 </w:instrText>
          </w:r>
          <w:r w:rsidR="00952589">
            <w:fldChar w:fldCharType="separate"/>
          </w:r>
          <w:r w:rsidR="007D5C64" w:rsidRPr="007D5C64">
            <w:rPr>
              <w:noProof/>
            </w:rPr>
            <w:t>(Aston Martin, 2017)</w:t>
          </w:r>
          <w:r w:rsidR="00952589">
            <w:fldChar w:fldCharType="end"/>
          </w:r>
        </w:sdtContent>
      </w:sdt>
      <w:r w:rsidR="00102FD9">
        <w:t>. Long associated with James Bond, Aston Martin’s unique history and excellence in car design and manufacture means their product is highly desirable.</w:t>
      </w:r>
    </w:p>
    <w:p w14:paraId="4E60FDA9" w14:textId="594AF349" w:rsidR="00B57091" w:rsidRDefault="00B57091" w:rsidP="00B57091">
      <w:r>
        <w:t xml:space="preserve">Its current vehicle range include the Vantage S, </w:t>
      </w:r>
      <w:proofErr w:type="spellStart"/>
      <w:r>
        <w:t>Rapide</w:t>
      </w:r>
      <w:proofErr w:type="spellEnd"/>
      <w:r>
        <w:t xml:space="preserve"> S, Vanquish Volante, Vantage Coupe, V8 Vantage, DBX707</w:t>
      </w:r>
      <w:r w:rsidR="00BE3113">
        <w:t>,</w:t>
      </w:r>
      <w:r>
        <w:t xml:space="preserve"> DB9</w:t>
      </w:r>
      <w:r w:rsidR="00BE3113">
        <w:t xml:space="preserve"> and the Valkyrie hyper car</w:t>
      </w:r>
      <w:r w:rsidR="00952589">
        <w:t>.</w:t>
      </w:r>
    </w:p>
    <w:p w14:paraId="63E76403" w14:textId="266389D4" w:rsidR="00B57091" w:rsidRDefault="00B57091">
      <w:r>
        <w:t xml:space="preserve">In 2020, </w:t>
      </w:r>
      <w:r w:rsidR="00755070">
        <w:t xml:space="preserve">The Yew Tree consortium </w:t>
      </w:r>
      <w:r>
        <w:t xml:space="preserve">group of investors led by </w:t>
      </w:r>
      <w:r w:rsidR="00BE3113">
        <w:t xml:space="preserve">billionaire </w:t>
      </w:r>
      <w:r>
        <w:t>La</w:t>
      </w:r>
      <w:r w:rsidR="00755070">
        <w:t>wrence</w:t>
      </w:r>
      <w:r>
        <w:t xml:space="preserve"> Stroll invested $250m </w:t>
      </w:r>
      <w:r w:rsidR="00102FD9">
        <w:t xml:space="preserve">for a 25% stake </w:t>
      </w:r>
      <w:r>
        <w:t>in</w:t>
      </w:r>
      <w:r w:rsidR="00102FD9">
        <w:t xml:space="preserve"> Aston Martin and</w:t>
      </w:r>
      <w:r>
        <w:t xml:space="preserve"> the Aston Martin F1 team.</w:t>
      </w:r>
      <w:r w:rsidR="00294BAF">
        <w:t xml:space="preserve"> A new Formula 1 (F1) factory has been opened in 2023 at Silverstone, strengthening its commitment produce innovative</w:t>
      </w:r>
      <w:r w:rsidR="00BE3113">
        <w:t xml:space="preserve"> and competitive</w:t>
      </w:r>
      <w:r w:rsidR="00294BAF">
        <w:t xml:space="preserve"> F1 cars </w:t>
      </w:r>
      <w:sdt>
        <w:sdtPr>
          <w:id w:val="1613626157"/>
          <w:citation/>
        </w:sdtPr>
        <w:sdtContent>
          <w:r w:rsidR="00294BAF">
            <w:fldChar w:fldCharType="begin"/>
          </w:r>
          <w:r w:rsidR="00294BAF">
            <w:instrText xml:space="preserve">CITATION Ast23 \l 2057 </w:instrText>
          </w:r>
          <w:r w:rsidR="00294BAF">
            <w:fldChar w:fldCharType="separate"/>
          </w:r>
          <w:r w:rsidR="007D5C64" w:rsidRPr="007D5C64">
            <w:rPr>
              <w:noProof/>
            </w:rPr>
            <w:t>(Aston Martin F1, 2023)</w:t>
          </w:r>
          <w:r w:rsidR="00294BAF">
            <w:fldChar w:fldCharType="end"/>
          </w:r>
        </w:sdtContent>
      </w:sdt>
      <w:r w:rsidR="00294BAF">
        <w:t>.</w:t>
      </w:r>
      <w:r w:rsidR="00156985">
        <w:t xml:space="preserve"> Aston Martin uses similar brand positioning of Ferrari and Mecedes, using F1 as an innovation platform and to reinforce the exclusivity of its brand.</w:t>
      </w:r>
      <w:r w:rsidR="0093736A">
        <w:t xml:space="preserve"> Aston Martin are a FTSE250 </w:t>
      </w:r>
      <w:proofErr w:type="gramStart"/>
      <w:r w:rsidR="0093736A">
        <w:t>company, and</w:t>
      </w:r>
      <w:proofErr w:type="gramEnd"/>
      <w:r w:rsidR="0093736A">
        <w:t xml:space="preserve"> employ approximately 3,000 people.</w:t>
      </w:r>
    </w:p>
    <w:p w14:paraId="2E822C8E" w14:textId="04787040" w:rsidR="003E28A9" w:rsidRDefault="00010035">
      <w:r>
        <w:t xml:space="preserve">This report will use Aston Martin’s Profit and Loss (PL) accounts, cashflow report and balance statement to gauge the company’s financial stability using Profitability, Liquidity, Investment and Gearing ratios to </w:t>
      </w:r>
      <w:r w:rsidR="00156985">
        <w:t xml:space="preserve">help </w:t>
      </w:r>
      <w:r>
        <w:t>decide if the potential £5m partnership is financially sound</w:t>
      </w:r>
      <w:r w:rsidR="00156985">
        <w:t>.</w:t>
      </w:r>
    </w:p>
    <w:p w14:paraId="56B67047" w14:textId="77777777" w:rsidR="00952589" w:rsidRDefault="00952589"/>
    <w:p w14:paraId="4546303B" w14:textId="77777777" w:rsidR="00952589" w:rsidRDefault="00952589"/>
    <w:p w14:paraId="2F4BD1CB" w14:textId="77777777" w:rsidR="00952589" w:rsidRDefault="00952589"/>
    <w:p w14:paraId="6F49C90B" w14:textId="77777777" w:rsidR="00952589" w:rsidRDefault="00952589"/>
    <w:p w14:paraId="6B7BAB00" w14:textId="77777777" w:rsidR="00952589" w:rsidRDefault="00952589"/>
    <w:p w14:paraId="1EA8135F" w14:textId="77777777" w:rsidR="00952589" w:rsidRDefault="00952589"/>
    <w:p w14:paraId="493FA767" w14:textId="77777777" w:rsidR="00952589" w:rsidRDefault="00952589"/>
    <w:p w14:paraId="4230515F" w14:textId="77777777" w:rsidR="00952589" w:rsidRDefault="00952589"/>
    <w:p w14:paraId="0C989DDF" w14:textId="77777777" w:rsidR="00952589" w:rsidRDefault="00952589"/>
    <w:p w14:paraId="04AC481F" w14:textId="77777777" w:rsidR="00952589" w:rsidRDefault="00952589"/>
    <w:p w14:paraId="19B8CFE7" w14:textId="77777777" w:rsidR="00952589" w:rsidRDefault="00952589"/>
    <w:p w14:paraId="1556E755" w14:textId="77777777" w:rsidR="00952589" w:rsidRDefault="00952589"/>
    <w:p w14:paraId="7D7C3B31" w14:textId="77777777" w:rsidR="00952589" w:rsidRDefault="00952589"/>
    <w:p w14:paraId="3904C9D6" w14:textId="77777777" w:rsidR="00952589" w:rsidRDefault="00952589"/>
    <w:p w14:paraId="38C5753E" w14:textId="15531D33" w:rsidR="00952589" w:rsidRDefault="00156985" w:rsidP="00156985">
      <w:pPr>
        <w:pStyle w:val="Heading1"/>
      </w:pPr>
      <w:bookmarkStart w:id="2" w:name="_Toc146791855"/>
      <w:r>
        <w:lastRenderedPageBreak/>
        <w:t>Financial analysis.</w:t>
      </w:r>
      <w:bookmarkEnd w:id="2"/>
    </w:p>
    <w:p w14:paraId="421111A2" w14:textId="64BF5063" w:rsidR="00F7241B" w:rsidRDefault="00F542B5" w:rsidP="00F7241B">
      <w:pPr>
        <w:pStyle w:val="Heading2"/>
      </w:pPr>
      <w:bookmarkStart w:id="3" w:name="_Toc146791856"/>
      <w:r>
        <w:t>Use</w:t>
      </w:r>
      <w:r w:rsidR="00F7241B">
        <w:t xml:space="preserve"> of Financial Ratios.</w:t>
      </w:r>
      <w:bookmarkEnd w:id="3"/>
    </w:p>
    <w:p w14:paraId="182A20DE" w14:textId="13327F04" w:rsidR="00ED2E5D" w:rsidRDefault="00F542B5" w:rsidP="000E28BA">
      <w:r>
        <w:t xml:space="preserve">Financial Ratios are a “quick and relatively simple means of assessing the financial health of a business” </w:t>
      </w:r>
      <w:sdt>
        <w:sdtPr>
          <w:id w:val="-459650101"/>
          <w:citation/>
        </w:sdtPr>
        <w:sdtContent>
          <w:r>
            <w:fldChar w:fldCharType="begin"/>
          </w:r>
          <w:r>
            <w:instrText xml:space="preserve"> CITATION Atr17 \l 2057 </w:instrText>
          </w:r>
          <w:r>
            <w:fldChar w:fldCharType="separate"/>
          </w:r>
          <w:r w:rsidR="007D5C64" w:rsidRPr="007D5C64">
            <w:rPr>
              <w:noProof/>
            </w:rPr>
            <w:t>(Atrill &amp; McLaney, 2017)</w:t>
          </w:r>
          <w:r>
            <w:fldChar w:fldCharType="end"/>
          </w:r>
        </w:sdtContent>
      </w:sdt>
      <w:r>
        <w:t xml:space="preserve">. Ratios allow scrutiny and comparisons to be made over different time periods and between businesses of different sizes with different financial turn overs </w:t>
      </w:r>
      <w:r w:rsidR="008475B9">
        <w:t xml:space="preserve">in the same sector </w:t>
      </w:r>
      <w:r w:rsidR="00091F61">
        <w:t xml:space="preserve">(benchmarking) </w:t>
      </w:r>
      <w:r w:rsidR="008475B9">
        <w:t>which might otherwise cause incorrect conclusions.</w:t>
      </w:r>
    </w:p>
    <w:p w14:paraId="2F2DFE3E" w14:textId="5CE0C7A1" w:rsidR="000E28BA" w:rsidRDefault="008475B9" w:rsidP="000E28BA">
      <w:r>
        <w:t xml:space="preserve">Ratios help in focusing on areas of financial performance that are comparatively weak or strong. Ratios can be expressed as proportions or percentages depending on requirements of the analyst </w:t>
      </w:r>
      <w:sdt>
        <w:sdtPr>
          <w:id w:val="-1813785001"/>
          <w:citation/>
        </w:sdtPr>
        <w:sdtContent>
          <w:r>
            <w:fldChar w:fldCharType="begin"/>
          </w:r>
          <w:r>
            <w:instrText xml:space="preserve"> CITATION Atr17 \l 2057 </w:instrText>
          </w:r>
          <w:r>
            <w:fldChar w:fldCharType="separate"/>
          </w:r>
          <w:r w:rsidR="007D5C64" w:rsidRPr="007D5C64">
            <w:rPr>
              <w:noProof/>
            </w:rPr>
            <w:t>(Atrill &amp; McLaney, 2017)</w:t>
          </w:r>
          <w:r>
            <w:fldChar w:fldCharType="end"/>
          </w:r>
        </w:sdtContent>
      </w:sdt>
      <w:r>
        <w:t>.</w:t>
      </w:r>
    </w:p>
    <w:p w14:paraId="4F79689F" w14:textId="184877F0" w:rsidR="008475B9" w:rsidRDefault="008475B9" w:rsidP="000E28BA">
      <w:r>
        <w:t>Ratios are also</w:t>
      </w:r>
      <w:r w:rsidR="00091F61">
        <w:t xml:space="preserve"> widely</w:t>
      </w:r>
      <w:r>
        <w:t xml:space="preserve"> used </w:t>
      </w:r>
      <w:r w:rsidR="00091F61">
        <w:t>“</w:t>
      </w:r>
      <w:r>
        <w:t xml:space="preserve">as goals for </w:t>
      </w:r>
      <w:r w:rsidR="00091F61">
        <w:t>future performance” so financial targets can quickly be applied to gauge business improvements</w:t>
      </w:r>
      <w:r w:rsidR="005C2A45">
        <w:t>.</w:t>
      </w:r>
    </w:p>
    <w:p w14:paraId="1A644A6E" w14:textId="65670001" w:rsidR="000E28BA" w:rsidRDefault="005C2A45" w:rsidP="000E28BA">
      <w:r>
        <w:t xml:space="preserve">Ratios are used by external people (Potential and existing </w:t>
      </w:r>
      <w:r w:rsidR="00ED2E5D">
        <w:t>S</w:t>
      </w:r>
      <w:r>
        <w:t xml:space="preserve">tockholders, Bankers / Lenders, Suppliers, Competitors and Regulators), and internally (Directors, Senior management, and Finance) </w:t>
      </w:r>
      <w:sdt>
        <w:sdtPr>
          <w:id w:val="900871121"/>
          <w:citation/>
        </w:sdtPr>
        <w:sdtContent>
          <w:r>
            <w:fldChar w:fldCharType="begin"/>
          </w:r>
          <w:r>
            <w:instrText xml:space="preserve"> CITATION Edw16 \l 2057 </w:instrText>
          </w:r>
          <w:r>
            <w:fldChar w:fldCharType="separate"/>
          </w:r>
          <w:r w:rsidR="007D5C64" w:rsidRPr="007D5C64">
            <w:rPr>
              <w:noProof/>
            </w:rPr>
            <w:t>(Fields, 2016)</w:t>
          </w:r>
          <w:r>
            <w:fldChar w:fldCharType="end"/>
          </w:r>
        </w:sdtContent>
      </w:sdt>
      <w:r>
        <w:t>.</w:t>
      </w:r>
    </w:p>
    <w:p w14:paraId="0E7C9C39" w14:textId="397A0D7D" w:rsidR="001F58AD" w:rsidRDefault="001F58AD" w:rsidP="000E28BA">
      <w:pPr>
        <w:rPr>
          <w:shd w:val="clear" w:color="auto" w:fill="F7F7F8"/>
        </w:rPr>
      </w:pPr>
      <w:r>
        <w:rPr>
          <w:shd w:val="clear" w:color="auto" w:fill="F7F7F8"/>
        </w:rPr>
        <w:t xml:space="preserve">Investors use financial ratios to make informed investment decisions. By analysing financial ratios, </w:t>
      </w:r>
      <w:r w:rsidR="000E28BA">
        <w:rPr>
          <w:shd w:val="clear" w:color="auto" w:fill="F7F7F8"/>
        </w:rPr>
        <w:t>investors</w:t>
      </w:r>
      <w:r>
        <w:rPr>
          <w:shd w:val="clear" w:color="auto" w:fill="F7F7F8"/>
        </w:rPr>
        <w:t xml:space="preserve"> can determine suitable investment opportunit</w:t>
      </w:r>
      <w:r w:rsidR="000E28BA">
        <w:rPr>
          <w:shd w:val="clear" w:color="auto" w:fill="F7F7F8"/>
        </w:rPr>
        <w:t xml:space="preserve">ies </w:t>
      </w:r>
      <w:r>
        <w:rPr>
          <w:shd w:val="clear" w:color="auto" w:fill="F7F7F8"/>
        </w:rPr>
        <w:t xml:space="preserve">and </w:t>
      </w:r>
      <w:r w:rsidR="000E28BA">
        <w:rPr>
          <w:shd w:val="clear" w:color="auto" w:fill="F7F7F8"/>
        </w:rPr>
        <w:t>forecast</w:t>
      </w:r>
      <w:r>
        <w:rPr>
          <w:shd w:val="clear" w:color="auto" w:fill="F7F7F8"/>
        </w:rPr>
        <w:t xml:space="preserve"> the potential returns and risks.</w:t>
      </w:r>
    </w:p>
    <w:p w14:paraId="5B0288A8" w14:textId="55AC5C69" w:rsidR="000E28BA" w:rsidRDefault="000E28BA" w:rsidP="000E28BA">
      <w:r>
        <w:rPr>
          <w:shd w:val="clear" w:color="auto" w:fill="F7F7F8"/>
        </w:rPr>
        <w:t>Regulatory bodies require businesses to report certain financial ratios ensuring transparency with financial reporting standards.</w:t>
      </w:r>
    </w:p>
    <w:p w14:paraId="1FCE640A" w14:textId="23C1C899" w:rsidR="00345E37" w:rsidRDefault="00345E37" w:rsidP="000E28BA">
      <w:r>
        <w:t xml:space="preserve">Ratios used by the analyst would depend on the target audience of the report. Shareholders focus would be on the </w:t>
      </w:r>
      <w:r w:rsidR="00804F8C">
        <w:t xml:space="preserve">returns relative to risk, so Profitability, Gearing and Investment ratios would suit. Suppliers would focus on the ability of the business to pay back money owed so Activity and Liquidity ratios would be focused on </w:t>
      </w:r>
      <w:sdt>
        <w:sdtPr>
          <w:id w:val="816838822"/>
          <w:citation/>
        </w:sdtPr>
        <w:sdtContent>
          <w:r w:rsidR="00804F8C">
            <w:fldChar w:fldCharType="begin"/>
          </w:r>
          <w:r w:rsidR="00804F8C">
            <w:instrText xml:space="preserve"> CITATION Atr17 \l 2057 </w:instrText>
          </w:r>
          <w:r w:rsidR="00804F8C">
            <w:fldChar w:fldCharType="separate"/>
          </w:r>
          <w:r w:rsidR="007D5C64" w:rsidRPr="007D5C64">
            <w:rPr>
              <w:noProof/>
            </w:rPr>
            <w:t>(Atrill &amp; McLaney, 2017)</w:t>
          </w:r>
          <w:r w:rsidR="00804F8C">
            <w:fldChar w:fldCharType="end"/>
          </w:r>
        </w:sdtContent>
      </w:sdt>
    </w:p>
    <w:p w14:paraId="1A66D9B7" w14:textId="77777777" w:rsidR="00091F61" w:rsidRDefault="00091F61" w:rsidP="008475B9">
      <w:pPr>
        <w:pStyle w:val="NoSpacing"/>
      </w:pPr>
    </w:p>
    <w:p w14:paraId="64CCD2AC" w14:textId="77777777" w:rsidR="00091F61" w:rsidRDefault="00091F61" w:rsidP="008475B9">
      <w:pPr>
        <w:pStyle w:val="NoSpacing"/>
      </w:pPr>
    </w:p>
    <w:p w14:paraId="2617A2A1" w14:textId="77777777" w:rsidR="006C0FD2" w:rsidRDefault="006C0FD2" w:rsidP="008475B9">
      <w:pPr>
        <w:pStyle w:val="NoSpacing"/>
      </w:pPr>
    </w:p>
    <w:p w14:paraId="1E92EE41" w14:textId="77777777" w:rsidR="006C0FD2" w:rsidRDefault="006C0FD2" w:rsidP="008475B9">
      <w:pPr>
        <w:pStyle w:val="NoSpacing"/>
      </w:pPr>
    </w:p>
    <w:p w14:paraId="4296717C" w14:textId="77777777" w:rsidR="006C0FD2" w:rsidRDefault="006C0FD2" w:rsidP="008475B9">
      <w:pPr>
        <w:pStyle w:val="NoSpacing"/>
      </w:pPr>
    </w:p>
    <w:p w14:paraId="70B47EFE" w14:textId="77777777" w:rsidR="006C0FD2" w:rsidRDefault="006C0FD2" w:rsidP="008475B9">
      <w:pPr>
        <w:pStyle w:val="NoSpacing"/>
      </w:pPr>
    </w:p>
    <w:p w14:paraId="46CB1411" w14:textId="77777777" w:rsidR="006C0FD2" w:rsidRDefault="006C0FD2" w:rsidP="008475B9">
      <w:pPr>
        <w:pStyle w:val="NoSpacing"/>
      </w:pPr>
    </w:p>
    <w:p w14:paraId="196A540F" w14:textId="77777777" w:rsidR="006C0FD2" w:rsidRDefault="006C0FD2" w:rsidP="008475B9">
      <w:pPr>
        <w:pStyle w:val="NoSpacing"/>
      </w:pPr>
    </w:p>
    <w:p w14:paraId="1F78991B" w14:textId="77777777" w:rsidR="006C0FD2" w:rsidRDefault="006C0FD2" w:rsidP="008475B9">
      <w:pPr>
        <w:pStyle w:val="NoSpacing"/>
      </w:pPr>
    </w:p>
    <w:p w14:paraId="6FEE005C" w14:textId="77777777" w:rsidR="006C0FD2" w:rsidRDefault="006C0FD2" w:rsidP="008475B9">
      <w:pPr>
        <w:pStyle w:val="NoSpacing"/>
      </w:pPr>
    </w:p>
    <w:p w14:paraId="794E5CE0" w14:textId="77777777" w:rsidR="006C0FD2" w:rsidRDefault="006C0FD2" w:rsidP="008475B9">
      <w:pPr>
        <w:pStyle w:val="NoSpacing"/>
      </w:pPr>
    </w:p>
    <w:p w14:paraId="0E3242DA" w14:textId="77777777" w:rsidR="006C0FD2" w:rsidRDefault="006C0FD2" w:rsidP="008475B9">
      <w:pPr>
        <w:pStyle w:val="NoSpacing"/>
      </w:pPr>
    </w:p>
    <w:p w14:paraId="0BCA7016" w14:textId="77777777" w:rsidR="006C0FD2" w:rsidRDefault="006C0FD2" w:rsidP="008475B9">
      <w:pPr>
        <w:pStyle w:val="NoSpacing"/>
      </w:pPr>
    </w:p>
    <w:p w14:paraId="73393D41" w14:textId="77777777" w:rsidR="006C0FD2" w:rsidRDefault="006C0FD2" w:rsidP="008475B9">
      <w:pPr>
        <w:pStyle w:val="NoSpacing"/>
      </w:pPr>
    </w:p>
    <w:p w14:paraId="6DDFFF0B" w14:textId="77777777" w:rsidR="006C0FD2" w:rsidRDefault="006C0FD2" w:rsidP="008475B9">
      <w:pPr>
        <w:pStyle w:val="NoSpacing"/>
      </w:pPr>
    </w:p>
    <w:p w14:paraId="16F44CF0" w14:textId="77777777" w:rsidR="006C0FD2" w:rsidRDefault="006C0FD2" w:rsidP="008475B9">
      <w:pPr>
        <w:pStyle w:val="NoSpacing"/>
      </w:pPr>
    </w:p>
    <w:p w14:paraId="4B3AF696" w14:textId="77777777" w:rsidR="006C0FD2" w:rsidRDefault="006C0FD2" w:rsidP="008475B9">
      <w:pPr>
        <w:pStyle w:val="NoSpacing"/>
      </w:pPr>
    </w:p>
    <w:p w14:paraId="6DC0B7AB" w14:textId="716F4587" w:rsidR="00156985" w:rsidRDefault="00156985" w:rsidP="00156985">
      <w:pPr>
        <w:pStyle w:val="Heading2"/>
      </w:pPr>
      <w:bookmarkStart w:id="4" w:name="_Toc146791857"/>
      <w:r>
        <w:lastRenderedPageBreak/>
        <w:t xml:space="preserve">Limitations of Financial </w:t>
      </w:r>
      <w:r w:rsidRPr="00156985">
        <w:t>Ratios</w:t>
      </w:r>
      <w:r>
        <w:t>.</w:t>
      </w:r>
      <w:bookmarkEnd w:id="4"/>
    </w:p>
    <w:p w14:paraId="128A090E" w14:textId="67F938C7" w:rsidR="00156985" w:rsidRDefault="00F7241B" w:rsidP="00F7241B">
      <w:r>
        <w:t>Before generating and using ratios to analyse financial performance, it is important to understand the</w:t>
      </w:r>
      <w:r w:rsidR="00ED2E5D">
        <w:t xml:space="preserve"> inherent</w:t>
      </w:r>
      <w:r>
        <w:t xml:space="preserve"> limitations of financial ratios. Potentially incorrect conclusions can be made using ratios due to the following limitations:</w:t>
      </w:r>
    </w:p>
    <w:p w14:paraId="6EDA136F" w14:textId="0298F6C6" w:rsidR="00ED2E5D" w:rsidRDefault="00345E37" w:rsidP="00345E37">
      <w:pPr>
        <w:pStyle w:val="Heading3"/>
      </w:pPr>
      <w:bookmarkStart w:id="5" w:name="_Toc146791858"/>
      <w:r>
        <w:t>Human error.</w:t>
      </w:r>
      <w:bookmarkEnd w:id="5"/>
    </w:p>
    <w:p w14:paraId="657D79D2" w14:textId="3C8409C5" w:rsidR="00ED2E5D" w:rsidRDefault="00345E37" w:rsidP="00F7241B">
      <w:r>
        <w:t>Ratios consist of a denominator and a numerator, mixing these will cause an incorrect ratio.</w:t>
      </w:r>
    </w:p>
    <w:p w14:paraId="7A04AEC7" w14:textId="413FB89C" w:rsidR="00345E37" w:rsidRDefault="00345E37" w:rsidP="00345E37">
      <w:pPr>
        <w:pStyle w:val="Heading3"/>
      </w:pPr>
      <w:bookmarkStart w:id="6" w:name="_Toc146791859"/>
      <w:r>
        <w:t>Accounting methods.</w:t>
      </w:r>
      <w:bookmarkEnd w:id="6"/>
    </w:p>
    <w:p w14:paraId="66B3A987" w14:textId="5A29A900" w:rsidR="00345E37" w:rsidRDefault="00345E37" w:rsidP="00F7241B">
      <w:r>
        <w:t>Principles and methods of accounting may change over time leading to compromised comparative data.</w:t>
      </w:r>
      <w:r w:rsidR="00EB1ABC">
        <w:t xml:space="preserve"> “Ratios will inherit the limitations of the financial statements on which they are based” </w:t>
      </w:r>
      <w:sdt>
        <w:sdtPr>
          <w:id w:val="-373610467"/>
          <w:citation/>
        </w:sdtPr>
        <w:sdtContent>
          <w:r w:rsidR="00EB1ABC">
            <w:fldChar w:fldCharType="begin"/>
          </w:r>
          <w:r w:rsidR="00EB1ABC">
            <w:instrText xml:space="preserve"> CITATION Atr17 \l 2057 </w:instrText>
          </w:r>
          <w:r w:rsidR="00EB1ABC">
            <w:fldChar w:fldCharType="separate"/>
          </w:r>
          <w:r w:rsidR="007D5C64" w:rsidRPr="007D5C64">
            <w:rPr>
              <w:noProof/>
            </w:rPr>
            <w:t>(Atrill &amp; McLaney, 2017)</w:t>
          </w:r>
          <w:r w:rsidR="00EB1ABC">
            <w:fldChar w:fldCharType="end"/>
          </w:r>
        </w:sdtContent>
      </w:sdt>
      <w:r w:rsidR="00EB1ABC">
        <w:t>.</w:t>
      </w:r>
    </w:p>
    <w:p w14:paraId="68108D9D" w14:textId="74D8BD04" w:rsidR="00EB1ABC" w:rsidRDefault="00EB1ABC" w:rsidP="00EB1ABC">
      <w:pPr>
        <w:pStyle w:val="Heading3"/>
      </w:pPr>
      <w:bookmarkStart w:id="7" w:name="_Toc146791860"/>
      <w:r>
        <w:t>Inflation.</w:t>
      </w:r>
      <w:bookmarkEnd w:id="7"/>
    </w:p>
    <w:p w14:paraId="66528F50" w14:textId="70FADEC1" w:rsidR="00345E37" w:rsidRDefault="00EB1ABC" w:rsidP="00F7241B">
      <w:r>
        <w:t xml:space="preserve">Financial results can become distorted due to changes in country inflationary changes. Financial statements are reported over a </w:t>
      </w:r>
      <w:r w:rsidR="009C5AB5">
        <w:t xml:space="preserve">predetermined </w:t>
      </w:r>
      <w:proofErr w:type="gramStart"/>
      <w:r w:rsidR="009C5AB5">
        <w:t>period of</w:t>
      </w:r>
      <w:r>
        <w:t xml:space="preserve"> time</w:t>
      </w:r>
      <w:proofErr w:type="gramEnd"/>
      <w:r>
        <w:t>, and changes after this period can render financial statements inaccurate.</w:t>
      </w:r>
    </w:p>
    <w:p w14:paraId="55337187" w14:textId="63B9775B" w:rsidR="00345E37" w:rsidRDefault="009C5AB5" w:rsidP="009C5AB5">
      <w:pPr>
        <w:pStyle w:val="Heading3"/>
      </w:pPr>
      <w:bookmarkStart w:id="8" w:name="_Toc146791861"/>
      <w:r>
        <w:t>Historical information.</w:t>
      </w:r>
      <w:bookmarkEnd w:id="8"/>
    </w:p>
    <w:p w14:paraId="07AF1B5D" w14:textId="1DC3DA90" w:rsidR="009C5AB5" w:rsidRDefault="009C5AB5" w:rsidP="00F7241B">
      <w:r>
        <w:t xml:space="preserve">Data used to calculate ratios are based on historical financial statements data, and do not necessarily indicate present </w:t>
      </w:r>
      <w:r w:rsidR="006C0FD2">
        <w:t xml:space="preserve">of real-time </w:t>
      </w:r>
      <w:r>
        <w:t xml:space="preserve">performance of a business </w:t>
      </w:r>
      <w:sdt>
        <w:sdtPr>
          <w:id w:val="-980148658"/>
          <w:citation/>
        </w:sdtPr>
        <w:sdtContent>
          <w:r>
            <w:fldChar w:fldCharType="begin"/>
          </w:r>
          <w:r>
            <w:instrText xml:space="preserve"> CITATION CFI23 \l 2057 </w:instrText>
          </w:r>
          <w:r>
            <w:fldChar w:fldCharType="separate"/>
          </w:r>
          <w:r w:rsidR="007D5C64" w:rsidRPr="007D5C64">
            <w:rPr>
              <w:noProof/>
            </w:rPr>
            <w:t>(CFI_Team, 2023)</w:t>
          </w:r>
          <w:r>
            <w:fldChar w:fldCharType="end"/>
          </w:r>
        </w:sdtContent>
      </w:sdt>
      <w:r>
        <w:t>.</w:t>
      </w:r>
    </w:p>
    <w:p w14:paraId="416A37CE" w14:textId="749F87F7" w:rsidR="006C0FD2" w:rsidRDefault="006C0FD2" w:rsidP="006C0FD2">
      <w:pPr>
        <w:pStyle w:val="Heading3"/>
        <w:rPr>
          <w:shd w:val="clear" w:color="auto" w:fill="F7F7F8"/>
        </w:rPr>
      </w:pPr>
      <w:bookmarkStart w:id="9" w:name="_Toc146791862"/>
      <w:r>
        <w:rPr>
          <w:shd w:val="clear" w:color="auto" w:fill="F7F7F8"/>
        </w:rPr>
        <w:t>Seasonality</w:t>
      </w:r>
      <w:bookmarkEnd w:id="9"/>
    </w:p>
    <w:p w14:paraId="2C693286" w14:textId="5AAC09D3" w:rsidR="00ED2E5D" w:rsidRDefault="006C0FD2" w:rsidP="006C0FD2">
      <w:r>
        <w:rPr>
          <w:shd w:val="clear" w:color="auto" w:fill="F7F7F8"/>
        </w:rPr>
        <w:t>Some industries experience seasonal fluctuations that can affect financial ratios in defined time periods. It's prudent to factor the timing of when interpreting ratios.</w:t>
      </w:r>
    </w:p>
    <w:p w14:paraId="0DE3CC66" w14:textId="35795171" w:rsidR="006C0FD2" w:rsidRDefault="006C0FD2" w:rsidP="006C0FD2">
      <w:pPr>
        <w:pStyle w:val="Heading3"/>
        <w:rPr>
          <w:shd w:val="clear" w:color="auto" w:fill="F7F7F8"/>
        </w:rPr>
      </w:pPr>
      <w:bookmarkStart w:id="10" w:name="_Toc146791863"/>
      <w:r>
        <w:rPr>
          <w:shd w:val="clear" w:color="auto" w:fill="F7F7F8"/>
        </w:rPr>
        <w:t>Fraud</w:t>
      </w:r>
      <w:bookmarkEnd w:id="10"/>
    </w:p>
    <w:p w14:paraId="61B0AC2D" w14:textId="3E191436" w:rsidR="00F7241B" w:rsidRDefault="006C0FD2" w:rsidP="006C0FD2">
      <w:pPr>
        <w:rPr>
          <w:shd w:val="clear" w:color="auto" w:fill="F7F7F8"/>
        </w:rPr>
      </w:pPr>
      <w:r>
        <w:rPr>
          <w:shd w:val="clear" w:color="auto" w:fill="F7F7F8"/>
        </w:rPr>
        <w:t>Business can “manipulate” financial statements to improve their financial ratios to make them more financially attractive to shareholders and potential investors.</w:t>
      </w:r>
    </w:p>
    <w:p w14:paraId="69FA665E" w14:textId="3236FD1B" w:rsidR="006C0FD2" w:rsidRDefault="006C0FD2" w:rsidP="006C0FD2">
      <w:pPr>
        <w:pStyle w:val="Heading3"/>
      </w:pPr>
      <w:bookmarkStart w:id="11" w:name="_Toc146791864"/>
      <w:r>
        <w:t>Quantitative data types used to calculate ratios.</w:t>
      </w:r>
      <w:bookmarkEnd w:id="11"/>
    </w:p>
    <w:p w14:paraId="15528125" w14:textId="5269B9DD" w:rsidR="006C0FD2" w:rsidRDefault="001F58AD" w:rsidP="006C0FD2">
      <w:r>
        <w:t>Ratios do not factor in the quality of management, adoption of latest technology, customer satisfaction and brand loyalty.</w:t>
      </w:r>
    </w:p>
    <w:p w14:paraId="0C3F5825" w14:textId="77777777" w:rsidR="006C0FD2" w:rsidRDefault="006C0FD2" w:rsidP="006C0FD2"/>
    <w:p w14:paraId="32AF84E7" w14:textId="77777777" w:rsidR="006C0FD2" w:rsidRDefault="006C0FD2" w:rsidP="006C0FD2"/>
    <w:p w14:paraId="53EC0045" w14:textId="77777777" w:rsidR="006C0FD2" w:rsidRDefault="006C0FD2" w:rsidP="006C0FD2"/>
    <w:p w14:paraId="6A08E4C6" w14:textId="77777777" w:rsidR="006C0FD2" w:rsidRDefault="006C0FD2" w:rsidP="006C0FD2"/>
    <w:p w14:paraId="52F2B47C" w14:textId="77777777" w:rsidR="006C0FD2" w:rsidRDefault="006C0FD2" w:rsidP="006C0FD2"/>
    <w:p w14:paraId="443858EE" w14:textId="77777777" w:rsidR="006C0FD2" w:rsidRDefault="006C0FD2" w:rsidP="006C0FD2"/>
    <w:p w14:paraId="11D47E7E" w14:textId="77777777" w:rsidR="006C0FD2" w:rsidRDefault="006C0FD2" w:rsidP="006C0FD2"/>
    <w:p w14:paraId="4C401B51" w14:textId="77777777" w:rsidR="006C0FD2" w:rsidRDefault="006C0FD2" w:rsidP="006C0FD2"/>
    <w:p w14:paraId="0720ADF7" w14:textId="77777777" w:rsidR="006C0FD2" w:rsidRPr="00156985" w:rsidRDefault="006C0FD2" w:rsidP="006C0FD2"/>
    <w:p w14:paraId="5E837977" w14:textId="259C29F7" w:rsidR="00952589" w:rsidRDefault="009C5AB5" w:rsidP="009C5AB5">
      <w:pPr>
        <w:pStyle w:val="Heading1"/>
      </w:pPr>
      <w:bookmarkStart w:id="12" w:name="_Toc146791865"/>
      <w:r>
        <w:lastRenderedPageBreak/>
        <w:t>Ratios</w:t>
      </w:r>
      <w:r w:rsidR="00023944">
        <w:t xml:space="preserve"> used to assess business’s financial performance.</w:t>
      </w:r>
      <w:bookmarkEnd w:id="12"/>
    </w:p>
    <w:p w14:paraId="06015F12" w14:textId="5C3A1260" w:rsidR="00787697" w:rsidRPr="00787697" w:rsidRDefault="00787697" w:rsidP="00787697">
      <w:r>
        <w:t>I’ve included Ferrari and Mercedes results from online sources mostly from Finbox.com and Bing search engine. These ratios have not been calculated by me</w:t>
      </w:r>
      <w:r w:rsidR="008329DA">
        <w:t>.</w:t>
      </w:r>
      <w:r>
        <w:t xml:space="preserve"> I’ve included these to act as a comparison between companies in the same field and Marque level.</w:t>
      </w:r>
    </w:p>
    <w:p w14:paraId="1389AC80" w14:textId="1A4EFE00" w:rsidR="00952589" w:rsidRDefault="00E732FC" w:rsidP="00E732FC">
      <w:pPr>
        <w:pStyle w:val="Heading2"/>
      </w:pPr>
      <w:bookmarkStart w:id="13" w:name="_Toc146791866"/>
      <w:r>
        <w:t>Profitability Ratios.</w:t>
      </w:r>
      <w:bookmarkEnd w:id="13"/>
    </w:p>
    <w:p w14:paraId="1809102F" w14:textId="7C752D2E" w:rsidR="00374C65" w:rsidRPr="00374C65" w:rsidRDefault="00374C65" w:rsidP="00374C65">
      <w:r>
        <w:t xml:space="preserve">Businesses exist to create wealth for their owners. Profitability ratios quickly indicate how successful management are in achieving this goal </w:t>
      </w:r>
      <w:sdt>
        <w:sdtPr>
          <w:id w:val="-583909143"/>
          <w:citation/>
        </w:sdtPr>
        <w:sdtContent>
          <w:r>
            <w:fldChar w:fldCharType="begin"/>
          </w:r>
          <w:r>
            <w:instrText xml:space="preserve"> CITATION Atr17 \l 2057 </w:instrText>
          </w:r>
          <w:r>
            <w:fldChar w:fldCharType="separate"/>
          </w:r>
          <w:r w:rsidRPr="00374C65">
            <w:rPr>
              <w:noProof/>
            </w:rPr>
            <w:t>(Atrill &amp; McLaney, 2017)</w:t>
          </w:r>
          <w:r>
            <w:fldChar w:fldCharType="end"/>
          </w:r>
        </w:sdtContent>
      </w:sdt>
      <w:r>
        <w:t>.</w:t>
      </w:r>
    </w:p>
    <w:p w14:paraId="19398159" w14:textId="19135B6A" w:rsidR="00E732FC" w:rsidRDefault="00E732FC" w:rsidP="00E732FC">
      <w:pPr>
        <w:pStyle w:val="Heading3"/>
      </w:pPr>
      <w:bookmarkStart w:id="14" w:name="_Toc146791867"/>
      <w:r>
        <w:t>Gross Profit Margin Ratio</w:t>
      </w:r>
      <w:r w:rsidR="00FC01BB">
        <w:t xml:space="preserve"> %</w:t>
      </w:r>
      <w:r>
        <w:t>.</w:t>
      </w:r>
      <w:bookmarkEnd w:id="14"/>
    </w:p>
    <w:p w14:paraId="3CFD29EE" w14:textId="0FB1A240" w:rsidR="00A353F7" w:rsidRDefault="00E732FC">
      <w:r>
        <w:t>Shows the relationship between the Gross Profit and Revenue</w:t>
      </w:r>
      <w:r w:rsidR="005B29DF">
        <w:t xml:space="preserve">. “The ratio is a measure of profitability in buying (or producing) and selling goods or services before any other expenses are taken into account” </w:t>
      </w:r>
      <w:sdt>
        <w:sdtPr>
          <w:id w:val="1521119921"/>
          <w:citation/>
        </w:sdtPr>
        <w:sdtContent>
          <w:r w:rsidR="005B29DF">
            <w:fldChar w:fldCharType="begin"/>
          </w:r>
          <w:r w:rsidR="005B29DF">
            <w:instrText xml:space="preserve"> CITATION Atr17 \l 2057 </w:instrText>
          </w:r>
          <w:r w:rsidR="005B29DF">
            <w:fldChar w:fldCharType="separate"/>
          </w:r>
          <w:r w:rsidR="007D5C64" w:rsidRPr="007D5C64">
            <w:rPr>
              <w:noProof/>
            </w:rPr>
            <w:t>(Atrill &amp; McLaney, 2017)</w:t>
          </w:r>
          <w:r w:rsidR="005B29DF">
            <w:fldChar w:fldCharType="end"/>
          </w:r>
        </w:sdtContent>
      </w:sdt>
      <w:r w:rsidR="005B29DF">
        <w:t>.</w:t>
      </w:r>
      <w:r w:rsidR="009C1FA3">
        <w:t xml:space="preserve"> </w:t>
      </w:r>
      <w:r w:rsidR="00A353F7">
        <w:t xml:space="preserve">Gross margin calculated as Revenue – Cost </w:t>
      </w:r>
      <w:proofErr w:type="gramStart"/>
      <w:r w:rsidR="00A353F7">
        <w:t>Of</w:t>
      </w:r>
      <w:proofErr w:type="gramEnd"/>
      <w:r w:rsidR="00A353F7">
        <w:t xml:space="preserve"> Goods Sold. Gross </w:t>
      </w:r>
      <w:r w:rsidR="005C38C9">
        <w:t xml:space="preserve">Profit </w:t>
      </w:r>
      <w:r w:rsidR="00A353F7">
        <w:t xml:space="preserve">Margin </w:t>
      </w:r>
      <w:r w:rsidR="005C38C9">
        <w:t>% is the Gross Profit Margin / Revenue.</w:t>
      </w:r>
    </w:p>
    <w:p w14:paraId="124AE0BD" w14:textId="3346328A" w:rsidR="00E732FC" w:rsidRDefault="009C1FA3">
      <w:r>
        <w:t>The following table show</w:t>
      </w:r>
      <w:r w:rsidR="00B635BA">
        <w:t>s</w:t>
      </w:r>
      <w:r>
        <w:t xml:space="preserve"> Aston Martin’s performance relative to the average Ferrari and Mercedes performance over the same 5-year period</w:t>
      </w:r>
      <w:r w:rsidR="00B635BA">
        <w:t xml:space="preserve"> </w:t>
      </w:r>
      <w:sdt>
        <w:sdtPr>
          <w:id w:val="413199822"/>
          <w:citation/>
        </w:sdtPr>
        <w:sdtContent>
          <w:r w:rsidR="00B635BA">
            <w:fldChar w:fldCharType="begin"/>
          </w:r>
          <w:r w:rsidR="00B635BA">
            <w:instrText xml:space="preserve"> CITATION Fin23 \l 2057 </w:instrText>
          </w:r>
          <w:r w:rsidR="00B635BA">
            <w:fldChar w:fldCharType="separate"/>
          </w:r>
          <w:r w:rsidR="007D5C64" w:rsidRPr="007D5C64">
            <w:rPr>
              <w:noProof/>
            </w:rPr>
            <w:t>(Finbox, 2023)</w:t>
          </w:r>
          <w:r w:rsidR="00B635BA">
            <w:fldChar w:fldCharType="end"/>
          </w:r>
        </w:sdtContent>
      </w:sdt>
      <w:r w:rsidR="00B635BA">
        <w:t xml:space="preserve">, </w:t>
      </w:r>
      <w:sdt>
        <w:sdtPr>
          <w:id w:val="-2125298863"/>
          <w:citation/>
        </w:sdtPr>
        <w:sdtContent>
          <w:r w:rsidR="00B635BA">
            <w:fldChar w:fldCharType="begin"/>
          </w:r>
          <w:r w:rsidR="00B635BA">
            <w:instrText xml:space="preserve"> CITATION Fin231 \l 2057 </w:instrText>
          </w:r>
          <w:r w:rsidR="00B635BA">
            <w:fldChar w:fldCharType="separate"/>
          </w:r>
          <w:r w:rsidR="007D5C64" w:rsidRPr="007D5C64">
            <w:rPr>
              <w:noProof/>
            </w:rPr>
            <w:t>(Finbox, 2023)</w:t>
          </w:r>
          <w:r w:rsidR="00B635BA">
            <w:fldChar w:fldCharType="end"/>
          </w:r>
        </w:sdtContent>
      </w:sdt>
      <w:r w:rsidR="00B635BA">
        <w:t>.</w:t>
      </w:r>
    </w:p>
    <w:tbl>
      <w:tblPr>
        <w:tblW w:w="6400" w:type="dxa"/>
        <w:jc w:val="center"/>
        <w:tblLook w:val="04A0" w:firstRow="1" w:lastRow="0" w:firstColumn="1" w:lastColumn="0" w:noHBand="0" w:noVBand="1"/>
      </w:tblPr>
      <w:tblGrid>
        <w:gridCol w:w="1600"/>
        <w:gridCol w:w="960"/>
        <w:gridCol w:w="960"/>
        <w:gridCol w:w="960"/>
        <w:gridCol w:w="960"/>
        <w:gridCol w:w="960"/>
      </w:tblGrid>
      <w:tr w:rsidR="00B635BA" w:rsidRPr="00B635BA" w14:paraId="35090714" w14:textId="77777777" w:rsidTr="00B635BA">
        <w:trPr>
          <w:trHeight w:val="501"/>
          <w:jc w:val="center"/>
        </w:trPr>
        <w:tc>
          <w:tcPr>
            <w:tcW w:w="1600" w:type="dxa"/>
            <w:tcBorders>
              <w:top w:val="single" w:sz="8" w:space="0" w:color="auto"/>
              <w:left w:val="single" w:sz="8" w:space="0" w:color="auto"/>
              <w:bottom w:val="single" w:sz="4" w:space="0" w:color="auto"/>
              <w:right w:val="single" w:sz="4" w:space="0" w:color="auto"/>
            </w:tcBorders>
            <w:shd w:val="clear" w:color="000000" w:fill="92D050"/>
            <w:noWrap/>
            <w:vAlign w:val="bottom"/>
            <w:hideMark/>
          </w:tcPr>
          <w:p w14:paraId="0238EF6A"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Year</w:t>
            </w:r>
          </w:p>
        </w:tc>
        <w:tc>
          <w:tcPr>
            <w:tcW w:w="960" w:type="dxa"/>
            <w:tcBorders>
              <w:top w:val="single" w:sz="8" w:space="0" w:color="auto"/>
              <w:left w:val="nil"/>
              <w:bottom w:val="single" w:sz="4" w:space="0" w:color="auto"/>
              <w:right w:val="single" w:sz="4" w:space="0" w:color="auto"/>
            </w:tcBorders>
            <w:shd w:val="clear" w:color="000000" w:fill="92D050"/>
            <w:noWrap/>
            <w:vAlign w:val="bottom"/>
            <w:hideMark/>
          </w:tcPr>
          <w:p w14:paraId="5D4573C6"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2018</w:t>
            </w:r>
          </w:p>
        </w:tc>
        <w:tc>
          <w:tcPr>
            <w:tcW w:w="960" w:type="dxa"/>
            <w:tcBorders>
              <w:top w:val="single" w:sz="8" w:space="0" w:color="auto"/>
              <w:left w:val="nil"/>
              <w:bottom w:val="single" w:sz="4" w:space="0" w:color="auto"/>
              <w:right w:val="single" w:sz="4" w:space="0" w:color="auto"/>
            </w:tcBorders>
            <w:shd w:val="clear" w:color="000000" w:fill="92D050"/>
            <w:noWrap/>
            <w:vAlign w:val="bottom"/>
            <w:hideMark/>
          </w:tcPr>
          <w:p w14:paraId="4C774A99"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2019</w:t>
            </w:r>
          </w:p>
        </w:tc>
        <w:tc>
          <w:tcPr>
            <w:tcW w:w="960" w:type="dxa"/>
            <w:tcBorders>
              <w:top w:val="single" w:sz="8" w:space="0" w:color="auto"/>
              <w:left w:val="nil"/>
              <w:bottom w:val="single" w:sz="4" w:space="0" w:color="auto"/>
              <w:right w:val="single" w:sz="4" w:space="0" w:color="auto"/>
            </w:tcBorders>
            <w:shd w:val="clear" w:color="000000" w:fill="92D050"/>
            <w:noWrap/>
            <w:vAlign w:val="bottom"/>
            <w:hideMark/>
          </w:tcPr>
          <w:p w14:paraId="1775ADFF"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2020</w:t>
            </w:r>
          </w:p>
        </w:tc>
        <w:tc>
          <w:tcPr>
            <w:tcW w:w="960" w:type="dxa"/>
            <w:tcBorders>
              <w:top w:val="single" w:sz="8" w:space="0" w:color="auto"/>
              <w:left w:val="nil"/>
              <w:bottom w:val="single" w:sz="4" w:space="0" w:color="auto"/>
              <w:right w:val="single" w:sz="4" w:space="0" w:color="auto"/>
            </w:tcBorders>
            <w:shd w:val="clear" w:color="000000" w:fill="92D050"/>
            <w:noWrap/>
            <w:vAlign w:val="bottom"/>
            <w:hideMark/>
          </w:tcPr>
          <w:p w14:paraId="18A0BE05"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2021</w:t>
            </w:r>
          </w:p>
        </w:tc>
        <w:tc>
          <w:tcPr>
            <w:tcW w:w="960" w:type="dxa"/>
            <w:tcBorders>
              <w:top w:val="single" w:sz="8" w:space="0" w:color="auto"/>
              <w:left w:val="nil"/>
              <w:bottom w:val="single" w:sz="4" w:space="0" w:color="auto"/>
              <w:right w:val="single" w:sz="8" w:space="0" w:color="auto"/>
            </w:tcBorders>
            <w:shd w:val="clear" w:color="000000" w:fill="92D050"/>
            <w:noWrap/>
            <w:vAlign w:val="bottom"/>
            <w:hideMark/>
          </w:tcPr>
          <w:p w14:paraId="69A68A00"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2022</w:t>
            </w:r>
          </w:p>
        </w:tc>
      </w:tr>
      <w:tr w:rsidR="00B635BA" w:rsidRPr="00B635BA" w14:paraId="3D5CCB45" w14:textId="77777777" w:rsidTr="00B635BA">
        <w:trPr>
          <w:trHeight w:val="999"/>
          <w:jc w:val="center"/>
        </w:trPr>
        <w:tc>
          <w:tcPr>
            <w:tcW w:w="1600" w:type="dxa"/>
            <w:tcBorders>
              <w:top w:val="nil"/>
              <w:left w:val="single" w:sz="8" w:space="0" w:color="auto"/>
              <w:bottom w:val="single" w:sz="4" w:space="0" w:color="auto"/>
              <w:right w:val="single" w:sz="4" w:space="0" w:color="auto"/>
            </w:tcBorders>
            <w:shd w:val="clear" w:color="auto" w:fill="auto"/>
            <w:vAlign w:val="bottom"/>
            <w:hideMark/>
          </w:tcPr>
          <w:p w14:paraId="36616561"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Average Mercedes Gross Profit Margin %</w:t>
            </w:r>
          </w:p>
        </w:tc>
        <w:tc>
          <w:tcPr>
            <w:tcW w:w="960" w:type="dxa"/>
            <w:tcBorders>
              <w:top w:val="nil"/>
              <w:left w:val="nil"/>
              <w:bottom w:val="single" w:sz="4" w:space="0" w:color="auto"/>
              <w:right w:val="single" w:sz="4" w:space="0" w:color="auto"/>
            </w:tcBorders>
            <w:shd w:val="clear" w:color="auto" w:fill="auto"/>
            <w:noWrap/>
            <w:vAlign w:val="bottom"/>
            <w:hideMark/>
          </w:tcPr>
          <w:p w14:paraId="517B0F48"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18.5%</w:t>
            </w:r>
          </w:p>
        </w:tc>
        <w:tc>
          <w:tcPr>
            <w:tcW w:w="960" w:type="dxa"/>
            <w:tcBorders>
              <w:top w:val="nil"/>
              <w:left w:val="nil"/>
              <w:bottom w:val="single" w:sz="4" w:space="0" w:color="auto"/>
              <w:right w:val="single" w:sz="4" w:space="0" w:color="auto"/>
            </w:tcBorders>
            <w:shd w:val="clear" w:color="auto" w:fill="auto"/>
            <w:noWrap/>
            <w:vAlign w:val="bottom"/>
            <w:hideMark/>
          </w:tcPr>
          <w:p w14:paraId="79061D36"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18.5%</w:t>
            </w:r>
          </w:p>
        </w:tc>
        <w:tc>
          <w:tcPr>
            <w:tcW w:w="960" w:type="dxa"/>
            <w:tcBorders>
              <w:top w:val="nil"/>
              <w:left w:val="nil"/>
              <w:bottom w:val="single" w:sz="4" w:space="0" w:color="auto"/>
              <w:right w:val="single" w:sz="4" w:space="0" w:color="auto"/>
            </w:tcBorders>
            <w:shd w:val="clear" w:color="auto" w:fill="auto"/>
            <w:noWrap/>
            <w:vAlign w:val="bottom"/>
            <w:hideMark/>
          </w:tcPr>
          <w:p w14:paraId="7A9B9B92"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18.5%</w:t>
            </w:r>
          </w:p>
        </w:tc>
        <w:tc>
          <w:tcPr>
            <w:tcW w:w="960" w:type="dxa"/>
            <w:tcBorders>
              <w:top w:val="nil"/>
              <w:left w:val="nil"/>
              <w:bottom w:val="single" w:sz="4" w:space="0" w:color="auto"/>
              <w:right w:val="single" w:sz="4" w:space="0" w:color="auto"/>
            </w:tcBorders>
            <w:shd w:val="clear" w:color="auto" w:fill="auto"/>
            <w:noWrap/>
            <w:vAlign w:val="bottom"/>
            <w:hideMark/>
          </w:tcPr>
          <w:p w14:paraId="3EAC3317"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18.5%</w:t>
            </w:r>
          </w:p>
        </w:tc>
        <w:tc>
          <w:tcPr>
            <w:tcW w:w="960" w:type="dxa"/>
            <w:tcBorders>
              <w:top w:val="nil"/>
              <w:left w:val="nil"/>
              <w:bottom w:val="single" w:sz="4" w:space="0" w:color="auto"/>
              <w:right w:val="single" w:sz="8" w:space="0" w:color="auto"/>
            </w:tcBorders>
            <w:shd w:val="clear" w:color="auto" w:fill="auto"/>
            <w:noWrap/>
            <w:vAlign w:val="bottom"/>
            <w:hideMark/>
          </w:tcPr>
          <w:p w14:paraId="6F30C75A"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18.5%</w:t>
            </w:r>
          </w:p>
        </w:tc>
      </w:tr>
      <w:tr w:rsidR="00B635BA" w:rsidRPr="00B635BA" w14:paraId="7EFDF2CF" w14:textId="77777777" w:rsidTr="00B635BA">
        <w:trPr>
          <w:trHeight w:val="999"/>
          <w:jc w:val="center"/>
        </w:trPr>
        <w:tc>
          <w:tcPr>
            <w:tcW w:w="1600" w:type="dxa"/>
            <w:tcBorders>
              <w:top w:val="nil"/>
              <w:left w:val="single" w:sz="8" w:space="0" w:color="auto"/>
              <w:bottom w:val="nil"/>
              <w:right w:val="single" w:sz="4" w:space="0" w:color="auto"/>
            </w:tcBorders>
            <w:shd w:val="clear" w:color="auto" w:fill="auto"/>
            <w:vAlign w:val="bottom"/>
            <w:hideMark/>
          </w:tcPr>
          <w:p w14:paraId="2BEEEE69"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Average Ferrari Gross Profit Margin %</w:t>
            </w:r>
          </w:p>
        </w:tc>
        <w:tc>
          <w:tcPr>
            <w:tcW w:w="960" w:type="dxa"/>
            <w:tcBorders>
              <w:top w:val="nil"/>
              <w:left w:val="nil"/>
              <w:bottom w:val="nil"/>
              <w:right w:val="single" w:sz="4" w:space="0" w:color="auto"/>
            </w:tcBorders>
            <w:shd w:val="clear" w:color="auto" w:fill="auto"/>
            <w:noWrap/>
            <w:vAlign w:val="bottom"/>
            <w:hideMark/>
          </w:tcPr>
          <w:p w14:paraId="083CEB8B"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51%</w:t>
            </w:r>
          </w:p>
        </w:tc>
        <w:tc>
          <w:tcPr>
            <w:tcW w:w="960" w:type="dxa"/>
            <w:tcBorders>
              <w:top w:val="nil"/>
              <w:left w:val="nil"/>
              <w:bottom w:val="nil"/>
              <w:right w:val="single" w:sz="4" w:space="0" w:color="auto"/>
            </w:tcBorders>
            <w:shd w:val="clear" w:color="auto" w:fill="auto"/>
            <w:noWrap/>
            <w:vAlign w:val="bottom"/>
            <w:hideMark/>
          </w:tcPr>
          <w:p w14:paraId="2424EC38"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51%</w:t>
            </w:r>
          </w:p>
        </w:tc>
        <w:tc>
          <w:tcPr>
            <w:tcW w:w="960" w:type="dxa"/>
            <w:tcBorders>
              <w:top w:val="nil"/>
              <w:left w:val="nil"/>
              <w:bottom w:val="nil"/>
              <w:right w:val="single" w:sz="4" w:space="0" w:color="auto"/>
            </w:tcBorders>
            <w:shd w:val="clear" w:color="auto" w:fill="auto"/>
            <w:noWrap/>
            <w:vAlign w:val="bottom"/>
            <w:hideMark/>
          </w:tcPr>
          <w:p w14:paraId="3786E714"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51%</w:t>
            </w:r>
          </w:p>
        </w:tc>
        <w:tc>
          <w:tcPr>
            <w:tcW w:w="960" w:type="dxa"/>
            <w:tcBorders>
              <w:top w:val="nil"/>
              <w:left w:val="nil"/>
              <w:bottom w:val="nil"/>
              <w:right w:val="single" w:sz="4" w:space="0" w:color="auto"/>
            </w:tcBorders>
            <w:shd w:val="clear" w:color="auto" w:fill="auto"/>
            <w:noWrap/>
            <w:vAlign w:val="bottom"/>
            <w:hideMark/>
          </w:tcPr>
          <w:p w14:paraId="4D5BAFB9"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51%</w:t>
            </w:r>
          </w:p>
        </w:tc>
        <w:tc>
          <w:tcPr>
            <w:tcW w:w="960" w:type="dxa"/>
            <w:tcBorders>
              <w:top w:val="nil"/>
              <w:left w:val="nil"/>
              <w:bottom w:val="nil"/>
              <w:right w:val="single" w:sz="8" w:space="0" w:color="auto"/>
            </w:tcBorders>
            <w:shd w:val="clear" w:color="auto" w:fill="auto"/>
            <w:noWrap/>
            <w:vAlign w:val="bottom"/>
            <w:hideMark/>
          </w:tcPr>
          <w:p w14:paraId="517134A8"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51%</w:t>
            </w:r>
          </w:p>
        </w:tc>
      </w:tr>
      <w:tr w:rsidR="00B635BA" w:rsidRPr="00B635BA" w14:paraId="61DDB3EA" w14:textId="77777777" w:rsidTr="00B635BA">
        <w:trPr>
          <w:trHeight w:val="999"/>
          <w:jc w:val="center"/>
        </w:trPr>
        <w:tc>
          <w:tcPr>
            <w:tcW w:w="1600" w:type="dxa"/>
            <w:tcBorders>
              <w:top w:val="single" w:sz="4" w:space="0" w:color="auto"/>
              <w:left w:val="single" w:sz="8" w:space="0" w:color="auto"/>
              <w:bottom w:val="single" w:sz="8" w:space="0" w:color="auto"/>
              <w:right w:val="single" w:sz="4" w:space="0" w:color="auto"/>
            </w:tcBorders>
            <w:shd w:val="clear" w:color="auto" w:fill="auto"/>
            <w:vAlign w:val="bottom"/>
            <w:hideMark/>
          </w:tcPr>
          <w:p w14:paraId="6F58F0F9"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Aston Martin Gross Profit Margin %</w:t>
            </w:r>
          </w:p>
        </w:tc>
        <w:tc>
          <w:tcPr>
            <w:tcW w:w="960" w:type="dxa"/>
            <w:tcBorders>
              <w:top w:val="single" w:sz="4" w:space="0" w:color="auto"/>
              <w:left w:val="nil"/>
              <w:bottom w:val="single" w:sz="8" w:space="0" w:color="auto"/>
              <w:right w:val="single" w:sz="4" w:space="0" w:color="auto"/>
            </w:tcBorders>
            <w:shd w:val="clear" w:color="auto" w:fill="auto"/>
            <w:noWrap/>
            <w:vAlign w:val="bottom"/>
            <w:hideMark/>
          </w:tcPr>
          <w:p w14:paraId="42217160"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39.74%</w:t>
            </w:r>
          </w:p>
        </w:tc>
        <w:tc>
          <w:tcPr>
            <w:tcW w:w="960" w:type="dxa"/>
            <w:tcBorders>
              <w:top w:val="single" w:sz="4" w:space="0" w:color="auto"/>
              <w:left w:val="nil"/>
              <w:bottom w:val="single" w:sz="8" w:space="0" w:color="auto"/>
              <w:right w:val="single" w:sz="4" w:space="0" w:color="auto"/>
            </w:tcBorders>
            <w:shd w:val="clear" w:color="auto" w:fill="auto"/>
            <w:noWrap/>
            <w:vAlign w:val="bottom"/>
            <w:hideMark/>
          </w:tcPr>
          <w:p w14:paraId="18073F87"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35.56%</w:t>
            </w:r>
          </w:p>
        </w:tc>
        <w:tc>
          <w:tcPr>
            <w:tcW w:w="960" w:type="dxa"/>
            <w:tcBorders>
              <w:top w:val="single" w:sz="4" w:space="0" w:color="auto"/>
              <w:left w:val="nil"/>
              <w:bottom w:val="single" w:sz="8" w:space="0" w:color="auto"/>
              <w:right w:val="single" w:sz="4" w:space="0" w:color="auto"/>
            </w:tcBorders>
            <w:shd w:val="clear" w:color="auto" w:fill="auto"/>
            <w:noWrap/>
            <w:vAlign w:val="bottom"/>
            <w:hideMark/>
          </w:tcPr>
          <w:p w14:paraId="691CD4BD"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18.16%</w:t>
            </w:r>
          </w:p>
        </w:tc>
        <w:tc>
          <w:tcPr>
            <w:tcW w:w="960" w:type="dxa"/>
            <w:tcBorders>
              <w:top w:val="single" w:sz="4" w:space="0" w:color="auto"/>
              <w:left w:val="nil"/>
              <w:bottom w:val="single" w:sz="8" w:space="0" w:color="auto"/>
              <w:right w:val="single" w:sz="4" w:space="0" w:color="auto"/>
            </w:tcBorders>
            <w:shd w:val="clear" w:color="auto" w:fill="auto"/>
            <w:noWrap/>
            <w:vAlign w:val="bottom"/>
            <w:hideMark/>
          </w:tcPr>
          <w:p w14:paraId="121A476E"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31.38%</w:t>
            </w:r>
          </w:p>
        </w:tc>
        <w:tc>
          <w:tcPr>
            <w:tcW w:w="960" w:type="dxa"/>
            <w:tcBorders>
              <w:top w:val="single" w:sz="4" w:space="0" w:color="auto"/>
              <w:left w:val="nil"/>
              <w:bottom w:val="single" w:sz="8" w:space="0" w:color="auto"/>
              <w:right w:val="single" w:sz="8" w:space="0" w:color="auto"/>
            </w:tcBorders>
            <w:shd w:val="clear" w:color="auto" w:fill="auto"/>
            <w:noWrap/>
            <w:vAlign w:val="bottom"/>
            <w:hideMark/>
          </w:tcPr>
          <w:p w14:paraId="1533089A" w14:textId="77777777" w:rsidR="00B635BA" w:rsidRPr="00B635BA" w:rsidRDefault="00B635BA" w:rsidP="00B635BA">
            <w:pPr>
              <w:spacing w:after="0" w:line="240" w:lineRule="auto"/>
              <w:jc w:val="center"/>
              <w:rPr>
                <w:rFonts w:ascii="Calibri" w:eastAsia="Times New Roman" w:hAnsi="Calibri" w:cs="Calibri"/>
                <w:color w:val="000000"/>
                <w:sz w:val="22"/>
                <w:lang w:eastAsia="en-GB"/>
              </w:rPr>
            </w:pPr>
            <w:r w:rsidRPr="00B635BA">
              <w:rPr>
                <w:rFonts w:ascii="Calibri" w:eastAsia="Times New Roman" w:hAnsi="Calibri" w:cs="Calibri"/>
                <w:color w:val="000000"/>
                <w:sz w:val="22"/>
                <w:lang w:eastAsia="en-GB"/>
              </w:rPr>
              <w:t>32.62%</w:t>
            </w:r>
          </w:p>
        </w:tc>
      </w:tr>
    </w:tbl>
    <w:p w14:paraId="34C01B4D" w14:textId="4ECEB8D9" w:rsidR="00E732FC" w:rsidRDefault="00B635BA" w:rsidP="00B635BA">
      <w:pPr>
        <w:pStyle w:val="Caption"/>
        <w:jc w:val="right"/>
      </w:pPr>
      <w:bookmarkStart w:id="15" w:name="_Ref146558992"/>
      <w:r>
        <w:t xml:space="preserve">Table </w:t>
      </w:r>
      <w:fldSimple w:instr=" SEQ Table \* ARABIC ">
        <w:r w:rsidR="0013381E">
          <w:rPr>
            <w:noProof/>
          </w:rPr>
          <w:t>1</w:t>
        </w:r>
      </w:fldSimple>
      <w:r>
        <w:t xml:space="preserve"> Gross Profit Margin Ratios</w:t>
      </w:r>
      <w:bookmarkEnd w:id="15"/>
    </w:p>
    <w:p w14:paraId="603CDD62" w14:textId="24EA13BB" w:rsidR="00E732FC" w:rsidRDefault="00B635BA">
      <w:r>
        <w:t xml:space="preserve">Aston Martin’s 5-year average of 31.5% </w:t>
      </w:r>
      <w:r w:rsidR="00A353F7">
        <w:t>is below Ferrari’s performance but above Mercedes. 2020 performance reflects the effect of the pandemic on financial performance</w:t>
      </w:r>
      <w:r w:rsidR="005C38C9">
        <w:t xml:space="preserve"> not highlighted in the other company’s average percentages.</w:t>
      </w:r>
    </w:p>
    <w:p w14:paraId="28EFC81B" w14:textId="77777777" w:rsidR="00DE5221" w:rsidRDefault="00DE5221"/>
    <w:p w14:paraId="50EBBC40" w14:textId="77777777" w:rsidR="00DE5221" w:rsidRDefault="00DE5221"/>
    <w:p w14:paraId="0B364C34" w14:textId="77777777" w:rsidR="00DE5221" w:rsidRDefault="00DE5221"/>
    <w:p w14:paraId="0DD30082" w14:textId="77777777" w:rsidR="00DE5221" w:rsidRDefault="00DE5221"/>
    <w:p w14:paraId="60B4D082" w14:textId="77777777" w:rsidR="00DE5221" w:rsidRDefault="00DE5221"/>
    <w:p w14:paraId="28CB1BB8" w14:textId="77777777" w:rsidR="00DE5221" w:rsidRDefault="00DE5221"/>
    <w:p w14:paraId="3E302943" w14:textId="77777777" w:rsidR="00DE5221" w:rsidRDefault="00DE5221"/>
    <w:p w14:paraId="20AE8A32" w14:textId="70758CF1" w:rsidR="00A353F7" w:rsidRDefault="00A353F7" w:rsidP="00A353F7">
      <w:pPr>
        <w:pStyle w:val="Heading3"/>
      </w:pPr>
      <w:bookmarkStart w:id="16" w:name="_Toc146791868"/>
      <w:r>
        <w:lastRenderedPageBreak/>
        <w:t xml:space="preserve">Operating Profit </w:t>
      </w:r>
      <w:r w:rsidR="009511C2">
        <w:t xml:space="preserve">Ratio </w:t>
      </w:r>
      <w:r>
        <w:t>%</w:t>
      </w:r>
      <w:bookmarkEnd w:id="16"/>
    </w:p>
    <w:p w14:paraId="0824F4A8" w14:textId="698742B6" w:rsidR="00A353F7" w:rsidRDefault="005C38C9">
      <w:r>
        <w:t>Operating profit is the Gross Margin Profit – Administrative Expenses / Revenue. This is a measure of operational performance without the influence of how the business is financed.</w:t>
      </w:r>
    </w:p>
    <w:p w14:paraId="1D7E1C61" w14:textId="5D0CDE14" w:rsidR="005C38C9" w:rsidRDefault="005C38C9" w:rsidP="005C38C9">
      <w:r>
        <w:t xml:space="preserve">The following table shows Aston Martin’s performance relative to the average Ferrari and Mercedes performance over the same 5-year period </w:t>
      </w:r>
      <w:sdt>
        <w:sdtPr>
          <w:id w:val="-196538285"/>
          <w:citation/>
        </w:sdtPr>
        <w:sdtContent>
          <w:r w:rsidR="00DE5221">
            <w:fldChar w:fldCharType="begin"/>
          </w:r>
          <w:r w:rsidR="00DE5221">
            <w:instrText xml:space="preserve">CITATION Com22 \l 2057 </w:instrText>
          </w:r>
          <w:r w:rsidR="00DE5221">
            <w:fldChar w:fldCharType="separate"/>
          </w:r>
          <w:r w:rsidR="007D5C64" w:rsidRPr="007D5C64">
            <w:rPr>
              <w:noProof/>
            </w:rPr>
            <w:t>(Comapny_Market_Cap, 2022)</w:t>
          </w:r>
          <w:r w:rsidR="00DE5221">
            <w:fldChar w:fldCharType="end"/>
          </w:r>
        </w:sdtContent>
      </w:sdt>
      <w:r w:rsidR="00DE5221">
        <w:t xml:space="preserve">, </w:t>
      </w:r>
      <w:sdt>
        <w:sdtPr>
          <w:id w:val="-1053615403"/>
          <w:citation/>
        </w:sdtPr>
        <w:sdtContent>
          <w:r w:rsidR="00DE5221">
            <w:fldChar w:fldCharType="begin"/>
          </w:r>
          <w:r w:rsidR="00DE5221">
            <w:instrText xml:space="preserve"> CITATION Com221 \l 2057 </w:instrText>
          </w:r>
          <w:r w:rsidR="00DE5221">
            <w:fldChar w:fldCharType="separate"/>
          </w:r>
          <w:r w:rsidR="007D5C64" w:rsidRPr="007D5C64">
            <w:rPr>
              <w:noProof/>
            </w:rPr>
            <w:t>(Company_Market_Cap, 2022)</w:t>
          </w:r>
          <w:r w:rsidR="00DE5221">
            <w:fldChar w:fldCharType="end"/>
          </w:r>
        </w:sdtContent>
      </w:sdt>
      <w:r w:rsidR="00DE5221">
        <w:t>.</w:t>
      </w:r>
    </w:p>
    <w:tbl>
      <w:tblPr>
        <w:tblW w:w="6400" w:type="dxa"/>
        <w:jc w:val="center"/>
        <w:tblLook w:val="04A0" w:firstRow="1" w:lastRow="0" w:firstColumn="1" w:lastColumn="0" w:noHBand="0" w:noVBand="1"/>
      </w:tblPr>
      <w:tblGrid>
        <w:gridCol w:w="1600"/>
        <w:gridCol w:w="960"/>
        <w:gridCol w:w="960"/>
        <w:gridCol w:w="960"/>
        <w:gridCol w:w="960"/>
        <w:gridCol w:w="960"/>
      </w:tblGrid>
      <w:tr w:rsidR="00DE5221" w:rsidRPr="00DE5221" w14:paraId="2DE91CE5" w14:textId="77777777" w:rsidTr="001C1940">
        <w:trPr>
          <w:trHeight w:val="501"/>
          <w:jc w:val="center"/>
        </w:trPr>
        <w:tc>
          <w:tcPr>
            <w:tcW w:w="1600" w:type="dxa"/>
            <w:tcBorders>
              <w:top w:val="single" w:sz="8" w:space="0" w:color="auto"/>
              <w:left w:val="single" w:sz="8" w:space="0" w:color="auto"/>
              <w:bottom w:val="single" w:sz="4" w:space="0" w:color="auto"/>
              <w:right w:val="single" w:sz="4" w:space="0" w:color="auto"/>
            </w:tcBorders>
            <w:shd w:val="clear" w:color="000000" w:fill="92D050"/>
            <w:noWrap/>
            <w:vAlign w:val="bottom"/>
            <w:hideMark/>
          </w:tcPr>
          <w:p w14:paraId="53322B69" w14:textId="77777777" w:rsidR="00DE5221" w:rsidRPr="00DE5221" w:rsidRDefault="00DE5221" w:rsidP="00DE5221">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Year</w:t>
            </w:r>
          </w:p>
        </w:tc>
        <w:tc>
          <w:tcPr>
            <w:tcW w:w="960" w:type="dxa"/>
            <w:tcBorders>
              <w:top w:val="single" w:sz="8" w:space="0" w:color="auto"/>
              <w:left w:val="nil"/>
              <w:bottom w:val="single" w:sz="4" w:space="0" w:color="auto"/>
              <w:right w:val="single" w:sz="4" w:space="0" w:color="auto"/>
            </w:tcBorders>
            <w:shd w:val="clear" w:color="000000" w:fill="92D050"/>
            <w:noWrap/>
            <w:vAlign w:val="bottom"/>
            <w:hideMark/>
          </w:tcPr>
          <w:p w14:paraId="46B84ED5" w14:textId="77777777" w:rsidR="00DE5221" w:rsidRPr="00DE5221" w:rsidRDefault="00DE5221" w:rsidP="00DE5221">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2018</w:t>
            </w:r>
          </w:p>
        </w:tc>
        <w:tc>
          <w:tcPr>
            <w:tcW w:w="960" w:type="dxa"/>
            <w:tcBorders>
              <w:top w:val="single" w:sz="8" w:space="0" w:color="auto"/>
              <w:left w:val="nil"/>
              <w:bottom w:val="single" w:sz="4" w:space="0" w:color="auto"/>
              <w:right w:val="single" w:sz="4" w:space="0" w:color="auto"/>
            </w:tcBorders>
            <w:shd w:val="clear" w:color="000000" w:fill="92D050"/>
            <w:noWrap/>
            <w:vAlign w:val="bottom"/>
            <w:hideMark/>
          </w:tcPr>
          <w:p w14:paraId="27B52C9A" w14:textId="77777777" w:rsidR="00DE5221" w:rsidRPr="00DE5221" w:rsidRDefault="00DE5221" w:rsidP="00DE5221">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2019</w:t>
            </w:r>
          </w:p>
        </w:tc>
        <w:tc>
          <w:tcPr>
            <w:tcW w:w="960" w:type="dxa"/>
            <w:tcBorders>
              <w:top w:val="single" w:sz="8" w:space="0" w:color="auto"/>
              <w:left w:val="nil"/>
              <w:bottom w:val="single" w:sz="4" w:space="0" w:color="auto"/>
              <w:right w:val="single" w:sz="4" w:space="0" w:color="auto"/>
            </w:tcBorders>
            <w:shd w:val="clear" w:color="000000" w:fill="92D050"/>
            <w:noWrap/>
            <w:vAlign w:val="bottom"/>
            <w:hideMark/>
          </w:tcPr>
          <w:p w14:paraId="6C7CE702" w14:textId="77777777" w:rsidR="00DE5221" w:rsidRPr="00DE5221" w:rsidRDefault="00DE5221" w:rsidP="00DE5221">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2020</w:t>
            </w:r>
          </w:p>
        </w:tc>
        <w:tc>
          <w:tcPr>
            <w:tcW w:w="960" w:type="dxa"/>
            <w:tcBorders>
              <w:top w:val="single" w:sz="8" w:space="0" w:color="auto"/>
              <w:left w:val="nil"/>
              <w:bottom w:val="single" w:sz="4" w:space="0" w:color="auto"/>
              <w:right w:val="single" w:sz="4" w:space="0" w:color="auto"/>
            </w:tcBorders>
            <w:shd w:val="clear" w:color="000000" w:fill="92D050"/>
            <w:noWrap/>
            <w:vAlign w:val="bottom"/>
            <w:hideMark/>
          </w:tcPr>
          <w:p w14:paraId="0EB73A7B" w14:textId="77777777" w:rsidR="00DE5221" w:rsidRPr="00DE5221" w:rsidRDefault="00DE5221" w:rsidP="00DE5221">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2021</w:t>
            </w:r>
          </w:p>
        </w:tc>
        <w:tc>
          <w:tcPr>
            <w:tcW w:w="960" w:type="dxa"/>
            <w:tcBorders>
              <w:top w:val="single" w:sz="8" w:space="0" w:color="auto"/>
              <w:left w:val="nil"/>
              <w:bottom w:val="single" w:sz="4" w:space="0" w:color="auto"/>
              <w:right w:val="single" w:sz="8" w:space="0" w:color="auto"/>
            </w:tcBorders>
            <w:shd w:val="clear" w:color="000000" w:fill="92D050"/>
            <w:noWrap/>
            <w:vAlign w:val="bottom"/>
            <w:hideMark/>
          </w:tcPr>
          <w:p w14:paraId="264B32D0" w14:textId="77777777" w:rsidR="00DE5221" w:rsidRPr="00DE5221" w:rsidRDefault="00DE5221" w:rsidP="00DE5221">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2022</w:t>
            </w:r>
          </w:p>
        </w:tc>
      </w:tr>
      <w:tr w:rsidR="00DE5221" w:rsidRPr="00DE5221" w14:paraId="5A1201D9" w14:textId="77777777" w:rsidTr="001C1940">
        <w:trPr>
          <w:trHeight w:val="999"/>
          <w:jc w:val="center"/>
        </w:trPr>
        <w:tc>
          <w:tcPr>
            <w:tcW w:w="1600" w:type="dxa"/>
            <w:tcBorders>
              <w:top w:val="nil"/>
              <w:left w:val="single" w:sz="8" w:space="0" w:color="auto"/>
              <w:bottom w:val="single" w:sz="4" w:space="0" w:color="auto"/>
              <w:right w:val="single" w:sz="4" w:space="0" w:color="auto"/>
            </w:tcBorders>
            <w:shd w:val="clear" w:color="auto" w:fill="auto"/>
            <w:vAlign w:val="bottom"/>
            <w:hideMark/>
          </w:tcPr>
          <w:p w14:paraId="63065408" w14:textId="3CFC25B5" w:rsidR="00DE5221" w:rsidRPr="00DE5221" w:rsidRDefault="00DE5221" w:rsidP="00DE5221">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 xml:space="preserve">Mercedes </w:t>
            </w:r>
            <w:r w:rsidR="00FD779D">
              <w:rPr>
                <w:rFonts w:ascii="Calibri" w:eastAsia="Times New Roman" w:hAnsi="Calibri" w:cs="Calibri"/>
                <w:color w:val="000000"/>
                <w:sz w:val="22"/>
                <w:lang w:eastAsia="en-GB"/>
              </w:rPr>
              <w:t>Operating Profit</w:t>
            </w:r>
            <w:r w:rsidRPr="00DE5221">
              <w:rPr>
                <w:rFonts w:ascii="Calibri" w:eastAsia="Times New Roman" w:hAnsi="Calibri" w:cs="Calibri"/>
                <w:color w:val="000000"/>
                <w:sz w:val="22"/>
                <w:lang w:eastAsia="en-GB"/>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04D2A4C1" w14:textId="77777777" w:rsidR="00DE5221" w:rsidRPr="00DE5221" w:rsidRDefault="00DE5221" w:rsidP="00DE5221">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6.33%</w:t>
            </w:r>
          </w:p>
        </w:tc>
        <w:tc>
          <w:tcPr>
            <w:tcW w:w="960" w:type="dxa"/>
            <w:tcBorders>
              <w:top w:val="nil"/>
              <w:left w:val="nil"/>
              <w:bottom w:val="single" w:sz="4" w:space="0" w:color="auto"/>
              <w:right w:val="single" w:sz="4" w:space="0" w:color="auto"/>
            </w:tcBorders>
            <w:shd w:val="clear" w:color="auto" w:fill="auto"/>
            <w:noWrap/>
            <w:vAlign w:val="bottom"/>
            <w:hideMark/>
          </w:tcPr>
          <w:p w14:paraId="20073E88" w14:textId="77777777" w:rsidR="00DE5221" w:rsidRPr="00DE5221" w:rsidRDefault="00DE5221" w:rsidP="00DE5221">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2.22%</w:t>
            </w:r>
          </w:p>
        </w:tc>
        <w:tc>
          <w:tcPr>
            <w:tcW w:w="960" w:type="dxa"/>
            <w:tcBorders>
              <w:top w:val="nil"/>
              <w:left w:val="nil"/>
              <w:bottom w:val="single" w:sz="4" w:space="0" w:color="auto"/>
              <w:right w:val="single" w:sz="4" w:space="0" w:color="auto"/>
            </w:tcBorders>
            <w:shd w:val="clear" w:color="auto" w:fill="auto"/>
            <w:noWrap/>
            <w:vAlign w:val="bottom"/>
            <w:hideMark/>
          </w:tcPr>
          <w:p w14:paraId="50F6A6A5" w14:textId="77777777" w:rsidR="00DE5221" w:rsidRPr="00DE5221" w:rsidRDefault="00DE5221" w:rsidP="00DE5221">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4.11%</w:t>
            </w:r>
          </w:p>
        </w:tc>
        <w:tc>
          <w:tcPr>
            <w:tcW w:w="960" w:type="dxa"/>
            <w:tcBorders>
              <w:top w:val="nil"/>
              <w:left w:val="nil"/>
              <w:bottom w:val="single" w:sz="4" w:space="0" w:color="auto"/>
              <w:right w:val="single" w:sz="4" w:space="0" w:color="auto"/>
            </w:tcBorders>
            <w:shd w:val="clear" w:color="auto" w:fill="auto"/>
            <w:noWrap/>
            <w:vAlign w:val="bottom"/>
            <w:hideMark/>
          </w:tcPr>
          <w:p w14:paraId="2163ED79" w14:textId="77777777" w:rsidR="00DE5221" w:rsidRPr="00DE5221" w:rsidRDefault="00DE5221" w:rsidP="00DE5221">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11.81%</w:t>
            </w:r>
          </w:p>
        </w:tc>
        <w:tc>
          <w:tcPr>
            <w:tcW w:w="960" w:type="dxa"/>
            <w:tcBorders>
              <w:top w:val="nil"/>
              <w:left w:val="nil"/>
              <w:bottom w:val="single" w:sz="4" w:space="0" w:color="auto"/>
              <w:right w:val="single" w:sz="8" w:space="0" w:color="auto"/>
            </w:tcBorders>
            <w:shd w:val="clear" w:color="auto" w:fill="auto"/>
            <w:noWrap/>
            <w:vAlign w:val="bottom"/>
            <w:hideMark/>
          </w:tcPr>
          <w:p w14:paraId="1199F328" w14:textId="77777777" w:rsidR="00DE5221" w:rsidRPr="00DE5221" w:rsidRDefault="00DE5221" w:rsidP="00DE5221">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13.53%</w:t>
            </w:r>
          </w:p>
        </w:tc>
      </w:tr>
      <w:tr w:rsidR="00DE5221" w:rsidRPr="00DE5221" w14:paraId="2DAE7EF6" w14:textId="77777777" w:rsidTr="001C1940">
        <w:trPr>
          <w:trHeight w:val="999"/>
          <w:jc w:val="center"/>
        </w:trPr>
        <w:tc>
          <w:tcPr>
            <w:tcW w:w="1600" w:type="dxa"/>
            <w:tcBorders>
              <w:top w:val="nil"/>
              <w:left w:val="single" w:sz="8" w:space="0" w:color="auto"/>
              <w:bottom w:val="nil"/>
              <w:right w:val="single" w:sz="4" w:space="0" w:color="auto"/>
            </w:tcBorders>
            <w:shd w:val="clear" w:color="auto" w:fill="auto"/>
            <w:vAlign w:val="bottom"/>
            <w:hideMark/>
          </w:tcPr>
          <w:p w14:paraId="7FDDC422" w14:textId="202669EA" w:rsidR="00DE5221" w:rsidRPr="00DE5221" w:rsidRDefault="00DE5221" w:rsidP="00DE5221">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 xml:space="preserve">Ferrari </w:t>
            </w:r>
            <w:r w:rsidR="00FD779D">
              <w:rPr>
                <w:rFonts w:ascii="Calibri" w:eastAsia="Times New Roman" w:hAnsi="Calibri" w:cs="Calibri"/>
                <w:color w:val="000000"/>
                <w:sz w:val="22"/>
                <w:lang w:eastAsia="en-GB"/>
              </w:rPr>
              <w:t>Operating Profit</w:t>
            </w:r>
            <w:r w:rsidR="00FD779D" w:rsidRPr="00DE5221">
              <w:rPr>
                <w:rFonts w:ascii="Calibri" w:eastAsia="Times New Roman" w:hAnsi="Calibri" w:cs="Calibri"/>
                <w:color w:val="000000"/>
                <w:sz w:val="22"/>
                <w:lang w:eastAsia="en-GB"/>
              </w:rPr>
              <w:t xml:space="preserve"> </w:t>
            </w:r>
            <w:r w:rsidRPr="00DE5221">
              <w:rPr>
                <w:rFonts w:ascii="Calibri" w:eastAsia="Times New Roman" w:hAnsi="Calibri" w:cs="Calibri"/>
                <w:color w:val="000000"/>
                <w:sz w:val="22"/>
                <w:lang w:eastAsia="en-GB"/>
              </w:rPr>
              <w:t>%</w:t>
            </w:r>
          </w:p>
        </w:tc>
        <w:tc>
          <w:tcPr>
            <w:tcW w:w="960" w:type="dxa"/>
            <w:tcBorders>
              <w:top w:val="nil"/>
              <w:left w:val="nil"/>
              <w:bottom w:val="nil"/>
              <w:right w:val="single" w:sz="4" w:space="0" w:color="auto"/>
            </w:tcBorders>
            <w:shd w:val="clear" w:color="auto" w:fill="auto"/>
            <w:noWrap/>
            <w:vAlign w:val="bottom"/>
            <w:hideMark/>
          </w:tcPr>
          <w:p w14:paraId="79BA588A" w14:textId="77777777" w:rsidR="00DE5221" w:rsidRPr="00DE5221" w:rsidRDefault="00DE5221" w:rsidP="00DE5221">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23.48%</w:t>
            </w:r>
          </w:p>
        </w:tc>
        <w:tc>
          <w:tcPr>
            <w:tcW w:w="960" w:type="dxa"/>
            <w:tcBorders>
              <w:top w:val="nil"/>
              <w:left w:val="nil"/>
              <w:bottom w:val="nil"/>
              <w:right w:val="single" w:sz="4" w:space="0" w:color="auto"/>
            </w:tcBorders>
            <w:shd w:val="clear" w:color="auto" w:fill="auto"/>
            <w:noWrap/>
            <w:vAlign w:val="bottom"/>
            <w:hideMark/>
          </w:tcPr>
          <w:p w14:paraId="7CE3A0A3" w14:textId="77777777" w:rsidR="00DE5221" w:rsidRPr="00DE5221" w:rsidRDefault="00DE5221" w:rsidP="00DE5221">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23.24%</w:t>
            </w:r>
          </w:p>
        </w:tc>
        <w:tc>
          <w:tcPr>
            <w:tcW w:w="960" w:type="dxa"/>
            <w:tcBorders>
              <w:top w:val="nil"/>
              <w:left w:val="nil"/>
              <w:bottom w:val="nil"/>
              <w:right w:val="single" w:sz="4" w:space="0" w:color="auto"/>
            </w:tcBorders>
            <w:shd w:val="clear" w:color="auto" w:fill="auto"/>
            <w:noWrap/>
            <w:vAlign w:val="bottom"/>
            <w:hideMark/>
          </w:tcPr>
          <w:p w14:paraId="43968CD1" w14:textId="77777777" w:rsidR="00DE5221" w:rsidRPr="00DE5221" w:rsidRDefault="00DE5221" w:rsidP="00DE5221">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19.28%</w:t>
            </w:r>
          </w:p>
        </w:tc>
        <w:tc>
          <w:tcPr>
            <w:tcW w:w="960" w:type="dxa"/>
            <w:tcBorders>
              <w:top w:val="nil"/>
              <w:left w:val="nil"/>
              <w:bottom w:val="nil"/>
              <w:right w:val="single" w:sz="4" w:space="0" w:color="auto"/>
            </w:tcBorders>
            <w:shd w:val="clear" w:color="auto" w:fill="auto"/>
            <w:noWrap/>
            <w:vAlign w:val="bottom"/>
            <w:hideMark/>
          </w:tcPr>
          <w:p w14:paraId="01A514A8" w14:textId="77777777" w:rsidR="00DE5221" w:rsidRPr="00DE5221" w:rsidRDefault="00DE5221" w:rsidP="00DE5221">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24.40%</w:t>
            </w:r>
          </w:p>
        </w:tc>
        <w:tc>
          <w:tcPr>
            <w:tcW w:w="960" w:type="dxa"/>
            <w:tcBorders>
              <w:top w:val="nil"/>
              <w:left w:val="nil"/>
              <w:bottom w:val="nil"/>
              <w:right w:val="single" w:sz="8" w:space="0" w:color="auto"/>
            </w:tcBorders>
            <w:shd w:val="clear" w:color="auto" w:fill="auto"/>
            <w:noWrap/>
            <w:vAlign w:val="bottom"/>
            <w:hideMark/>
          </w:tcPr>
          <w:p w14:paraId="351625A2" w14:textId="77777777" w:rsidR="00DE5221" w:rsidRPr="00DE5221" w:rsidRDefault="00DE5221" w:rsidP="00DE5221">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23.11%</w:t>
            </w:r>
          </w:p>
        </w:tc>
      </w:tr>
      <w:tr w:rsidR="00DE5221" w:rsidRPr="00DE5221" w14:paraId="607D4DCD" w14:textId="77777777" w:rsidTr="001C1940">
        <w:trPr>
          <w:trHeight w:val="999"/>
          <w:jc w:val="center"/>
        </w:trPr>
        <w:tc>
          <w:tcPr>
            <w:tcW w:w="1600" w:type="dxa"/>
            <w:tcBorders>
              <w:top w:val="single" w:sz="4" w:space="0" w:color="auto"/>
              <w:left w:val="single" w:sz="8" w:space="0" w:color="auto"/>
              <w:bottom w:val="single" w:sz="8" w:space="0" w:color="auto"/>
              <w:right w:val="single" w:sz="4" w:space="0" w:color="auto"/>
            </w:tcBorders>
            <w:shd w:val="clear" w:color="auto" w:fill="auto"/>
            <w:vAlign w:val="bottom"/>
            <w:hideMark/>
          </w:tcPr>
          <w:p w14:paraId="1A4970CF" w14:textId="250A8894" w:rsidR="00DE5221" w:rsidRPr="00DE5221" w:rsidRDefault="00DE5221" w:rsidP="001C1940">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 xml:space="preserve">Aston Martin </w:t>
            </w:r>
            <w:r w:rsidR="00FD779D">
              <w:rPr>
                <w:rFonts w:ascii="Calibri" w:eastAsia="Times New Roman" w:hAnsi="Calibri" w:cs="Calibri"/>
                <w:color w:val="000000"/>
                <w:sz w:val="22"/>
                <w:lang w:eastAsia="en-GB"/>
              </w:rPr>
              <w:t>Operating Prof</w:t>
            </w:r>
            <w:r w:rsidR="00794367">
              <w:rPr>
                <w:rFonts w:ascii="Calibri" w:eastAsia="Times New Roman" w:hAnsi="Calibri" w:cs="Calibri"/>
                <w:color w:val="000000"/>
                <w:sz w:val="22"/>
                <w:lang w:eastAsia="en-GB"/>
              </w:rPr>
              <w:t>it</w:t>
            </w:r>
            <w:r w:rsidRPr="00DE5221">
              <w:rPr>
                <w:rFonts w:ascii="Calibri" w:eastAsia="Times New Roman" w:hAnsi="Calibri" w:cs="Calibri"/>
                <w:color w:val="000000"/>
                <w:sz w:val="22"/>
                <w:lang w:eastAsia="en-GB"/>
              </w:rPr>
              <w:t xml:space="preserve"> %</w:t>
            </w:r>
          </w:p>
        </w:tc>
        <w:tc>
          <w:tcPr>
            <w:tcW w:w="960" w:type="dxa"/>
            <w:tcBorders>
              <w:top w:val="single" w:sz="4" w:space="0" w:color="auto"/>
              <w:left w:val="nil"/>
              <w:bottom w:val="single" w:sz="8" w:space="0" w:color="auto"/>
              <w:right w:val="single" w:sz="4" w:space="0" w:color="auto"/>
            </w:tcBorders>
            <w:shd w:val="clear" w:color="auto" w:fill="auto"/>
            <w:noWrap/>
            <w:vAlign w:val="bottom"/>
            <w:hideMark/>
          </w:tcPr>
          <w:p w14:paraId="0E797155" w14:textId="77777777" w:rsidR="00DE5221" w:rsidRPr="00DE5221" w:rsidRDefault="00DE5221" w:rsidP="001C1940">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6.64%</w:t>
            </w:r>
          </w:p>
        </w:tc>
        <w:tc>
          <w:tcPr>
            <w:tcW w:w="960" w:type="dxa"/>
            <w:tcBorders>
              <w:top w:val="single" w:sz="4" w:space="0" w:color="auto"/>
              <w:left w:val="nil"/>
              <w:bottom w:val="single" w:sz="8" w:space="0" w:color="auto"/>
              <w:right w:val="single" w:sz="4" w:space="0" w:color="auto"/>
            </w:tcBorders>
            <w:shd w:val="clear" w:color="auto" w:fill="auto"/>
            <w:noWrap/>
            <w:vAlign w:val="bottom"/>
            <w:hideMark/>
          </w:tcPr>
          <w:p w14:paraId="63FD8795" w14:textId="77777777" w:rsidR="00DE5221" w:rsidRPr="00DE5221" w:rsidRDefault="00DE5221" w:rsidP="001C1940">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-3.68%</w:t>
            </w:r>
          </w:p>
        </w:tc>
        <w:tc>
          <w:tcPr>
            <w:tcW w:w="960" w:type="dxa"/>
            <w:tcBorders>
              <w:top w:val="single" w:sz="4" w:space="0" w:color="auto"/>
              <w:left w:val="nil"/>
              <w:bottom w:val="single" w:sz="8" w:space="0" w:color="auto"/>
              <w:right w:val="single" w:sz="4" w:space="0" w:color="auto"/>
            </w:tcBorders>
            <w:shd w:val="clear" w:color="auto" w:fill="auto"/>
            <w:noWrap/>
            <w:vAlign w:val="bottom"/>
            <w:hideMark/>
          </w:tcPr>
          <w:p w14:paraId="10473C15" w14:textId="77777777" w:rsidR="00DE5221" w:rsidRPr="00DE5221" w:rsidRDefault="00DE5221" w:rsidP="001C1940">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-52.78%</w:t>
            </w:r>
          </w:p>
        </w:tc>
        <w:tc>
          <w:tcPr>
            <w:tcW w:w="960" w:type="dxa"/>
            <w:tcBorders>
              <w:top w:val="single" w:sz="4" w:space="0" w:color="auto"/>
              <w:left w:val="nil"/>
              <w:bottom w:val="single" w:sz="8" w:space="0" w:color="auto"/>
              <w:right w:val="single" w:sz="4" w:space="0" w:color="auto"/>
            </w:tcBorders>
            <w:shd w:val="clear" w:color="auto" w:fill="auto"/>
            <w:noWrap/>
            <w:vAlign w:val="bottom"/>
            <w:hideMark/>
          </w:tcPr>
          <w:p w14:paraId="17D89E70" w14:textId="77777777" w:rsidR="00DE5221" w:rsidRPr="00DE5221" w:rsidRDefault="00DE5221" w:rsidP="001C1940">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-6.98%</w:t>
            </w:r>
          </w:p>
        </w:tc>
        <w:tc>
          <w:tcPr>
            <w:tcW w:w="960" w:type="dxa"/>
            <w:tcBorders>
              <w:top w:val="single" w:sz="4" w:space="0" w:color="auto"/>
              <w:left w:val="nil"/>
              <w:bottom w:val="single" w:sz="8" w:space="0" w:color="auto"/>
              <w:right w:val="single" w:sz="8" w:space="0" w:color="auto"/>
            </w:tcBorders>
            <w:shd w:val="clear" w:color="auto" w:fill="auto"/>
            <w:noWrap/>
            <w:vAlign w:val="bottom"/>
            <w:hideMark/>
          </w:tcPr>
          <w:p w14:paraId="6C42F9FD" w14:textId="77777777" w:rsidR="00DE5221" w:rsidRPr="00DE5221" w:rsidRDefault="00DE5221" w:rsidP="001C1940">
            <w:pPr>
              <w:spacing w:after="0" w:line="240" w:lineRule="auto"/>
              <w:jc w:val="center"/>
              <w:rPr>
                <w:rFonts w:ascii="Calibri" w:eastAsia="Times New Roman" w:hAnsi="Calibri" w:cs="Calibri"/>
                <w:color w:val="000000"/>
                <w:sz w:val="22"/>
                <w:lang w:eastAsia="en-GB"/>
              </w:rPr>
            </w:pPr>
            <w:r w:rsidRPr="00DE5221">
              <w:rPr>
                <w:rFonts w:ascii="Calibri" w:eastAsia="Times New Roman" w:hAnsi="Calibri" w:cs="Calibri"/>
                <w:color w:val="000000"/>
                <w:sz w:val="22"/>
                <w:lang w:eastAsia="en-GB"/>
              </w:rPr>
              <w:t>-10.26%</w:t>
            </w:r>
          </w:p>
        </w:tc>
      </w:tr>
    </w:tbl>
    <w:p w14:paraId="2BF1FCF1" w14:textId="527E8098" w:rsidR="001C1940" w:rsidRDefault="001C1940" w:rsidP="001C1940">
      <w:pPr>
        <w:pStyle w:val="Caption"/>
        <w:keepNext/>
        <w:jc w:val="right"/>
      </w:pPr>
      <w:bookmarkStart w:id="17" w:name="_Ref146813363"/>
      <w:r>
        <w:t xml:space="preserve">Table </w:t>
      </w:r>
      <w:fldSimple w:instr=" SEQ Table \* ARABIC ">
        <w:r w:rsidR="0013381E">
          <w:rPr>
            <w:noProof/>
          </w:rPr>
          <w:t>2</w:t>
        </w:r>
      </w:fldSimple>
      <w:r>
        <w:t xml:space="preserve"> </w:t>
      </w:r>
      <w:r w:rsidR="00794367">
        <w:t xml:space="preserve">Operating </w:t>
      </w:r>
      <w:r>
        <w:t xml:space="preserve">Profit </w:t>
      </w:r>
      <w:r w:rsidR="00614CAD">
        <w:t>Ratios</w:t>
      </w:r>
      <w:bookmarkEnd w:id="17"/>
    </w:p>
    <w:p w14:paraId="4E7E5597" w14:textId="644019ED" w:rsidR="00A353F7" w:rsidRDefault="00DE5221">
      <w:r>
        <w:t xml:space="preserve">Ferrari’s performance has remained remarkably consistent over the 5-year period, whilst Mercedes performance has improved significantly in 2021 &amp; 2022. Aston Martin’s </w:t>
      </w:r>
      <w:r w:rsidR="001C1940">
        <w:t xml:space="preserve">poor </w:t>
      </w:r>
      <w:r>
        <w:t xml:space="preserve">performance </w:t>
      </w:r>
      <w:r w:rsidR="00427B38">
        <w:t xml:space="preserve">is due to reduced </w:t>
      </w:r>
      <w:r w:rsidR="006C7CB6">
        <w:t>O</w:t>
      </w:r>
      <w:r w:rsidR="00427B38">
        <w:t xml:space="preserve">perating </w:t>
      </w:r>
      <w:r w:rsidR="006C7CB6">
        <w:t>P</w:t>
      </w:r>
      <w:r w:rsidR="00427B38">
        <w:t>rofit</w:t>
      </w:r>
      <w:r w:rsidR="001C1940">
        <w:t xml:space="preserve">, resulting from poor </w:t>
      </w:r>
      <w:r w:rsidR="006C7CB6">
        <w:t>R</w:t>
      </w:r>
      <w:r w:rsidR="001C1940">
        <w:t>evenue compared to COGS and SG&amp;A.</w:t>
      </w:r>
      <w:r w:rsidR="006C7CB6">
        <w:t xml:space="preserve"> To improve, an increase in Revenue by increasing the cost of goods or services to customer, or a decrease in raw material COGS and / or SG&amp;A.</w:t>
      </w:r>
    </w:p>
    <w:p w14:paraId="12BC680C" w14:textId="2AB66750" w:rsidR="00952589" w:rsidRDefault="00583F10" w:rsidP="001C1940">
      <w:pPr>
        <w:jc w:val="center"/>
      </w:pPr>
      <w:r>
        <w:rPr>
          <w:noProof/>
          <w14:ligatures w14:val="standardContextual"/>
        </w:rPr>
        <w:drawing>
          <wp:inline distT="0" distB="0" distL="0" distR="0" wp14:anchorId="32A640B4" wp14:editId="20FCB915">
            <wp:extent cx="4572000" cy="2743200"/>
            <wp:effectExtent l="0" t="0" r="0" b="0"/>
            <wp:docPr id="856727515" name="Chart 1">
              <a:extLst xmlns:a="http://schemas.openxmlformats.org/drawingml/2006/main">
                <a:ext uri="{FF2B5EF4-FFF2-40B4-BE49-F238E27FC236}">
                  <a16:creationId xmlns:a16="http://schemas.microsoft.com/office/drawing/2014/main" id="{B7B85EAA-C4E2-BE46-6917-9C6B7367DC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0F480E5" w14:textId="3492E7FA" w:rsidR="00952589" w:rsidRDefault="001C1940" w:rsidP="001C1940">
      <w:pPr>
        <w:pStyle w:val="Caption"/>
        <w:jc w:val="right"/>
      </w:pPr>
      <w:bookmarkStart w:id="18" w:name="_Toc146558607"/>
      <w:r>
        <w:t xml:space="preserve">Figure </w:t>
      </w:r>
      <w:fldSimple w:instr=" SEQ Figure \* ARABIC ">
        <w:r w:rsidR="000561DA">
          <w:rPr>
            <w:noProof/>
          </w:rPr>
          <w:t>1</w:t>
        </w:r>
      </w:fldSimple>
      <w:r>
        <w:t xml:space="preserve"> Aston Martin Financial Performance</w:t>
      </w:r>
      <w:bookmarkEnd w:id="18"/>
    </w:p>
    <w:p w14:paraId="394E1A28" w14:textId="77777777" w:rsidR="00952589" w:rsidRDefault="00952589"/>
    <w:p w14:paraId="48576967" w14:textId="77777777" w:rsidR="00952589" w:rsidRDefault="00952589"/>
    <w:p w14:paraId="779BFDF5" w14:textId="7F2C056B" w:rsidR="003E28A9" w:rsidRDefault="001F38BC" w:rsidP="001F38BC">
      <w:pPr>
        <w:pStyle w:val="Heading3"/>
      </w:pPr>
      <w:bookmarkStart w:id="19" w:name="_Toc146791869"/>
      <w:r>
        <w:lastRenderedPageBreak/>
        <w:t>Net Income</w:t>
      </w:r>
      <w:r w:rsidR="009511C2">
        <w:t xml:space="preserve"> Ratio</w:t>
      </w:r>
      <w:r>
        <w:t xml:space="preserve"> %</w:t>
      </w:r>
      <w:bookmarkEnd w:id="19"/>
    </w:p>
    <w:p w14:paraId="3490B76B" w14:textId="56EE0F2B" w:rsidR="003E28A9" w:rsidRPr="000E28BA" w:rsidRDefault="000E28BA" w:rsidP="000E28BA">
      <w:pPr>
        <w:rPr>
          <w:shd w:val="clear" w:color="auto" w:fill="F7F7F8"/>
        </w:rPr>
      </w:pPr>
      <w:r>
        <w:rPr>
          <w:shd w:val="clear" w:color="auto" w:fill="F7F7F8"/>
        </w:rPr>
        <w:t>Expresses the profitability of a business. It expresses the net income (profit</w:t>
      </w:r>
      <w:r w:rsidR="00A9517C">
        <w:rPr>
          <w:shd w:val="clear" w:color="auto" w:fill="F7F7F8"/>
        </w:rPr>
        <w:t xml:space="preserve"> / loss</w:t>
      </w:r>
      <w:r w:rsidR="00031899">
        <w:rPr>
          <w:shd w:val="clear" w:color="auto" w:fill="F7F7F8"/>
        </w:rPr>
        <w:t>)</w:t>
      </w:r>
      <w:r w:rsidR="00A9517C">
        <w:rPr>
          <w:shd w:val="clear" w:color="auto" w:fill="F7F7F8"/>
        </w:rPr>
        <w:t xml:space="preserve"> after deducting all expenses</w:t>
      </w:r>
      <w:r>
        <w:rPr>
          <w:shd w:val="clear" w:color="auto" w:fill="F7F7F8"/>
        </w:rPr>
        <w:t xml:space="preserve"> of a company as a percentage of its revenue.</w:t>
      </w:r>
      <w:r w:rsidR="00A9517C">
        <w:rPr>
          <w:shd w:val="clear" w:color="auto" w:fill="F7F7F8"/>
        </w:rPr>
        <w:t xml:space="preserve"> Formula uses the net income divided by the revenue</w:t>
      </w:r>
      <w:r w:rsidR="00E74B1D">
        <w:rPr>
          <w:shd w:val="clear" w:color="auto" w:fill="F7F7F8"/>
        </w:rPr>
        <w:t xml:space="preserve"> </w:t>
      </w:r>
      <w:sdt>
        <w:sdtPr>
          <w:rPr>
            <w:shd w:val="clear" w:color="auto" w:fill="F7F7F8"/>
          </w:rPr>
          <w:id w:val="-126859632"/>
          <w:citation/>
        </w:sdtPr>
        <w:sdtContent>
          <w:r w:rsidR="00E74B1D">
            <w:rPr>
              <w:shd w:val="clear" w:color="auto" w:fill="F7F7F8"/>
            </w:rPr>
            <w:fldChar w:fldCharType="begin"/>
          </w:r>
          <w:r w:rsidR="00E74B1D">
            <w:rPr>
              <w:shd w:val="clear" w:color="auto" w:fill="F7F7F8"/>
            </w:rPr>
            <w:instrText xml:space="preserve"> CITATION Mac23 \l 2057 </w:instrText>
          </w:r>
          <w:r w:rsidR="00E74B1D">
            <w:rPr>
              <w:shd w:val="clear" w:color="auto" w:fill="F7F7F8"/>
            </w:rPr>
            <w:fldChar w:fldCharType="separate"/>
          </w:r>
          <w:r w:rsidR="007D5C64" w:rsidRPr="007D5C64">
            <w:rPr>
              <w:noProof/>
              <w:shd w:val="clear" w:color="auto" w:fill="F7F7F8"/>
            </w:rPr>
            <w:t>(Macro_Trends, 2023)</w:t>
          </w:r>
          <w:r w:rsidR="00E74B1D">
            <w:rPr>
              <w:shd w:val="clear" w:color="auto" w:fill="F7F7F8"/>
            </w:rPr>
            <w:fldChar w:fldCharType="end"/>
          </w:r>
        </w:sdtContent>
      </w:sdt>
      <w:r w:rsidR="00E74B1D">
        <w:rPr>
          <w:shd w:val="clear" w:color="auto" w:fill="F7F7F8"/>
        </w:rPr>
        <w:t xml:space="preserve">, </w:t>
      </w:r>
      <w:sdt>
        <w:sdtPr>
          <w:rPr>
            <w:shd w:val="clear" w:color="auto" w:fill="F7F7F8"/>
          </w:rPr>
          <w:id w:val="-123082696"/>
          <w:citation/>
        </w:sdtPr>
        <w:sdtContent>
          <w:r w:rsidR="00E74B1D">
            <w:rPr>
              <w:shd w:val="clear" w:color="auto" w:fill="F7F7F8"/>
            </w:rPr>
            <w:fldChar w:fldCharType="begin"/>
          </w:r>
          <w:r w:rsidR="00E74B1D">
            <w:rPr>
              <w:shd w:val="clear" w:color="auto" w:fill="F7F7F8"/>
            </w:rPr>
            <w:instrText xml:space="preserve"> CITATION Mac231 \l 2057 </w:instrText>
          </w:r>
          <w:r w:rsidR="00E74B1D">
            <w:rPr>
              <w:shd w:val="clear" w:color="auto" w:fill="F7F7F8"/>
            </w:rPr>
            <w:fldChar w:fldCharType="separate"/>
          </w:r>
          <w:r w:rsidR="007D5C64" w:rsidRPr="007D5C64">
            <w:rPr>
              <w:noProof/>
              <w:shd w:val="clear" w:color="auto" w:fill="F7F7F8"/>
            </w:rPr>
            <w:t>(Macro_Trends, 2023)</w:t>
          </w:r>
          <w:r w:rsidR="00E74B1D">
            <w:rPr>
              <w:shd w:val="clear" w:color="auto" w:fill="F7F7F8"/>
            </w:rPr>
            <w:fldChar w:fldCharType="end"/>
          </w:r>
        </w:sdtContent>
      </w:sdt>
      <w:r w:rsidR="00E74B1D">
        <w:rPr>
          <w:shd w:val="clear" w:color="auto" w:fill="F7F7F8"/>
        </w:rPr>
        <w:t>.</w:t>
      </w:r>
    </w:p>
    <w:tbl>
      <w:tblPr>
        <w:tblW w:w="7820" w:type="dxa"/>
        <w:jc w:val="center"/>
        <w:tblLook w:val="04A0" w:firstRow="1" w:lastRow="0" w:firstColumn="1" w:lastColumn="0" w:noHBand="0" w:noVBand="1"/>
      </w:tblPr>
      <w:tblGrid>
        <w:gridCol w:w="2020"/>
        <w:gridCol w:w="1160"/>
        <w:gridCol w:w="1160"/>
        <w:gridCol w:w="1160"/>
        <w:gridCol w:w="1160"/>
        <w:gridCol w:w="1160"/>
      </w:tblGrid>
      <w:tr w:rsidR="00031899" w:rsidRPr="00031899" w14:paraId="235DFEF0" w14:textId="77777777" w:rsidTr="00031899">
        <w:trPr>
          <w:trHeight w:val="288"/>
          <w:jc w:val="center"/>
        </w:trPr>
        <w:tc>
          <w:tcPr>
            <w:tcW w:w="2020" w:type="dxa"/>
            <w:tcBorders>
              <w:top w:val="single" w:sz="8" w:space="0" w:color="auto"/>
              <w:left w:val="single" w:sz="8" w:space="0" w:color="auto"/>
              <w:bottom w:val="single" w:sz="4" w:space="0" w:color="auto"/>
              <w:right w:val="single" w:sz="4" w:space="0" w:color="auto"/>
            </w:tcBorders>
            <w:shd w:val="clear" w:color="000000" w:fill="92D050"/>
            <w:noWrap/>
            <w:vAlign w:val="bottom"/>
            <w:hideMark/>
          </w:tcPr>
          <w:p w14:paraId="05FA64A8"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Year</w:t>
            </w:r>
          </w:p>
        </w:tc>
        <w:tc>
          <w:tcPr>
            <w:tcW w:w="1160" w:type="dxa"/>
            <w:tcBorders>
              <w:top w:val="single" w:sz="8" w:space="0" w:color="auto"/>
              <w:left w:val="nil"/>
              <w:bottom w:val="single" w:sz="4" w:space="0" w:color="auto"/>
              <w:right w:val="single" w:sz="4" w:space="0" w:color="auto"/>
            </w:tcBorders>
            <w:shd w:val="clear" w:color="000000" w:fill="92D050"/>
            <w:noWrap/>
            <w:vAlign w:val="bottom"/>
            <w:hideMark/>
          </w:tcPr>
          <w:p w14:paraId="71F44104"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2018</w:t>
            </w:r>
          </w:p>
        </w:tc>
        <w:tc>
          <w:tcPr>
            <w:tcW w:w="1160" w:type="dxa"/>
            <w:tcBorders>
              <w:top w:val="single" w:sz="8" w:space="0" w:color="auto"/>
              <w:left w:val="nil"/>
              <w:bottom w:val="single" w:sz="4" w:space="0" w:color="auto"/>
              <w:right w:val="single" w:sz="4" w:space="0" w:color="auto"/>
            </w:tcBorders>
            <w:shd w:val="clear" w:color="000000" w:fill="92D050"/>
            <w:noWrap/>
            <w:vAlign w:val="bottom"/>
            <w:hideMark/>
          </w:tcPr>
          <w:p w14:paraId="426F3B4D"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2019</w:t>
            </w:r>
          </w:p>
        </w:tc>
        <w:tc>
          <w:tcPr>
            <w:tcW w:w="1160" w:type="dxa"/>
            <w:tcBorders>
              <w:top w:val="single" w:sz="8" w:space="0" w:color="auto"/>
              <w:left w:val="nil"/>
              <w:bottom w:val="single" w:sz="4" w:space="0" w:color="auto"/>
              <w:right w:val="single" w:sz="4" w:space="0" w:color="auto"/>
            </w:tcBorders>
            <w:shd w:val="clear" w:color="000000" w:fill="92D050"/>
            <w:noWrap/>
            <w:vAlign w:val="bottom"/>
            <w:hideMark/>
          </w:tcPr>
          <w:p w14:paraId="4042D4C3"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2020</w:t>
            </w:r>
          </w:p>
        </w:tc>
        <w:tc>
          <w:tcPr>
            <w:tcW w:w="1160" w:type="dxa"/>
            <w:tcBorders>
              <w:top w:val="single" w:sz="8" w:space="0" w:color="auto"/>
              <w:left w:val="nil"/>
              <w:bottom w:val="single" w:sz="4" w:space="0" w:color="auto"/>
              <w:right w:val="single" w:sz="4" w:space="0" w:color="auto"/>
            </w:tcBorders>
            <w:shd w:val="clear" w:color="000000" w:fill="92D050"/>
            <w:noWrap/>
            <w:vAlign w:val="bottom"/>
            <w:hideMark/>
          </w:tcPr>
          <w:p w14:paraId="5EE903DF"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2021</w:t>
            </w:r>
          </w:p>
        </w:tc>
        <w:tc>
          <w:tcPr>
            <w:tcW w:w="1160" w:type="dxa"/>
            <w:tcBorders>
              <w:top w:val="single" w:sz="8" w:space="0" w:color="auto"/>
              <w:left w:val="nil"/>
              <w:bottom w:val="single" w:sz="4" w:space="0" w:color="auto"/>
              <w:right w:val="single" w:sz="8" w:space="0" w:color="auto"/>
            </w:tcBorders>
            <w:shd w:val="clear" w:color="000000" w:fill="92D050"/>
            <w:noWrap/>
            <w:vAlign w:val="bottom"/>
            <w:hideMark/>
          </w:tcPr>
          <w:p w14:paraId="2C466358"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2022</w:t>
            </w:r>
          </w:p>
        </w:tc>
      </w:tr>
      <w:tr w:rsidR="00031899" w:rsidRPr="00031899" w14:paraId="7CDE3C4E" w14:textId="77777777" w:rsidTr="00031899">
        <w:trPr>
          <w:trHeight w:val="999"/>
          <w:jc w:val="center"/>
        </w:trPr>
        <w:tc>
          <w:tcPr>
            <w:tcW w:w="2020" w:type="dxa"/>
            <w:tcBorders>
              <w:top w:val="nil"/>
              <w:left w:val="single" w:sz="8" w:space="0" w:color="auto"/>
              <w:bottom w:val="single" w:sz="4" w:space="0" w:color="auto"/>
              <w:right w:val="single" w:sz="4" w:space="0" w:color="auto"/>
            </w:tcBorders>
            <w:shd w:val="clear" w:color="auto" w:fill="auto"/>
            <w:vAlign w:val="bottom"/>
            <w:hideMark/>
          </w:tcPr>
          <w:p w14:paraId="6809FA1A" w14:textId="5402DDB3" w:rsidR="00031899" w:rsidRPr="00031899" w:rsidRDefault="00031899" w:rsidP="00E232A1">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 xml:space="preserve">Mercedes Net </w:t>
            </w:r>
            <w:r w:rsidR="00E232A1">
              <w:rPr>
                <w:rFonts w:ascii="Calibri" w:eastAsia="Times New Roman" w:hAnsi="Calibri" w:cs="Calibri"/>
                <w:color w:val="000000"/>
                <w:sz w:val="22"/>
                <w:lang w:eastAsia="en-GB"/>
              </w:rPr>
              <w:t>Income</w:t>
            </w:r>
            <w:r w:rsidRPr="00031899">
              <w:rPr>
                <w:rFonts w:ascii="Calibri" w:eastAsia="Times New Roman" w:hAnsi="Calibri" w:cs="Calibri"/>
                <w:color w:val="000000"/>
                <w:sz w:val="22"/>
                <w:lang w:eastAsia="en-GB"/>
              </w:rPr>
              <w:t xml:space="preserve"> </w:t>
            </w:r>
            <w:r w:rsidR="00E232A1">
              <w:rPr>
                <w:rFonts w:ascii="Calibri" w:eastAsia="Times New Roman" w:hAnsi="Calibri" w:cs="Calibri"/>
                <w:color w:val="000000"/>
                <w:sz w:val="22"/>
                <w:lang w:eastAsia="en-GB"/>
              </w:rPr>
              <w:t>Ratio</w:t>
            </w:r>
            <w:r w:rsidRPr="00031899">
              <w:rPr>
                <w:rFonts w:ascii="Calibri" w:eastAsia="Times New Roman" w:hAnsi="Calibri" w:cs="Calibri"/>
                <w:color w:val="000000"/>
                <w:sz w:val="22"/>
                <w:lang w:eastAsia="en-GB"/>
              </w:rPr>
              <w:t xml:space="preserve"> %</w:t>
            </w:r>
          </w:p>
        </w:tc>
        <w:tc>
          <w:tcPr>
            <w:tcW w:w="1160" w:type="dxa"/>
            <w:tcBorders>
              <w:top w:val="nil"/>
              <w:left w:val="nil"/>
              <w:bottom w:val="single" w:sz="4" w:space="0" w:color="auto"/>
              <w:right w:val="single" w:sz="4" w:space="0" w:color="auto"/>
            </w:tcBorders>
            <w:shd w:val="clear" w:color="auto" w:fill="auto"/>
            <w:noWrap/>
            <w:vAlign w:val="bottom"/>
            <w:hideMark/>
          </w:tcPr>
          <w:p w14:paraId="61CCAB22"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4.37%</w:t>
            </w:r>
          </w:p>
        </w:tc>
        <w:tc>
          <w:tcPr>
            <w:tcW w:w="1160" w:type="dxa"/>
            <w:tcBorders>
              <w:top w:val="nil"/>
              <w:left w:val="nil"/>
              <w:bottom w:val="single" w:sz="4" w:space="0" w:color="auto"/>
              <w:right w:val="single" w:sz="4" w:space="0" w:color="auto"/>
            </w:tcBorders>
            <w:shd w:val="clear" w:color="auto" w:fill="auto"/>
            <w:noWrap/>
            <w:vAlign w:val="bottom"/>
            <w:hideMark/>
          </w:tcPr>
          <w:p w14:paraId="03CE2294"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4.24%</w:t>
            </w:r>
          </w:p>
        </w:tc>
        <w:tc>
          <w:tcPr>
            <w:tcW w:w="1160" w:type="dxa"/>
            <w:tcBorders>
              <w:top w:val="nil"/>
              <w:left w:val="nil"/>
              <w:bottom w:val="single" w:sz="4" w:space="0" w:color="auto"/>
              <w:right w:val="single" w:sz="4" w:space="0" w:color="auto"/>
            </w:tcBorders>
            <w:shd w:val="clear" w:color="auto" w:fill="auto"/>
            <w:noWrap/>
            <w:vAlign w:val="bottom"/>
            <w:hideMark/>
          </w:tcPr>
          <w:p w14:paraId="16113879"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1.38%</w:t>
            </w:r>
          </w:p>
        </w:tc>
        <w:tc>
          <w:tcPr>
            <w:tcW w:w="1160" w:type="dxa"/>
            <w:tcBorders>
              <w:top w:val="nil"/>
              <w:left w:val="nil"/>
              <w:bottom w:val="single" w:sz="4" w:space="0" w:color="auto"/>
              <w:right w:val="single" w:sz="4" w:space="0" w:color="auto"/>
            </w:tcBorders>
            <w:shd w:val="clear" w:color="auto" w:fill="auto"/>
            <w:noWrap/>
            <w:vAlign w:val="bottom"/>
            <w:hideMark/>
          </w:tcPr>
          <w:p w14:paraId="2DB02FFB"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4.99%</w:t>
            </w:r>
          </w:p>
        </w:tc>
        <w:tc>
          <w:tcPr>
            <w:tcW w:w="1160" w:type="dxa"/>
            <w:tcBorders>
              <w:top w:val="nil"/>
              <w:left w:val="nil"/>
              <w:bottom w:val="single" w:sz="4" w:space="0" w:color="auto"/>
              <w:right w:val="single" w:sz="8" w:space="0" w:color="auto"/>
            </w:tcBorders>
            <w:shd w:val="clear" w:color="auto" w:fill="auto"/>
            <w:noWrap/>
            <w:vAlign w:val="bottom"/>
            <w:hideMark/>
          </w:tcPr>
          <w:p w14:paraId="5B2D8899"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9.67%</w:t>
            </w:r>
          </w:p>
        </w:tc>
      </w:tr>
      <w:tr w:rsidR="00031899" w:rsidRPr="00031899" w14:paraId="340E416D" w14:textId="77777777" w:rsidTr="00031899">
        <w:trPr>
          <w:trHeight w:val="999"/>
          <w:jc w:val="center"/>
        </w:trPr>
        <w:tc>
          <w:tcPr>
            <w:tcW w:w="2020" w:type="dxa"/>
            <w:tcBorders>
              <w:top w:val="nil"/>
              <w:left w:val="single" w:sz="8" w:space="0" w:color="auto"/>
              <w:bottom w:val="nil"/>
              <w:right w:val="single" w:sz="4" w:space="0" w:color="auto"/>
            </w:tcBorders>
            <w:shd w:val="clear" w:color="auto" w:fill="auto"/>
            <w:vAlign w:val="bottom"/>
            <w:hideMark/>
          </w:tcPr>
          <w:p w14:paraId="74BC7DA9" w14:textId="5710AA78"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 xml:space="preserve">Ferrari Net </w:t>
            </w:r>
            <w:r w:rsidR="00E232A1">
              <w:rPr>
                <w:rFonts w:ascii="Calibri" w:eastAsia="Times New Roman" w:hAnsi="Calibri" w:cs="Calibri"/>
                <w:color w:val="000000"/>
                <w:sz w:val="22"/>
                <w:lang w:eastAsia="en-GB"/>
              </w:rPr>
              <w:t>Income Ratio</w:t>
            </w:r>
            <w:r w:rsidRPr="00031899">
              <w:rPr>
                <w:rFonts w:ascii="Calibri" w:eastAsia="Times New Roman" w:hAnsi="Calibri" w:cs="Calibri"/>
                <w:color w:val="000000"/>
                <w:sz w:val="22"/>
                <w:lang w:eastAsia="en-GB"/>
              </w:rPr>
              <w:t xml:space="preserve"> %</w:t>
            </w:r>
          </w:p>
        </w:tc>
        <w:tc>
          <w:tcPr>
            <w:tcW w:w="1160" w:type="dxa"/>
            <w:tcBorders>
              <w:top w:val="nil"/>
              <w:left w:val="nil"/>
              <w:bottom w:val="nil"/>
              <w:right w:val="single" w:sz="4" w:space="0" w:color="auto"/>
            </w:tcBorders>
            <w:shd w:val="clear" w:color="auto" w:fill="auto"/>
            <w:noWrap/>
            <w:vAlign w:val="bottom"/>
            <w:hideMark/>
          </w:tcPr>
          <w:p w14:paraId="7E2DAA03"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22.93%</w:t>
            </w:r>
          </w:p>
        </w:tc>
        <w:tc>
          <w:tcPr>
            <w:tcW w:w="1160" w:type="dxa"/>
            <w:tcBorders>
              <w:top w:val="nil"/>
              <w:left w:val="nil"/>
              <w:bottom w:val="nil"/>
              <w:right w:val="single" w:sz="4" w:space="0" w:color="auto"/>
            </w:tcBorders>
            <w:shd w:val="clear" w:color="auto" w:fill="auto"/>
            <w:noWrap/>
            <w:vAlign w:val="bottom"/>
            <w:hideMark/>
          </w:tcPr>
          <w:p w14:paraId="38E02B67"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18.46%</w:t>
            </w:r>
          </w:p>
        </w:tc>
        <w:tc>
          <w:tcPr>
            <w:tcW w:w="1160" w:type="dxa"/>
            <w:tcBorders>
              <w:top w:val="nil"/>
              <w:left w:val="nil"/>
              <w:bottom w:val="nil"/>
              <w:right w:val="single" w:sz="4" w:space="0" w:color="auto"/>
            </w:tcBorders>
            <w:shd w:val="clear" w:color="auto" w:fill="auto"/>
            <w:noWrap/>
            <w:vAlign w:val="bottom"/>
            <w:hideMark/>
          </w:tcPr>
          <w:p w14:paraId="0AEDE111"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17.59%</w:t>
            </w:r>
          </w:p>
        </w:tc>
        <w:tc>
          <w:tcPr>
            <w:tcW w:w="1160" w:type="dxa"/>
            <w:tcBorders>
              <w:top w:val="nil"/>
              <w:left w:val="nil"/>
              <w:bottom w:val="nil"/>
              <w:right w:val="single" w:sz="4" w:space="0" w:color="auto"/>
            </w:tcBorders>
            <w:shd w:val="clear" w:color="auto" w:fill="auto"/>
            <w:noWrap/>
            <w:vAlign w:val="bottom"/>
            <w:hideMark/>
          </w:tcPr>
          <w:p w14:paraId="62E00A10"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19.46%</w:t>
            </w:r>
          </w:p>
        </w:tc>
        <w:tc>
          <w:tcPr>
            <w:tcW w:w="1160" w:type="dxa"/>
            <w:tcBorders>
              <w:top w:val="nil"/>
              <w:left w:val="nil"/>
              <w:bottom w:val="nil"/>
              <w:right w:val="single" w:sz="8" w:space="0" w:color="auto"/>
            </w:tcBorders>
            <w:shd w:val="clear" w:color="auto" w:fill="auto"/>
            <w:noWrap/>
            <w:vAlign w:val="bottom"/>
            <w:hideMark/>
          </w:tcPr>
          <w:p w14:paraId="47EEED31"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18.29%</w:t>
            </w:r>
          </w:p>
        </w:tc>
      </w:tr>
      <w:tr w:rsidR="00031899" w:rsidRPr="00031899" w14:paraId="0D9CD352" w14:textId="77777777" w:rsidTr="00031899">
        <w:trPr>
          <w:trHeight w:val="999"/>
          <w:jc w:val="center"/>
        </w:trPr>
        <w:tc>
          <w:tcPr>
            <w:tcW w:w="2020" w:type="dxa"/>
            <w:tcBorders>
              <w:top w:val="single" w:sz="4" w:space="0" w:color="auto"/>
              <w:left w:val="single" w:sz="8" w:space="0" w:color="auto"/>
              <w:bottom w:val="single" w:sz="8" w:space="0" w:color="auto"/>
              <w:right w:val="single" w:sz="4" w:space="0" w:color="auto"/>
            </w:tcBorders>
            <w:shd w:val="clear" w:color="auto" w:fill="auto"/>
            <w:vAlign w:val="bottom"/>
            <w:hideMark/>
          </w:tcPr>
          <w:p w14:paraId="21F0B729" w14:textId="13046FD9"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 xml:space="preserve">Aston Martin </w:t>
            </w:r>
            <w:r w:rsidR="00E232A1">
              <w:rPr>
                <w:rFonts w:ascii="Calibri" w:eastAsia="Times New Roman" w:hAnsi="Calibri" w:cs="Calibri"/>
                <w:color w:val="000000"/>
                <w:sz w:val="22"/>
                <w:lang w:eastAsia="en-GB"/>
              </w:rPr>
              <w:t>Net Income Ratio</w:t>
            </w:r>
            <w:r w:rsidRPr="00031899">
              <w:rPr>
                <w:rFonts w:ascii="Calibri" w:eastAsia="Times New Roman" w:hAnsi="Calibri" w:cs="Calibri"/>
                <w:color w:val="000000"/>
                <w:sz w:val="22"/>
                <w:lang w:eastAsia="en-GB"/>
              </w:rPr>
              <w:t xml:space="preserve"> %</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2AAF5B17"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-5.21%</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244647DD"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-10.47%</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373FC034"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-67.10%</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23BD5958"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-17.28%</w:t>
            </w:r>
          </w:p>
        </w:tc>
        <w:tc>
          <w:tcPr>
            <w:tcW w:w="1160" w:type="dxa"/>
            <w:tcBorders>
              <w:top w:val="single" w:sz="4" w:space="0" w:color="auto"/>
              <w:left w:val="nil"/>
              <w:bottom w:val="single" w:sz="8" w:space="0" w:color="auto"/>
              <w:right w:val="single" w:sz="8" w:space="0" w:color="auto"/>
            </w:tcBorders>
            <w:shd w:val="clear" w:color="auto" w:fill="auto"/>
            <w:noWrap/>
            <w:vAlign w:val="bottom"/>
            <w:hideMark/>
          </w:tcPr>
          <w:p w14:paraId="32193F44" w14:textId="77777777" w:rsidR="00031899" w:rsidRPr="00031899" w:rsidRDefault="00031899" w:rsidP="00031899">
            <w:pPr>
              <w:spacing w:after="0" w:line="240" w:lineRule="auto"/>
              <w:jc w:val="center"/>
              <w:rPr>
                <w:rFonts w:ascii="Calibri" w:eastAsia="Times New Roman" w:hAnsi="Calibri" w:cs="Calibri"/>
                <w:color w:val="000000"/>
                <w:sz w:val="22"/>
                <w:lang w:eastAsia="en-GB"/>
              </w:rPr>
            </w:pPr>
            <w:r w:rsidRPr="00031899">
              <w:rPr>
                <w:rFonts w:ascii="Calibri" w:eastAsia="Times New Roman" w:hAnsi="Calibri" w:cs="Calibri"/>
                <w:color w:val="000000"/>
                <w:sz w:val="22"/>
                <w:lang w:eastAsia="en-GB"/>
              </w:rPr>
              <w:t>-38.20%</w:t>
            </w:r>
          </w:p>
        </w:tc>
      </w:tr>
    </w:tbl>
    <w:p w14:paraId="37F96668" w14:textId="566CA37B" w:rsidR="00031899" w:rsidRDefault="00031899" w:rsidP="00031899">
      <w:pPr>
        <w:pStyle w:val="Caption"/>
        <w:jc w:val="right"/>
      </w:pPr>
      <w:bookmarkStart w:id="20" w:name="_Ref146813516"/>
      <w:r>
        <w:t xml:space="preserve">Table </w:t>
      </w:r>
      <w:fldSimple w:instr=" SEQ Table \* ARABIC ">
        <w:r w:rsidR="0013381E">
          <w:rPr>
            <w:noProof/>
          </w:rPr>
          <w:t>3</w:t>
        </w:r>
      </w:fldSimple>
      <w:r>
        <w:t xml:space="preserve"> Net Income </w:t>
      </w:r>
      <w:r w:rsidR="00614CAD">
        <w:t>Ratios</w:t>
      </w:r>
      <w:bookmarkEnd w:id="20"/>
    </w:p>
    <w:p w14:paraId="544F5891" w14:textId="41DED0FF" w:rsidR="00556A9A" w:rsidRDefault="00556A9A" w:rsidP="00556A9A">
      <w:pPr>
        <w:rPr>
          <w:shd w:val="clear" w:color="auto" w:fill="F7F7F8"/>
        </w:rPr>
      </w:pPr>
      <w:r>
        <w:rPr>
          <w:shd w:val="clear" w:color="auto" w:fill="F7F7F8"/>
        </w:rPr>
        <w:t>Again, Ferrari’s results indicate stability, even during the 2020 pandemic, with Mercedes managing profit in each of the past 5-year period.</w:t>
      </w:r>
    </w:p>
    <w:p w14:paraId="571570D5" w14:textId="79DBB131" w:rsidR="00031899" w:rsidRPr="00556A9A" w:rsidRDefault="009511C2" w:rsidP="00556A9A">
      <w:pPr>
        <w:rPr>
          <w:shd w:val="clear" w:color="auto" w:fill="F7F7F8"/>
        </w:rPr>
      </w:pPr>
      <w:r>
        <w:rPr>
          <w:shd w:val="clear" w:color="auto" w:fill="F7F7F8"/>
        </w:rPr>
        <w:t xml:space="preserve">Aston Martin’s </w:t>
      </w:r>
      <w:r w:rsidR="00556A9A">
        <w:rPr>
          <w:shd w:val="clear" w:color="auto" w:fill="F7F7F8"/>
        </w:rPr>
        <w:t>negative net income % ratio indicates expenses are wiping out a significant portion of its revenue. This raises significant concerns about the company's financial health</w:t>
      </w:r>
      <w:r w:rsidR="00D05850">
        <w:rPr>
          <w:shd w:val="clear" w:color="auto" w:fill="F7F7F8"/>
        </w:rPr>
        <w:t xml:space="preserve">, </w:t>
      </w:r>
      <w:proofErr w:type="gramStart"/>
      <w:r w:rsidR="00556A9A">
        <w:rPr>
          <w:shd w:val="clear" w:color="auto" w:fill="F7F7F8"/>
        </w:rPr>
        <w:t>efficiency</w:t>
      </w:r>
      <w:proofErr w:type="gramEnd"/>
      <w:r w:rsidR="00D05850">
        <w:rPr>
          <w:shd w:val="clear" w:color="auto" w:fill="F7F7F8"/>
        </w:rPr>
        <w:t xml:space="preserve"> and management.</w:t>
      </w:r>
    </w:p>
    <w:p w14:paraId="665791C5" w14:textId="12ACD347" w:rsidR="00031899" w:rsidRDefault="009511C2" w:rsidP="009511C2">
      <w:pPr>
        <w:pStyle w:val="Heading3"/>
      </w:pPr>
      <w:bookmarkStart w:id="21" w:name="_Toc146791870"/>
      <w:r>
        <w:t>Return on Assets Ratio</w:t>
      </w:r>
      <w:bookmarkEnd w:id="21"/>
    </w:p>
    <w:p w14:paraId="7C29ECBC" w14:textId="349AB094" w:rsidR="009511C2" w:rsidRDefault="009511C2" w:rsidP="00556A9A">
      <w:pPr>
        <w:rPr>
          <w:shd w:val="clear" w:color="auto" w:fill="F7F7F8"/>
        </w:rPr>
      </w:pPr>
      <w:r>
        <w:rPr>
          <w:shd w:val="clear" w:color="auto" w:fill="F7F7F8"/>
        </w:rPr>
        <w:t>Gives indication on how efficiently a company uses its assets to generate profits. A higher ratio indicates that a business is efficient in making profits from its assets. It uses the net income divided by the business’s total assets</w:t>
      </w:r>
      <w:r w:rsidR="00CC2146">
        <w:rPr>
          <w:shd w:val="clear" w:color="auto" w:fill="F7F7F8"/>
        </w:rPr>
        <w:t xml:space="preserve"> </w:t>
      </w:r>
      <w:sdt>
        <w:sdtPr>
          <w:rPr>
            <w:shd w:val="clear" w:color="auto" w:fill="F7F7F8"/>
          </w:rPr>
          <w:id w:val="279613773"/>
          <w:citation/>
        </w:sdtPr>
        <w:sdtContent>
          <w:r w:rsidR="00CC2146">
            <w:rPr>
              <w:shd w:val="clear" w:color="auto" w:fill="F7F7F8"/>
            </w:rPr>
            <w:fldChar w:fldCharType="begin"/>
          </w:r>
          <w:r w:rsidR="00CC2146">
            <w:rPr>
              <w:shd w:val="clear" w:color="auto" w:fill="F7F7F8"/>
            </w:rPr>
            <w:instrText xml:space="preserve"> CITATION Edw16 \l 2057 </w:instrText>
          </w:r>
          <w:r w:rsidR="00CC2146">
            <w:rPr>
              <w:shd w:val="clear" w:color="auto" w:fill="F7F7F8"/>
            </w:rPr>
            <w:fldChar w:fldCharType="separate"/>
          </w:r>
          <w:r w:rsidR="007D5C64" w:rsidRPr="007D5C64">
            <w:rPr>
              <w:noProof/>
              <w:shd w:val="clear" w:color="auto" w:fill="F7F7F8"/>
            </w:rPr>
            <w:t>(Fields, 2016)</w:t>
          </w:r>
          <w:r w:rsidR="00CC2146">
            <w:rPr>
              <w:shd w:val="clear" w:color="auto" w:fill="F7F7F8"/>
            </w:rPr>
            <w:fldChar w:fldCharType="end"/>
          </w:r>
        </w:sdtContent>
      </w:sdt>
      <w:r w:rsidR="00CC2146">
        <w:rPr>
          <w:shd w:val="clear" w:color="auto" w:fill="F7F7F8"/>
        </w:rPr>
        <w:t>.</w:t>
      </w:r>
    </w:p>
    <w:tbl>
      <w:tblPr>
        <w:tblW w:w="6800" w:type="dxa"/>
        <w:jc w:val="center"/>
        <w:tblLook w:val="04A0" w:firstRow="1" w:lastRow="0" w:firstColumn="1" w:lastColumn="0" w:noHBand="0" w:noVBand="1"/>
      </w:tblPr>
      <w:tblGrid>
        <w:gridCol w:w="2000"/>
        <w:gridCol w:w="960"/>
        <w:gridCol w:w="960"/>
        <w:gridCol w:w="960"/>
        <w:gridCol w:w="960"/>
        <w:gridCol w:w="960"/>
      </w:tblGrid>
      <w:tr w:rsidR="00274FCA" w:rsidRPr="00274FCA" w14:paraId="7E333E41" w14:textId="77777777" w:rsidTr="00274FCA">
        <w:trPr>
          <w:trHeight w:val="288"/>
          <w:jc w:val="center"/>
        </w:trPr>
        <w:tc>
          <w:tcPr>
            <w:tcW w:w="2000" w:type="dxa"/>
            <w:tcBorders>
              <w:top w:val="single" w:sz="8" w:space="0" w:color="auto"/>
              <w:left w:val="single" w:sz="8" w:space="0" w:color="auto"/>
              <w:bottom w:val="single" w:sz="4" w:space="0" w:color="auto"/>
              <w:right w:val="single" w:sz="4" w:space="0" w:color="auto"/>
            </w:tcBorders>
            <w:shd w:val="clear" w:color="000000" w:fill="92D050"/>
            <w:noWrap/>
            <w:vAlign w:val="bottom"/>
            <w:hideMark/>
          </w:tcPr>
          <w:p w14:paraId="0B8A6282"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Year</w:t>
            </w:r>
          </w:p>
        </w:tc>
        <w:tc>
          <w:tcPr>
            <w:tcW w:w="960" w:type="dxa"/>
            <w:tcBorders>
              <w:top w:val="single" w:sz="8" w:space="0" w:color="auto"/>
              <w:left w:val="nil"/>
              <w:bottom w:val="single" w:sz="4" w:space="0" w:color="auto"/>
              <w:right w:val="single" w:sz="4" w:space="0" w:color="auto"/>
            </w:tcBorders>
            <w:shd w:val="clear" w:color="000000" w:fill="92D050"/>
            <w:noWrap/>
            <w:vAlign w:val="bottom"/>
            <w:hideMark/>
          </w:tcPr>
          <w:p w14:paraId="56F1C209"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2018</w:t>
            </w:r>
          </w:p>
        </w:tc>
        <w:tc>
          <w:tcPr>
            <w:tcW w:w="960" w:type="dxa"/>
            <w:tcBorders>
              <w:top w:val="single" w:sz="8" w:space="0" w:color="auto"/>
              <w:left w:val="nil"/>
              <w:bottom w:val="single" w:sz="4" w:space="0" w:color="auto"/>
              <w:right w:val="single" w:sz="4" w:space="0" w:color="auto"/>
            </w:tcBorders>
            <w:shd w:val="clear" w:color="000000" w:fill="92D050"/>
            <w:noWrap/>
            <w:vAlign w:val="bottom"/>
            <w:hideMark/>
          </w:tcPr>
          <w:p w14:paraId="13ADB592"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2019</w:t>
            </w:r>
          </w:p>
        </w:tc>
        <w:tc>
          <w:tcPr>
            <w:tcW w:w="960" w:type="dxa"/>
            <w:tcBorders>
              <w:top w:val="single" w:sz="8" w:space="0" w:color="auto"/>
              <w:left w:val="nil"/>
              <w:bottom w:val="single" w:sz="4" w:space="0" w:color="auto"/>
              <w:right w:val="single" w:sz="4" w:space="0" w:color="auto"/>
            </w:tcBorders>
            <w:shd w:val="clear" w:color="000000" w:fill="92D050"/>
            <w:noWrap/>
            <w:vAlign w:val="bottom"/>
            <w:hideMark/>
          </w:tcPr>
          <w:p w14:paraId="0A1B5239"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2020</w:t>
            </w:r>
          </w:p>
        </w:tc>
        <w:tc>
          <w:tcPr>
            <w:tcW w:w="960" w:type="dxa"/>
            <w:tcBorders>
              <w:top w:val="single" w:sz="8" w:space="0" w:color="auto"/>
              <w:left w:val="nil"/>
              <w:bottom w:val="single" w:sz="4" w:space="0" w:color="auto"/>
              <w:right w:val="single" w:sz="4" w:space="0" w:color="auto"/>
            </w:tcBorders>
            <w:shd w:val="clear" w:color="000000" w:fill="92D050"/>
            <w:noWrap/>
            <w:vAlign w:val="bottom"/>
            <w:hideMark/>
          </w:tcPr>
          <w:p w14:paraId="552E0050"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2021</w:t>
            </w:r>
          </w:p>
        </w:tc>
        <w:tc>
          <w:tcPr>
            <w:tcW w:w="960" w:type="dxa"/>
            <w:tcBorders>
              <w:top w:val="single" w:sz="8" w:space="0" w:color="auto"/>
              <w:left w:val="nil"/>
              <w:bottom w:val="single" w:sz="4" w:space="0" w:color="auto"/>
              <w:right w:val="single" w:sz="8" w:space="0" w:color="auto"/>
            </w:tcBorders>
            <w:shd w:val="clear" w:color="000000" w:fill="92D050"/>
            <w:noWrap/>
            <w:vAlign w:val="bottom"/>
            <w:hideMark/>
          </w:tcPr>
          <w:p w14:paraId="60CEF253"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2022</w:t>
            </w:r>
          </w:p>
        </w:tc>
      </w:tr>
      <w:tr w:rsidR="00274FCA" w:rsidRPr="00274FCA" w14:paraId="28914105" w14:textId="77777777" w:rsidTr="00274FCA">
        <w:trPr>
          <w:trHeight w:val="801"/>
          <w:jc w:val="center"/>
        </w:trPr>
        <w:tc>
          <w:tcPr>
            <w:tcW w:w="2000" w:type="dxa"/>
            <w:tcBorders>
              <w:top w:val="nil"/>
              <w:left w:val="single" w:sz="8" w:space="0" w:color="auto"/>
              <w:bottom w:val="single" w:sz="4" w:space="0" w:color="auto"/>
              <w:right w:val="single" w:sz="4" w:space="0" w:color="auto"/>
            </w:tcBorders>
            <w:shd w:val="clear" w:color="auto" w:fill="auto"/>
            <w:vAlign w:val="bottom"/>
            <w:hideMark/>
          </w:tcPr>
          <w:p w14:paraId="0EE8373B"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 xml:space="preserve">Mercedes Return </w:t>
            </w:r>
            <w:proofErr w:type="gramStart"/>
            <w:r w:rsidRPr="00274FCA">
              <w:rPr>
                <w:rFonts w:ascii="Calibri" w:eastAsia="Times New Roman" w:hAnsi="Calibri" w:cs="Calibri"/>
                <w:color w:val="000000"/>
                <w:sz w:val="22"/>
                <w:lang w:eastAsia="en-GB"/>
              </w:rPr>
              <w:t>On</w:t>
            </w:r>
            <w:proofErr w:type="gramEnd"/>
            <w:r w:rsidRPr="00274FCA">
              <w:rPr>
                <w:rFonts w:ascii="Calibri" w:eastAsia="Times New Roman" w:hAnsi="Calibri" w:cs="Calibri"/>
                <w:color w:val="000000"/>
                <w:sz w:val="22"/>
                <w:lang w:eastAsia="en-GB"/>
              </w:rPr>
              <w:t xml:space="preserve"> Assets Margin %</w:t>
            </w:r>
          </w:p>
        </w:tc>
        <w:tc>
          <w:tcPr>
            <w:tcW w:w="960" w:type="dxa"/>
            <w:tcBorders>
              <w:top w:val="nil"/>
              <w:left w:val="nil"/>
              <w:bottom w:val="single" w:sz="4" w:space="0" w:color="auto"/>
              <w:right w:val="single" w:sz="4" w:space="0" w:color="auto"/>
            </w:tcBorders>
            <w:shd w:val="clear" w:color="auto" w:fill="auto"/>
            <w:noWrap/>
            <w:vAlign w:val="bottom"/>
            <w:hideMark/>
          </w:tcPr>
          <w:p w14:paraId="7D9B9065"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5.58%</w:t>
            </w:r>
          </w:p>
        </w:tc>
        <w:tc>
          <w:tcPr>
            <w:tcW w:w="960" w:type="dxa"/>
            <w:tcBorders>
              <w:top w:val="nil"/>
              <w:left w:val="nil"/>
              <w:bottom w:val="single" w:sz="4" w:space="0" w:color="auto"/>
              <w:right w:val="single" w:sz="4" w:space="0" w:color="auto"/>
            </w:tcBorders>
            <w:shd w:val="clear" w:color="auto" w:fill="auto"/>
            <w:noWrap/>
            <w:vAlign w:val="bottom"/>
            <w:hideMark/>
          </w:tcPr>
          <w:p w14:paraId="53FF7B36"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9.67%</w:t>
            </w:r>
          </w:p>
        </w:tc>
        <w:tc>
          <w:tcPr>
            <w:tcW w:w="960" w:type="dxa"/>
            <w:tcBorders>
              <w:top w:val="nil"/>
              <w:left w:val="nil"/>
              <w:bottom w:val="single" w:sz="4" w:space="0" w:color="auto"/>
              <w:right w:val="single" w:sz="4" w:space="0" w:color="auto"/>
            </w:tcBorders>
            <w:shd w:val="clear" w:color="auto" w:fill="auto"/>
            <w:noWrap/>
            <w:vAlign w:val="bottom"/>
            <w:hideMark/>
          </w:tcPr>
          <w:p w14:paraId="0B269EA9"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10.48%</w:t>
            </w:r>
          </w:p>
        </w:tc>
        <w:tc>
          <w:tcPr>
            <w:tcW w:w="960" w:type="dxa"/>
            <w:tcBorders>
              <w:top w:val="nil"/>
              <w:left w:val="nil"/>
              <w:bottom w:val="single" w:sz="4" w:space="0" w:color="auto"/>
              <w:right w:val="single" w:sz="4" w:space="0" w:color="auto"/>
            </w:tcBorders>
            <w:shd w:val="clear" w:color="auto" w:fill="auto"/>
            <w:noWrap/>
            <w:vAlign w:val="bottom"/>
            <w:hideMark/>
          </w:tcPr>
          <w:p w14:paraId="63A17D47"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12.38%</w:t>
            </w:r>
          </w:p>
        </w:tc>
        <w:tc>
          <w:tcPr>
            <w:tcW w:w="960" w:type="dxa"/>
            <w:tcBorders>
              <w:top w:val="nil"/>
              <w:left w:val="nil"/>
              <w:bottom w:val="single" w:sz="4" w:space="0" w:color="auto"/>
              <w:right w:val="single" w:sz="8" w:space="0" w:color="auto"/>
            </w:tcBorders>
            <w:shd w:val="clear" w:color="auto" w:fill="auto"/>
            <w:noWrap/>
            <w:vAlign w:val="bottom"/>
            <w:hideMark/>
          </w:tcPr>
          <w:p w14:paraId="454FFC5C"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14.60%</w:t>
            </w:r>
          </w:p>
        </w:tc>
      </w:tr>
      <w:tr w:rsidR="00274FCA" w:rsidRPr="00274FCA" w14:paraId="5571D1AD" w14:textId="77777777" w:rsidTr="00274FCA">
        <w:trPr>
          <w:trHeight w:val="801"/>
          <w:jc w:val="center"/>
        </w:trPr>
        <w:tc>
          <w:tcPr>
            <w:tcW w:w="2000" w:type="dxa"/>
            <w:tcBorders>
              <w:top w:val="nil"/>
              <w:left w:val="single" w:sz="8" w:space="0" w:color="auto"/>
              <w:bottom w:val="nil"/>
              <w:right w:val="single" w:sz="4" w:space="0" w:color="auto"/>
            </w:tcBorders>
            <w:shd w:val="clear" w:color="auto" w:fill="auto"/>
            <w:vAlign w:val="bottom"/>
            <w:hideMark/>
          </w:tcPr>
          <w:p w14:paraId="6778305C"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 xml:space="preserve">Ferrari Return </w:t>
            </w:r>
            <w:proofErr w:type="gramStart"/>
            <w:r w:rsidRPr="00274FCA">
              <w:rPr>
                <w:rFonts w:ascii="Calibri" w:eastAsia="Times New Roman" w:hAnsi="Calibri" w:cs="Calibri"/>
                <w:color w:val="000000"/>
                <w:sz w:val="22"/>
                <w:lang w:eastAsia="en-GB"/>
              </w:rPr>
              <w:t>On</w:t>
            </w:r>
            <w:proofErr w:type="gramEnd"/>
            <w:r w:rsidRPr="00274FCA">
              <w:rPr>
                <w:rFonts w:ascii="Calibri" w:eastAsia="Times New Roman" w:hAnsi="Calibri" w:cs="Calibri"/>
                <w:color w:val="000000"/>
                <w:sz w:val="22"/>
                <w:lang w:eastAsia="en-GB"/>
              </w:rPr>
              <w:t xml:space="preserve"> Assets Margin %</w:t>
            </w:r>
          </w:p>
        </w:tc>
        <w:tc>
          <w:tcPr>
            <w:tcW w:w="960" w:type="dxa"/>
            <w:tcBorders>
              <w:top w:val="nil"/>
              <w:left w:val="nil"/>
              <w:bottom w:val="nil"/>
              <w:right w:val="single" w:sz="4" w:space="0" w:color="auto"/>
            </w:tcBorders>
            <w:shd w:val="clear" w:color="auto" w:fill="auto"/>
            <w:noWrap/>
            <w:vAlign w:val="bottom"/>
            <w:hideMark/>
          </w:tcPr>
          <w:p w14:paraId="08E42792"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17.09%</w:t>
            </w:r>
          </w:p>
        </w:tc>
        <w:tc>
          <w:tcPr>
            <w:tcW w:w="960" w:type="dxa"/>
            <w:tcBorders>
              <w:top w:val="nil"/>
              <w:left w:val="nil"/>
              <w:bottom w:val="nil"/>
              <w:right w:val="single" w:sz="4" w:space="0" w:color="auto"/>
            </w:tcBorders>
            <w:shd w:val="clear" w:color="auto" w:fill="auto"/>
            <w:noWrap/>
            <w:vAlign w:val="bottom"/>
            <w:hideMark/>
          </w:tcPr>
          <w:p w14:paraId="33CEBFF7"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13.76%</w:t>
            </w:r>
          </w:p>
        </w:tc>
        <w:tc>
          <w:tcPr>
            <w:tcW w:w="960" w:type="dxa"/>
            <w:tcBorders>
              <w:top w:val="nil"/>
              <w:left w:val="nil"/>
              <w:bottom w:val="nil"/>
              <w:right w:val="single" w:sz="4" w:space="0" w:color="auto"/>
            </w:tcBorders>
            <w:shd w:val="clear" w:color="auto" w:fill="auto"/>
            <w:noWrap/>
            <w:vAlign w:val="bottom"/>
            <w:hideMark/>
          </w:tcPr>
          <w:p w14:paraId="1DA73BDA"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10.39%</w:t>
            </w:r>
          </w:p>
        </w:tc>
        <w:tc>
          <w:tcPr>
            <w:tcW w:w="960" w:type="dxa"/>
            <w:tcBorders>
              <w:top w:val="nil"/>
              <w:left w:val="nil"/>
              <w:bottom w:val="nil"/>
              <w:right w:val="single" w:sz="4" w:space="0" w:color="auto"/>
            </w:tcBorders>
            <w:shd w:val="clear" w:color="auto" w:fill="auto"/>
            <w:noWrap/>
            <w:vAlign w:val="bottom"/>
            <w:hideMark/>
          </w:tcPr>
          <w:p w14:paraId="33AFDADC"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12.83%</w:t>
            </w:r>
          </w:p>
        </w:tc>
        <w:tc>
          <w:tcPr>
            <w:tcW w:w="960" w:type="dxa"/>
            <w:tcBorders>
              <w:top w:val="nil"/>
              <w:left w:val="nil"/>
              <w:bottom w:val="nil"/>
              <w:right w:val="single" w:sz="8" w:space="0" w:color="auto"/>
            </w:tcBorders>
            <w:shd w:val="clear" w:color="auto" w:fill="auto"/>
            <w:noWrap/>
            <w:vAlign w:val="bottom"/>
            <w:hideMark/>
          </w:tcPr>
          <w:p w14:paraId="7C6BFA64"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12.34%</w:t>
            </w:r>
          </w:p>
        </w:tc>
      </w:tr>
      <w:tr w:rsidR="00274FCA" w:rsidRPr="00274FCA" w14:paraId="2F360945" w14:textId="77777777" w:rsidTr="00274FCA">
        <w:trPr>
          <w:trHeight w:val="801"/>
          <w:jc w:val="center"/>
        </w:trPr>
        <w:tc>
          <w:tcPr>
            <w:tcW w:w="2000" w:type="dxa"/>
            <w:tcBorders>
              <w:top w:val="single" w:sz="4" w:space="0" w:color="auto"/>
              <w:left w:val="single" w:sz="8" w:space="0" w:color="auto"/>
              <w:bottom w:val="single" w:sz="8" w:space="0" w:color="auto"/>
              <w:right w:val="single" w:sz="4" w:space="0" w:color="auto"/>
            </w:tcBorders>
            <w:shd w:val="clear" w:color="auto" w:fill="auto"/>
            <w:vAlign w:val="bottom"/>
            <w:hideMark/>
          </w:tcPr>
          <w:p w14:paraId="0A85C3BA"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 xml:space="preserve">Aston Martin Return </w:t>
            </w:r>
            <w:proofErr w:type="gramStart"/>
            <w:r w:rsidRPr="00274FCA">
              <w:rPr>
                <w:rFonts w:ascii="Calibri" w:eastAsia="Times New Roman" w:hAnsi="Calibri" w:cs="Calibri"/>
                <w:color w:val="000000"/>
                <w:sz w:val="22"/>
                <w:lang w:eastAsia="en-GB"/>
              </w:rPr>
              <w:t>On</w:t>
            </w:r>
            <w:proofErr w:type="gramEnd"/>
            <w:r w:rsidRPr="00274FCA">
              <w:rPr>
                <w:rFonts w:ascii="Calibri" w:eastAsia="Times New Roman" w:hAnsi="Calibri" w:cs="Calibri"/>
                <w:color w:val="000000"/>
                <w:sz w:val="22"/>
                <w:lang w:eastAsia="en-GB"/>
              </w:rPr>
              <w:t xml:space="preserve"> Assets Margin %</w:t>
            </w:r>
          </w:p>
        </w:tc>
        <w:tc>
          <w:tcPr>
            <w:tcW w:w="960" w:type="dxa"/>
            <w:tcBorders>
              <w:top w:val="single" w:sz="4" w:space="0" w:color="auto"/>
              <w:left w:val="nil"/>
              <w:bottom w:val="single" w:sz="8" w:space="0" w:color="auto"/>
              <w:right w:val="single" w:sz="4" w:space="0" w:color="auto"/>
            </w:tcBorders>
            <w:shd w:val="clear" w:color="auto" w:fill="auto"/>
            <w:noWrap/>
            <w:vAlign w:val="bottom"/>
            <w:hideMark/>
          </w:tcPr>
          <w:p w14:paraId="48B25CEF"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-2.77%</w:t>
            </w:r>
          </w:p>
        </w:tc>
        <w:tc>
          <w:tcPr>
            <w:tcW w:w="960" w:type="dxa"/>
            <w:tcBorders>
              <w:top w:val="single" w:sz="4" w:space="0" w:color="auto"/>
              <w:left w:val="nil"/>
              <w:bottom w:val="single" w:sz="8" w:space="0" w:color="auto"/>
              <w:right w:val="single" w:sz="4" w:space="0" w:color="auto"/>
            </w:tcBorders>
            <w:shd w:val="clear" w:color="auto" w:fill="auto"/>
            <w:noWrap/>
            <w:vAlign w:val="bottom"/>
            <w:hideMark/>
          </w:tcPr>
          <w:p w14:paraId="7DA416A9"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-4.68%</w:t>
            </w:r>
          </w:p>
        </w:tc>
        <w:tc>
          <w:tcPr>
            <w:tcW w:w="960" w:type="dxa"/>
            <w:tcBorders>
              <w:top w:val="single" w:sz="4" w:space="0" w:color="auto"/>
              <w:left w:val="nil"/>
              <w:bottom w:val="single" w:sz="8" w:space="0" w:color="auto"/>
              <w:right w:val="single" w:sz="4" w:space="0" w:color="auto"/>
            </w:tcBorders>
            <w:shd w:val="clear" w:color="auto" w:fill="auto"/>
            <w:noWrap/>
            <w:vAlign w:val="bottom"/>
            <w:hideMark/>
          </w:tcPr>
          <w:p w14:paraId="1B06496F"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-14.69%</w:t>
            </w:r>
          </w:p>
        </w:tc>
        <w:tc>
          <w:tcPr>
            <w:tcW w:w="960" w:type="dxa"/>
            <w:tcBorders>
              <w:top w:val="single" w:sz="4" w:space="0" w:color="auto"/>
              <w:left w:val="nil"/>
              <w:bottom w:val="single" w:sz="8" w:space="0" w:color="auto"/>
              <w:right w:val="single" w:sz="4" w:space="0" w:color="auto"/>
            </w:tcBorders>
            <w:shd w:val="clear" w:color="auto" w:fill="auto"/>
            <w:noWrap/>
            <w:vAlign w:val="bottom"/>
            <w:hideMark/>
          </w:tcPr>
          <w:p w14:paraId="5B3BDA80"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-6.66%</w:t>
            </w:r>
          </w:p>
        </w:tc>
        <w:tc>
          <w:tcPr>
            <w:tcW w:w="960" w:type="dxa"/>
            <w:tcBorders>
              <w:top w:val="single" w:sz="4" w:space="0" w:color="auto"/>
              <w:left w:val="nil"/>
              <w:bottom w:val="single" w:sz="8" w:space="0" w:color="auto"/>
              <w:right w:val="single" w:sz="8" w:space="0" w:color="auto"/>
            </w:tcBorders>
            <w:shd w:val="clear" w:color="auto" w:fill="auto"/>
            <w:noWrap/>
            <w:vAlign w:val="bottom"/>
            <w:hideMark/>
          </w:tcPr>
          <w:p w14:paraId="223A3CAA" w14:textId="77777777" w:rsidR="00274FCA" w:rsidRPr="00274FCA" w:rsidRDefault="00274FCA" w:rsidP="00274FCA">
            <w:pPr>
              <w:spacing w:after="0" w:line="240" w:lineRule="auto"/>
              <w:jc w:val="center"/>
              <w:rPr>
                <w:rFonts w:ascii="Calibri" w:eastAsia="Times New Roman" w:hAnsi="Calibri" w:cs="Calibri"/>
                <w:color w:val="000000"/>
                <w:sz w:val="22"/>
                <w:lang w:eastAsia="en-GB"/>
              </w:rPr>
            </w:pPr>
            <w:r w:rsidRPr="00274FCA">
              <w:rPr>
                <w:rFonts w:ascii="Calibri" w:eastAsia="Times New Roman" w:hAnsi="Calibri" w:cs="Calibri"/>
                <w:color w:val="000000"/>
                <w:sz w:val="22"/>
                <w:lang w:eastAsia="en-GB"/>
              </w:rPr>
              <w:t>-17.00%</w:t>
            </w:r>
          </w:p>
        </w:tc>
      </w:tr>
    </w:tbl>
    <w:p w14:paraId="0B97251A" w14:textId="75D9D021" w:rsidR="009511C2" w:rsidRDefault="00274FCA" w:rsidP="00274FCA">
      <w:pPr>
        <w:pStyle w:val="Caption"/>
        <w:jc w:val="right"/>
      </w:pPr>
      <w:bookmarkStart w:id="22" w:name="_Ref146813549"/>
      <w:r>
        <w:t xml:space="preserve">Table </w:t>
      </w:r>
      <w:fldSimple w:instr=" SEQ Table \* ARABIC ">
        <w:r w:rsidR="0013381E">
          <w:rPr>
            <w:noProof/>
          </w:rPr>
          <w:t>4</w:t>
        </w:r>
      </w:fldSimple>
      <w:r>
        <w:t xml:space="preserve"> Return on Assets Margin </w:t>
      </w:r>
      <w:r w:rsidR="00614CAD">
        <w:t>Ratios</w:t>
      </w:r>
      <w:bookmarkEnd w:id="22"/>
    </w:p>
    <w:p w14:paraId="391DE2B5" w14:textId="57FBA339" w:rsidR="009511C2" w:rsidRDefault="00274FCA" w:rsidP="00556A9A">
      <w:r>
        <w:t xml:space="preserve">Like most of Ferrari’s financial performance, Return on Assets Margin Ratio is stable, Mercedes’ ratio has shown steady growth of the 5-year period. Aston Martin’s negative ratios </w:t>
      </w:r>
      <w:r w:rsidR="00CC2146">
        <w:t>indicate very poor utilization of assets to generate revenue.</w:t>
      </w:r>
    </w:p>
    <w:p w14:paraId="16C04602" w14:textId="77777777" w:rsidR="00CC2146" w:rsidRDefault="00CC2146" w:rsidP="00556A9A"/>
    <w:p w14:paraId="6B6C24C7" w14:textId="77777777" w:rsidR="00CC2146" w:rsidRDefault="00CC2146" w:rsidP="00556A9A"/>
    <w:p w14:paraId="781ED730" w14:textId="1744052A" w:rsidR="009511C2" w:rsidRDefault="00A3355D" w:rsidP="00A3355D">
      <w:pPr>
        <w:pStyle w:val="Heading3"/>
      </w:pPr>
      <w:bookmarkStart w:id="23" w:name="_Toc146791871"/>
      <w:r>
        <w:lastRenderedPageBreak/>
        <w:t>Return on Shareholders’ equity ratio %</w:t>
      </w:r>
      <w:bookmarkEnd w:id="23"/>
    </w:p>
    <w:p w14:paraId="39AF49DA" w14:textId="5925EBE8" w:rsidR="00A3355D" w:rsidRDefault="00A3355D" w:rsidP="00556A9A">
      <w:r>
        <w:t xml:space="preserve">A measure of performance calculated by dividing net income by the shareholders’ equity. Used as a gauge of a business’s profitability and how efficient at making profit </w:t>
      </w:r>
      <w:sdt>
        <w:sdtPr>
          <w:id w:val="652334440"/>
          <w:citation/>
        </w:sdtPr>
        <w:sdtContent>
          <w:r>
            <w:fldChar w:fldCharType="begin"/>
          </w:r>
          <w:r>
            <w:instrText xml:space="preserve"> CITATION Fer23 \l 2057 </w:instrText>
          </w:r>
          <w:r>
            <w:fldChar w:fldCharType="separate"/>
          </w:r>
          <w:r w:rsidR="007D5C64" w:rsidRPr="007D5C64">
            <w:rPr>
              <w:noProof/>
            </w:rPr>
            <w:t>(Fernando, 2023)</w:t>
          </w:r>
          <w:r>
            <w:fldChar w:fldCharType="end"/>
          </w:r>
        </w:sdtContent>
      </w:sdt>
      <w:r>
        <w:t>.</w:t>
      </w:r>
    </w:p>
    <w:tbl>
      <w:tblPr>
        <w:tblW w:w="6800" w:type="dxa"/>
        <w:jc w:val="center"/>
        <w:tblLook w:val="04A0" w:firstRow="1" w:lastRow="0" w:firstColumn="1" w:lastColumn="0" w:noHBand="0" w:noVBand="1"/>
      </w:tblPr>
      <w:tblGrid>
        <w:gridCol w:w="2000"/>
        <w:gridCol w:w="960"/>
        <w:gridCol w:w="960"/>
        <w:gridCol w:w="960"/>
        <w:gridCol w:w="960"/>
        <w:gridCol w:w="960"/>
      </w:tblGrid>
      <w:tr w:rsidR="00A3355D" w:rsidRPr="00A3355D" w14:paraId="0FFB830E" w14:textId="77777777" w:rsidTr="00A3355D">
        <w:trPr>
          <w:trHeight w:val="288"/>
          <w:jc w:val="center"/>
        </w:trPr>
        <w:tc>
          <w:tcPr>
            <w:tcW w:w="2000" w:type="dxa"/>
            <w:tcBorders>
              <w:top w:val="single" w:sz="8" w:space="0" w:color="auto"/>
              <w:left w:val="single" w:sz="8" w:space="0" w:color="auto"/>
              <w:bottom w:val="single" w:sz="4" w:space="0" w:color="auto"/>
              <w:right w:val="single" w:sz="4" w:space="0" w:color="auto"/>
            </w:tcBorders>
            <w:shd w:val="clear" w:color="000000" w:fill="92D050"/>
            <w:noWrap/>
            <w:vAlign w:val="bottom"/>
            <w:hideMark/>
          </w:tcPr>
          <w:p w14:paraId="03BA80A3"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Year</w:t>
            </w:r>
          </w:p>
        </w:tc>
        <w:tc>
          <w:tcPr>
            <w:tcW w:w="960" w:type="dxa"/>
            <w:tcBorders>
              <w:top w:val="single" w:sz="8" w:space="0" w:color="auto"/>
              <w:left w:val="nil"/>
              <w:bottom w:val="single" w:sz="4" w:space="0" w:color="auto"/>
              <w:right w:val="single" w:sz="4" w:space="0" w:color="auto"/>
            </w:tcBorders>
            <w:shd w:val="clear" w:color="000000" w:fill="92D050"/>
            <w:noWrap/>
            <w:vAlign w:val="bottom"/>
            <w:hideMark/>
          </w:tcPr>
          <w:p w14:paraId="24E5AAF5"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2018</w:t>
            </w:r>
          </w:p>
        </w:tc>
        <w:tc>
          <w:tcPr>
            <w:tcW w:w="960" w:type="dxa"/>
            <w:tcBorders>
              <w:top w:val="single" w:sz="8" w:space="0" w:color="auto"/>
              <w:left w:val="nil"/>
              <w:bottom w:val="single" w:sz="4" w:space="0" w:color="auto"/>
              <w:right w:val="single" w:sz="4" w:space="0" w:color="auto"/>
            </w:tcBorders>
            <w:shd w:val="clear" w:color="000000" w:fill="92D050"/>
            <w:noWrap/>
            <w:vAlign w:val="bottom"/>
            <w:hideMark/>
          </w:tcPr>
          <w:p w14:paraId="19DC4642"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2019</w:t>
            </w:r>
          </w:p>
        </w:tc>
        <w:tc>
          <w:tcPr>
            <w:tcW w:w="960" w:type="dxa"/>
            <w:tcBorders>
              <w:top w:val="single" w:sz="8" w:space="0" w:color="auto"/>
              <w:left w:val="nil"/>
              <w:bottom w:val="single" w:sz="4" w:space="0" w:color="auto"/>
              <w:right w:val="single" w:sz="4" w:space="0" w:color="auto"/>
            </w:tcBorders>
            <w:shd w:val="clear" w:color="000000" w:fill="92D050"/>
            <w:noWrap/>
            <w:vAlign w:val="bottom"/>
            <w:hideMark/>
          </w:tcPr>
          <w:p w14:paraId="32800FDE"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2020</w:t>
            </w:r>
          </w:p>
        </w:tc>
        <w:tc>
          <w:tcPr>
            <w:tcW w:w="960" w:type="dxa"/>
            <w:tcBorders>
              <w:top w:val="single" w:sz="8" w:space="0" w:color="auto"/>
              <w:left w:val="nil"/>
              <w:bottom w:val="single" w:sz="4" w:space="0" w:color="auto"/>
              <w:right w:val="single" w:sz="4" w:space="0" w:color="auto"/>
            </w:tcBorders>
            <w:shd w:val="clear" w:color="000000" w:fill="92D050"/>
            <w:noWrap/>
            <w:vAlign w:val="bottom"/>
            <w:hideMark/>
          </w:tcPr>
          <w:p w14:paraId="75ED92D5"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2021</w:t>
            </w:r>
          </w:p>
        </w:tc>
        <w:tc>
          <w:tcPr>
            <w:tcW w:w="960" w:type="dxa"/>
            <w:tcBorders>
              <w:top w:val="single" w:sz="8" w:space="0" w:color="auto"/>
              <w:left w:val="nil"/>
              <w:bottom w:val="single" w:sz="4" w:space="0" w:color="auto"/>
              <w:right w:val="single" w:sz="8" w:space="0" w:color="auto"/>
            </w:tcBorders>
            <w:shd w:val="clear" w:color="000000" w:fill="92D050"/>
            <w:noWrap/>
            <w:vAlign w:val="bottom"/>
            <w:hideMark/>
          </w:tcPr>
          <w:p w14:paraId="3626F7C1"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2022</w:t>
            </w:r>
          </w:p>
        </w:tc>
      </w:tr>
      <w:tr w:rsidR="00A3355D" w:rsidRPr="00A3355D" w14:paraId="0A13F746" w14:textId="77777777" w:rsidTr="00A3355D">
        <w:trPr>
          <w:trHeight w:val="999"/>
          <w:jc w:val="center"/>
        </w:trPr>
        <w:tc>
          <w:tcPr>
            <w:tcW w:w="2000" w:type="dxa"/>
            <w:tcBorders>
              <w:top w:val="nil"/>
              <w:left w:val="single" w:sz="8" w:space="0" w:color="auto"/>
              <w:bottom w:val="single" w:sz="4" w:space="0" w:color="auto"/>
              <w:right w:val="single" w:sz="4" w:space="0" w:color="auto"/>
            </w:tcBorders>
            <w:shd w:val="clear" w:color="auto" w:fill="auto"/>
            <w:vAlign w:val="bottom"/>
            <w:hideMark/>
          </w:tcPr>
          <w:p w14:paraId="3EDF5EB1" w14:textId="5F9299A2"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 xml:space="preserve">Mercedes Return </w:t>
            </w:r>
            <w:proofErr w:type="gramStart"/>
            <w:r w:rsidRPr="00A3355D">
              <w:rPr>
                <w:rFonts w:ascii="Calibri" w:eastAsia="Times New Roman" w:hAnsi="Calibri" w:cs="Calibri"/>
                <w:color w:val="000000"/>
                <w:sz w:val="22"/>
                <w:lang w:eastAsia="en-GB"/>
              </w:rPr>
              <w:t>On</w:t>
            </w:r>
            <w:proofErr w:type="gramEnd"/>
            <w:r w:rsidRPr="00A3355D">
              <w:rPr>
                <w:rFonts w:ascii="Calibri" w:eastAsia="Times New Roman" w:hAnsi="Calibri" w:cs="Calibri"/>
                <w:color w:val="000000"/>
                <w:sz w:val="22"/>
                <w:lang w:eastAsia="en-GB"/>
              </w:rPr>
              <w:t xml:space="preserve"> Shareholders</w:t>
            </w:r>
            <w:r>
              <w:rPr>
                <w:rFonts w:ascii="Calibri" w:eastAsia="Times New Roman" w:hAnsi="Calibri" w:cs="Calibri"/>
                <w:color w:val="000000"/>
                <w:sz w:val="22"/>
                <w:lang w:eastAsia="en-GB"/>
              </w:rPr>
              <w:t>’</w:t>
            </w:r>
            <w:r w:rsidRPr="00A3355D">
              <w:rPr>
                <w:rFonts w:ascii="Calibri" w:eastAsia="Times New Roman" w:hAnsi="Calibri" w:cs="Calibri"/>
                <w:color w:val="000000"/>
                <w:sz w:val="22"/>
                <w:lang w:eastAsia="en-GB"/>
              </w:rPr>
              <w:t xml:space="preserve"> equity %</w:t>
            </w:r>
          </w:p>
        </w:tc>
        <w:tc>
          <w:tcPr>
            <w:tcW w:w="960" w:type="dxa"/>
            <w:tcBorders>
              <w:top w:val="nil"/>
              <w:left w:val="nil"/>
              <w:bottom w:val="single" w:sz="4" w:space="0" w:color="auto"/>
              <w:right w:val="single" w:sz="4" w:space="0" w:color="auto"/>
            </w:tcBorders>
            <w:shd w:val="clear" w:color="auto" w:fill="auto"/>
            <w:noWrap/>
            <w:vAlign w:val="bottom"/>
            <w:hideMark/>
          </w:tcPr>
          <w:p w14:paraId="1A408565"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14.37%</w:t>
            </w:r>
          </w:p>
        </w:tc>
        <w:tc>
          <w:tcPr>
            <w:tcW w:w="960" w:type="dxa"/>
            <w:tcBorders>
              <w:top w:val="nil"/>
              <w:left w:val="nil"/>
              <w:bottom w:val="single" w:sz="4" w:space="0" w:color="auto"/>
              <w:right w:val="single" w:sz="4" w:space="0" w:color="auto"/>
            </w:tcBorders>
            <w:shd w:val="clear" w:color="auto" w:fill="auto"/>
            <w:noWrap/>
            <w:vAlign w:val="bottom"/>
            <w:hideMark/>
          </w:tcPr>
          <w:p w14:paraId="384A260B"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12.57%</w:t>
            </w:r>
          </w:p>
        </w:tc>
        <w:tc>
          <w:tcPr>
            <w:tcW w:w="960" w:type="dxa"/>
            <w:tcBorders>
              <w:top w:val="nil"/>
              <w:left w:val="nil"/>
              <w:bottom w:val="single" w:sz="4" w:space="0" w:color="auto"/>
              <w:right w:val="single" w:sz="4" w:space="0" w:color="auto"/>
            </w:tcBorders>
            <w:shd w:val="clear" w:color="auto" w:fill="auto"/>
            <w:noWrap/>
            <w:vAlign w:val="bottom"/>
            <w:hideMark/>
          </w:tcPr>
          <w:p w14:paraId="0FA2503C"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9.90%</w:t>
            </w:r>
          </w:p>
        </w:tc>
        <w:tc>
          <w:tcPr>
            <w:tcW w:w="960" w:type="dxa"/>
            <w:tcBorders>
              <w:top w:val="nil"/>
              <w:left w:val="nil"/>
              <w:bottom w:val="single" w:sz="4" w:space="0" w:color="auto"/>
              <w:right w:val="single" w:sz="4" w:space="0" w:color="auto"/>
            </w:tcBorders>
            <w:shd w:val="clear" w:color="auto" w:fill="auto"/>
            <w:noWrap/>
            <w:vAlign w:val="bottom"/>
            <w:hideMark/>
          </w:tcPr>
          <w:p w14:paraId="60ECD846"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22.00%</w:t>
            </w:r>
          </w:p>
        </w:tc>
        <w:tc>
          <w:tcPr>
            <w:tcW w:w="960" w:type="dxa"/>
            <w:tcBorders>
              <w:top w:val="nil"/>
              <w:left w:val="nil"/>
              <w:bottom w:val="single" w:sz="4" w:space="0" w:color="auto"/>
              <w:right w:val="single" w:sz="8" w:space="0" w:color="auto"/>
            </w:tcBorders>
            <w:shd w:val="clear" w:color="auto" w:fill="auto"/>
            <w:noWrap/>
            <w:vAlign w:val="bottom"/>
            <w:hideMark/>
          </w:tcPr>
          <w:p w14:paraId="7931E465"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16.80%</w:t>
            </w:r>
          </w:p>
        </w:tc>
      </w:tr>
      <w:tr w:rsidR="00A3355D" w:rsidRPr="00A3355D" w14:paraId="6D9279CE" w14:textId="77777777" w:rsidTr="00A3355D">
        <w:trPr>
          <w:trHeight w:val="999"/>
          <w:jc w:val="center"/>
        </w:trPr>
        <w:tc>
          <w:tcPr>
            <w:tcW w:w="2000" w:type="dxa"/>
            <w:tcBorders>
              <w:top w:val="nil"/>
              <w:left w:val="single" w:sz="8" w:space="0" w:color="auto"/>
              <w:bottom w:val="nil"/>
              <w:right w:val="single" w:sz="4" w:space="0" w:color="auto"/>
            </w:tcBorders>
            <w:shd w:val="clear" w:color="auto" w:fill="auto"/>
            <w:vAlign w:val="bottom"/>
            <w:hideMark/>
          </w:tcPr>
          <w:p w14:paraId="3B01E038" w14:textId="0318C101"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 xml:space="preserve">Ferrari Return </w:t>
            </w:r>
            <w:proofErr w:type="gramStart"/>
            <w:r w:rsidRPr="00A3355D">
              <w:rPr>
                <w:rFonts w:ascii="Calibri" w:eastAsia="Times New Roman" w:hAnsi="Calibri" w:cs="Calibri"/>
                <w:color w:val="000000"/>
                <w:sz w:val="22"/>
                <w:lang w:eastAsia="en-GB"/>
              </w:rPr>
              <w:t>On</w:t>
            </w:r>
            <w:proofErr w:type="gramEnd"/>
            <w:r w:rsidRPr="00A3355D">
              <w:rPr>
                <w:rFonts w:ascii="Calibri" w:eastAsia="Times New Roman" w:hAnsi="Calibri" w:cs="Calibri"/>
                <w:color w:val="000000"/>
                <w:sz w:val="22"/>
                <w:lang w:eastAsia="en-GB"/>
              </w:rPr>
              <w:t xml:space="preserve"> Shareholders</w:t>
            </w:r>
            <w:r>
              <w:rPr>
                <w:rFonts w:ascii="Calibri" w:eastAsia="Times New Roman" w:hAnsi="Calibri" w:cs="Calibri"/>
                <w:color w:val="000000"/>
                <w:sz w:val="22"/>
                <w:lang w:eastAsia="en-GB"/>
              </w:rPr>
              <w:t>’</w:t>
            </w:r>
            <w:r w:rsidRPr="00A3355D">
              <w:rPr>
                <w:rFonts w:ascii="Calibri" w:eastAsia="Times New Roman" w:hAnsi="Calibri" w:cs="Calibri"/>
                <w:color w:val="000000"/>
                <w:sz w:val="22"/>
                <w:lang w:eastAsia="en-GB"/>
              </w:rPr>
              <w:t xml:space="preserve"> equity %</w:t>
            </w:r>
          </w:p>
        </w:tc>
        <w:tc>
          <w:tcPr>
            <w:tcW w:w="960" w:type="dxa"/>
            <w:tcBorders>
              <w:top w:val="nil"/>
              <w:left w:val="nil"/>
              <w:bottom w:val="nil"/>
              <w:right w:val="single" w:sz="4" w:space="0" w:color="auto"/>
            </w:tcBorders>
            <w:shd w:val="clear" w:color="auto" w:fill="auto"/>
            <w:noWrap/>
            <w:vAlign w:val="bottom"/>
            <w:hideMark/>
          </w:tcPr>
          <w:p w14:paraId="52038921"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70.67%</w:t>
            </w:r>
          </w:p>
        </w:tc>
        <w:tc>
          <w:tcPr>
            <w:tcW w:w="960" w:type="dxa"/>
            <w:tcBorders>
              <w:top w:val="nil"/>
              <w:left w:val="nil"/>
              <w:bottom w:val="nil"/>
              <w:right w:val="single" w:sz="4" w:space="0" w:color="auto"/>
            </w:tcBorders>
            <w:shd w:val="clear" w:color="auto" w:fill="auto"/>
            <w:noWrap/>
            <w:vAlign w:val="bottom"/>
            <w:hideMark/>
          </w:tcPr>
          <w:p w14:paraId="6CB08716"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48.28%</w:t>
            </w:r>
          </w:p>
        </w:tc>
        <w:tc>
          <w:tcPr>
            <w:tcW w:w="960" w:type="dxa"/>
            <w:tcBorders>
              <w:top w:val="nil"/>
              <w:left w:val="nil"/>
              <w:bottom w:val="nil"/>
              <w:right w:val="single" w:sz="4" w:space="0" w:color="auto"/>
            </w:tcBorders>
            <w:shd w:val="clear" w:color="auto" w:fill="auto"/>
            <w:noWrap/>
            <w:vAlign w:val="bottom"/>
            <w:hideMark/>
          </w:tcPr>
          <w:p w14:paraId="4B3B3780"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39.72%</w:t>
            </w:r>
          </w:p>
        </w:tc>
        <w:tc>
          <w:tcPr>
            <w:tcW w:w="960" w:type="dxa"/>
            <w:tcBorders>
              <w:top w:val="nil"/>
              <w:left w:val="nil"/>
              <w:bottom w:val="nil"/>
              <w:right w:val="single" w:sz="4" w:space="0" w:color="auto"/>
            </w:tcBorders>
            <w:shd w:val="clear" w:color="auto" w:fill="auto"/>
            <w:noWrap/>
            <w:vAlign w:val="bottom"/>
            <w:hideMark/>
          </w:tcPr>
          <w:p w14:paraId="39CD018B"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40.54%</w:t>
            </w:r>
          </w:p>
        </w:tc>
        <w:tc>
          <w:tcPr>
            <w:tcW w:w="960" w:type="dxa"/>
            <w:tcBorders>
              <w:top w:val="nil"/>
              <w:left w:val="nil"/>
              <w:bottom w:val="nil"/>
              <w:right w:val="single" w:sz="8" w:space="0" w:color="auto"/>
            </w:tcBorders>
            <w:shd w:val="clear" w:color="auto" w:fill="auto"/>
            <w:noWrap/>
            <w:vAlign w:val="bottom"/>
            <w:hideMark/>
          </w:tcPr>
          <w:p w14:paraId="08C0F563"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38.50%</w:t>
            </w:r>
          </w:p>
        </w:tc>
      </w:tr>
      <w:tr w:rsidR="00A3355D" w:rsidRPr="00A3355D" w14:paraId="51E6DF84" w14:textId="77777777" w:rsidTr="00A3355D">
        <w:trPr>
          <w:trHeight w:val="999"/>
          <w:jc w:val="center"/>
        </w:trPr>
        <w:tc>
          <w:tcPr>
            <w:tcW w:w="2000" w:type="dxa"/>
            <w:tcBorders>
              <w:top w:val="single" w:sz="4" w:space="0" w:color="auto"/>
              <w:left w:val="single" w:sz="8" w:space="0" w:color="auto"/>
              <w:bottom w:val="single" w:sz="8" w:space="0" w:color="auto"/>
              <w:right w:val="single" w:sz="4" w:space="0" w:color="auto"/>
            </w:tcBorders>
            <w:shd w:val="clear" w:color="auto" w:fill="auto"/>
            <w:vAlign w:val="bottom"/>
            <w:hideMark/>
          </w:tcPr>
          <w:p w14:paraId="2757BF6F" w14:textId="497DCC16"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 xml:space="preserve">Aston Martin Return </w:t>
            </w:r>
            <w:proofErr w:type="gramStart"/>
            <w:r w:rsidRPr="00A3355D">
              <w:rPr>
                <w:rFonts w:ascii="Calibri" w:eastAsia="Times New Roman" w:hAnsi="Calibri" w:cs="Calibri"/>
                <w:color w:val="000000"/>
                <w:sz w:val="22"/>
                <w:lang w:eastAsia="en-GB"/>
              </w:rPr>
              <w:t>On</w:t>
            </w:r>
            <w:proofErr w:type="gramEnd"/>
            <w:r w:rsidRPr="00A3355D">
              <w:rPr>
                <w:rFonts w:ascii="Calibri" w:eastAsia="Times New Roman" w:hAnsi="Calibri" w:cs="Calibri"/>
                <w:color w:val="000000"/>
                <w:sz w:val="22"/>
                <w:lang w:eastAsia="en-GB"/>
              </w:rPr>
              <w:t xml:space="preserve"> Shareholders’ equity %</w:t>
            </w:r>
          </w:p>
        </w:tc>
        <w:tc>
          <w:tcPr>
            <w:tcW w:w="960" w:type="dxa"/>
            <w:tcBorders>
              <w:top w:val="single" w:sz="4" w:space="0" w:color="auto"/>
              <w:left w:val="nil"/>
              <w:bottom w:val="single" w:sz="8" w:space="0" w:color="auto"/>
              <w:right w:val="single" w:sz="4" w:space="0" w:color="auto"/>
            </w:tcBorders>
            <w:shd w:val="clear" w:color="auto" w:fill="auto"/>
            <w:noWrap/>
            <w:vAlign w:val="bottom"/>
            <w:hideMark/>
          </w:tcPr>
          <w:p w14:paraId="6C57D8DE"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-12.71%</w:t>
            </w:r>
          </w:p>
        </w:tc>
        <w:tc>
          <w:tcPr>
            <w:tcW w:w="960" w:type="dxa"/>
            <w:tcBorders>
              <w:top w:val="single" w:sz="4" w:space="0" w:color="auto"/>
              <w:left w:val="nil"/>
              <w:bottom w:val="single" w:sz="8" w:space="0" w:color="auto"/>
              <w:right w:val="single" w:sz="4" w:space="0" w:color="auto"/>
            </w:tcBorders>
            <w:shd w:val="clear" w:color="auto" w:fill="auto"/>
            <w:noWrap/>
            <w:vAlign w:val="bottom"/>
            <w:hideMark/>
          </w:tcPr>
          <w:p w14:paraId="0127AACC"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-29.09%</w:t>
            </w:r>
          </w:p>
        </w:tc>
        <w:tc>
          <w:tcPr>
            <w:tcW w:w="960" w:type="dxa"/>
            <w:tcBorders>
              <w:top w:val="single" w:sz="4" w:space="0" w:color="auto"/>
              <w:left w:val="nil"/>
              <w:bottom w:val="single" w:sz="8" w:space="0" w:color="auto"/>
              <w:right w:val="single" w:sz="4" w:space="0" w:color="auto"/>
            </w:tcBorders>
            <w:shd w:val="clear" w:color="auto" w:fill="auto"/>
            <w:noWrap/>
            <w:vAlign w:val="bottom"/>
            <w:hideMark/>
          </w:tcPr>
          <w:p w14:paraId="69D0082F"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-51.05%</w:t>
            </w:r>
          </w:p>
        </w:tc>
        <w:tc>
          <w:tcPr>
            <w:tcW w:w="960" w:type="dxa"/>
            <w:tcBorders>
              <w:top w:val="single" w:sz="4" w:space="0" w:color="auto"/>
              <w:left w:val="nil"/>
              <w:bottom w:val="single" w:sz="8" w:space="0" w:color="auto"/>
              <w:right w:val="single" w:sz="4" w:space="0" w:color="auto"/>
            </w:tcBorders>
            <w:shd w:val="clear" w:color="auto" w:fill="auto"/>
            <w:noWrap/>
            <w:vAlign w:val="bottom"/>
            <w:hideMark/>
          </w:tcPr>
          <w:p w14:paraId="6CD6D621"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-28.66%</w:t>
            </w:r>
          </w:p>
        </w:tc>
        <w:tc>
          <w:tcPr>
            <w:tcW w:w="960" w:type="dxa"/>
            <w:tcBorders>
              <w:top w:val="single" w:sz="4" w:space="0" w:color="auto"/>
              <w:left w:val="nil"/>
              <w:bottom w:val="single" w:sz="8" w:space="0" w:color="auto"/>
              <w:right w:val="single" w:sz="8" w:space="0" w:color="auto"/>
            </w:tcBorders>
            <w:shd w:val="clear" w:color="auto" w:fill="auto"/>
            <w:noWrap/>
            <w:vAlign w:val="bottom"/>
            <w:hideMark/>
          </w:tcPr>
          <w:p w14:paraId="08E19A3E" w14:textId="77777777" w:rsidR="00A3355D" w:rsidRPr="00A3355D" w:rsidRDefault="00A3355D" w:rsidP="00A3355D">
            <w:pPr>
              <w:spacing w:after="0" w:line="240" w:lineRule="auto"/>
              <w:jc w:val="center"/>
              <w:rPr>
                <w:rFonts w:ascii="Calibri" w:eastAsia="Times New Roman" w:hAnsi="Calibri" w:cs="Calibri"/>
                <w:color w:val="000000"/>
                <w:sz w:val="22"/>
                <w:lang w:eastAsia="en-GB"/>
              </w:rPr>
            </w:pPr>
            <w:r w:rsidRPr="00A3355D">
              <w:rPr>
                <w:rFonts w:ascii="Calibri" w:eastAsia="Times New Roman" w:hAnsi="Calibri" w:cs="Calibri"/>
                <w:color w:val="000000"/>
                <w:sz w:val="22"/>
                <w:lang w:eastAsia="en-GB"/>
              </w:rPr>
              <w:t>-68.31%</w:t>
            </w:r>
          </w:p>
        </w:tc>
      </w:tr>
    </w:tbl>
    <w:p w14:paraId="23CA17AA" w14:textId="44A851B5" w:rsidR="00A3355D" w:rsidRDefault="00A3355D" w:rsidP="00A3355D">
      <w:pPr>
        <w:pStyle w:val="Caption"/>
        <w:jc w:val="right"/>
      </w:pPr>
      <w:bookmarkStart w:id="24" w:name="_Ref146813596"/>
      <w:r>
        <w:t xml:space="preserve">Table </w:t>
      </w:r>
      <w:fldSimple w:instr=" SEQ Table \* ARABIC ">
        <w:r w:rsidR="0013381E">
          <w:rPr>
            <w:noProof/>
          </w:rPr>
          <w:t>5</w:t>
        </w:r>
      </w:fldSimple>
      <w:r>
        <w:t xml:space="preserve"> Return on Shareholders' Equity</w:t>
      </w:r>
      <w:r w:rsidR="00614CAD">
        <w:t xml:space="preserve"> Ratios</w:t>
      </w:r>
      <w:bookmarkEnd w:id="24"/>
    </w:p>
    <w:p w14:paraId="179D787D" w14:textId="1EE03EA5" w:rsidR="009511C2" w:rsidRDefault="00A3355D" w:rsidP="00556A9A">
      <w:r>
        <w:t xml:space="preserve">Ferrari Return </w:t>
      </w:r>
      <w:proofErr w:type="gramStart"/>
      <w:r>
        <w:t>On</w:t>
      </w:r>
      <w:proofErr w:type="gramEnd"/>
      <w:r>
        <w:t xml:space="preserve"> Equity is very impressive considering the volatility of the Automotive sector financial performance</w:t>
      </w:r>
      <w:r w:rsidR="006801F8">
        <w:t>. Mercedes is quite consistent and indicates good ability to remain profitable into the near future. Aston Martin’s negative results paint a worrying picture as improvement has not happened.</w:t>
      </w:r>
    </w:p>
    <w:p w14:paraId="73E90B23" w14:textId="77777777" w:rsidR="009511C2" w:rsidRDefault="009511C2" w:rsidP="00556A9A"/>
    <w:p w14:paraId="07463BBD" w14:textId="77777777" w:rsidR="009511C2" w:rsidRDefault="009511C2" w:rsidP="00556A9A"/>
    <w:p w14:paraId="3026DC88" w14:textId="77777777" w:rsidR="009511C2" w:rsidRDefault="009511C2" w:rsidP="00556A9A"/>
    <w:p w14:paraId="12E9F95D" w14:textId="77777777" w:rsidR="009511C2" w:rsidRDefault="009511C2" w:rsidP="00556A9A"/>
    <w:p w14:paraId="20D06D56" w14:textId="77777777" w:rsidR="009511C2" w:rsidRDefault="009511C2" w:rsidP="00556A9A"/>
    <w:p w14:paraId="48376E8B" w14:textId="77777777" w:rsidR="009511C2" w:rsidRDefault="009511C2" w:rsidP="00556A9A"/>
    <w:p w14:paraId="162E5BA4" w14:textId="77777777" w:rsidR="009511C2" w:rsidRDefault="009511C2" w:rsidP="00556A9A"/>
    <w:p w14:paraId="512845D0" w14:textId="77777777" w:rsidR="00E25B51" w:rsidRDefault="00E25B51" w:rsidP="00556A9A"/>
    <w:p w14:paraId="750A952F" w14:textId="77777777" w:rsidR="00E25B51" w:rsidRDefault="00E25B51" w:rsidP="00556A9A"/>
    <w:p w14:paraId="4C5FA562" w14:textId="77777777" w:rsidR="00E25B51" w:rsidRDefault="00E25B51" w:rsidP="00556A9A"/>
    <w:p w14:paraId="610918BA" w14:textId="77777777" w:rsidR="00374C65" w:rsidRDefault="00374C65" w:rsidP="00556A9A"/>
    <w:p w14:paraId="39C86DF0" w14:textId="77777777" w:rsidR="00E25B51" w:rsidRDefault="00E25B51" w:rsidP="00556A9A"/>
    <w:p w14:paraId="64BA7F4F" w14:textId="7D4AA3F3" w:rsidR="00E25B51" w:rsidRDefault="00E25B51" w:rsidP="00556A9A"/>
    <w:p w14:paraId="75220276" w14:textId="77777777" w:rsidR="009511C2" w:rsidRDefault="009511C2" w:rsidP="00556A9A"/>
    <w:p w14:paraId="41BAA886" w14:textId="79450266" w:rsidR="00B635BA" w:rsidRDefault="00C22AF9" w:rsidP="00C22AF9">
      <w:pPr>
        <w:pStyle w:val="Heading2"/>
      </w:pPr>
      <w:bookmarkStart w:id="25" w:name="_Toc146791872"/>
      <w:r>
        <w:lastRenderedPageBreak/>
        <w:t>Liquidity Ratios.</w:t>
      </w:r>
      <w:bookmarkEnd w:id="25"/>
    </w:p>
    <w:p w14:paraId="332C25EF" w14:textId="03B63491" w:rsidR="00AD3728" w:rsidRPr="00AD3728" w:rsidRDefault="00AD3728" w:rsidP="00AD3728">
      <w:r>
        <w:t xml:space="preserve">Important to investors, </w:t>
      </w:r>
      <w:proofErr w:type="gramStart"/>
      <w:r>
        <w:t>lenders</w:t>
      </w:r>
      <w:proofErr w:type="gramEnd"/>
      <w:r>
        <w:t xml:space="preserve"> and suppliers as it indicates a </w:t>
      </w:r>
      <w:r w:rsidR="00614CAD">
        <w:t>business’s</w:t>
      </w:r>
      <w:r>
        <w:t xml:space="preserve"> ability to pay its short-term obligations (current liabilities) </w:t>
      </w:r>
      <w:sdt>
        <w:sdtPr>
          <w:id w:val="1111320494"/>
          <w:citation/>
        </w:sdtPr>
        <w:sdtContent>
          <w:r>
            <w:fldChar w:fldCharType="begin"/>
          </w:r>
          <w:r>
            <w:instrText xml:space="preserve"> CITATION Fri11 \l 2057 </w:instrText>
          </w:r>
          <w:r>
            <w:fldChar w:fldCharType="separate"/>
          </w:r>
          <w:r w:rsidR="007D5C64" w:rsidRPr="007D5C64">
            <w:rPr>
              <w:noProof/>
            </w:rPr>
            <w:t>(Fridson &amp; Alvarez, 2011)</w:t>
          </w:r>
          <w:r>
            <w:fldChar w:fldCharType="end"/>
          </w:r>
        </w:sdtContent>
      </w:sdt>
      <w:r>
        <w:t>.</w:t>
      </w:r>
    </w:p>
    <w:p w14:paraId="4FA503AB" w14:textId="7DAEEC95" w:rsidR="00C22AF9" w:rsidRDefault="00E25B51" w:rsidP="00E25B51">
      <w:pPr>
        <w:pStyle w:val="Heading3"/>
      </w:pPr>
      <w:bookmarkStart w:id="26" w:name="_Toc146791873"/>
      <w:r>
        <w:t>Current Ratio</w:t>
      </w:r>
      <w:bookmarkEnd w:id="26"/>
    </w:p>
    <w:p w14:paraId="1A014980" w14:textId="4ECF5799" w:rsidR="00B635BA" w:rsidRDefault="00E25B51">
      <w:r>
        <w:t xml:space="preserve">Compares the </w:t>
      </w:r>
      <w:r w:rsidR="00B719CD">
        <w:t>current</w:t>
      </w:r>
      <w:r>
        <w:t xml:space="preserve"> </w:t>
      </w:r>
      <w:r w:rsidR="00B719CD">
        <w:t xml:space="preserve">short-term </w:t>
      </w:r>
      <w:r>
        <w:t xml:space="preserve">assets of the business and its current liabilities. The higher the Current Ratio the more liquidity it has, but too high a Ratio indicates </w:t>
      </w:r>
      <w:r w:rsidR="007678F0">
        <w:t>that there might not be enough investment to keep a business a</w:t>
      </w:r>
      <w:r w:rsidR="00B719CD">
        <w:t>t</w:t>
      </w:r>
      <w:r w:rsidR="007678F0">
        <w:t xml:space="preserve"> the cutting edge of technology and ahead of its rivals.</w:t>
      </w:r>
      <w:r>
        <w:t xml:space="preserve">  </w:t>
      </w:r>
      <w:sdt>
        <w:sdtPr>
          <w:id w:val="-401685272"/>
          <w:citation/>
        </w:sdtPr>
        <w:sdtContent>
          <w:r>
            <w:fldChar w:fldCharType="begin"/>
          </w:r>
          <w:r>
            <w:instrText xml:space="preserve"> CITATION Atr17 \l 2057 </w:instrText>
          </w:r>
          <w:r>
            <w:fldChar w:fldCharType="separate"/>
          </w:r>
          <w:r w:rsidR="007D5C64" w:rsidRPr="007D5C64">
            <w:rPr>
              <w:noProof/>
            </w:rPr>
            <w:t>(Atrill &amp; McLaney, 2017)</w:t>
          </w:r>
          <w:r>
            <w:fldChar w:fldCharType="end"/>
          </w:r>
        </w:sdtContent>
      </w:sdt>
      <w:r>
        <w:t>.</w:t>
      </w:r>
    </w:p>
    <w:tbl>
      <w:tblPr>
        <w:tblW w:w="7820" w:type="dxa"/>
        <w:jc w:val="center"/>
        <w:tblLook w:val="04A0" w:firstRow="1" w:lastRow="0" w:firstColumn="1" w:lastColumn="0" w:noHBand="0" w:noVBand="1"/>
      </w:tblPr>
      <w:tblGrid>
        <w:gridCol w:w="2020"/>
        <w:gridCol w:w="1160"/>
        <w:gridCol w:w="1160"/>
        <w:gridCol w:w="1160"/>
        <w:gridCol w:w="1160"/>
        <w:gridCol w:w="1160"/>
      </w:tblGrid>
      <w:tr w:rsidR="00DA06C1" w:rsidRPr="00DA06C1" w14:paraId="69FD5E7F" w14:textId="77777777" w:rsidTr="0064135A">
        <w:trPr>
          <w:trHeight w:val="288"/>
          <w:jc w:val="center"/>
        </w:trPr>
        <w:tc>
          <w:tcPr>
            <w:tcW w:w="2020" w:type="dxa"/>
            <w:tcBorders>
              <w:top w:val="single" w:sz="8" w:space="0" w:color="auto"/>
              <w:left w:val="single" w:sz="8" w:space="0" w:color="auto"/>
              <w:bottom w:val="single" w:sz="4" w:space="0" w:color="auto"/>
              <w:right w:val="single" w:sz="4" w:space="0" w:color="auto"/>
            </w:tcBorders>
            <w:shd w:val="clear" w:color="000000" w:fill="0070C0"/>
            <w:noWrap/>
            <w:vAlign w:val="bottom"/>
            <w:hideMark/>
          </w:tcPr>
          <w:p w14:paraId="3DC87C0D"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Year</w:t>
            </w:r>
          </w:p>
        </w:tc>
        <w:tc>
          <w:tcPr>
            <w:tcW w:w="1160" w:type="dxa"/>
            <w:tcBorders>
              <w:top w:val="single" w:sz="8" w:space="0" w:color="auto"/>
              <w:left w:val="nil"/>
              <w:bottom w:val="single" w:sz="4" w:space="0" w:color="auto"/>
              <w:right w:val="single" w:sz="4" w:space="0" w:color="auto"/>
            </w:tcBorders>
            <w:shd w:val="clear" w:color="000000" w:fill="0070C0"/>
            <w:noWrap/>
            <w:vAlign w:val="bottom"/>
            <w:hideMark/>
          </w:tcPr>
          <w:p w14:paraId="4F4BD63E"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2018</w:t>
            </w:r>
          </w:p>
        </w:tc>
        <w:tc>
          <w:tcPr>
            <w:tcW w:w="1160" w:type="dxa"/>
            <w:tcBorders>
              <w:top w:val="single" w:sz="8" w:space="0" w:color="auto"/>
              <w:left w:val="nil"/>
              <w:bottom w:val="single" w:sz="4" w:space="0" w:color="auto"/>
              <w:right w:val="single" w:sz="4" w:space="0" w:color="auto"/>
            </w:tcBorders>
            <w:shd w:val="clear" w:color="000000" w:fill="0070C0"/>
            <w:noWrap/>
            <w:vAlign w:val="bottom"/>
            <w:hideMark/>
          </w:tcPr>
          <w:p w14:paraId="2B66D8FF"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2019</w:t>
            </w:r>
          </w:p>
        </w:tc>
        <w:tc>
          <w:tcPr>
            <w:tcW w:w="1160" w:type="dxa"/>
            <w:tcBorders>
              <w:top w:val="single" w:sz="8" w:space="0" w:color="auto"/>
              <w:left w:val="nil"/>
              <w:bottom w:val="single" w:sz="4" w:space="0" w:color="auto"/>
              <w:right w:val="single" w:sz="4" w:space="0" w:color="auto"/>
            </w:tcBorders>
            <w:shd w:val="clear" w:color="000000" w:fill="0070C0"/>
            <w:noWrap/>
            <w:vAlign w:val="bottom"/>
            <w:hideMark/>
          </w:tcPr>
          <w:p w14:paraId="239F8BA0"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2020</w:t>
            </w:r>
          </w:p>
        </w:tc>
        <w:tc>
          <w:tcPr>
            <w:tcW w:w="1160" w:type="dxa"/>
            <w:tcBorders>
              <w:top w:val="single" w:sz="8" w:space="0" w:color="auto"/>
              <w:left w:val="nil"/>
              <w:bottom w:val="single" w:sz="4" w:space="0" w:color="auto"/>
              <w:right w:val="single" w:sz="4" w:space="0" w:color="auto"/>
            </w:tcBorders>
            <w:shd w:val="clear" w:color="000000" w:fill="0070C0"/>
            <w:noWrap/>
            <w:vAlign w:val="bottom"/>
            <w:hideMark/>
          </w:tcPr>
          <w:p w14:paraId="3ABC3C90"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2021</w:t>
            </w:r>
          </w:p>
        </w:tc>
        <w:tc>
          <w:tcPr>
            <w:tcW w:w="1160" w:type="dxa"/>
            <w:tcBorders>
              <w:top w:val="single" w:sz="8" w:space="0" w:color="auto"/>
              <w:left w:val="nil"/>
              <w:bottom w:val="single" w:sz="4" w:space="0" w:color="auto"/>
              <w:right w:val="single" w:sz="8" w:space="0" w:color="auto"/>
            </w:tcBorders>
            <w:shd w:val="clear" w:color="000000" w:fill="0070C0"/>
            <w:noWrap/>
            <w:vAlign w:val="bottom"/>
            <w:hideMark/>
          </w:tcPr>
          <w:p w14:paraId="626C2612"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2022</w:t>
            </w:r>
          </w:p>
        </w:tc>
      </w:tr>
      <w:tr w:rsidR="00DA06C1" w:rsidRPr="00DA06C1" w14:paraId="147AAD23" w14:textId="77777777" w:rsidTr="0064135A">
        <w:trPr>
          <w:trHeight w:val="999"/>
          <w:jc w:val="center"/>
        </w:trPr>
        <w:tc>
          <w:tcPr>
            <w:tcW w:w="2020" w:type="dxa"/>
            <w:tcBorders>
              <w:top w:val="nil"/>
              <w:left w:val="single" w:sz="8" w:space="0" w:color="auto"/>
              <w:bottom w:val="single" w:sz="4" w:space="0" w:color="auto"/>
              <w:right w:val="single" w:sz="4" w:space="0" w:color="auto"/>
            </w:tcBorders>
            <w:shd w:val="clear" w:color="auto" w:fill="auto"/>
            <w:vAlign w:val="bottom"/>
            <w:hideMark/>
          </w:tcPr>
          <w:p w14:paraId="381F25CC" w14:textId="5DD598B3"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Average Mercedes Current Ratio</w:t>
            </w:r>
          </w:p>
        </w:tc>
        <w:tc>
          <w:tcPr>
            <w:tcW w:w="1160" w:type="dxa"/>
            <w:tcBorders>
              <w:top w:val="nil"/>
              <w:left w:val="nil"/>
              <w:bottom w:val="single" w:sz="4" w:space="0" w:color="auto"/>
              <w:right w:val="single" w:sz="4" w:space="0" w:color="auto"/>
            </w:tcBorders>
            <w:shd w:val="clear" w:color="auto" w:fill="auto"/>
            <w:noWrap/>
            <w:vAlign w:val="bottom"/>
            <w:hideMark/>
          </w:tcPr>
          <w:p w14:paraId="1DF9E006"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1.20</w:t>
            </w:r>
          </w:p>
        </w:tc>
        <w:tc>
          <w:tcPr>
            <w:tcW w:w="1160" w:type="dxa"/>
            <w:tcBorders>
              <w:top w:val="nil"/>
              <w:left w:val="nil"/>
              <w:bottom w:val="single" w:sz="4" w:space="0" w:color="auto"/>
              <w:right w:val="single" w:sz="4" w:space="0" w:color="auto"/>
            </w:tcBorders>
            <w:shd w:val="clear" w:color="auto" w:fill="auto"/>
            <w:noWrap/>
            <w:vAlign w:val="bottom"/>
            <w:hideMark/>
          </w:tcPr>
          <w:p w14:paraId="161402A6"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1.20</w:t>
            </w:r>
          </w:p>
        </w:tc>
        <w:tc>
          <w:tcPr>
            <w:tcW w:w="1160" w:type="dxa"/>
            <w:tcBorders>
              <w:top w:val="nil"/>
              <w:left w:val="nil"/>
              <w:bottom w:val="single" w:sz="4" w:space="0" w:color="auto"/>
              <w:right w:val="single" w:sz="4" w:space="0" w:color="auto"/>
            </w:tcBorders>
            <w:shd w:val="clear" w:color="auto" w:fill="auto"/>
            <w:noWrap/>
            <w:vAlign w:val="bottom"/>
            <w:hideMark/>
          </w:tcPr>
          <w:p w14:paraId="18B66430"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1.20</w:t>
            </w:r>
          </w:p>
        </w:tc>
        <w:tc>
          <w:tcPr>
            <w:tcW w:w="1160" w:type="dxa"/>
            <w:tcBorders>
              <w:top w:val="nil"/>
              <w:left w:val="nil"/>
              <w:bottom w:val="single" w:sz="4" w:space="0" w:color="auto"/>
              <w:right w:val="single" w:sz="4" w:space="0" w:color="auto"/>
            </w:tcBorders>
            <w:shd w:val="clear" w:color="auto" w:fill="auto"/>
            <w:noWrap/>
            <w:vAlign w:val="bottom"/>
            <w:hideMark/>
          </w:tcPr>
          <w:p w14:paraId="282E3CA9"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1.20</w:t>
            </w:r>
          </w:p>
        </w:tc>
        <w:tc>
          <w:tcPr>
            <w:tcW w:w="1160" w:type="dxa"/>
            <w:tcBorders>
              <w:top w:val="nil"/>
              <w:left w:val="nil"/>
              <w:bottom w:val="single" w:sz="4" w:space="0" w:color="auto"/>
              <w:right w:val="single" w:sz="8" w:space="0" w:color="auto"/>
            </w:tcBorders>
            <w:shd w:val="clear" w:color="auto" w:fill="auto"/>
            <w:noWrap/>
            <w:vAlign w:val="bottom"/>
            <w:hideMark/>
          </w:tcPr>
          <w:p w14:paraId="10D9F437"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1.20</w:t>
            </w:r>
          </w:p>
        </w:tc>
      </w:tr>
      <w:tr w:rsidR="00DA06C1" w:rsidRPr="00DA06C1" w14:paraId="7AF6FEB4" w14:textId="77777777" w:rsidTr="0064135A">
        <w:trPr>
          <w:trHeight w:val="999"/>
          <w:jc w:val="center"/>
        </w:trPr>
        <w:tc>
          <w:tcPr>
            <w:tcW w:w="2020" w:type="dxa"/>
            <w:tcBorders>
              <w:top w:val="nil"/>
              <w:left w:val="single" w:sz="8" w:space="0" w:color="auto"/>
              <w:bottom w:val="nil"/>
              <w:right w:val="single" w:sz="4" w:space="0" w:color="auto"/>
            </w:tcBorders>
            <w:shd w:val="clear" w:color="auto" w:fill="auto"/>
            <w:vAlign w:val="bottom"/>
            <w:hideMark/>
          </w:tcPr>
          <w:p w14:paraId="4150D24F"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Ferrari Current Ratio</w:t>
            </w:r>
          </w:p>
        </w:tc>
        <w:tc>
          <w:tcPr>
            <w:tcW w:w="1160" w:type="dxa"/>
            <w:tcBorders>
              <w:top w:val="nil"/>
              <w:left w:val="nil"/>
              <w:bottom w:val="nil"/>
              <w:right w:val="single" w:sz="4" w:space="0" w:color="auto"/>
            </w:tcBorders>
            <w:shd w:val="clear" w:color="auto" w:fill="auto"/>
            <w:noWrap/>
            <w:vAlign w:val="bottom"/>
            <w:hideMark/>
          </w:tcPr>
          <w:p w14:paraId="54A0FC30"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3.75</w:t>
            </w:r>
          </w:p>
        </w:tc>
        <w:tc>
          <w:tcPr>
            <w:tcW w:w="1160" w:type="dxa"/>
            <w:tcBorders>
              <w:top w:val="nil"/>
              <w:left w:val="nil"/>
              <w:bottom w:val="nil"/>
              <w:right w:val="single" w:sz="4" w:space="0" w:color="auto"/>
            </w:tcBorders>
            <w:shd w:val="clear" w:color="auto" w:fill="auto"/>
            <w:noWrap/>
            <w:vAlign w:val="bottom"/>
            <w:hideMark/>
          </w:tcPr>
          <w:p w14:paraId="3EF78EF6"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3.68</w:t>
            </w:r>
          </w:p>
        </w:tc>
        <w:tc>
          <w:tcPr>
            <w:tcW w:w="1160" w:type="dxa"/>
            <w:tcBorders>
              <w:top w:val="nil"/>
              <w:left w:val="nil"/>
              <w:bottom w:val="nil"/>
              <w:right w:val="single" w:sz="4" w:space="0" w:color="auto"/>
            </w:tcBorders>
            <w:shd w:val="clear" w:color="auto" w:fill="auto"/>
            <w:noWrap/>
            <w:vAlign w:val="bottom"/>
            <w:hideMark/>
          </w:tcPr>
          <w:p w14:paraId="3A343ED2"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4.22</w:t>
            </w:r>
          </w:p>
        </w:tc>
        <w:tc>
          <w:tcPr>
            <w:tcW w:w="1160" w:type="dxa"/>
            <w:tcBorders>
              <w:top w:val="nil"/>
              <w:left w:val="nil"/>
              <w:bottom w:val="nil"/>
              <w:right w:val="single" w:sz="4" w:space="0" w:color="auto"/>
            </w:tcBorders>
            <w:shd w:val="clear" w:color="auto" w:fill="auto"/>
            <w:noWrap/>
            <w:vAlign w:val="bottom"/>
            <w:hideMark/>
          </w:tcPr>
          <w:p w14:paraId="015AD4C3"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3.69</w:t>
            </w:r>
          </w:p>
        </w:tc>
        <w:tc>
          <w:tcPr>
            <w:tcW w:w="1160" w:type="dxa"/>
            <w:tcBorders>
              <w:top w:val="nil"/>
              <w:left w:val="nil"/>
              <w:bottom w:val="nil"/>
              <w:right w:val="single" w:sz="8" w:space="0" w:color="auto"/>
            </w:tcBorders>
            <w:shd w:val="clear" w:color="auto" w:fill="auto"/>
            <w:noWrap/>
            <w:vAlign w:val="bottom"/>
            <w:hideMark/>
          </w:tcPr>
          <w:p w14:paraId="14A0E17C"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4.11</w:t>
            </w:r>
          </w:p>
        </w:tc>
      </w:tr>
      <w:tr w:rsidR="00DA06C1" w:rsidRPr="00DA06C1" w14:paraId="78F36F21" w14:textId="77777777" w:rsidTr="0064135A">
        <w:trPr>
          <w:trHeight w:val="999"/>
          <w:jc w:val="center"/>
        </w:trPr>
        <w:tc>
          <w:tcPr>
            <w:tcW w:w="2020" w:type="dxa"/>
            <w:tcBorders>
              <w:top w:val="single" w:sz="4" w:space="0" w:color="auto"/>
              <w:left w:val="single" w:sz="8" w:space="0" w:color="auto"/>
              <w:bottom w:val="single" w:sz="8" w:space="0" w:color="auto"/>
              <w:right w:val="single" w:sz="4" w:space="0" w:color="auto"/>
            </w:tcBorders>
            <w:shd w:val="clear" w:color="auto" w:fill="auto"/>
            <w:vAlign w:val="bottom"/>
            <w:hideMark/>
          </w:tcPr>
          <w:p w14:paraId="70962E9E"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Aston Martin Current Ratio</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4C87694B"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0.68</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01DF52DE"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0.66</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6F7AC259"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1.10</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537EB6E9"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0.96</w:t>
            </w:r>
          </w:p>
        </w:tc>
        <w:tc>
          <w:tcPr>
            <w:tcW w:w="1160" w:type="dxa"/>
            <w:tcBorders>
              <w:top w:val="single" w:sz="4" w:space="0" w:color="auto"/>
              <w:left w:val="nil"/>
              <w:bottom w:val="single" w:sz="8" w:space="0" w:color="auto"/>
              <w:right w:val="single" w:sz="8" w:space="0" w:color="auto"/>
            </w:tcBorders>
            <w:shd w:val="clear" w:color="auto" w:fill="auto"/>
            <w:noWrap/>
            <w:vAlign w:val="bottom"/>
            <w:hideMark/>
          </w:tcPr>
          <w:p w14:paraId="3F3BECAD" w14:textId="77777777" w:rsidR="00DA06C1" w:rsidRPr="00DA06C1" w:rsidRDefault="00DA06C1" w:rsidP="00DA06C1">
            <w:pPr>
              <w:spacing w:after="0" w:line="240" w:lineRule="auto"/>
              <w:jc w:val="center"/>
              <w:rPr>
                <w:rFonts w:ascii="Calibri" w:eastAsia="Times New Roman" w:hAnsi="Calibri" w:cs="Calibri"/>
                <w:color w:val="000000"/>
                <w:sz w:val="22"/>
                <w:lang w:eastAsia="en-GB"/>
              </w:rPr>
            </w:pPr>
            <w:r w:rsidRPr="00DA06C1">
              <w:rPr>
                <w:rFonts w:ascii="Calibri" w:eastAsia="Times New Roman" w:hAnsi="Calibri" w:cs="Calibri"/>
                <w:color w:val="000000"/>
                <w:sz w:val="22"/>
                <w:lang w:eastAsia="en-GB"/>
              </w:rPr>
              <w:t>1.08</w:t>
            </w:r>
          </w:p>
        </w:tc>
      </w:tr>
    </w:tbl>
    <w:p w14:paraId="093C1228" w14:textId="22ECF892" w:rsidR="00B635BA" w:rsidRDefault="007678F0" w:rsidP="007678F0">
      <w:pPr>
        <w:pStyle w:val="Caption"/>
        <w:jc w:val="right"/>
      </w:pPr>
      <w:bookmarkStart w:id="27" w:name="_Ref146813624"/>
      <w:r>
        <w:t xml:space="preserve">Table </w:t>
      </w:r>
      <w:fldSimple w:instr=" SEQ Table \* ARABIC ">
        <w:r w:rsidR="0013381E">
          <w:rPr>
            <w:noProof/>
          </w:rPr>
          <w:t>6</w:t>
        </w:r>
      </w:fldSimple>
      <w:r>
        <w:t xml:space="preserve"> Current Ratios</w:t>
      </w:r>
      <w:bookmarkEnd w:id="27"/>
    </w:p>
    <w:p w14:paraId="3D959776" w14:textId="7EF1B44E" w:rsidR="00B635BA" w:rsidRDefault="00B719CD">
      <w:r>
        <w:t xml:space="preserve">Mercedes </w:t>
      </w:r>
      <w:proofErr w:type="gramStart"/>
      <w:r>
        <w:t>publish</w:t>
      </w:r>
      <w:proofErr w:type="gramEnd"/>
      <w:r>
        <w:t xml:space="preserve"> average values on-line</w:t>
      </w:r>
      <w:r w:rsidR="00DA06C1">
        <w:t xml:space="preserve"> and are</w:t>
      </w:r>
      <w:r>
        <w:t xml:space="preserve"> </w:t>
      </w:r>
      <w:r w:rsidR="00DA06C1">
        <w:t>still</w:t>
      </w:r>
      <w:r>
        <w:t xml:space="preserve"> above Aston Martin’s results. </w:t>
      </w:r>
      <w:r w:rsidR="00DA06C1">
        <w:t xml:space="preserve">Ferrari maintains its strong performance. </w:t>
      </w:r>
      <w:r>
        <w:t>Some improvement has been maintained since 2020</w:t>
      </w:r>
      <w:r w:rsidR="00537F68">
        <w:t>, which coincides with the Addition of Mr Stroll and his group of investors.</w:t>
      </w:r>
    </w:p>
    <w:p w14:paraId="3634E848" w14:textId="32B74DC8" w:rsidR="00AE49DF" w:rsidRDefault="00537F68" w:rsidP="00537F68">
      <w:pPr>
        <w:pStyle w:val="Heading3"/>
      </w:pPr>
      <w:bookmarkStart w:id="28" w:name="_Toc146791874"/>
      <w:r>
        <w:t>Quick Ratio (Acid Test Ratio).</w:t>
      </w:r>
      <w:bookmarkEnd w:id="28"/>
    </w:p>
    <w:p w14:paraId="6923B7E9" w14:textId="0D41D490" w:rsidR="00537F68" w:rsidRDefault="00537F68">
      <w:r>
        <w:t xml:space="preserve">Like the Quick Ratio “but represents a more Stringent test of Liquidity” </w:t>
      </w:r>
      <w:sdt>
        <w:sdtPr>
          <w:id w:val="925541577"/>
          <w:citation/>
        </w:sdtPr>
        <w:sdtContent>
          <w:r>
            <w:fldChar w:fldCharType="begin"/>
          </w:r>
          <w:r>
            <w:instrText xml:space="preserve"> CITATION Atr17 \l 2057 </w:instrText>
          </w:r>
          <w:r>
            <w:fldChar w:fldCharType="separate"/>
          </w:r>
          <w:r w:rsidR="007D5C64" w:rsidRPr="007D5C64">
            <w:rPr>
              <w:noProof/>
            </w:rPr>
            <w:t>(Atrill &amp; McLaney, 2017)</w:t>
          </w:r>
          <w:r>
            <w:fldChar w:fldCharType="end"/>
          </w:r>
        </w:sdtContent>
      </w:sdt>
      <w:r>
        <w:t>. The removal of Stock value from Current Assets makes the Ratio more exacting.</w:t>
      </w:r>
    </w:p>
    <w:tbl>
      <w:tblPr>
        <w:tblW w:w="7820" w:type="dxa"/>
        <w:jc w:val="center"/>
        <w:tblLook w:val="04A0" w:firstRow="1" w:lastRow="0" w:firstColumn="1" w:lastColumn="0" w:noHBand="0" w:noVBand="1"/>
      </w:tblPr>
      <w:tblGrid>
        <w:gridCol w:w="2020"/>
        <w:gridCol w:w="1160"/>
        <w:gridCol w:w="1160"/>
        <w:gridCol w:w="1160"/>
        <w:gridCol w:w="1160"/>
        <w:gridCol w:w="1160"/>
      </w:tblGrid>
      <w:tr w:rsidR="003B5B03" w:rsidRPr="003B5B03" w14:paraId="45D62FA3" w14:textId="77777777" w:rsidTr="003B5B03">
        <w:trPr>
          <w:trHeight w:val="288"/>
          <w:jc w:val="center"/>
        </w:trPr>
        <w:tc>
          <w:tcPr>
            <w:tcW w:w="2020" w:type="dxa"/>
            <w:tcBorders>
              <w:top w:val="single" w:sz="8" w:space="0" w:color="auto"/>
              <w:left w:val="single" w:sz="8" w:space="0" w:color="auto"/>
              <w:bottom w:val="single" w:sz="4" w:space="0" w:color="auto"/>
              <w:right w:val="single" w:sz="4" w:space="0" w:color="auto"/>
            </w:tcBorders>
            <w:shd w:val="clear" w:color="000000" w:fill="0070C0"/>
            <w:noWrap/>
            <w:vAlign w:val="bottom"/>
            <w:hideMark/>
          </w:tcPr>
          <w:p w14:paraId="16E9DB74"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Year</w:t>
            </w:r>
          </w:p>
        </w:tc>
        <w:tc>
          <w:tcPr>
            <w:tcW w:w="1160" w:type="dxa"/>
            <w:tcBorders>
              <w:top w:val="single" w:sz="8" w:space="0" w:color="auto"/>
              <w:left w:val="nil"/>
              <w:bottom w:val="single" w:sz="4" w:space="0" w:color="auto"/>
              <w:right w:val="single" w:sz="4" w:space="0" w:color="auto"/>
            </w:tcBorders>
            <w:shd w:val="clear" w:color="000000" w:fill="0070C0"/>
            <w:noWrap/>
            <w:vAlign w:val="bottom"/>
            <w:hideMark/>
          </w:tcPr>
          <w:p w14:paraId="2494B10E"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2018</w:t>
            </w:r>
          </w:p>
        </w:tc>
        <w:tc>
          <w:tcPr>
            <w:tcW w:w="1160" w:type="dxa"/>
            <w:tcBorders>
              <w:top w:val="single" w:sz="8" w:space="0" w:color="auto"/>
              <w:left w:val="nil"/>
              <w:bottom w:val="single" w:sz="4" w:space="0" w:color="auto"/>
              <w:right w:val="single" w:sz="4" w:space="0" w:color="auto"/>
            </w:tcBorders>
            <w:shd w:val="clear" w:color="000000" w:fill="0070C0"/>
            <w:noWrap/>
            <w:vAlign w:val="bottom"/>
            <w:hideMark/>
          </w:tcPr>
          <w:p w14:paraId="77593D99"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2019</w:t>
            </w:r>
          </w:p>
        </w:tc>
        <w:tc>
          <w:tcPr>
            <w:tcW w:w="1160" w:type="dxa"/>
            <w:tcBorders>
              <w:top w:val="single" w:sz="8" w:space="0" w:color="auto"/>
              <w:left w:val="nil"/>
              <w:bottom w:val="single" w:sz="4" w:space="0" w:color="auto"/>
              <w:right w:val="single" w:sz="4" w:space="0" w:color="auto"/>
            </w:tcBorders>
            <w:shd w:val="clear" w:color="000000" w:fill="0070C0"/>
            <w:noWrap/>
            <w:vAlign w:val="bottom"/>
            <w:hideMark/>
          </w:tcPr>
          <w:p w14:paraId="359D1CC8"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2020</w:t>
            </w:r>
          </w:p>
        </w:tc>
        <w:tc>
          <w:tcPr>
            <w:tcW w:w="1160" w:type="dxa"/>
            <w:tcBorders>
              <w:top w:val="single" w:sz="8" w:space="0" w:color="auto"/>
              <w:left w:val="nil"/>
              <w:bottom w:val="single" w:sz="4" w:space="0" w:color="auto"/>
              <w:right w:val="single" w:sz="4" w:space="0" w:color="auto"/>
            </w:tcBorders>
            <w:shd w:val="clear" w:color="000000" w:fill="0070C0"/>
            <w:noWrap/>
            <w:vAlign w:val="bottom"/>
            <w:hideMark/>
          </w:tcPr>
          <w:p w14:paraId="6765E46B"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2021</w:t>
            </w:r>
          </w:p>
        </w:tc>
        <w:tc>
          <w:tcPr>
            <w:tcW w:w="1160" w:type="dxa"/>
            <w:tcBorders>
              <w:top w:val="single" w:sz="8" w:space="0" w:color="auto"/>
              <w:left w:val="nil"/>
              <w:bottom w:val="single" w:sz="4" w:space="0" w:color="auto"/>
              <w:right w:val="single" w:sz="8" w:space="0" w:color="auto"/>
            </w:tcBorders>
            <w:shd w:val="clear" w:color="000000" w:fill="0070C0"/>
            <w:noWrap/>
            <w:vAlign w:val="bottom"/>
            <w:hideMark/>
          </w:tcPr>
          <w:p w14:paraId="4AF8CCD0"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2022</w:t>
            </w:r>
          </w:p>
        </w:tc>
      </w:tr>
      <w:tr w:rsidR="003B5B03" w:rsidRPr="003B5B03" w14:paraId="10F20B3F" w14:textId="77777777" w:rsidTr="003B5B03">
        <w:trPr>
          <w:trHeight w:val="999"/>
          <w:jc w:val="center"/>
        </w:trPr>
        <w:tc>
          <w:tcPr>
            <w:tcW w:w="2020" w:type="dxa"/>
            <w:tcBorders>
              <w:top w:val="nil"/>
              <w:left w:val="single" w:sz="8" w:space="0" w:color="auto"/>
              <w:bottom w:val="single" w:sz="4" w:space="0" w:color="auto"/>
              <w:right w:val="single" w:sz="4" w:space="0" w:color="auto"/>
            </w:tcBorders>
            <w:shd w:val="clear" w:color="auto" w:fill="auto"/>
            <w:vAlign w:val="bottom"/>
            <w:hideMark/>
          </w:tcPr>
          <w:p w14:paraId="44EE6585"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Average Mercedes Quick Ratio</w:t>
            </w:r>
          </w:p>
        </w:tc>
        <w:tc>
          <w:tcPr>
            <w:tcW w:w="1160" w:type="dxa"/>
            <w:tcBorders>
              <w:top w:val="nil"/>
              <w:left w:val="nil"/>
              <w:bottom w:val="single" w:sz="4" w:space="0" w:color="auto"/>
              <w:right w:val="single" w:sz="4" w:space="0" w:color="auto"/>
            </w:tcBorders>
            <w:shd w:val="clear" w:color="auto" w:fill="auto"/>
            <w:noWrap/>
            <w:vAlign w:val="bottom"/>
            <w:hideMark/>
          </w:tcPr>
          <w:p w14:paraId="08B968FA"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0.30</w:t>
            </w:r>
          </w:p>
        </w:tc>
        <w:tc>
          <w:tcPr>
            <w:tcW w:w="1160" w:type="dxa"/>
            <w:tcBorders>
              <w:top w:val="nil"/>
              <w:left w:val="nil"/>
              <w:bottom w:val="single" w:sz="4" w:space="0" w:color="auto"/>
              <w:right w:val="single" w:sz="4" w:space="0" w:color="auto"/>
            </w:tcBorders>
            <w:shd w:val="clear" w:color="auto" w:fill="auto"/>
            <w:noWrap/>
            <w:vAlign w:val="bottom"/>
            <w:hideMark/>
          </w:tcPr>
          <w:p w14:paraId="4BFCE123"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0.30</w:t>
            </w:r>
          </w:p>
        </w:tc>
        <w:tc>
          <w:tcPr>
            <w:tcW w:w="1160" w:type="dxa"/>
            <w:tcBorders>
              <w:top w:val="nil"/>
              <w:left w:val="nil"/>
              <w:bottom w:val="single" w:sz="4" w:space="0" w:color="auto"/>
              <w:right w:val="single" w:sz="4" w:space="0" w:color="auto"/>
            </w:tcBorders>
            <w:shd w:val="clear" w:color="auto" w:fill="auto"/>
            <w:noWrap/>
            <w:vAlign w:val="bottom"/>
            <w:hideMark/>
          </w:tcPr>
          <w:p w14:paraId="3F55DCE6"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0.30</w:t>
            </w:r>
          </w:p>
        </w:tc>
        <w:tc>
          <w:tcPr>
            <w:tcW w:w="1160" w:type="dxa"/>
            <w:tcBorders>
              <w:top w:val="nil"/>
              <w:left w:val="nil"/>
              <w:bottom w:val="single" w:sz="4" w:space="0" w:color="auto"/>
              <w:right w:val="single" w:sz="4" w:space="0" w:color="auto"/>
            </w:tcBorders>
            <w:shd w:val="clear" w:color="auto" w:fill="auto"/>
            <w:noWrap/>
            <w:vAlign w:val="bottom"/>
            <w:hideMark/>
          </w:tcPr>
          <w:p w14:paraId="5C082D95"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0.30</w:t>
            </w:r>
          </w:p>
        </w:tc>
        <w:tc>
          <w:tcPr>
            <w:tcW w:w="1160" w:type="dxa"/>
            <w:tcBorders>
              <w:top w:val="nil"/>
              <w:left w:val="nil"/>
              <w:bottom w:val="single" w:sz="4" w:space="0" w:color="auto"/>
              <w:right w:val="single" w:sz="8" w:space="0" w:color="auto"/>
            </w:tcBorders>
            <w:shd w:val="clear" w:color="auto" w:fill="auto"/>
            <w:noWrap/>
            <w:vAlign w:val="bottom"/>
            <w:hideMark/>
          </w:tcPr>
          <w:p w14:paraId="40C998A7"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0.30</w:t>
            </w:r>
          </w:p>
        </w:tc>
      </w:tr>
      <w:tr w:rsidR="003B5B03" w:rsidRPr="003B5B03" w14:paraId="23D20EF6" w14:textId="77777777" w:rsidTr="003B5B03">
        <w:trPr>
          <w:trHeight w:val="999"/>
          <w:jc w:val="center"/>
        </w:trPr>
        <w:tc>
          <w:tcPr>
            <w:tcW w:w="2020" w:type="dxa"/>
            <w:tcBorders>
              <w:top w:val="nil"/>
              <w:left w:val="single" w:sz="8" w:space="0" w:color="auto"/>
              <w:bottom w:val="nil"/>
              <w:right w:val="single" w:sz="4" w:space="0" w:color="auto"/>
            </w:tcBorders>
            <w:shd w:val="clear" w:color="auto" w:fill="auto"/>
            <w:vAlign w:val="bottom"/>
            <w:hideMark/>
          </w:tcPr>
          <w:p w14:paraId="30A63BCA"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Ferrari Quick Ratio</w:t>
            </w:r>
          </w:p>
        </w:tc>
        <w:tc>
          <w:tcPr>
            <w:tcW w:w="1160" w:type="dxa"/>
            <w:tcBorders>
              <w:top w:val="nil"/>
              <w:left w:val="nil"/>
              <w:bottom w:val="nil"/>
              <w:right w:val="single" w:sz="4" w:space="0" w:color="auto"/>
            </w:tcBorders>
            <w:shd w:val="clear" w:color="auto" w:fill="auto"/>
            <w:noWrap/>
            <w:vAlign w:val="bottom"/>
            <w:hideMark/>
          </w:tcPr>
          <w:p w14:paraId="74508E4B"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3.15</w:t>
            </w:r>
          </w:p>
        </w:tc>
        <w:tc>
          <w:tcPr>
            <w:tcW w:w="1160" w:type="dxa"/>
            <w:tcBorders>
              <w:top w:val="nil"/>
              <w:left w:val="nil"/>
              <w:bottom w:val="nil"/>
              <w:right w:val="single" w:sz="4" w:space="0" w:color="auto"/>
            </w:tcBorders>
            <w:shd w:val="clear" w:color="auto" w:fill="auto"/>
            <w:noWrap/>
            <w:vAlign w:val="bottom"/>
            <w:hideMark/>
          </w:tcPr>
          <w:p w14:paraId="516FD240"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3.09</w:t>
            </w:r>
          </w:p>
        </w:tc>
        <w:tc>
          <w:tcPr>
            <w:tcW w:w="1160" w:type="dxa"/>
            <w:tcBorders>
              <w:top w:val="nil"/>
              <w:left w:val="nil"/>
              <w:bottom w:val="nil"/>
              <w:right w:val="single" w:sz="4" w:space="0" w:color="auto"/>
            </w:tcBorders>
            <w:shd w:val="clear" w:color="auto" w:fill="auto"/>
            <w:noWrap/>
            <w:vAlign w:val="bottom"/>
            <w:hideMark/>
          </w:tcPr>
          <w:p w14:paraId="49E1B698"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3.58</w:t>
            </w:r>
          </w:p>
        </w:tc>
        <w:tc>
          <w:tcPr>
            <w:tcW w:w="1160" w:type="dxa"/>
            <w:tcBorders>
              <w:top w:val="nil"/>
              <w:left w:val="nil"/>
              <w:bottom w:val="nil"/>
              <w:right w:val="single" w:sz="4" w:space="0" w:color="auto"/>
            </w:tcBorders>
            <w:shd w:val="clear" w:color="auto" w:fill="auto"/>
            <w:noWrap/>
            <w:vAlign w:val="bottom"/>
            <w:hideMark/>
          </w:tcPr>
          <w:p w14:paraId="7326BAC9"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3.10</w:t>
            </w:r>
          </w:p>
        </w:tc>
        <w:tc>
          <w:tcPr>
            <w:tcW w:w="1160" w:type="dxa"/>
            <w:tcBorders>
              <w:top w:val="nil"/>
              <w:left w:val="nil"/>
              <w:bottom w:val="nil"/>
              <w:right w:val="single" w:sz="8" w:space="0" w:color="auto"/>
            </w:tcBorders>
            <w:shd w:val="clear" w:color="auto" w:fill="auto"/>
            <w:noWrap/>
            <w:vAlign w:val="bottom"/>
            <w:hideMark/>
          </w:tcPr>
          <w:p w14:paraId="2FD89B7E"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3.41</w:t>
            </w:r>
          </w:p>
        </w:tc>
      </w:tr>
      <w:tr w:rsidR="003B5B03" w:rsidRPr="003B5B03" w14:paraId="055DB720" w14:textId="77777777" w:rsidTr="003B5B03">
        <w:trPr>
          <w:trHeight w:val="999"/>
          <w:jc w:val="center"/>
        </w:trPr>
        <w:tc>
          <w:tcPr>
            <w:tcW w:w="2020" w:type="dxa"/>
            <w:tcBorders>
              <w:top w:val="single" w:sz="4" w:space="0" w:color="auto"/>
              <w:left w:val="single" w:sz="8" w:space="0" w:color="auto"/>
              <w:bottom w:val="single" w:sz="8" w:space="0" w:color="auto"/>
              <w:right w:val="single" w:sz="4" w:space="0" w:color="auto"/>
            </w:tcBorders>
            <w:shd w:val="clear" w:color="auto" w:fill="auto"/>
            <w:vAlign w:val="bottom"/>
            <w:hideMark/>
          </w:tcPr>
          <w:p w14:paraId="4C94B335"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Aston Martin Quick Ratio</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7FABC8CC"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0.47</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7C43446C"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0.43</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3BA4EF6D"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0.84</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4181FCBE"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0.74</w:t>
            </w:r>
          </w:p>
        </w:tc>
        <w:tc>
          <w:tcPr>
            <w:tcW w:w="1160" w:type="dxa"/>
            <w:tcBorders>
              <w:top w:val="single" w:sz="4" w:space="0" w:color="auto"/>
              <w:left w:val="nil"/>
              <w:bottom w:val="single" w:sz="8" w:space="0" w:color="auto"/>
              <w:right w:val="single" w:sz="8" w:space="0" w:color="auto"/>
            </w:tcBorders>
            <w:shd w:val="clear" w:color="auto" w:fill="auto"/>
            <w:noWrap/>
            <w:vAlign w:val="bottom"/>
            <w:hideMark/>
          </w:tcPr>
          <w:p w14:paraId="32C9DE30" w14:textId="77777777" w:rsidR="003B5B03" w:rsidRPr="003B5B03" w:rsidRDefault="003B5B03" w:rsidP="003B5B03">
            <w:pPr>
              <w:spacing w:after="0" w:line="240" w:lineRule="auto"/>
              <w:jc w:val="center"/>
              <w:rPr>
                <w:rFonts w:ascii="Calibri" w:eastAsia="Times New Roman" w:hAnsi="Calibri" w:cs="Calibri"/>
                <w:color w:val="000000"/>
                <w:sz w:val="22"/>
                <w:lang w:eastAsia="en-GB"/>
              </w:rPr>
            </w:pPr>
            <w:r w:rsidRPr="003B5B03">
              <w:rPr>
                <w:rFonts w:ascii="Calibri" w:eastAsia="Times New Roman" w:hAnsi="Calibri" w:cs="Calibri"/>
                <w:color w:val="000000"/>
                <w:sz w:val="22"/>
                <w:lang w:eastAsia="en-GB"/>
              </w:rPr>
              <w:t>0.81</w:t>
            </w:r>
          </w:p>
        </w:tc>
      </w:tr>
    </w:tbl>
    <w:p w14:paraId="71C2803D" w14:textId="0D066465" w:rsidR="00537F68" w:rsidRDefault="003B5B03" w:rsidP="003B5B03">
      <w:pPr>
        <w:pStyle w:val="Caption"/>
        <w:jc w:val="right"/>
      </w:pPr>
      <w:bookmarkStart w:id="29" w:name="_Ref146813678"/>
      <w:r>
        <w:t xml:space="preserve">Table </w:t>
      </w:r>
      <w:fldSimple w:instr=" SEQ Table \* ARABIC ">
        <w:r w:rsidR="0013381E">
          <w:rPr>
            <w:noProof/>
          </w:rPr>
          <w:t>7</w:t>
        </w:r>
      </w:fldSimple>
      <w:r>
        <w:t xml:space="preserve"> Quick Ratios</w:t>
      </w:r>
      <w:bookmarkEnd w:id="29"/>
    </w:p>
    <w:p w14:paraId="5593B1BB" w14:textId="67AF7D58" w:rsidR="003B5B03" w:rsidRDefault="003B5B03">
      <w:r>
        <w:t xml:space="preserve">Mercedes again </w:t>
      </w:r>
      <w:proofErr w:type="gramStart"/>
      <w:r>
        <w:t>publish</w:t>
      </w:r>
      <w:proofErr w:type="gramEnd"/>
      <w:r>
        <w:t xml:space="preserve"> average values on-line and now show poorer performance compared with Aston Martin and especially Ferrari. Mercedes is carrying higher levels of stock when compared with Aston Martin hence the difference in relative performance of </w:t>
      </w:r>
      <w:r>
        <w:lastRenderedPageBreak/>
        <w:t>the Quick Ratios. Ferrari are especially cash rich which might be better used and invested in other areas of their business.</w:t>
      </w:r>
    </w:p>
    <w:p w14:paraId="6E6E9A42" w14:textId="43ABDD98" w:rsidR="00537F68" w:rsidRDefault="00195041" w:rsidP="00195041">
      <w:pPr>
        <w:pStyle w:val="Heading3"/>
      </w:pPr>
      <w:bookmarkStart w:id="30" w:name="_Toc146791875"/>
      <w:r>
        <w:t>Cash Ratio</w:t>
      </w:r>
      <w:bookmarkEnd w:id="30"/>
    </w:p>
    <w:p w14:paraId="253A1311" w14:textId="65542726" w:rsidR="00195041" w:rsidRDefault="001A53BA">
      <w:r>
        <w:t>The most stringent of the Liquidity Ratios and used to test a business’s most liquid asset – its cash and cash equivalents.</w:t>
      </w:r>
    </w:p>
    <w:tbl>
      <w:tblPr>
        <w:tblW w:w="7820" w:type="dxa"/>
        <w:jc w:val="center"/>
        <w:tblLook w:val="04A0" w:firstRow="1" w:lastRow="0" w:firstColumn="1" w:lastColumn="0" w:noHBand="0" w:noVBand="1"/>
      </w:tblPr>
      <w:tblGrid>
        <w:gridCol w:w="2020"/>
        <w:gridCol w:w="1160"/>
        <w:gridCol w:w="1160"/>
        <w:gridCol w:w="1160"/>
        <w:gridCol w:w="1160"/>
        <w:gridCol w:w="1160"/>
      </w:tblGrid>
      <w:tr w:rsidR="00E95841" w:rsidRPr="00E95841" w14:paraId="720345C4" w14:textId="77777777" w:rsidTr="00E95841">
        <w:trPr>
          <w:trHeight w:val="288"/>
          <w:jc w:val="center"/>
        </w:trPr>
        <w:tc>
          <w:tcPr>
            <w:tcW w:w="2020" w:type="dxa"/>
            <w:tcBorders>
              <w:top w:val="single" w:sz="8" w:space="0" w:color="auto"/>
              <w:left w:val="single" w:sz="8" w:space="0" w:color="auto"/>
              <w:bottom w:val="single" w:sz="4" w:space="0" w:color="auto"/>
              <w:right w:val="single" w:sz="4" w:space="0" w:color="auto"/>
            </w:tcBorders>
            <w:shd w:val="clear" w:color="000000" w:fill="0070C0"/>
            <w:noWrap/>
            <w:vAlign w:val="bottom"/>
            <w:hideMark/>
          </w:tcPr>
          <w:p w14:paraId="459E04ED"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Year</w:t>
            </w:r>
          </w:p>
        </w:tc>
        <w:tc>
          <w:tcPr>
            <w:tcW w:w="1160" w:type="dxa"/>
            <w:tcBorders>
              <w:top w:val="single" w:sz="8" w:space="0" w:color="auto"/>
              <w:left w:val="nil"/>
              <w:bottom w:val="single" w:sz="4" w:space="0" w:color="auto"/>
              <w:right w:val="single" w:sz="4" w:space="0" w:color="auto"/>
            </w:tcBorders>
            <w:shd w:val="clear" w:color="000000" w:fill="0070C0"/>
            <w:noWrap/>
            <w:vAlign w:val="bottom"/>
            <w:hideMark/>
          </w:tcPr>
          <w:p w14:paraId="5A2FD096"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2018</w:t>
            </w:r>
          </w:p>
        </w:tc>
        <w:tc>
          <w:tcPr>
            <w:tcW w:w="1160" w:type="dxa"/>
            <w:tcBorders>
              <w:top w:val="single" w:sz="8" w:space="0" w:color="auto"/>
              <w:left w:val="nil"/>
              <w:bottom w:val="single" w:sz="4" w:space="0" w:color="auto"/>
              <w:right w:val="single" w:sz="4" w:space="0" w:color="auto"/>
            </w:tcBorders>
            <w:shd w:val="clear" w:color="000000" w:fill="0070C0"/>
            <w:noWrap/>
            <w:vAlign w:val="bottom"/>
            <w:hideMark/>
          </w:tcPr>
          <w:p w14:paraId="7761F82F"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2019</w:t>
            </w:r>
          </w:p>
        </w:tc>
        <w:tc>
          <w:tcPr>
            <w:tcW w:w="1160" w:type="dxa"/>
            <w:tcBorders>
              <w:top w:val="single" w:sz="8" w:space="0" w:color="auto"/>
              <w:left w:val="nil"/>
              <w:bottom w:val="single" w:sz="4" w:space="0" w:color="auto"/>
              <w:right w:val="single" w:sz="4" w:space="0" w:color="auto"/>
            </w:tcBorders>
            <w:shd w:val="clear" w:color="000000" w:fill="0070C0"/>
            <w:noWrap/>
            <w:vAlign w:val="bottom"/>
            <w:hideMark/>
          </w:tcPr>
          <w:p w14:paraId="047B2049"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2020</w:t>
            </w:r>
          </w:p>
        </w:tc>
        <w:tc>
          <w:tcPr>
            <w:tcW w:w="1160" w:type="dxa"/>
            <w:tcBorders>
              <w:top w:val="single" w:sz="8" w:space="0" w:color="auto"/>
              <w:left w:val="nil"/>
              <w:bottom w:val="single" w:sz="4" w:space="0" w:color="auto"/>
              <w:right w:val="single" w:sz="4" w:space="0" w:color="auto"/>
            </w:tcBorders>
            <w:shd w:val="clear" w:color="000000" w:fill="0070C0"/>
            <w:noWrap/>
            <w:vAlign w:val="bottom"/>
            <w:hideMark/>
          </w:tcPr>
          <w:p w14:paraId="029231B8"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2021</w:t>
            </w:r>
          </w:p>
        </w:tc>
        <w:tc>
          <w:tcPr>
            <w:tcW w:w="1160" w:type="dxa"/>
            <w:tcBorders>
              <w:top w:val="single" w:sz="8" w:space="0" w:color="auto"/>
              <w:left w:val="nil"/>
              <w:bottom w:val="single" w:sz="4" w:space="0" w:color="auto"/>
              <w:right w:val="single" w:sz="8" w:space="0" w:color="auto"/>
            </w:tcBorders>
            <w:shd w:val="clear" w:color="000000" w:fill="0070C0"/>
            <w:noWrap/>
            <w:vAlign w:val="bottom"/>
            <w:hideMark/>
          </w:tcPr>
          <w:p w14:paraId="3D89FEDD"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2022</w:t>
            </w:r>
          </w:p>
        </w:tc>
      </w:tr>
      <w:tr w:rsidR="00E95841" w:rsidRPr="00E95841" w14:paraId="236BECEA" w14:textId="77777777" w:rsidTr="00E95841">
        <w:trPr>
          <w:trHeight w:val="999"/>
          <w:jc w:val="center"/>
        </w:trPr>
        <w:tc>
          <w:tcPr>
            <w:tcW w:w="2020" w:type="dxa"/>
            <w:tcBorders>
              <w:top w:val="nil"/>
              <w:left w:val="single" w:sz="8" w:space="0" w:color="auto"/>
              <w:bottom w:val="single" w:sz="4" w:space="0" w:color="auto"/>
              <w:right w:val="single" w:sz="4" w:space="0" w:color="auto"/>
            </w:tcBorders>
            <w:shd w:val="clear" w:color="auto" w:fill="auto"/>
            <w:vAlign w:val="bottom"/>
            <w:hideMark/>
          </w:tcPr>
          <w:p w14:paraId="02986D1D"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Average Mercedes Cash Ratio</w:t>
            </w:r>
          </w:p>
        </w:tc>
        <w:tc>
          <w:tcPr>
            <w:tcW w:w="1160" w:type="dxa"/>
            <w:tcBorders>
              <w:top w:val="nil"/>
              <w:left w:val="nil"/>
              <w:bottom w:val="single" w:sz="4" w:space="0" w:color="auto"/>
              <w:right w:val="single" w:sz="4" w:space="0" w:color="auto"/>
            </w:tcBorders>
            <w:shd w:val="clear" w:color="auto" w:fill="auto"/>
            <w:noWrap/>
            <w:vAlign w:val="bottom"/>
            <w:hideMark/>
          </w:tcPr>
          <w:p w14:paraId="2C9E9D38"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0.24</w:t>
            </w:r>
          </w:p>
        </w:tc>
        <w:tc>
          <w:tcPr>
            <w:tcW w:w="1160" w:type="dxa"/>
            <w:tcBorders>
              <w:top w:val="nil"/>
              <w:left w:val="nil"/>
              <w:bottom w:val="single" w:sz="4" w:space="0" w:color="auto"/>
              <w:right w:val="single" w:sz="4" w:space="0" w:color="auto"/>
            </w:tcBorders>
            <w:shd w:val="clear" w:color="auto" w:fill="auto"/>
            <w:noWrap/>
            <w:vAlign w:val="bottom"/>
            <w:hideMark/>
          </w:tcPr>
          <w:p w14:paraId="5C024336"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0.18</w:t>
            </w:r>
          </w:p>
        </w:tc>
        <w:tc>
          <w:tcPr>
            <w:tcW w:w="1160" w:type="dxa"/>
            <w:tcBorders>
              <w:top w:val="nil"/>
              <w:left w:val="nil"/>
              <w:bottom w:val="single" w:sz="4" w:space="0" w:color="auto"/>
              <w:right w:val="single" w:sz="4" w:space="0" w:color="auto"/>
            </w:tcBorders>
            <w:shd w:val="clear" w:color="auto" w:fill="auto"/>
            <w:noWrap/>
            <w:vAlign w:val="bottom"/>
            <w:hideMark/>
          </w:tcPr>
          <w:p w14:paraId="5DD9659A"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0.23</w:t>
            </w:r>
          </w:p>
        </w:tc>
        <w:tc>
          <w:tcPr>
            <w:tcW w:w="1160" w:type="dxa"/>
            <w:tcBorders>
              <w:top w:val="nil"/>
              <w:left w:val="nil"/>
              <w:bottom w:val="single" w:sz="4" w:space="0" w:color="auto"/>
              <w:right w:val="single" w:sz="4" w:space="0" w:color="auto"/>
            </w:tcBorders>
            <w:shd w:val="clear" w:color="auto" w:fill="auto"/>
            <w:noWrap/>
            <w:vAlign w:val="bottom"/>
            <w:hideMark/>
          </w:tcPr>
          <w:p w14:paraId="781BAFDD"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0.26</w:t>
            </w:r>
          </w:p>
        </w:tc>
        <w:tc>
          <w:tcPr>
            <w:tcW w:w="1160" w:type="dxa"/>
            <w:tcBorders>
              <w:top w:val="nil"/>
              <w:left w:val="nil"/>
              <w:bottom w:val="single" w:sz="4" w:space="0" w:color="auto"/>
              <w:right w:val="single" w:sz="8" w:space="0" w:color="auto"/>
            </w:tcBorders>
            <w:shd w:val="clear" w:color="auto" w:fill="auto"/>
            <w:noWrap/>
            <w:vAlign w:val="bottom"/>
            <w:hideMark/>
          </w:tcPr>
          <w:p w14:paraId="5936B934"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0.26</w:t>
            </w:r>
          </w:p>
        </w:tc>
      </w:tr>
      <w:tr w:rsidR="00E95841" w:rsidRPr="00E95841" w14:paraId="70C7826D" w14:textId="77777777" w:rsidTr="00E95841">
        <w:trPr>
          <w:trHeight w:val="999"/>
          <w:jc w:val="center"/>
        </w:trPr>
        <w:tc>
          <w:tcPr>
            <w:tcW w:w="2020" w:type="dxa"/>
            <w:tcBorders>
              <w:top w:val="nil"/>
              <w:left w:val="single" w:sz="8" w:space="0" w:color="auto"/>
              <w:bottom w:val="nil"/>
              <w:right w:val="single" w:sz="4" w:space="0" w:color="auto"/>
            </w:tcBorders>
            <w:shd w:val="clear" w:color="auto" w:fill="auto"/>
            <w:vAlign w:val="bottom"/>
            <w:hideMark/>
          </w:tcPr>
          <w:p w14:paraId="7E6C8B7F"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Ferrari Cash Ratio</w:t>
            </w:r>
          </w:p>
        </w:tc>
        <w:tc>
          <w:tcPr>
            <w:tcW w:w="1160" w:type="dxa"/>
            <w:tcBorders>
              <w:top w:val="nil"/>
              <w:left w:val="nil"/>
              <w:bottom w:val="nil"/>
              <w:right w:val="single" w:sz="4" w:space="0" w:color="auto"/>
            </w:tcBorders>
            <w:shd w:val="clear" w:color="auto" w:fill="auto"/>
            <w:noWrap/>
            <w:vAlign w:val="bottom"/>
            <w:hideMark/>
          </w:tcPr>
          <w:p w14:paraId="253073B6"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0.96</w:t>
            </w:r>
          </w:p>
        </w:tc>
        <w:tc>
          <w:tcPr>
            <w:tcW w:w="1160" w:type="dxa"/>
            <w:tcBorders>
              <w:top w:val="nil"/>
              <w:left w:val="nil"/>
              <w:bottom w:val="nil"/>
              <w:right w:val="single" w:sz="4" w:space="0" w:color="auto"/>
            </w:tcBorders>
            <w:shd w:val="clear" w:color="auto" w:fill="auto"/>
            <w:noWrap/>
            <w:vAlign w:val="bottom"/>
            <w:hideMark/>
          </w:tcPr>
          <w:p w14:paraId="4ED3C83C"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1.08</w:t>
            </w:r>
          </w:p>
        </w:tc>
        <w:tc>
          <w:tcPr>
            <w:tcW w:w="1160" w:type="dxa"/>
            <w:tcBorders>
              <w:top w:val="nil"/>
              <w:left w:val="nil"/>
              <w:bottom w:val="nil"/>
              <w:right w:val="single" w:sz="4" w:space="0" w:color="auto"/>
            </w:tcBorders>
            <w:shd w:val="clear" w:color="auto" w:fill="auto"/>
            <w:noWrap/>
            <w:vAlign w:val="bottom"/>
            <w:hideMark/>
          </w:tcPr>
          <w:p w14:paraId="2DB58BB3"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1.44</w:t>
            </w:r>
          </w:p>
        </w:tc>
        <w:tc>
          <w:tcPr>
            <w:tcW w:w="1160" w:type="dxa"/>
            <w:tcBorders>
              <w:top w:val="nil"/>
              <w:left w:val="nil"/>
              <w:bottom w:val="nil"/>
              <w:right w:val="single" w:sz="4" w:space="0" w:color="auto"/>
            </w:tcBorders>
            <w:shd w:val="clear" w:color="auto" w:fill="auto"/>
            <w:noWrap/>
            <w:vAlign w:val="bottom"/>
            <w:hideMark/>
          </w:tcPr>
          <w:p w14:paraId="28BD2D11"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1.21</w:t>
            </w:r>
          </w:p>
        </w:tc>
        <w:tc>
          <w:tcPr>
            <w:tcW w:w="1160" w:type="dxa"/>
            <w:tcBorders>
              <w:top w:val="nil"/>
              <w:left w:val="nil"/>
              <w:bottom w:val="nil"/>
              <w:right w:val="single" w:sz="8" w:space="0" w:color="auto"/>
            </w:tcBorders>
            <w:shd w:val="clear" w:color="auto" w:fill="auto"/>
            <w:noWrap/>
            <w:vAlign w:val="bottom"/>
            <w:hideMark/>
          </w:tcPr>
          <w:p w14:paraId="7C76B33F"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1.38</w:t>
            </w:r>
          </w:p>
        </w:tc>
      </w:tr>
      <w:tr w:rsidR="00E95841" w:rsidRPr="00E95841" w14:paraId="1CCA5ABF" w14:textId="77777777" w:rsidTr="00E95841">
        <w:trPr>
          <w:trHeight w:val="999"/>
          <w:jc w:val="center"/>
        </w:trPr>
        <w:tc>
          <w:tcPr>
            <w:tcW w:w="2020" w:type="dxa"/>
            <w:tcBorders>
              <w:top w:val="single" w:sz="4" w:space="0" w:color="auto"/>
              <w:left w:val="single" w:sz="8" w:space="0" w:color="auto"/>
              <w:bottom w:val="single" w:sz="8" w:space="0" w:color="auto"/>
              <w:right w:val="single" w:sz="4" w:space="0" w:color="auto"/>
            </w:tcBorders>
            <w:shd w:val="clear" w:color="auto" w:fill="auto"/>
            <w:vAlign w:val="bottom"/>
            <w:hideMark/>
          </w:tcPr>
          <w:p w14:paraId="30E38A42"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Aston Martin Cash Ratio</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243BC6CB"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0.18</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244611CB"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0.13</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2F256D7E"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0.61</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49E63EF5"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0.46</w:t>
            </w:r>
          </w:p>
        </w:tc>
        <w:tc>
          <w:tcPr>
            <w:tcW w:w="1160" w:type="dxa"/>
            <w:tcBorders>
              <w:top w:val="single" w:sz="4" w:space="0" w:color="auto"/>
              <w:left w:val="nil"/>
              <w:bottom w:val="single" w:sz="8" w:space="0" w:color="auto"/>
              <w:right w:val="single" w:sz="8" w:space="0" w:color="auto"/>
            </w:tcBorders>
            <w:shd w:val="clear" w:color="auto" w:fill="auto"/>
            <w:noWrap/>
            <w:vAlign w:val="bottom"/>
            <w:hideMark/>
          </w:tcPr>
          <w:p w14:paraId="210A2216" w14:textId="77777777" w:rsidR="00E95841" w:rsidRPr="00E95841" w:rsidRDefault="00E95841" w:rsidP="00E95841">
            <w:pPr>
              <w:spacing w:after="0" w:line="240" w:lineRule="auto"/>
              <w:jc w:val="center"/>
              <w:rPr>
                <w:rFonts w:ascii="Calibri" w:eastAsia="Times New Roman" w:hAnsi="Calibri" w:cs="Calibri"/>
                <w:color w:val="000000"/>
                <w:sz w:val="22"/>
                <w:lang w:eastAsia="en-GB"/>
              </w:rPr>
            </w:pPr>
            <w:r w:rsidRPr="00E95841">
              <w:rPr>
                <w:rFonts w:ascii="Calibri" w:eastAsia="Times New Roman" w:hAnsi="Calibri" w:cs="Calibri"/>
                <w:color w:val="000000"/>
                <w:sz w:val="22"/>
                <w:lang w:eastAsia="en-GB"/>
              </w:rPr>
              <w:t>0.56</w:t>
            </w:r>
          </w:p>
        </w:tc>
      </w:tr>
    </w:tbl>
    <w:p w14:paraId="7CB78EB6" w14:textId="1CE4EA7F" w:rsidR="001A53BA" w:rsidRDefault="00E95841" w:rsidP="00E95841">
      <w:pPr>
        <w:pStyle w:val="Caption"/>
        <w:jc w:val="right"/>
      </w:pPr>
      <w:bookmarkStart w:id="31" w:name="_Ref146813748"/>
      <w:r>
        <w:t xml:space="preserve">Table </w:t>
      </w:r>
      <w:fldSimple w:instr=" SEQ Table \* ARABIC ">
        <w:r w:rsidR="0013381E">
          <w:rPr>
            <w:noProof/>
          </w:rPr>
          <w:t>8</w:t>
        </w:r>
      </w:fldSimple>
      <w:r>
        <w:t xml:space="preserve"> Cash Ratios</w:t>
      </w:r>
      <w:bookmarkEnd w:id="31"/>
    </w:p>
    <w:p w14:paraId="27BCD620" w14:textId="18195A83" w:rsidR="00AE49DF" w:rsidRDefault="00E95841">
      <w:r>
        <w:t>Mercedes and Ferrari’s Cash Ratios were no available on-line so calculated using their Financial Reports. Ferrari’s performance is again leading the way, with Aston Martin next, with some improvement 2020 – 2022. Mercedes performed poorly again using Liquidity as a financial measure.</w:t>
      </w:r>
    </w:p>
    <w:p w14:paraId="558FA62E" w14:textId="77777777" w:rsidR="00AE49DF" w:rsidRDefault="00AE49DF"/>
    <w:p w14:paraId="0C446329" w14:textId="77777777" w:rsidR="00E95841" w:rsidRDefault="00E95841"/>
    <w:p w14:paraId="3A4D6FDB" w14:textId="77777777" w:rsidR="00E95841" w:rsidRDefault="00E95841"/>
    <w:p w14:paraId="027E7BA1" w14:textId="77777777" w:rsidR="00E95841" w:rsidRDefault="00E95841"/>
    <w:p w14:paraId="0BEAB96C" w14:textId="77777777" w:rsidR="00E95841" w:rsidRDefault="00E95841"/>
    <w:p w14:paraId="6CF27D30" w14:textId="77777777" w:rsidR="00E95841" w:rsidRDefault="00E95841"/>
    <w:p w14:paraId="44B63404" w14:textId="77777777" w:rsidR="00E95841" w:rsidRDefault="00E95841"/>
    <w:p w14:paraId="333D35E0" w14:textId="77777777" w:rsidR="00E95841" w:rsidRDefault="00E95841"/>
    <w:p w14:paraId="5135177E" w14:textId="77777777" w:rsidR="00E95841" w:rsidRDefault="00E95841"/>
    <w:p w14:paraId="4B6A5BF0" w14:textId="77777777" w:rsidR="00E95841" w:rsidRDefault="00E95841"/>
    <w:p w14:paraId="5A160E82" w14:textId="77777777" w:rsidR="00E95841" w:rsidRDefault="00E95841"/>
    <w:p w14:paraId="3B159A30" w14:textId="77777777" w:rsidR="00E95841" w:rsidRDefault="00E95841"/>
    <w:p w14:paraId="28CE9146" w14:textId="77777777" w:rsidR="00E95841" w:rsidRDefault="00E95841"/>
    <w:p w14:paraId="23E69AAC" w14:textId="77777777" w:rsidR="00E95841" w:rsidRDefault="00E95841"/>
    <w:p w14:paraId="056F3C32" w14:textId="4BFD7C04" w:rsidR="00E95841" w:rsidRDefault="001E0E39" w:rsidP="001E0E39">
      <w:pPr>
        <w:pStyle w:val="Heading2"/>
      </w:pPr>
      <w:bookmarkStart w:id="32" w:name="_Toc146791876"/>
      <w:r>
        <w:lastRenderedPageBreak/>
        <w:t>Activity Ratios.</w:t>
      </w:r>
      <w:bookmarkEnd w:id="32"/>
    </w:p>
    <w:p w14:paraId="0CC3C98F" w14:textId="1FF34DF4" w:rsidR="00374C65" w:rsidRPr="00374C65" w:rsidRDefault="00374C65" w:rsidP="00374C65">
      <w:r>
        <w:t xml:space="preserve">Activity ratios assess how effectively various resources are managed by the business </w:t>
      </w:r>
      <w:sdt>
        <w:sdtPr>
          <w:id w:val="-703485559"/>
          <w:citation/>
        </w:sdtPr>
        <w:sdtContent>
          <w:r>
            <w:fldChar w:fldCharType="begin"/>
          </w:r>
          <w:r>
            <w:instrText xml:space="preserve"> CITATION Atr17 \l 2057 </w:instrText>
          </w:r>
          <w:r>
            <w:fldChar w:fldCharType="separate"/>
          </w:r>
          <w:r w:rsidRPr="00374C65">
            <w:rPr>
              <w:noProof/>
            </w:rPr>
            <w:t>(Atrill &amp; McLaney, 2017)</w:t>
          </w:r>
          <w:r>
            <w:fldChar w:fldCharType="end"/>
          </w:r>
        </w:sdtContent>
      </w:sdt>
      <w:r>
        <w:t>.</w:t>
      </w:r>
    </w:p>
    <w:p w14:paraId="410C6D01" w14:textId="0A0F4AE2" w:rsidR="001E0E39" w:rsidRDefault="001E0E39" w:rsidP="001E0E39">
      <w:pPr>
        <w:pStyle w:val="Heading3"/>
      </w:pPr>
      <w:bookmarkStart w:id="33" w:name="_Toc146791877"/>
      <w:r>
        <w:t>Day sales outstanding</w:t>
      </w:r>
      <w:bookmarkEnd w:id="33"/>
    </w:p>
    <w:p w14:paraId="4B563981" w14:textId="0E505996" w:rsidR="001E0E39" w:rsidRDefault="0064135A" w:rsidP="0064135A">
      <w:r>
        <w:t xml:space="preserve">Calculates how long, on average, credit customers take to pay the amounts that they owe to the business. The speed of payment has significant impact of a business’s cash flow </w:t>
      </w:r>
      <w:sdt>
        <w:sdtPr>
          <w:id w:val="18750569"/>
          <w:citation/>
        </w:sdtPr>
        <w:sdtContent>
          <w:r>
            <w:fldChar w:fldCharType="begin"/>
          </w:r>
          <w:r>
            <w:instrText xml:space="preserve"> CITATION Atr17 \l 2057 </w:instrText>
          </w:r>
          <w:r>
            <w:fldChar w:fldCharType="separate"/>
          </w:r>
          <w:r w:rsidR="007D5C64" w:rsidRPr="007D5C64">
            <w:rPr>
              <w:noProof/>
            </w:rPr>
            <w:t>(Atrill &amp; McLaney, 2017)</w:t>
          </w:r>
          <w:r>
            <w:fldChar w:fldCharType="end"/>
          </w:r>
        </w:sdtContent>
      </w:sdt>
      <w:r>
        <w:t>.</w:t>
      </w:r>
    </w:p>
    <w:tbl>
      <w:tblPr>
        <w:tblW w:w="7820" w:type="dxa"/>
        <w:jc w:val="center"/>
        <w:tblLook w:val="04A0" w:firstRow="1" w:lastRow="0" w:firstColumn="1" w:lastColumn="0" w:noHBand="0" w:noVBand="1"/>
      </w:tblPr>
      <w:tblGrid>
        <w:gridCol w:w="2020"/>
        <w:gridCol w:w="1160"/>
        <w:gridCol w:w="1160"/>
        <w:gridCol w:w="1160"/>
        <w:gridCol w:w="1160"/>
        <w:gridCol w:w="1160"/>
      </w:tblGrid>
      <w:tr w:rsidR="006E0616" w:rsidRPr="00037477" w14:paraId="0F2B2DEA" w14:textId="77777777" w:rsidTr="006E0616">
        <w:trPr>
          <w:trHeight w:val="288"/>
          <w:jc w:val="center"/>
        </w:trPr>
        <w:tc>
          <w:tcPr>
            <w:tcW w:w="2020" w:type="dxa"/>
            <w:tcBorders>
              <w:top w:val="single" w:sz="8" w:space="0" w:color="auto"/>
              <w:left w:val="single" w:sz="8" w:space="0" w:color="auto"/>
              <w:bottom w:val="single" w:sz="4" w:space="0" w:color="auto"/>
              <w:right w:val="single" w:sz="4" w:space="0" w:color="auto"/>
            </w:tcBorders>
            <w:shd w:val="clear" w:color="auto" w:fill="FFC000"/>
            <w:noWrap/>
            <w:vAlign w:val="bottom"/>
            <w:hideMark/>
          </w:tcPr>
          <w:p w14:paraId="1B792B03"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Year</w:t>
            </w:r>
          </w:p>
        </w:tc>
        <w:tc>
          <w:tcPr>
            <w:tcW w:w="1160" w:type="dxa"/>
            <w:tcBorders>
              <w:top w:val="single" w:sz="8" w:space="0" w:color="auto"/>
              <w:left w:val="nil"/>
              <w:bottom w:val="single" w:sz="4" w:space="0" w:color="auto"/>
              <w:right w:val="single" w:sz="4" w:space="0" w:color="auto"/>
            </w:tcBorders>
            <w:shd w:val="clear" w:color="auto" w:fill="FFC000"/>
            <w:noWrap/>
            <w:vAlign w:val="bottom"/>
            <w:hideMark/>
          </w:tcPr>
          <w:p w14:paraId="1273D860"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2018</w:t>
            </w:r>
          </w:p>
        </w:tc>
        <w:tc>
          <w:tcPr>
            <w:tcW w:w="1160" w:type="dxa"/>
            <w:tcBorders>
              <w:top w:val="single" w:sz="8" w:space="0" w:color="auto"/>
              <w:left w:val="nil"/>
              <w:bottom w:val="single" w:sz="4" w:space="0" w:color="auto"/>
              <w:right w:val="single" w:sz="4" w:space="0" w:color="auto"/>
            </w:tcBorders>
            <w:shd w:val="clear" w:color="auto" w:fill="FFC000"/>
            <w:noWrap/>
            <w:vAlign w:val="bottom"/>
            <w:hideMark/>
          </w:tcPr>
          <w:p w14:paraId="01409CE4"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2019</w:t>
            </w:r>
          </w:p>
        </w:tc>
        <w:tc>
          <w:tcPr>
            <w:tcW w:w="1160" w:type="dxa"/>
            <w:tcBorders>
              <w:top w:val="single" w:sz="8" w:space="0" w:color="auto"/>
              <w:left w:val="nil"/>
              <w:bottom w:val="single" w:sz="4" w:space="0" w:color="auto"/>
              <w:right w:val="single" w:sz="4" w:space="0" w:color="auto"/>
            </w:tcBorders>
            <w:shd w:val="clear" w:color="auto" w:fill="FFC000"/>
            <w:noWrap/>
            <w:vAlign w:val="bottom"/>
            <w:hideMark/>
          </w:tcPr>
          <w:p w14:paraId="26CF8B48"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2020</w:t>
            </w:r>
          </w:p>
        </w:tc>
        <w:tc>
          <w:tcPr>
            <w:tcW w:w="1160" w:type="dxa"/>
            <w:tcBorders>
              <w:top w:val="single" w:sz="8" w:space="0" w:color="auto"/>
              <w:left w:val="nil"/>
              <w:bottom w:val="single" w:sz="4" w:space="0" w:color="auto"/>
              <w:right w:val="single" w:sz="4" w:space="0" w:color="auto"/>
            </w:tcBorders>
            <w:shd w:val="clear" w:color="auto" w:fill="FFC000"/>
            <w:noWrap/>
            <w:vAlign w:val="bottom"/>
            <w:hideMark/>
          </w:tcPr>
          <w:p w14:paraId="031F0255"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2021</w:t>
            </w:r>
          </w:p>
        </w:tc>
        <w:tc>
          <w:tcPr>
            <w:tcW w:w="1160" w:type="dxa"/>
            <w:tcBorders>
              <w:top w:val="single" w:sz="8" w:space="0" w:color="auto"/>
              <w:left w:val="nil"/>
              <w:bottom w:val="single" w:sz="4" w:space="0" w:color="auto"/>
              <w:right w:val="single" w:sz="8" w:space="0" w:color="auto"/>
            </w:tcBorders>
            <w:shd w:val="clear" w:color="auto" w:fill="FFC000"/>
            <w:noWrap/>
            <w:vAlign w:val="bottom"/>
            <w:hideMark/>
          </w:tcPr>
          <w:p w14:paraId="57A92632"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2022</w:t>
            </w:r>
          </w:p>
        </w:tc>
      </w:tr>
      <w:tr w:rsidR="00037477" w:rsidRPr="00037477" w14:paraId="249B0DB3" w14:textId="77777777" w:rsidTr="00037477">
        <w:trPr>
          <w:trHeight w:val="999"/>
          <w:jc w:val="center"/>
        </w:trPr>
        <w:tc>
          <w:tcPr>
            <w:tcW w:w="2020" w:type="dxa"/>
            <w:tcBorders>
              <w:top w:val="nil"/>
              <w:left w:val="single" w:sz="8" w:space="0" w:color="auto"/>
              <w:bottom w:val="single" w:sz="4" w:space="0" w:color="auto"/>
              <w:right w:val="single" w:sz="4" w:space="0" w:color="auto"/>
            </w:tcBorders>
            <w:shd w:val="clear" w:color="auto" w:fill="auto"/>
            <w:vAlign w:val="bottom"/>
            <w:hideMark/>
          </w:tcPr>
          <w:p w14:paraId="068D1F5C"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Mercedes Days sales Outstanding Ratio</w:t>
            </w:r>
          </w:p>
        </w:tc>
        <w:tc>
          <w:tcPr>
            <w:tcW w:w="1160" w:type="dxa"/>
            <w:tcBorders>
              <w:top w:val="nil"/>
              <w:left w:val="nil"/>
              <w:bottom w:val="single" w:sz="4" w:space="0" w:color="auto"/>
              <w:right w:val="single" w:sz="4" w:space="0" w:color="auto"/>
            </w:tcBorders>
            <w:shd w:val="clear" w:color="auto" w:fill="auto"/>
            <w:noWrap/>
            <w:vAlign w:val="bottom"/>
            <w:hideMark/>
          </w:tcPr>
          <w:p w14:paraId="6EF8CC7C"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22</w:t>
            </w:r>
          </w:p>
        </w:tc>
        <w:tc>
          <w:tcPr>
            <w:tcW w:w="1160" w:type="dxa"/>
            <w:tcBorders>
              <w:top w:val="nil"/>
              <w:left w:val="nil"/>
              <w:bottom w:val="single" w:sz="4" w:space="0" w:color="auto"/>
              <w:right w:val="single" w:sz="4" w:space="0" w:color="auto"/>
            </w:tcBorders>
            <w:shd w:val="clear" w:color="auto" w:fill="auto"/>
            <w:noWrap/>
            <w:vAlign w:val="bottom"/>
            <w:hideMark/>
          </w:tcPr>
          <w:p w14:paraId="59C99680"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23</w:t>
            </w:r>
          </w:p>
        </w:tc>
        <w:tc>
          <w:tcPr>
            <w:tcW w:w="1160" w:type="dxa"/>
            <w:tcBorders>
              <w:top w:val="nil"/>
              <w:left w:val="nil"/>
              <w:bottom w:val="single" w:sz="4" w:space="0" w:color="auto"/>
              <w:right w:val="single" w:sz="4" w:space="0" w:color="auto"/>
            </w:tcBorders>
            <w:shd w:val="clear" w:color="auto" w:fill="auto"/>
            <w:noWrap/>
            <w:vAlign w:val="bottom"/>
            <w:hideMark/>
          </w:tcPr>
          <w:p w14:paraId="259F843E"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31</w:t>
            </w:r>
          </w:p>
        </w:tc>
        <w:tc>
          <w:tcPr>
            <w:tcW w:w="1160" w:type="dxa"/>
            <w:tcBorders>
              <w:top w:val="nil"/>
              <w:left w:val="nil"/>
              <w:bottom w:val="single" w:sz="4" w:space="0" w:color="auto"/>
              <w:right w:val="single" w:sz="4" w:space="0" w:color="auto"/>
            </w:tcBorders>
            <w:shd w:val="clear" w:color="auto" w:fill="auto"/>
            <w:noWrap/>
            <w:vAlign w:val="bottom"/>
            <w:hideMark/>
          </w:tcPr>
          <w:p w14:paraId="73A10CE5"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23</w:t>
            </w:r>
          </w:p>
        </w:tc>
        <w:tc>
          <w:tcPr>
            <w:tcW w:w="1160" w:type="dxa"/>
            <w:tcBorders>
              <w:top w:val="nil"/>
              <w:left w:val="nil"/>
              <w:bottom w:val="single" w:sz="4" w:space="0" w:color="auto"/>
              <w:right w:val="single" w:sz="8" w:space="0" w:color="auto"/>
            </w:tcBorders>
            <w:shd w:val="clear" w:color="auto" w:fill="auto"/>
            <w:noWrap/>
            <w:vAlign w:val="bottom"/>
            <w:hideMark/>
          </w:tcPr>
          <w:p w14:paraId="0478AD3F"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17</w:t>
            </w:r>
          </w:p>
        </w:tc>
      </w:tr>
      <w:tr w:rsidR="00037477" w:rsidRPr="00037477" w14:paraId="3450C1A4" w14:textId="77777777" w:rsidTr="00037477">
        <w:trPr>
          <w:trHeight w:val="999"/>
          <w:jc w:val="center"/>
        </w:trPr>
        <w:tc>
          <w:tcPr>
            <w:tcW w:w="2020" w:type="dxa"/>
            <w:tcBorders>
              <w:top w:val="nil"/>
              <w:left w:val="single" w:sz="8" w:space="0" w:color="auto"/>
              <w:bottom w:val="nil"/>
              <w:right w:val="single" w:sz="4" w:space="0" w:color="auto"/>
            </w:tcBorders>
            <w:shd w:val="clear" w:color="auto" w:fill="auto"/>
            <w:vAlign w:val="bottom"/>
            <w:hideMark/>
          </w:tcPr>
          <w:p w14:paraId="6B694E43"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Average Ferrari Days Sales Outstanding Ratio</w:t>
            </w:r>
          </w:p>
        </w:tc>
        <w:tc>
          <w:tcPr>
            <w:tcW w:w="1160" w:type="dxa"/>
            <w:tcBorders>
              <w:top w:val="nil"/>
              <w:left w:val="nil"/>
              <w:bottom w:val="nil"/>
              <w:right w:val="single" w:sz="4" w:space="0" w:color="auto"/>
            </w:tcBorders>
            <w:shd w:val="clear" w:color="auto" w:fill="auto"/>
            <w:noWrap/>
            <w:vAlign w:val="bottom"/>
            <w:hideMark/>
          </w:tcPr>
          <w:p w14:paraId="41EC500F"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87</w:t>
            </w:r>
          </w:p>
        </w:tc>
        <w:tc>
          <w:tcPr>
            <w:tcW w:w="1160" w:type="dxa"/>
            <w:tcBorders>
              <w:top w:val="nil"/>
              <w:left w:val="nil"/>
              <w:bottom w:val="nil"/>
              <w:right w:val="single" w:sz="4" w:space="0" w:color="auto"/>
            </w:tcBorders>
            <w:shd w:val="clear" w:color="auto" w:fill="auto"/>
            <w:noWrap/>
            <w:vAlign w:val="bottom"/>
            <w:hideMark/>
          </w:tcPr>
          <w:p w14:paraId="21C822B2"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87</w:t>
            </w:r>
          </w:p>
        </w:tc>
        <w:tc>
          <w:tcPr>
            <w:tcW w:w="1160" w:type="dxa"/>
            <w:tcBorders>
              <w:top w:val="nil"/>
              <w:left w:val="nil"/>
              <w:bottom w:val="nil"/>
              <w:right w:val="single" w:sz="4" w:space="0" w:color="auto"/>
            </w:tcBorders>
            <w:shd w:val="clear" w:color="auto" w:fill="auto"/>
            <w:noWrap/>
            <w:vAlign w:val="bottom"/>
            <w:hideMark/>
          </w:tcPr>
          <w:p w14:paraId="15E7D8F0"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87</w:t>
            </w:r>
          </w:p>
        </w:tc>
        <w:tc>
          <w:tcPr>
            <w:tcW w:w="1160" w:type="dxa"/>
            <w:tcBorders>
              <w:top w:val="nil"/>
              <w:left w:val="nil"/>
              <w:bottom w:val="nil"/>
              <w:right w:val="single" w:sz="4" w:space="0" w:color="auto"/>
            </w:tcBorders>
            <w:shd w:val="clear" w:color="auto" w:fill="auto"/>
            <w:noWrap/>
            <w:vAlign w:val="bottom"/>
            <w:hideMark/>
          </w:tcPr>
          <w:p w14:paraId="7A7A3398"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87</w:t>
            </w:r>
          </w:p>
        </w:tc>
        <w:tc>
          <w:tcPr>
            <w:tcW w:w="1160" w:type="dxa"/>
            <w:tcBorders>
              <w:top w:val="nil"/>
              <w:left w:val="nil"/>
              <w:bottom w:val="nil"/>
              <w:right w:val="single" w:sz="8" w:space="0" w:color="auto"/>
            </w:tcBorders>
            <w:shd w:val="clear" w:color="auto" w:fill="auto"/>
            <w:noWrap/>
            <w:vAlign w:val="bottom"/>
            <w:hideMark/>
          </w:tcPr>
          <w:p w14:paraId="3D1A4834"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87</w:t>
            </w:r>
          </w:p>
        </w:tc>
      </w:tr>
      <w:tr w:rsidR="00037477" w:rsidRPr="00037477" w14:paraId="7F2EC096" w14:textId="77777777" w:rsidTr="00037477">
        <w:trPr>
          <w:trHeight w:val="999"/>
          <w:jc w:val="center"/>
        </w:trPr>
        <w:tc>
          <w:tcPr>
            <w:tcW w:w="2020" w:type="dxa"/>
            <w:tcBorders>
              <w:top w:val="single" w:sz="4" w:space="0" w:color="auto"/>
              <w:left w:val="single" w:sz="8" w:space="0" w:color="auto"/>
              <w:bottom w:val="single" w:sz="8" w:space="0" w:color="auto"/>
              <w:right w:val="single" w:sz="4" w:space="0" w:color="auto"/>
            </w:tcBorders>
            <w:shd w:val="clear" w:color="auto" w:fill="auto"/>
            <w:vAlign w:val="bottom"/>
            <w:hideMark/>
          </w:tcPr>
          <w:p w14:paraId="192186C0"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Aston Martin Days Sales Outstanding Ratio</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363B22E1"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80</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15B5F53F"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92</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008E2DC2"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107</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697E23F8"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82</w:t>
            </w:r>
          </w:p>
        </w:tc>
        <w:tc>
          <w:tcPr>
            <w:tcW w:w="1160" w:type="dxa"/>
            <w:tcBorders>
              <w:top w:val="single" w:sz="4" w:space="0" w:color="auto"/>
              <w:left w:val="nil"/>
              <w:bottom w:val="single" w:sz="8" w:space="0" w:color="auto"/>
              <w:right w:val="single" w:sz="8" w:space="0" w:color="auto"/>
            </w:tcBorders>
            <w:shd w:val="clear" w:color="auto" w:fill="auto"/>
            <w:noWrap/>
            <w:vAlign w:val="bottom"/>
            <w:hideMark/>
          </w:tcPr>
          <w:p w14:paraId="2736DFA7" w14:textId="77777777" w:rsidR="00037477" w:rsidRPr="00037477" w:rsidRDefault="00037477" w:rsidP="00037477">
            <w:pPr>
              <w:spacing w:after="0" w:line="240" w:lineRule="auto"/>
              <w:jc w:val="center"/>
              <w:rPr>
                <w:rFonts w:ascii="Calibri" w:eastAsia="Times New Roman" w:hAnsi="Calibri" w:cs="Calibri"/>
                <w:color w:val="000000"/>
                <w:sz w:val="22"/>
                <w:lang w:eastAsia="en-GB"/>
              </w:rPr>
            </w:pPr>
            <w:r w:rsidRPr="00037477">
              <w:rPr>
                <w:rFonts w:ascii="Calibri" w:eastAsia="Times New Roman" w:hAnsi="Calibri" w:cs="Calibri"/>
                <w:color w:val="000000"/>
                <w:sz w:val="22"/>
                <w:lang w:eastAsia="en-GB"/>
              </w:rPr>
              <w:t>67</w:t>
            </w:r>
          </w:p>
        </w:tc>
      </w:tr>
    </w:tbl>
    <w:p w14:paraId="7C58910B" w14:textId="728D8263" w:rsidR="0064135A" w:rsidRDefault="00037477" w:rsidP="00037477">
      <w:pPr>
        <w:pStyle w:val="Caption"/>
        <w:jc w:val="right"/>
      </w:pPr>
      <w:bookmarkStart w:id="34" w:name="_Ref146813709"/>
      <w:r>
        <w:t xml:space="preserve">Table </w:t>
      </w:r>
      <w:fldSimple w:instr=" SEQ Table \* ARABIC ">
        <w:r w:rsidR="0013381E">
          <w:rPr>
            <w:noProof/>
          </w:rPr>
          <w:t>9</w:t>
        </w:r>
      </w:fldSimple>
      <w:r>
        <w:t xml:space="preserve"> Days </w:t>
      </w:r>
      <w:r w:rsidR="005362CA">
        <w:t>S</w:t>
      </w:r>
      <w:r>
        <w:t>ales Outstanding</w:t>
      </w:r>
      <w:r w:rsidR="001C4E42">
        <w:t xml:space="preserve"> R</w:t>
      </w:r>
      <w:r w:rsidR="005362CA">
        <w:t>atio</w:t>
      </w:r>
      <w:bookmarkEnd w:id="34"/>
    </w:p>
    <w:p w14:paraId="686DBABE" w14:textId="737030AD" w:rsidR="0052734B" w:rsidRPr="00F51D06" w:rsidRDefault="00F51D06" w:rsidP="00F51D06">
      <w:r>
        <w:t xml:space="preserve">Mercedes </w:t>
      </w:r>
      <w:r w:rsidR="0052734B">
        <w:t>results indicate quick collection of customers debt, both Ferrari and Aston Martin average close to the standard 90-day terms.</w:t>
      </w:r>
    </w:p>
    <w:p w14:paraId="1954C364" w14:textId="6D823B6D" w:rsidR="00E95841" w:rsidRDefault="00A376A0" w:rsidP="00A376A0">
      <w:pPr>
        <w:pStyle w:val="Heading3"/>
      </w:pPr>
      <w:bookmarkStart w:id="35" w:name="_Toc146791878"/>
      <w:r>
        <w:t xml:space="preserve">Inventory </w:t>
      </w:r>
      <w:r w:rsidR="005362CA">
        <w:t>T</w:t>
      </w:r>
      <w:r>
        <w:t>urnover</w:t>
      </w:r>
      <w:r w:rsidR="005362CA">
        <w:t xml:space="preserve"> Ratio</w:t>
      </w:r>
      <w:bookmarkEnd w:id="35"/>
    </w:p>
    <w:p w14:paraId="0CEEF456" w14:textId="5DA5C31F" w:rsidR="00A376A0" w:rsidRDefault="00A376A0">
      <w:r>
        <w:t xml:space="preserve">Inventories represent a significant investment for businesses, and account for substantial proportion of total assets </w:t>
      </w:r>
      <w:sdt>
        <w:sdtPr>
          <w:id w:val="1556347400"/>
          <w:citation/>
        </w:sdtPr>
        <w:sdtContent>
          <w:r>
            <w:fldChar w:fldCharType="begin"/>
          </w:r>
          <w:r>
            <w:instrText xml:space="preserve"> CITATION Atr17 \l 2057 </w:instrText>
          </w:r>
          <w:r>
            <w:fldChar w:fldCharType="separate"/>
          </w:r>
          <w:r w:rsidR="007D5C64" w:rsidRPr="007D5C64">
            <w:rPr>
              <w:noProof/>
            </w:rPr>
            <w:t>(Atrill &amp; McLaney, 2017)</w:t>
          </w:r>
          <w:r>
            <w:fldChar w:fldCharType="end"/>
          </w:r>
        </w:sdtContent>
      </w:sdt>
      <w:r>
        <w:t>.</w:t>
      </w:r>
    </w:p>
    <w:tbl>
      <w:tblPr>
        <w:tblW w:w="7820" w:type="dxa"/>
        <w:jc w:val="center"/>
        <w:tblLook w:val="04A0" w:firstRow="1" w:lastRow="0" w:firstColumn="1" w:lastColumn="0" w:noHBand="0" w:noVBand="1"/>
      </w:tblPr>
      <w:tblGrid>
        <w:gridCol w:w="2020"/>
        <w:gridCol w:w="1160"/>
        <w:gridCol w:w="1160"/>
        <w:gridCol w:w="1160"/>
        <w:gridCol w:w="1160"/>
        <w:gridCol w:w="1160"/>
      </w:tblGrid>
      <w:tr w:rsidR="005362CA" w:rsidRPr="005362CA" w14:paraId="77270E55" w14:textId="77777777" w:rsidTr="006E0616">
        <w:trPr>
          <w:trHeight w:val="288"/>
          <w:jc w:val="center"/>
        </w:trPr>
        <w:tc>
          <w:tcPr>
            <w:tcW w:w="2020" w:type="dxa"/>
            <w:tcBorders>
              <w:top w:val="single" w:sz="8" w:space="0" w:color="auto"/>
              <w:left w:val="single" w:sz="8" w:space="0" w:color="auto"/>
              <w:bottom w:val="single" w:sz="4" w:space="0" w:color="auto"/>
              <w:right w:val="single" w:sz="4" w:space="0" w:color="auto"/>
            </w:tcBorders>
            <w:shd w:val="clear" w:color="auto" w:fill="FFC000"/>
            <w:noWrap/>
            <w:vAlign w:val="bottom"/>
            <w:hideMark/>
          </w:tcPr>
          <w:p w14:paraId="3A79F558"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Year</w:t>
            </w:r>
          </w:p>
        </w:tc>
        <w:tc>
          <w:tcPr>
            <w:tcW w:w="1160" w:type="dxa"/>
            <w:tcBorders>
              <w:top w:val="single" w:sz="8" w:space="0" w:color="auto"/>
              <w:left w:val="nil"/>
              <w:bottom w:val="single" w:sz="4" w:space="0" w:color="auto"/>
              <w:right w:val="single" w:sz="4" w:space="0" w:color="auto"/>
            </w:tcBorders>
            <w:shd w:val="clear" w:color="auto" w:fill="FFC000"/>
            <w:noWrap/>
            <w:vAlign w:val="bottom"/>
            <w:hideMark/>
          </w:tcPr>
          <w:p w14:paraId="73C5FA65"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2018</w:t>
            </w:r>
          </w:p>
        </w:tc>
        <w:tc>
          <w:tcPr>
            <w:tcW w:w="1160" w:type="dxa"/>
            <w:tcBorders>
              <w:top w:val="single" w:sz="8" w:space="0" w:color="auto"/>
              <w:left w:val="nil"/>
              <w:bottom w:val="single" w:sz="4" w:space="0" w:color="auto"/>
              <w:right w:val="single" w:sz="4" w:space="0" w:color="auto"/>
            </w:tcBorders>
            <w:shd w:val="clear" w:color="auto" w:fill="FFC000"/>
            <w:noWrap/>
            <w:vAlign w:val="bottom"/>
            <w:hideMark/>
          </w:tcPr>
          <w:p w14:paraId="0D23F532"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2019</w:t>
            </w:r>
          </w:p>
        </w:tc>
        <w:tc>
          <w:tcPr>
            <w:tcW w:w="1160" w:type="dxa"/>
            <w:tcBorders>
              <w:top w:val="single" w:sz="8" w:space="0" w:color="auto"/>
              <w:left w:val="nil"/>
              <w:bottom w:val="single" w:sz="4" w:space="0" w:color="auto"/>
              <w:right w:val="single" w:sz="4" w:space="0" w:color="auto"/>
            </w:tcBorders>
            <w:shd w:val="clear" w:color="auto" w:fill="FFC000"/>
            <w:noWrap/>
            <w:vAlign w:val="bottom"/>
            <w:hideMark/>
          </w:tcPr>
          <w:p w14:paraId="3782466C"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2020</w:t>
            </w:r>
          </w:p>
        </w:tc>
        <w:tc>
          <w:tcPr>
            <w:tcW w:w="1160" w:type="dxa"/>
            <w:tcBorders>
              <w:top w:val="single" w:sz="8" w:space="0" w:color="auto"/>
              <w:left w:val="nil"/>
              <w:bottom w:val="single" w:sz="4" w:space="0" w:color="auto"/>
              <w:right w:val="single" w:sz="4" w:space="0" w:color="auto"/>
            </w:tcBorders>
            <w:shd w:val="clear" w:color="auto" w:fill="FFC000"/>
            <w:noWrap/>
            <w:vAlign w:val="bottom"/>
            <w:hideMark/>
          </w:tcPr>
          <w:p w14:paraId="1BD46D1C"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2021</w:t>
            </w:r>
          </w:p>
        </w:tc>
        <w:tc>
          <w:tcPr>
            <w:tcW w:w="1160" w:type="dxa"/>
            <w:tcBorders>
              <w:top w:val="single" w:sz="8" w:space="0" w:color="auto"/>
              <w:left w:val="nil"/>
              <w:bottom w:val="single" w:sz="4" w:space="0" w:color="auto"/>
              <w:right w:val="single" w:sz="8" w:space="0" w:color="auto"/>
            </w:tcBorders>
            <w:shd w:val="clear" w:color="auto" w:fill="FFC000"/>
            <w:noWrap/>
            <w:vAlign w:val="bottom"/>
            <w:hideMark/>
          </w:tcPr>
          <w:p w14:paraId="3F6A96C6"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2022</w:t>
            </w:r>
          </w:p>
        </w:tc>
      </w:tr>
      <w:tr w:rsidR="005362CA" w:rsidRPr="005362CA" w14:paraId="39D5DFA2" w14:textId="77777777" w:rsidTr="005362CA">
        <w:trPr>
          <w:trHeight w:val="999"/>
          <w:jc w:val="center"/>
        </w:trPr>
        <w:tc>
          <w:tcPr>
            <w:tcW w:w="2020" w:type="dxa"/>
            <w:tcBorders>
              <w:top w:val="nil"/>
              <w:left w:val="single" w:sz="8" w:space="0" w:color="auto"/>
              <w:bottom w:val="single" w:sz="4" w:space="0" w:color="auto"/>
              <w:right w:val="single" w:sz="4" w:space="0" w:color="auto"/>
            </w:tcBorders>
            <w:shd w:val="clear" w:color="auto" w:fill="auto"/>
            <w:vAlign w:val="bottom"/>
            <w:hideMark/>
          </w:tcPr>
          <w:p w14:paraId="305DBC01"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Average Mercedes Inventory Turnover Ratio</w:t>
            </w:r>
          </w:p>
        </w:tc>
        <w:tc>
          <w:tcPr>
            <w:tcW w:w="1160" w:type="dxa"/>
            <w:tcBorders>
              <w:top w:val="nil"/>
              <w:left w:val="nil"/>
              <w:bottom w:val="single" w:sz="4" w:space="0" w:color="auto"/>
              <w:right w:val="single" w:sz="4" w:space="0" w:color="auto"/>
            </w:tcBorders>
            <w:shd w:val="clear" w:color="auto" w:fill="auto"/>
            <w:noWrap/>
            <w:vAlign w:val="bottom"/>
            <w:hideMark/>
          </w:tcPr>
          <w:p w14:paraId="17024636"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3.8</w:t>
            </w:r>
          </w:p>
        </w:tc>
        <w:tc>
          <w:tcPr>
            <w:tcW w:w="1160" w:type="dxa"/>
            <w:tcBorders>
              <w:top w:val="nil"/>
              <w:left w:val="nil"/>
              <w:bottom w:val="single" w:sz="4" w:space="0" w:color="auto"/>
              <w:right w:val="single" w:sz="4" w:space="0" w:color="auto"/>
            </w:tcBorders>
            <w:shd w:val="clear" w:color="auto" w:fill="auto"/>
            <w:noWrap/>
            <w:vAlign w:val="bottom"/>
            <w:hideMark/>
          </w:tcPr>
          <w:p w14:paraId="4D4C42E8"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3.8</w:t>
            </w:r>
          </w:p>
        </w:tc>
        <w:tc>
          <w:tcPr>
            <w:tcW w:w="1160" w:type="dxa"/>
            <w:tcBorders>
              <w:top w:val="nil"/>
              <w:left w:val="nil"/>
              <w:bottom w:val="single" w:sz="4" w:space="0" w:color="auto"/>
              <w:right w:val="single" w:sz="4" w:space="0" w:color="auto"/>
            </w:tcBorders>
            <w:shd w:val="clear" w:color="auto" w:fill="auto"/>
            <w:noWrap/>
            <w:vAlign w:val="bottom"/>
            <w:hideMark/>
          </w:tcPr>
          <w:p w14:paraId="01AFAE74"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3.8</w:t>
            </w:r>
          </w:p>
        </w:tc>
        <w:tc>
          <w:tcPr>
            <w:tcW w:w="1160" w:type="dxa"/>
            <w:tcBorders>
              <w:top w:val="nil"/>
              <w:left w:val="nil"/>
              <w:bottom w:val="single" w:sz="4" w:space="0" w:color="auto"/>
              <w:right w:val="single" w:sz="4" w:space="0" w:color="auto"/>
            </w:tcBorders>
            <w:shd w:val="clear" w:color="auto" w:fill="auto"/>
            <w:noWrap/>
            <w:vAlign w:val="bottom"/>
            <w:hideMark/>
          </w:tcPr>
          <w:p w14:paraId="4BC44865"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3.8</w:t>
            </w:r>
          </w:p>
        </w:tc>
        <w:tc>
          <w:tcPr>
            <w:tcW w:w="1160" w:type="dxa"/>
            <w:tcBorders>
              <w:top w:val="nil"/>
              <w:left w:val="nil"/>
              <w:bottom w:val="single" w:sz="4" w:space="0" w:color="auto"/>
              <w:right w:val="single" w:sz="8" w:space="0" w:color="auto"/>
            </w:tcBorders>
            <w:shd w:val="clear" w:color="auto" w:fill="auto"/>
            <w:noWrap/>
            <w:vAlign w:val="bottom"/>
            <w:hideMark/>
          </w:tcPr>
          <w:p w14:paraId="441A23A2"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3.8</w:t>
            </w:r>
          </w:p>
        </w:tc>
      </w:tr>
      <w:tr w:rsidR="005362CA" w:rsidRPr="005362CA" w14:paraId="4A4E81AA" w14:textId="77777777" w:rsidTr="005362CA">
        <w:trPr>
          <w:trHeight w:val="999"/>
          <w:jc w:val="center"/>
        </w:trPr>
        <w:tc>
          <w:tcPr>
            <w:tcW w:w="2020" w:type="dxa"/>
            <w:tcBorders>
              <w:top w:val="nil"/>
              <w:left w:val="single" w:sz="8" w:space="0" w:color="auto"/>
              <w:bottom w:val="nil"/>
              <w:right w:val="single" w:sz="4" w:space="0" w:color="auto"/>
            </w:tcBorders>
            <w:shd w:val="clear" w:color="auto" w:fill="auto"/>
            <w:vAlign w:val="bottom"/>
            <w:hideMark/>
          </w:tcPr>
          <w:p w14:paraId="5CF12543"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Average Ferrari Inventory Turnover Ratio</w:t>
            </w:r>
          </w:p>
        </w:tc>
        <w:tc>
          <w:tcPr>
            <w:tcW w:w="1160" w:type="dxa"/>
            <w:tcBorders>
              <w:top w:val="nil"/>
              <w:left w:val="nil"/>
              <w:bottom w:val="nil"/>
              <w:right w:val="single" w:sz="4" w:space="0" w:color="auto"/>
            </w:tcBorders>
            <w:shd w:val="clear" w:color="auto" w:fill="auto"/>
            <w:noWrap/>
            <w:vAlign w:val="bottom"/>
            <w:hideMark/>
          </w:tcPr>
          <w:p w14:paraId="2A2F6C42"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4.2</w:t>
            </w:r>
          </w:p>
        </w:tc>
        <w:tc>
          <w:tcPr>
            <w:tcW w:w="1160" w:type="dxa"/>
            <w:tcBorders>
              <w:top w:val="nil"/>
              <w:left w:val="nil"/>
              <w:bottom w:val="nil"/>
              <w:right w:val="single" w:sz="4" w:space="0" w:color="auto"/>
            </w:tcBorders>
            <w:shd w:val="clear" w:color="auto" w:fill="auto"/>
            <w:noWrap/>
            <w:vAlign w:val="bottom"/>
            <w:hideMark/>
          </w:tcPr>
          <w:p w14:paraId="7858EF8C"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4.2</w:t>
            </w:r>
          </w:p>
        </w:tc>
        <w:tc>
          <w:tcPr>
            <w:tcW w:w="1160" w:type="dxa"/>
            <w:tcBorders>
              <w:top w:val="nil"/>
              <w:left w:val="nil"/>
              <w:bottom w:val="nil"/>
              <w:right w:val="single" w:sz="4" w:space="0" w:color="auto"/>
            </w:tcBorders>
            <w:shd w:val="clear" w:color="auto" w:fill="auto"/>
            <w:noWrap/>
            <w:vAlign w:val="bottom"/>
            <w:hideMark/>
          </w:tcPr>
          <w:p w14:paraId="06EACA52"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4.2</w:t>
            </w:r>
          </w:p>
        </w:tc>
        <w:tc>
          <w:tcPr>
            <w:tcW w:w="1160" w:type="dxa"/>
            <w:tcBorders>
              <w:top w:val="nil"/>
              <w:left w:val="nil"/>
              <w:bottom w:val="nil"/>
              <w:right w:val="single" w:sz="4" w:space="0" w:color="auto"/>
            </w:tcBorders>
            <w:shd w:val="clear" w:color="auto" w:fill="auto"/>
            <w:noWrap/>
            <w:vAlign w:val="bottom"/>
            <w:hideMark/>
          </w:tcPr>
          <w:p w14:paraId="78605406"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4.2</w:t>
            </w:r>
          </w:p>
        </w:tc>
        <w:tc>
          <w:tcPr>
            <w:tcW w:w="1160" w:type="dxa"/>
            <w:tcBorders>
              <w:top w:val="nil"/>
              <w:left w:val="nil"/>
              <w:bottom w:val="nil"/>
              <w:right w:val="single" w:sz="8" w:space="0" w:color="auto"/>
            </w:tcBorders>
            <w:shd w:val="clear" w:color="auto" w:fill="auto"/>
            <w:noWrap/>
            <w:vAlign w:val="bottom"/>
            <w:hideMark/>
          </w:tcPr>
          <w:p w14:paraId="228458C7"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4.2</w:t>
            </w:r>
          </w:p>
        </w:tc>
      </w:tr>
      <w:tr w:rsidR="005362CA" w:rsidRPr="005362CA" w14:paraId="59DF6992" w14:textId="77777777" w:rsidTr="005362CA">
        <w:trPr>
          <w:trHeight w:val="999"/>
          <w:jc w:val="center"/>
        </w:trPr>
        <w:tc>
          <w:tcPr>
            <w:tcW w:w="2020" w:type="dxa"/>
            <w:tcBorders>
              <w:top w:val="single" w:sz="4" w:space="0" w:color="auto"/>
              <w:left w:val="single" w:sz="8" w:space="0" w:color="auto"/>
              <w:bottom w:val="single" w:sz="8" w:space="0" w:color="auto"/>
              <w:right w:val="single" w:sz="4" w:space="0" w:color="auto"/>
            </w:tcBorders>
            <w:shd w:val="clear" w:color="auto" w:fill="auto"/>
            <w:vAlign w:val="bottom"/>
            <w:hideMark/>
          </w:tcPr>
          <w:p w14:paraId="40D13983" w14:textId="7AC5A285"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Aston Martin Inventory Turnover Ratio</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35983FDD"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4.0</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2CD6E2FE"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3.5</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4ACEFEB8"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2.5</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020EA786"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3.7</w:t>
            </w:r>
          </w:p>
        </w:tc>
        <w:tc>
          <w:tcPr>
            <w:tcW w:w="1160" w:type="dxa"/>
            <w:tcBorders>
              <w:top w:val="single" w:sz="4" w:space="0" w:color="auto"/>
              <w:left w:val="nil"/>
              <w:bottom w:val="single" w:sz="8" w:space="0" w:color="auto"/>
              <w:right w:val="single" w:sz="8" w:space="0" w:color="auto"/>
            </w:tcBorders>
            <w:shd w:val="clear" w:color="auto" w:fill="auto"/>
            <w:noWrap/>
            <w:vAlign w:val="bottom"/>
            <w:hideMark/>
          </w:tcPr>
          <w:p w14:paraId="073D6885" w14:textId="77777777" w:rsidR="005362CA" w:rsidRPr="005362CA" w:rsidRDefault="005362CA" w:rsidP="005362CA">
            <w:pPr>
              <w:spacing w:after="0" w:line="240" w:lineRule="auto"/>
              <w:jc w:val="center"/>
              <w:rPr>
                <w:rFonts w:ascii="Calibri" w:eastAsia="Times New Roman" w:hAnsi="Calibri" w:cs="Calibri"/>
                <w:color w:val="000000"/>
                <w:sz w:val="22"/>
                <w:lang w:eastAsia="en-GB"/>
              </w:rPr>
            </w:pPr>
            <w:r w:rsidRPr="005362CA">
              <w:rPr>
                <w:rFonts w:ascii="Calibri" w:eastAsia="Times New Roman" w:hAnsi="Calibri" w:cs="Calibri"/>
                <w:color w:val="000000"/>
                <w:sz w:val="22"/>
                <w:lang w:eastAsia="en-GB"/>
              </w:rPr>
              <w:t>3.3</w:t>
            </w:r>
          </w:p>
        </w:tc>
      </w:tr>
    </w:tbl>
    <w:p w14:paraId="2374609C" w14:textId="24F67E27" w:rsidR="00A376A0" w:rsidRDefault="005362CA" w:rsidP="005362CA">
      <w:pPr>
        <w:pStyle w:val="Caption"/>
        <w:jc w:val="right"/>
      </w:pPr>
      <w:bookmarkStart w:id="36" w:name="_Ref146813782"/>
      <w:r>
        <w:t xml:space="preserve">Table </w:t>
      </w:r>
      <w:fldSimple w:instr=" SEQ Table \* ARABIC ">
        <w:r w:rsidR="0013381E">
          <w:rPr>
            <w:noProof/>
          </w:rPr>
          <w:t>10</w:t>
        </w:r>
      </w:fldSimple>
      <w:r>
        <w:t xml:space="preserve"> Inventory Turnover Ratio</w:t>
      </w:r>
      <w:bookmarkEnd w:id="36"/>
    </w:p>
    <w:p w14:paraId="741017F2" w14:textId="40194403" w:rsidR="00AE49DF" w:rsidRDefault="005362CA">
      <w:r>
        <w:t xml:space="preserve">The more Inventory Turnovers the less money that is </w:t>
      </w:r>
      <w:r w:rsidR="009C33E8">
        <w:t>tied up in inventory</w:t>
      </w:r>
      <w:r w:rsidR="000B4A9C">
        <w:t>.</w:t>
      </w:r>
    </w:p>
    <w:p w14:paraId="0EAE8764" w14:textId="77777777" w:rsidR="006E0616" w:rsidRDefault="006E0616"/>
    <w:p w14:paraId="2854D49D" w14:textId="77777777" w:rsidR="006E0616" w:rsidRDefault="006E0616"/>
    <w:p w14:paraId="637EA91C" w14:textId="77777777" w:rsidR="006E0616" w:rsidRDefault="006E0616"/>
    <w:p w14:paraId="4F25C98F" w14:textId="570D971D" w:rsidR="005362CA" w:rsidRDefault="005362CA" w:rsidP="005362CA">
      <w:pPr>
        <w:pStyle w:val="Heading3"/>
      </w:pPr>
      <w:bookmarkStart w:id="37" w:name="_Toc146791879"/>
      <w:r>
        <w:lastRenderedPageBreak/>
        <w:t>Days Payable Outstanding Ratio</w:t>
      </w:r>
      <w:bookmarkEnd w:id="37"/>
    </w:p>
    <w:p w14:paraId="73D7CB29" w14:textId="061B75D9" w:rsidR="00AE49DF" w:rsidRDefault="006E0616">
      <w:r>
        <w:t xml:space="preserve">Measures how long a company takes to payback creditors for goods and services </w:t>
      </w:r>
      <w:sdt>
        <w:sdtPr>
          <w:id w:val="612174962"/>
          <w:citation/>
        </w:sdtPr>
        <w:sdtContent>
          <w:r>
            <w:fldChar w:fldCharType="begin"/>
          </w:r>
          <w:r>
            <w:instrText xml:space="preserve"> CITATION Atr17 \l 2057 </w:instrText>
          </w:r>
          <w:r>
            <w:fldChar w:fldCharType="separate"/>
          </w:r>
          <w:r w:rsidRPr="006E0616">
            <w:rPr>
              <w:noProof/>
            </w:rPr>
            <w:t>(Atrill &amp; McLaney, 2017)</w:t>
          </w:r>
          <w:r>
            <w:fldChar w:fldCharType="end"/>
          </w:r>
        </w:sdtContent>
      </w:sdt>
      <w:r>
        <w:t>.</w:t>
      </w:r>
    </w:p>
    <w:tbl>
      <w:tblPr>
        <w:tblW w:w="7820" w:type="dxa"/>
        <w:jc w:val="center"/>
        <w:tblLook w:val="04A0" w:firstRow="1" w:lastRow="0" w:firstColumn="1" w:lastColumn="0" w:noHBand="0" w:noVBand="1"/>
      </w:tblPr>
      <w:tblGrid>
        <w:gridCol w:w="2020"/>
        <w:gridCol w:w="1160"/>
        <w:gridCol w:w="1160"/>
        <w:gridCol w:w="1160"/>
        <w:gridCol w:w="1160"/>
        <w:gridCol w:w="1160"/>
      </w:tblGrid>
      <w:tr w:rsidR="00023944" w:rsidRPr="00023944" w14:paraId="1D1316B2" w14:textId="77777777" w:rsidTr="00023944">
        <w:trPr>
          <w:trHeight w:val="288"/>
          <w:jc w:val="center"/>
        </w:trPr>
        <w:tc>
          <w:tcPr>
            <w:tcW w:w="2020" w:type="dxa"/>
            <w:tcBorders>
              <w:top w:val="single" w:sz="8" w:space="0" w:color="auto"/>
              <w:left w:val="single" w:sz="8" w:space="0" w:color="auto"/>
              <w:bottom w:val="single" w:sz="4" w:space="0" w:color="auto"/>
              <w:right w:val="single" w:sz="4" w:space="0" w:color="auto"/>
            </w:tcBorders>
            <w:shd w:val="clear" w:color="auto" w:fill="FFC000"/>
            <w:noWrap/>
            <w:vAlign w:val="bottom"/>
            <w:hideMark/>
          </w:tcPr>
          <w:p w14:paraId="49B83DAE"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Year</w:t>
            </w:r>
          </w:p>
        </w:tc>
        <w:tc>
          <w:tcPr>
            <w:tcW w:w="1160" w:type="dxa"/>
            <w:tcBorders>
              <w:top w:val="single" w:sz="8" w:space="0" w:color="auto"/>
              <w:left w:val="nil"/>
              <w:bottom w:val="single" w:sz="4" w:space="0" w:color="auto"/>
              <w:right w:val="single" w:sz="4" w:space="0" w:color="auto"/>
            </w:tcBorders>
            <w:shd w:val="clear" w:color="auto" w:fill="FFC000"/>
            <w:noWrap/>
            <w:vAlign w:val="bottom"/>
            <w:hideMark/>
          </w:tcPr>
          <w:p w14:paraId="3C231587"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2018</w:t>
            </w:r>
          </w:p>
        </w:tc>
        <w:tc>
          <w:tcPr>
            <w:tcW w:w="1160" w:type="dxa"/>
            <w:tcBorders>
              <w:top w:val="single" w:sz="8" w:space="0" w:color="auto"/>
              <w:left w:val="nil"/>
              <w:bottom w:val="single" w:sz="4" w:space="0" w:color="auto"/>
              <w:right w:val="single" w:sz="4" w:space="0" w:color="auto"/>
            </w:tcBorders>
            <w:shd w:val="clear" w:color="auto" w:fill="FFC000"/>
            <w:noWrap/>
            <w:vAlign w:val="bottom"/>
            <w:hideMark/>
          </w:tcPr>
          <w:p w14:paraId="28FDA34D"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2019</w:t>
            </w:r>
          </w:p>
        </w:tc>
        <w:tc>
          <w:tcPr>
            <w:tcW w:w="1160" w:type="dxa"/>
            <w:tcBorders>
              <w:top w:val="single" w:sz="8" w:space="0" w:color="auto"/>
              <w:left w:val="nil"/>
              <w:bottom w:val="single" w:sz="4" w:space="0" w:color="auto"/>
              <w:right w:val="single" w:sz="4" w:space="0" w:color="auto"/>
            </w:tcBorders>
            <w:shd w:val="clear" w:color="auto" w:fill="FFC000"/>
            <w:noWrap/>
            <w:vAlign w:val="bottom"/>
            <w:hideMark/>
          </w:tcPr>
          <w:p w14:paraId="256E90D9"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2020</w:t>
            </w:r>
          </w:p>
        </w:tc>
        <w:tc>
          <w:tcPr>
            <w:tcW w:w="1160" w:type="dxa"/>
            <w:tcBorders>
              <w:top w:val="single" w:sz="8" w:space="0" w:color="auto"/>
              <w:left w:val="nil"/>
              <w:bottom w:val="single" w:sz="4" w:space="0" w:color="auto"/>
              <w:right w:val="single" w:sz="4" w:space="0" w:color="auto"/>
            </w:tcBorders>
            <w:shd w:val="clear" w:color="auto" w:fill="FFC000"/>
            <w:noWrap/>
            <w:vAlign w:val="bottom"/>
            <w:hideMark/>
          </w:tcPr>
          <w:p w14:paraId="1DB7A070"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2021</w:t>
            </w:r>
          </w:p>
        </w:tc>
        <w:tc>
          <w:tcPr>
            <w:tcW w:w="1160" w:type="dxa"/>
            <w:tcBorders>
              <w:top w:val="single" w:sz="8" w:space="0" w:color="auto"/>
              <w:left w:val="nil"/>
              <w:bottom w:val="single" w:sz="4" w:space="0" w:color="auto"/>
              <w:right w:val="single" w:sz="8" w:space="0" w:color="auto"/>
            </w:tcBorders>
            <w:shd w:val="clear" w:color="auto" w:fill="FFC000"/>
            <w:noWrap/>
            <w:vAlign w:val="bottom"/>
            <w:hideMark/>
          </w:tcPr>
          <w:p w14:paraId="2892A6BB"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2022</w:t>
            </w:r>
          </w:p>
        </w:tc>
      </w:tr>
      <w:tr w:rsidR="00023944" w:rsidRPr="00023944" w14:paraId="59498D27" w14:textId="77777777" w:rsidTr="00023944">
        <w:trPr>
          <w:trHeight w:val="999"/>
          <w:jc w:val="center"/>
        </w:trPr>
        <w:tc>
          <w:tcPr>
            <w:tcW w:w="2020" w:type="dxa"/>
            <w:tcBorders>
              <w:top w:val="nil"/>
              <w:left w:val="single" w:sz="8" w:space="0" w:color="auto"/>
              <w:bottom w:val="single" w:sz="4" w:space="0" w:color="auto"/>
              <w:right w:val="single" w:sz="4" w:space="0" w:color="auto"/>
            </w:tcBorders>
            <w:shd w:val="clear" w:color="auto" w:fill="auto"/>
            <w:vAlign w:val="bottom"/>
            <w:hideMark/>
          </w:tcPr>
          <w:p w14:paraId="005A7E70" w14:textId="39BD7012"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Average Mercedes Days Payable Outstanding Ratio</w:t>
            </w:r>
          </w:p>
        </w:tc>
        <w:tc>
          <w:tcPr>
            <w:tcW w:w="1160" w:type="dxa"/>
            <w:tcBorders>
              <w:top w:val="nil"/>
              <w:left w:val="nil"/>
              <w:bottom w:val="single" w:sz="4" w:space="0" w:color="auto"/>
              <w:right w:val="single" w:sz="4" w:space="0" w:color="auto"/>
            </w:tcBorders>
            <w:shd w:val="clear" w:color="auto" w:fill="auto"/>
            <w:noWrap/>
            <w:vAlign w:val="bottom"/>
            <w:hideMark/>
          </w:tcPr>
          <w:p w14:paraId="2AB14503"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41</w:t>
            </w:r>
          </w:p>
        </w:tc>
        <w:tc>
          <w:tcPr>
            <w:tcW w:w="1160" w:type="dxa"/>
            <w:tcBorders>
              <w:top w:val="nil"/>
              <w:left w:val="nil"/>
              <w:bottom w:val="single" w:sz="4" w:space="0" w:color="auto"/>
              <w:right w:val="single" w:sz="4" w:space="0" w:color="auto"/>
            </w:tcBorders>
            <w:shd w:val="clear" w:color="auto" w:fill="auto"/>
            <w:noWrap/>
            <w:vAlign w:val="bottom"/>
            <w:hideMark/>
          </w:tcPr>
          <w:p w14:paraId="6DB15204"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41</w:t>
            </w:r>
          </w:p>
        </w:tc>
        <w:tc>
          <w:tcPr>
            <w:tcW w:w="1160" w:type="dxa"/>
            <w:tcBorders>
              <w:top w:val="nil"/>
              <w:left w:val="nil"/>
              <w:bottom w:val="single" w:sz="4" w:space="0" w:color="auto"/>
              <w:right w:val="single" w:sz="4" w:space="0" w:color="auto"/>
            </w:tcBorders>
            <w:shd w:val="clear" w:color="auto" w:fill="auto"/>
            <w:noWrap/>
            <w:vAlign w:val="bottom"/>
            <w:hideMark/>
          </w:tcPr>
          <w:p w14:paraId="46A44815"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41</w:t>
            </w:r>
          </w:p>
        </w:tc>
        <w:tc>
          <w:tcPr>
            <w:tcW w:w="1160" w:type="dxa"/>
            <w:tcBorders>
              <w:top w:val="nil"/>
              <w:left w:val="nil"/>
              <w:bottom w:val="single" w:sz="4" w:space="0" w:color="auto"/>
              <w:right w:val="single" w:sz="4" w:space="0" w:color="auto"/>
            </w:tcBorders>
            <w:shd w:val="clear" w:color="auto" w:fill="auto"/>
            <w:noWrap/>
            <w:vAlign w:val="bottom"/>
            <w:hideMark/>
          </w:tcPr>
          <w:p w14:paraId="276E255F"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41</w:t>
            </w:r>
          </w:p>
        </w:tc>
        <w:tc>
          <w:tcPr>
            <w:tcW w:w="1160" w:type="dxa"/>
            <w:tcBorders>
              <w:top w:val="nil"/>
              <w:left w:val="nil"/>
              <w:bottom w:val="single" w:sz="4" w:space="0" w:color="auto"/>
              <w:right w:val="single" w:sz="8" w:space="0" w:color="auto"/>
            </w:tcBorders>
            <w:shd w:val="clear" w:color="auto" w:fill="auto"/>
            <w:noWrap/>
            <w:vAlign w:val="bottom"/>
            <w:hideMark/>
          </w:tcPr>
          <w:p w14:paraId="479C7BE3"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41</w:t>
            </w:r>
          </w:p>
        </w:tc>
      </w:tr>
      <w:tr w:rsidR="00023944" w:rsidRPr="00023944" w14:paraId="75155453" w14:textId="77777777" w:rsidTr="00023944">
        <w:trPr>
          <w:trHeight w:val="999"/>
          <w:jc w:val="center"/>
        </w:trPr>
        <w:tc>
          <w:tcPr>
            <w:tcW w:w="2020" w:type="dxa"/>
            <w:tcBorders>
              <w:top w:val="nil"/>
              <w:left w:val="single" w:sz="8" w:space="0" w:color="auto"/>
              <w:bottom w:val="nil"/>
              <w:right w:val="single" w:sz="4" w:space="0" w:color="auto"/>
            </w:tcBorders>
            <w:shd w:val="clear" w:color="auto" w:fill="auto"/>
            <w:vAlign w:val="bottom"/>
            <w:hideMark/>
          </w:tcPr>
          <w:p w14:paraId="75B8FB43"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Average Ferrari Days Payable Outstanding Ratio</w:t>
            </w:r>
          </w:p>
        </w:tc>
        <w:tc>
          <w:tcPr>
            <w:tcW w:w="1160" w:type="dxa"/>
            <w:tcBorders>
              <w:top w:val="nil"/>
              <w:left w:val="nil"/>
              <w:bottom w:val="nil"/>
              <w:right w:val="single" w:sz="4" w:space="0" w:color="auto"/>
            </w:tcBorders>
            <w:shd w:val="clear" w:color="auto" w:fill="auto"/>
            <w:noWrap/>
            <w:vAlign w:val="bottom"/>
            <w:hideMark/>
          </w:tcPr>
          <w:p w14:paraId="548C4155"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144</w:t>
            </w:r>
          </w:p>
        </w:tc>
        <w:tc>
          <w:tcPr>
            <w:tcW w:w="1160" w:type="dxa"/>
            <w:tcBorders>
              <w:top w:val="nil"/>
              <w:left w:val="nil"/>
              <w:bottom w:val="nil"/>
              <w:right w:val="single" w:sz="4" w:space="0" w:color="auto"/>
            </w:tcBorders>
            <w:shd w:val="clear" w:color="auto" w:fill="auto"/>
            <w:noWrap/>
            <w:vAlign w:val="bottom"/>
            <w:hideMark/>
          </w:tcPr>
          <w:p w14:paraId="23B34DCC"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144</w:t>
            </w:r>
          </w:p>
        </w:tc>
        <w:tc>
          <w:tcPr>
            <w:tcW w:w="1160" w:type="dxa"/>
            <w:tcBorders>
              <w:top w:val="nil"/>
              <w:left w:val="nil"/>
              <w:bottom w:val="nil"/>
              <w:right w:val="single" w:sz="4" w:space="0" w:color="auto"/>
            </w:tcBorders>
            <w:shd w:val="clear" w:color="auto" w:fill="auto"/>
            <w:noWrap/>
            <w:vAlign w:val="bottom"/>
            <w:hideMark/>
          </w:tcPr>
          <w:p w14:paraId="30BC3E83"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144</w:t>
            </w:r>
          </w:p>
        </w:tc>
        <w:tc>
          <w:tcPr>
            <w:tcW w:w="1160" w:type="dxa"/>
            <w:tcBorders>
              <w:top w:val="nil"/>
              <w:left w:val="nil"/>
              <w:bottom w:val="nil"/>
              <w:right w:val="single" w:sz="4" w:space="0" w:color="auto"/>
            </w:tcBorders>
            <w:shd w:val="clear" w:color="auto" w:fill="auto"/>
            <w:noWrap/>
            <w:vAlign w:val="bottom"/>
            <w:hideMark/>
          </w:tcPr>
          <w:p w14:paraId="40B6F24B"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144</w:t>
            </w:r>
          </w:p>
        </w:tc>
        <w:tc>
          <w:tcPr>
            <w:tcW w:w="1160" w:type="dxa"/>
            <w:tcBorders>
              <w:top w:val="nil"/>
              <w:left w:val="nil"/>
              <w:bottom w:val="nil"/>
              <w:right w:val="single" w:sz="8" w:space="0" w:color="auto"/>
            </w:tcBorders>
            <w:shd w:val="clear" w:color="auto" w:fill="auto"/>
            <w:noWrap/>
            <w:vAlign w:val="bottom"/>
            <w:hideMark/>
          </w:tcPr>
          <w:p w14:paraId="457A04C2"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144</w:t>
            </w:r>
          </w:p>
        </w:tc>
      </w:tr>
      <w:tr w:rsidR="00023944" w:rsidRPr="00023944" w14:paraId="4430EF0F" w14:textId="77777777" w:rsidTr="00023944">
        <w:trPr>
          <w:trHeight w:val="999"/>
          <w:jc w:val="center"/>
        </w:trPr>
        <w:tc>
          <w:tcPr>
            <w:tcW w:w="2020" w:type="dxa"/>
            <w:tcBorders>
              <w:top w:val="single" w:sz="4" w:space="0" w:color="auto"/>
              <w:left w:val="single" w:sz="8" w:space="0" w:color="auto"/>
              <w:bottom w:val="single" w:sz="8" w:space="0" w:color="auto"/>
              <w:right w:val="single" w:sz="4" w:space="0" w:color="auto"/>
            </w:tcBorders>
            <w:shd w:val="clear" w:color="auto" w:fill="auto"/>
            <w:vAlign w:val="bottom"/>
            <w:hideMark/>
          </w:tcPr>
          <w:p w14:paraId="4E50E9CA"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Aston Martin Days Payable Outstanding Ratio</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1125CB1E"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391</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71EE047A"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404</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532EC091"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427</w:t>
            </w:r>
          </w:p>
        </w:tc>
        <w:tc>
          <w:tcPr>
            <w:tcW w:w="1160" w:type="dxa"/>
            <w:tcBorders>
              <w:top w:val="single" w:sz="4" w:space="0" w:color="auto"/>
              <w:left w:val="nil"/>
              <w:bottom w:val="single" w:sz="8" w:space="0" w:color="auto"/>
              <w:right w:val="single" w:sz="4" w:space="0" w:color="auto"/>
            </w:tcBorders>
            <w:shd w:val="clear" w:color="auto" w:fill="auto"/>
            <w:noWrap/>
            <w:vAlign w:val="bottom"/>
            <w:hideMark/>
          </w:tcPr>
          <w:p w14:paraId="439E6B71"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355</w:t>
            </w:r>
          </w:p>
        </w:tc>
        <w:tc>
          <w:tcPr>
            <w:tcW w:w="1160" w:type="dxa"/>
            <w:tcBorders>
              <w:top w:val="single" w:sz="4" w:space="0" w:color="auto"/>
              <w:left w:val="nil"/>
              <w:bottom w:val="single" w:sz="8" w:space="0" w:color="auto"/>
              <w:right w:val="single" w:sz="8" w:space="0" w:color="auto"/>
            </w:tcBorders>
            <w:shd w:val="clear" w:color="auto" w:fill="auto"/>
            <w:noWrap/>
            <w:vAlign w:val="bottom"/>
            <w:hideMark/>
          </w:tcPr>
          <w:p w14:paraId="2F8CB60D" w14:textId="77777777" w:rsidR="00023944" w:rsidRPr="00023944" w:rsidRDefault="00023944" w:rsidP="00023944">
            <w:pPr>
              <w:spacing w:after="0" w:line="240" w:lineRule="auto"/>
              <w:jc w:val="center"/>
              <w:rPr>
                <w:rFonts w:ascii="Calibri" w:eastAsia="Times New Roman" w:hAnsi="Calibri" w:cs="Calibri"/>
                <w:color w:val="000000"/>
                <w:sz w:val="22"/>
                <w:lang w:eastAsia="en-GB"/>
              </w:rPr>
            </w:pPr>
            <w:r w:rsidRPr="00023944">
              <w:rPr>
                <w:rFonts w:ascii="Calibri" w:eastAsia="Times New Roman" w:hAnsi="Calibri" w:cs="Calibri"/>
                <w:color w:val="000000"/>
                <w:sz w:val="22"/>
                <w:lang w:eastAsia="en-GB"/>
              </w:rPr>
              <w:t>347</w:t>
            </w:r>
          </w:p>
        </w:tc>
      </w:tr>
    </w:tbl>
    <w:p w14:paraId="72A8BC04" w14:textId="5E6FD431" w:rsidR="005362CA" w:rsidRDefault="00023944" w:rsidP="00023944">
      <w:pPr>
        <w:pStyle w:val="Caption"/>
        <w:jc w:val="right"/>
      </w:pPr>
      <w:bookmarkStart w:id="38" w:name="_Ref146813925"/>
      <w:r>
        <w:t xml:space="preserve">Table </w:t>
      </w:r>
      <w:fldSimple w:instr=" SEQ Table \* ARABIC ">
        <w:r w:rsidR="0013381E">
          <w:rPr>
            <w:noProof/>
          </w:rPr>
          <w:t>11</w:t>
        </w:r>
      </w:fldSimple>
      <w:r>
        <w:t xml:space="preserve"> Days Payable Outstanding Ratio</w:t>
      </w:r>
      <w:bookmarkEnd w:id="38"/>
    </w:p>
    <w:p w14:paraId="4FF1DCEA" w14:textId="06F7A143" w:rsidR="005362CA" w:rsidRDefault="00F51D06">
      <w:r>
        <w:t xml:space="preserve">Aston Martin’s results paint an even more worrying picture, with average payback being more than a year. Ferrari must have negotiated very attractive terms with their </w:t>
      </w:r>
      <w:r w:rsidR="0052734B">
        <w:t>creditors but</w:t>
      </w:r>
      <w:r>
        <w:t xml:space="preserve"> given their financial performance it is understandable.</w:t>
      </w:r>
    </w:p>
    <w:p w14:paraId="0E6C70BB" w14:textId="4D4591AD" w:rsidR="005362CA" w:rsidRDefault="00023944" w:rsidP="00023944">
      <w:pPr>
        <w:pStyle w:val="Heading2"/>
      </w:pPr>
      <w:bookmarkStart w:id="39" w:name="_Toc146791880"/>
      <w:r>
        <w:t>Financial Ratios</w:t>
      </w:r>
      <w:bookmarkEnd w:id="39"/>
    </w:p>
    <w:p w14:paraId="6E5BAEFB" w14:textId="2726F314" w:rsidR="00023944" w:rsidRDefault="00023944" w:rsidP="00023944">
      <w:pPr>
        <w:pStyle w:val="Heading3"/>
      </w:pPr>
      <w:bookmarkStart w:id="40" w:name="_Toc146791881"/>
      <w:r>
        <w:t>Gearing Ratio</w:t>
      </w:r>
      <w:bookmarkEnd w:id="40"/>
    </w:p>
    <w:p w14:paraId="6804AE02" w14:textId="77777777" w:rsidR="0033041C" w:rsidRPr="00374C65" w:rsidRDefault="0033041C" w:rsidP="0033041C">
      <w:r>
        <w:t xml:space="preserve">“The gearing ratio measures the contribution of long-term lenders to the long-term capital structure of a business” </w:t>
      </w:r>
      <w:sdt>
        <w:sdtPr>
          <w:id w:val="-1667616079"/>
          <w:citation/>
        </w:sdtPr>
        <w:sdtContent>
          <w:r>
            <w:fldChar w:fldCharType="begin"/>
          </w:r>
          <w:r>
            <w:instrText xml:space="preserve"> CITATION Atr17 \l 2057 </w:instrText>
          </w:r>
          <w:r>
            <w:fldChar w:fldCharType="separate"/>
          </w:r>
          <w:r w:rsidRPr="0033041C">
            <w:rPr>
              <w:noProof/>
            </w:rPr>
            <w:t>(Atrill &amp; McLaney, 2017)</w:t>
          </w:r>
          <w:r>
            <w:fldChar w:fldCharType="end"/>
          </w:r>
        </w:sdtContent>
      </w:sdt>
      <w:r>
        <w:t>.</w:t>
      </w:r>
    </w:p>
    <w:tbl>
      <w:tblPr>
        <w:tblW w:w="7820" w:type="dxa"/>
        <w:jc w:val="center"/>
        <w:tblLook w:val="04A0" w:firstRow="1" w:lastRow="0" w:firstColumn="1" w:lastColumn="0" w:noHBand="0" w:noVBand="1"/>
      </w:tblPr>
      <w:tblGrid>
        <w:gridCol w:w="2020"/>
        <w:gridCol w:w="1160"/>
        <w:gridCol w:w="1160"/>
        <w:gridCol w:w="1160"/>
        <w:gridCol w:w="1160"/>
        <w:gridCol w:w="1160"/>
      </w:tblGrid>
      <w:tr w:rsidR="00195CEE" w:rsidRPr="00195CEE" w14:paraId="3326902A" w14:textId="77777777" w:rsidTr="00195CEE">
        <w:trPr>
          <w:trHeight w:val="288"/>
          <w:jc w:val="center"/>
        </w:trPr>
        <w:tc>
          <w:tcPr>
            <w:tcW w:w="2020" w:type="dxa"/>
            <w:tcBorders>
              <w:top w:val="single" w:sz="8" w:space="0" w:color="auto"/>
              <w:left w:val="single" w:sz="8" w:space="0" w:color="auto"/>
              <w:bottom w:val="single" w:sz="4" w:space="0" w:color="auto"/>
              <w:right w:val="single" w:sz="4" w:space="0" w:color="auto"/>
            </w:tcBorders>
            <w:shd w:val="clear" w:color="000000" w:fill="FFFF00"/>
            <w:noWrap/>
            <w:vAlign w:val="bottom"/>
            <w:hideMark/>
          </w:tcPr>
          <w:p w14:paraId="6718DFCA" w14:textId="77777777" w:rsidR="00195CEE" w:rsidRPr="00195CEE" w:rsidRDefault="00195CEE" w:rsidP="00195CEE">
            <w:pPr>
              <w:spacing w:after="0" w:line="240" w:lineRule="auto"/>
              <w:jc w:val="center"/>
              <w:rPr>
                <w:rFonts w:ascii="Calibri" w:eastAsia="Times New Roman" w:hAnsi="Calibri" w:cs="Calibri"/>
                <w:color w:val="000000"/>
                <w:sz w:val="22"/>
                <w:lang w:eastAsia="en-GB"/>
              </w:rPr>
            </w:pPr>
            <w:r w:rsidRPr="00195CEE">
              <w:rPr>
                <w:rFonts w:ascii="Calibri" w:eastAsia="Times New Roman" w:hAnsi="Calibri" w:cs="Calibri"/>
                <w:color w:val="000000"/>
                <w:sz w:val="22"/>
                <w:lang w:eastAsia="en-GB"/>
              </w:rPr>
              <w:t>Year</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404E4058" w14:textId="77777777" w:rsidR="00195CEE" w:rsidRPr="00195CEE" w:rsidRDefault="00195CEE" w:rsidP="00195CEE">
            <w:pPr>
              <w:spacing w:after="0" w:line="240" w:lineRule="auto"/>
              <w:jc w:val="center"/>
              <w:rPr>
                <w:rFonts w:ascii="Calibri" w:eastAsia="Times New Roman" w:hAnsi="Calibri" w:cs="Calibri"/>
                <w:color w:val="000000"/>
                <w:sz w:val="22"/>
                <w:lang w:eastAsia="en-GB"/>
              </w:rPr>
            </w:pPr>
            <w:r w:rsidRPr="00195CEE">
              <w:rPr>
                <w:rFonts w:ascii="Calibri" w:eastAsia="Times New Roman" w:hAnsi="Calibri" w:cs="Calibri"/>
                <w:color w:val="000000"/>
                <w:sz w:val="22"/>
                <w:lang w:eastAsia="en-GB"/>
              </w:rPr>
              <w:t>2018</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15074265" w14:textId="77777777" w:rsidR="00195CEE" w:rsidRPr="00195CEE" w:rsidRDefault="00195CEE" w:rsidP="00195CEE">
            <w:pPr>
              <w:spacing w:after="0" w:line="240" w:lineRule="auto"/>
              <w:jc w:val="center"/>
              <w:rPr>
                <w:rFonts w:ascii="Calibri" w:eastAsia="Times New Roman" w:hAnsi="Calibri" w:cs="Calibri"/>
                <w:color w:val="000000"/>
                <w:sz w:val="22"/>
                <w:lang w:eastAsia="en-GB"/>
              </w:rPr>
            </w:pPr>
            <w:r w:rsidRPr="00195CEE">
              <w:rPr>
                <w:rFonts w:ascii="Calibri" w:eastAsia="Times New Roman" w:hAnsi="Calibri" w:cs="Calibri"/>
                <w:color w:val="000000"/>
                <w:sz w:val="22"/>
                <w:lang w:eastAsia="en-GB"/>
              </w:rPr>
              <w:t>2019</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528AC8AC" w14:textId="77777777" w:rsidR="00195CEE" w:rsidRPr="00195CEE" w:rsidRDefault="00195CEE" w:rsidP="00195CEE">
            <w:pPr>
              <w:spacing w:after="0" w:line="240" w:lineRule="auto"/>
              <w:jc w:val="center"/>
              <w:rPr>
                <w:rFonts w:ascii="Calibri" w:eastAsia="Times New Roman" w:hAnsi="Calibri" w:cs="Calibri"/>
                <w:color w:val="000000"/>
                <w:sz w:val="22"/>
                <w:lang w:eastAsia="en-GB"/>
              </w:rPr>
            </w:pPr>
            <w:r w:rsidRPr="00195CEE">
              <w:rPr>
                <w:rFonts w:ascii="Calibri" w:eastAsia="Times New Roman" w:hAnsi="Calibri" w:cs="Calibri"/>
                <w:color w:val="000000"/>
                <w:sz w:val="22"/>
                <w:lang w:eastAsia="en-GB"/>
              </w:rPr>
              <w:t>2020</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3141603A" w14:textId="77777777" w:rsidR="00195CEE" w:rsidRPr="00195CEE" w:rsidRDefault="00195CEE" w:rsidP="00195CEE">
            <w:pPr>
              <w:spacing w:after="0" w:line="240" w:lineRule="auto"/>
              <w:jc w:val="center"/>
              <w:rPr>
                <w:rFonts w:ascii="Calibri" w:eastAsia="Times New Roman" w:hAnsi="Calibri" w:cs="Calibri"/>
                <w:color w:val="000000"/>
                <w:sz w:val="22"/>
                <w:lang w:eastAsia="en-GB"/>
              </w:rPr>
            </w:pPr>
            <w:r w:rsidRPr="00195CEE">
              <w:rPr>
                <w:rFonts w:ascii="Calibri" w:eastAsia="Times New Roman" w:hAnsi="Calibri" w:cs="Calibri"/>
                <w:color w:val="000000"/>
                <w:sz w:val="22"/>
                <w:lang w:eastAsia="en-GB"/>
              </w:rPr>
              <w:t>2021</w:t>
            </w:r>
          </w:p>
        </w:tc>
        <w:tc>
          <w:tcPr>
            <w:tcW w:w="1160" w:type="dxa"/>
            <w:tcBorders>
              <w:top w:val="single" w:sz="8" w:space="0" w:color="auto"/>
              <w:left w:val="nil"/>
              <w:bottom w:val="single" w:sz="4" w:space="0" w:color="auto"/>
              <w:right w:val="single" w:sz="8" w:space="0" w:color="auto"/>
            </w:tcBorders>
            <w:shd w:val="clear" w:color="000000" w:fill="FFFF00"/>
            <w:noWrap/>
            <w:vAlign w:val="bottom"/>
            <w:hideMark/>
          </w:tcPr>
          <w:p w14:paraId="34156092" w14:textId="77777777" w:rsidR="00195CEE" w:rsidRPr="00195CEE" w:rsidRDefault="00195CEE" w:rsidP="00195CEE">
            <w:pPr>
              <w:spacing w:after="0" w:line="240" w:lineRule="auto"/>
              <w:jc w:val="center"/>
              <w:rPr>
                <w:rFonts w:ascii="Calibri" w:eastAsia="Times New Roman" w:hAnsi="Calibri" w:cs="Calibri"/>
                <w:color w:val="000000"/>
                <w:sz w:val="22"/>
                <w:lang w:eastAsia="en-GB"/>
              </w:rPr>
            </w:pPr>
            <w:r w:rsidRPr="00195CEE">
              <w:rPr>
                <w:rFonts w:ascii="Calibri" w:eastAsia="Times New Roman" w:hAnsi="Calibri" w:cs="Calibri"/>
                <w:color w:val="000000"/>
                <w:sz w:val="22"/>
                <w:lang w:eastAsia="en-GB"/>
              </w:rPr>
              <w:t>2022</w:t>
            </w:r>
          </w:p>
        </w:tc>
      </w:tr>
      <w:tr w:rsidR="00195CEE" w:rsidRPr="00195CEE" w14:paraId="5AC03CFF" w14:textId="77777777" w:rsidTr="00195CEE">
        <w:trPr>
          <w:trHeight w:val="999"/>
          <w:jc w:val="center"/>
        </w:trPr>
        <w:tc>
          <w:tcPr>
            <w:tcW w:w="2020" w:type="dxa"/>
            <w:tcBorders>
              <w:top w:val="nil"/>
              <w:left w:val="single" w:sz="8" w:space="0" w:color="auto"/>
              <w:bottom w:val="single" w:sz="4" w:space="0" w:color="auto"/>
              <w:right w:val="single" w:sz="4" w:space="0" w:color="auto"/>
            </w:tcBorders>
            <w:shd w:val="clear" w:color="auto" w:fill="auto"/>
            <w:vAlign w:val="bottom"/>
            <w:hideMark/>
          </w:tcPr>
          <w:p w14:paraId="69756DE7" w14:textId="77777777" w:rsidR="00195CEE" w:rsidRPr="00195CEE" w:rsidRDefault="00195CEE" w:rsidP="00195CEE">
            <w:pPr>
              <w:spacing w:after="0" w:line="240" w:lineRule="auto"/>
              <w:jc w:val="center"/>
              <w:rPr>
                <w:rFonts w:ascii="Calibri" w:eastAsia="Times New Roman" w:hAnsi="Calibri" w:cs="Calibri"/>
                <w:color w:val="000000"/>
                <w:sz w:val="22"/>
                <w:lang w:eastAsia="en-GB"/>
              </w:rPr>
            </w:pPr>
            <w:r w:rsidRPr="00195CEE">
              <w:rPr>
                <w:rFonts w:ascii="Calibri" w:eastAsia="Times New Roman" w:hAnsi="Calibri" w:cs="Calibri"/>
                <w:color w:val="000000"/>
                <w:sz w:val="22"/>
                <w:lang w:eastAsia="en-GB"/>
              </w:rPr>
              <w:t>Average Mercedes Gearing Ratio</w:t>
            </w:r>
          </w:p>
        </w:tc>
        <w:tc>
          <w:tcPr>
            <w:tcW w:w="5800" w:type="dxa"/>
            <w:gridSpan w:val="5"/>
            <w:tcBorders>
              <w:top w:val="single" w:sz="4" w:space="0" w:color="auto"/>
              <w:left w:val="nil"/>
              <w:bottom w:val="single" w:sz="4" w:space="0" w:color="auto"/>
              <w:right w:val="single" w:sz="8" w:space="0" w:color="000000"/>
            </w:tcBorders>
            <w:shd w:val="clear" w:color="auto" w:fill="auto"/>
            <w:noWrap/>
            <w:vAlign w:val="bottom"/>
            <w:hideMark/>
          </w:tcPr>
          <w:p w14:paraId="59061E2B" w14:textId="77777777" w:rsidR="00195CEE" w:rsidRPr="00195CEE" w:rsidRDefault="00195CEE" w:rsidP="00195CEE">
            <w:pPr>
              <w:spacing w:after="0" w:line="240" w:lineRule="auto"/>
              <w:jc w:val="center"/>
              <w:rPr>
                <w:rFonts w:ascii="Calibri" w:eastAsia="Times New Roman" w:hAnsi="Calibri" w:cs="Calibri"/>
                <w:color w:val="000000"/>
                <w:sz w:val="22"/>
                <w:lang w:eastAsia="en-GB"/>
              </w:rPr>
            </w:pPr>
            <w:r w:rsidRPr="00195CEE">
              <w:rPr>
                <w:rFonts w:ascii="Calibri" w:eastAsia="Times New Roman" w:hAnsi="Calibri" w:cs="Calibri"/>
                <w:color w:val="000000"/>
                <w:sz w:val="22"/>
                <w:lang w:eastAsia="en-GB"/>
              </w:rPr>
              <w:t>No data readily available</w:t>
            </w:r>
          </w:p>
        </w:tc>
      </w:tr>
      <w:tr w:rsidR="00195CEE" w:rsidRPr="00195CEE" w14:paraId="0ABCA222" w14:textId="77777777" w:rsidTr="00195CEE">
        <w:trPr>
          <w:trHeight w:val="999"/>
          <w:jc w:val="center"/>
        </w:trPr>
        <w:tc>
          <w:tcPr>
            <w:tcW w:w="2020" w:type="dxa"/>
            <w:tcBorders>
              <w:top w:val="nil"/>
              <w:left w:val="single" w:sz="8" w:space="0" w:color="auto"/>
              <w:bottom w:val="nil"/>
              <w:right w:val="single" w:sz="4" w:space="0" w:color="auto"/>
            </w:tcBorders>
            <w:shd w:val="clear" w:color="auto" w:fill="auto"/>
            <w:vAlign w:val="bottom"/>
            <w:hideMark/>
          </w:tcPr>
          <w:p w14:paraId="1BF0F9A0" w14:textId="77777777" w:rsidR="00195CEE" w:rsidRPr="00195CEE" w:rsidRDefault="00195CEE" w:rsidP="00195CEE">
            <w:pPr>
              <w:spacing w:after="0" w:line="240" w:lineRule="auto"/>
              <w:jc w:val="center"/>
              <w:rPr>
                <w:rFonts w:ascii="Calibri" w:eastAsia="Times New Roman" w:hAnsi="Calibri" w:cs="Calibri"/>
                <w:color w:val="000000"/>
                <w:sz w:val="22"/>
                <w:lang w:eastAsia="en-GB"/>
              </w:rPr>
            </w:pPr>
            <w:r w:rsidRPr="00195CEE">
              <w:rPr>
                <w:rFonts w:ascii="Calibri" w:eastAsia="Times New Roman" w:hAnsi="Calibri" w:cs="Calibri"/>
                <w:color w:val="000000"/>
                <w:sz w:val="22"/>
                <w:lang w:eastAsia="en-GB"/>
              </w:rPr>
              <w:t>Average Ferrari Gearing Ratio</w:t>
            </w:r>
          </w:p>
        </w:tc>
        <w:tc>
          <w:tcPr>
            <w:tcW w:w="5800" w:type="dxa"/>
            <w:gridSpan w:val="5"/>
            <w:tcBorders>
              <w:top w:val="single" w:sz="4" w:space="0" w:color="auto"/>
              <w:left w:val="nil"/>
              <w:bottom w:val="single" w:sz="4" w:space="0" w:color="auto"/>
              <w:right w:val="single" w:sz="8" w:space="0" w:color="000000"/>
            </w:tcBorders>
            <w:shd w:val="clear" w:color="auto" w:fill="auto"/>
            <w:noWrap/>
            <w:vAlign w:val="bottom"/>
            <w:hideMark/>
          </w:tcPr>
          <w:p w14:paraId="06A533B0" w14:textId="77777777" w:rsidR="00195CEE" w:rsidRPr="00195CEE" w:rsidRDefault="00195CEE" w:rsidP="00195CEE">
            <w:pPr>
              <w:spacing w:after="0" w:line="240" w:lineRule="auto"/>
              <w:jc w:val="center"/>
              <w:rPr>
                <w:rFonts w:ascii="Calibri" w:eastAsia="Times New Roman" w:hAnsi="Calibri" w:cs="Calibri"/>
                <w:color w:val="000000"/>
                <w:sz w:val="22"/>
                <w:lang w:eastAsia="en-GB"/>
              </w:rPr>
            </w:pPr>
            <w:r w:rsidRPr="00195CEE">
              <w:rPr>
                <w:rFonts w:ascii="Calibri" w:eastAsia="Times New Roman" w:hAnsi="Calibri" w:cs="Calibri"/>
                <w:color w:val="000000"/>
                <w:sz w:val="22"/>
                <w:lang w:eastAsia="en-GB"/>
              </w:rPr>
              <w:t>No data readily available</w:t>
            </w:r>
          </w:p>
        </w:tc>
      </w:tr>
      <w:tr w:rsidR="00195CEE" w:rsidRPr="00195CEE" w14:paraId="42C36D40" w14:textId="77777777" w:rsidTr="00195CEE">
        <w:trPr>
          <w:trHeight w:val="999"/>
          <w:jc w:val="center"/>
        </w:trPr>
        <w:tc>
          <w:tcPr>
            <w:tcW w:w="2020" w:type="dxa"/>
            <w:tcBorders>
              <w:top w:val="single" w:sz="4" w:space="0" w:color="auto"/>
              <w:left w:val="single" w:sz="8" w:space="0" w:color="auto"/>
              <w:bottom w:val="single" w:sz="8" w:space="0" w:color="auto"/>
              <w:right w:val="single" w:sz="4" w:space="0" w:color="auto"/>
            </w:tcBorders>
            <w:shd w:val="clear" w:color="auto" w:fill="auto"/>
            <w:vAlign w:val="bottom"/>
            <w:hideMark/>
          </w:tcPr>
          <w:p w14:paraId="01A4B8DD" w14:textId="77777777" w:rsidR="00195CEE" w:rsidRPr="00195CEE" w:rsidRDefault="00195CEE" w:rsidP="00195CEE">
            <w:pPr>
              <w:spacing w:after="0" w:line="240" w:lineRule="auto"/>
              <w:jc w:val="center"/>
              <w:rPr>
                <w:rFonts w:ascii="Calibri" w:eastAsia="Times New Roman" w:hAnsi="Calibri" w:cs="Calibri"/>
                <w:color w:val="000000"/>
                <w:sz w:val="22"/>
                <w:lang w:eastAsia="en-GB"/>
              </w:rPr>
            </w:pPr>
            <w:r w:rsidRPr="00195CEE">
              <w:rPr>
                <w:rFonts w:ascii="Calibri" w:eastAsia="Times New Roman" w:hAnsi="Calibri" w:cs="Calibri"/>
                <w:color w:val="000000"/>
                <w:sz w:val="22"/>
                <w:lang w:eastAsia="en-GB"/>
              </w:rPr>
              <w:t>Aston Martin Gearing Ratio</w:t>
            </w:r>
          </w:p>
        </w:tc>
        <w:tc>
          <w:tcPr>
            <w:tcW w:w="1160" w:type="dxa"/>
            <w:tcBorders>
              <w:top w:val="nil"/>
              <w:left w:val="nil"/>
              <w:bottom w:val="single" w:sz="8" w:space="0" w:color="auto"/>
              <w:right w:val="single" w:sz="4" w:space="0" w:color="auto"/>
            </w:tcBorders>
            <w:shd w:val="clear" w:color="auto" w:fill="auto"/>
            <w:noWrap/>
            <w:vAlign w:val="bottom"/>
            <w:hideMark/>
          </w:tcPr>
          <w:p w14:paraId="2754A6D7" w14:textId="77777777" w:rsidR="00195CEE" w:rsidRPr="00195CEE" w:rsidRDefault="00195CEE" w:rsidP="00195CEE">
            <w:pPr>
              <w:spacing w:after="0" w:line="240" w:lineRule="auto"/>
              <w:jc w:val="center"/>
              <w:rPr>
                <w:rFonts w:ascii="Calibri" w:eastAsia="Times New Roman" w:hAnsi="Calibri" w:cs="Calibri"/>
                <w:color w:val="000000"/>
                <w:sz w:val="22"/>
                <w:lang w:eastAsia="en-GB"/>
              </w:rPr>
            </w:pPr>
            <w:r w:rsidRPr="00195CEE">
              <w:rPr>
                <w:rFonts w:ascii="Calibri" w:eastAsia="Times New Roman" w:hAnsi="Calibri" w:cs="Calibri"/>
                <w:color w:val="000000"/>
                <w:sz w:val="22"/>
                <w:lang w:eastAsia="en-GB"/>
              </w:rPr>
              <w:t>63.9%</w:t>
            </w:r>
          </w:p>
        </w:tc>
        <w:tc>
          <w:tcPr>
            <w:tcW w:w="1160" w:type="dxa"/>
            <w:tcBorders>
              <w:top w:val="nil"/>
              <w:left w:val="nil"/>
              <w:bottom w:val="single" w:sz="8" w:space="0" w:color="auto"/>
              <w:right w:val="single" w:sz="4" w:space="0" w:color="auto"/>
            </w:tcBorders>
            <w:shd w:val="clear" w:color="auto" w:fill="auto"/>
            <w:noWrap/>
            <w:vAlign w:val="bottom"/>
            <w:hideMark/>
          </w:tcPr>
          <w:p w14:paraId="7591548E" w14:textId="77777777" w:rsidR="00195CEE" w:rsidRPr="00195CEE" w:rsidRDefault="00195CEE" w:rsidP="00195CEE">
            <w:pPr>
              <w:spacing w:after="0" w:line="240" w:lineRule="auto"/>
              <w:jc w:val="center"/>
              <w:rPr>
                <w:rFonts w:ascii="Calibri" w:eastAsia="Times New Roman" w:hAnsi="Calibri" w:cs="Calibri"/>
                <w:color w:val="000000"/>
                <w:sz w:val="22"/>
                <w:lang w:eastAsia="en-GB"/>
              </w:rPr>
            </w:pPr>
            <w:r w:rsidRPr="00195CEE">
              <w:rPr>
                <w:rFonts w:ascii="Calibri" w:eastAsia="Times New Roman" w:hAnsi="Calibri" w:cs="Calibri"/>
                <w:color w:val="000000"/>
                <w:sz w:val="22"/>
                <w:lang w:eastAsia="en-GB"/>
              </w:rPr>
              <w:t>73.9%</w:t>
            </w:r>
          </w:p>
        </w:tc>
        <w:tc>
          <w:tcPr>
            <w:tcW w:w="1160" w:type="dxa"/>
            <w:tcBorders>
              <w:top w:val="nil"/>
              <w:left w:val="nil"/>
              <w:bottom w:val="single" w:sz="8" w:space="0" w:color="auto"/>
              <w:right w:val="single" w:sz="4" w:space="0" w:color="auto"/>
            </w:tcBorders>
            <w:shd w:val="clear" w:color="auto" w:fill="auto"/>
            <w:noWrap/>
            <w:vAlign w:val="bottom"/>
            <w:hideMark/>
          </w:tcPr>
          <w:p w14:paraId="6365B7BE" w14:textId="77777777" w:rsidR="00195CEE" w:rsidRPr="00195CEE" w:rsidRDefault="00195CEE" w:rsidP="00195CEE">
            <w:pPr>
              <w:spacing w:after="0" w:line="240" w:lineRule="auto"/>
              <w:jc w:val="center"/>
              <w:rPr>
                <w:rFonts w:ascii="Calibri" w:eastAsia="Times New Roman" w:hAnsi="Calibri" w:cs="Calibri"/>
                <w:color w:val="000000"/>
                <w:sz w:val="22"/>
                <w:lang w:eastAsia="en-GB"/>
              </w:rPr>
            </w:pPr>
            <w:r w:rsidRPr="00195CEE">
              <w:rPr>
                <w:rFonts w:ascii="Calibri" w:eastAsia="Times New Roman" w:hAnsi="Calibri" w:cs="Calibri"/>
                <w:color w:val="000000"/>
                <w:sz w:val="22"/>
                <w:lang w:eastAsia="en-GB"/>
              </w:rPr>
              <w:t>59.5%</w:t>
            </w:r>
          </w:p>
        </w:tc>
        <w:tc>
          <w:tcPr>
            <w:tcW w:w="1160" w:type="dxa"/>
            <w:tcBorders>
              <w:top w:val="nil"/>
              <w:left w:val="nil"/>
              <w:bottom w:val="single" w:sz="8" w:space="0" w:color="auto"/>
              <w:right w:val="single" w:sz="4" w:space="0" w:color="auto"/>
            </w:tcBorders>
            <w:shd w:val="clear" w:color="auto" w:fill="auto"/>
            <w:noWrap/>
            <w:vAlign w:val="bottom"/>
            <w:hideMark/>
          </w:tcPr>
          <w:p w14:paraId="5046E8B0" w14:textId="77777777" w:rsidR="00195CEE" w:rsidRPr="00195CEE" w:rsidRDefault="00195CEE" w:rsidP="00195CEE">
            <w:pPr>
              <w:spacing w:after="0" w:line="240" w:lineRule="auto"/>
              <w:jc w:val="center"/>
              <w:rPr>
                <w:rFonts w:ascii="Calibri" w:eastAsia="Times New Roman" w:hAnsi="Calibri" w:cs="Calibri"/>
                <w:color w:val="000000"/>
                <w:sz w:val="22"/>
                <w:lang w:eastAsia="en-GB"/>
              </w:rPr>
            </w:pPr>
            <w:r w:rsidRPr="00195CEE">
              <w:rPr>
                <w:rFonts w:ascii="Calibri" w:eastAsia="Times New Roman" w:hAnsi="Calibri" w:cs="Calibri"/>
                <w:color w:val="000000"/>
                <w:sz w:val="22"/>
                <w:lang w:eastAsia="en-GB"/>
              </w:rPr>
              <w:t>65.9%</w:t>
            </w:r>
          </w:p>
        </w:tc>
        <w:tc>
          <w:tcPr>
            <w:tcW w:w="1160" w:type="dxa"/>
            <w:tcBorders>
              <w:top w:val="nil"/>
              <w:left w:val="nil"/>
              <w:bottom w:val="single" w:sz="8" w:space="0" w:color="auto"/>
              <w:right w:val="single" w:sz="8" w:space="0" w:color="auto"/>
            </w:tcBorders>
            <w:shd w:val="clear" w:color="auto" w:fill="auto"/>
            <w:noWrap/>
            <w:vAlign w:val="bottom"/>
            <w:hideMark/>
          </w:tcPr>
          <w:p w14:paraId="4B597AA8" w14:textId="77777777" w:rsidR="00195CEE" w:rsidRPr="00195CEE" w:rsidRDefault="00195CEE" w:rsidP="00195CEE">
            <w:pPr>
              <w:spacing w:after="0" w:line="240" w:lineRule="auto"/>
              <w:jc w:val="center"/>
              <w:rPr>
                <w:rFonts w:ascii="Calibri" w:eastAsia="Times New Roman" w:hAnsi="Calibri" w:cs="Calibri"/>
                <w:color w:val="000000"/>
                <w:sz w:val="22"/>
                <w:lang w:eastAsia="en-GB"/>
              </w:rPr>
            </w:pPr>
            <w:r w:rsidRPr="00195CEE">
              <w:rPr>
                <w:rFonts w:ascii="Calibri" w:eastAsia="Times New Roman" w:hAnsi="Calibri" w:cs="Calibri"/>
                <w:color w:val="000000"/>
                <w:sz w:val="22"/>
                <w:lang w:eastAsia="en-GB"/>
              </w:rPr>
              <w:t>62.5%</w:t>
            </w:r>
          </w:p>
        </w:tc>
      </w:tr>
    </w:tbl>
    <w:p w14:paraId="5090BD2B" w14:textId="1568AA92" w:rsidR="00195CEE" w:rsidRDefault="00195CEE" w:rsidP="00195CEE">
      <w:pPr>
        <w:pStyle w:val="Caption"/>
        <w:keepNext/>
        <w:jc w:val="right"/>
      </w:pPr>
      <w:bookmarkStart w:id="41" w:name="_Ref146813954"/>
      <w:r>
        <w:t xml:space="preserve">Table </w:t>
      </w:r>
      <w:fldSimple w:instr=" SEQ Table \* ARABIC ">
        <w:r w:rsidR="0013381E">
          <w:rPr>
            <w:noProof/>
          </w:rPr>
          <w:t>12</w:t>
        </w:r>
      </w:fldSimple>
      <w:r>
        <w:t xml:space="preserve"> Gearing Ratio</w:t>
      </w:r>
      <w:bookmarkEnd w:id="41"/>
    </w:p>
    <w:p w14:paraId="11C02EA1" w14:textId="2101D056" w:rsidR="00023944" w:rsidRDefault="00195CEE">
      <w:r>
        <w:t xml:space="preserve">No pre-calculated Gearing Ratios available for Ferrari and Mercedes. </w:t>
      </w:r>
      <w:r w:rsidR="00863264">
        <w:t xml:space="preserve">Gearing ratios </w:t>
      </w:r>
    </w:p>
    <w:p w14:paraId="76822F31" w14:textId="0E691795" w:rsidR="005362CA" w:rsidRDefault="00863264">
      <w:r>
        <w:t>Above 50% are considered highly leveraged</w:t>
      </w:r>
      <w:r w:rsidR="00F51D06">
        <w:t>, so Aston Martin’s ratios indicate that it is worryingly so.</w:t>
      </w:r>
    </w:p>
    <w:p w14:paraId="3053D825" w14:textId="77777777" w:rsidR="005362CA" w:rsidRDefault="005362CA"/>
    <w:p w14:paraId="2C3EE2C3" w14:textId="77777777" w:rsidR="005362CA" w:rsidRDefault="005362CA"/>
    <w:p w14:paraId="7C21D13F" w14:textId="77777777" w:rsidR="005362CA" w:rsidRDefault="005362CA"/>
    <w:p w14:paraId="01CAD087" w14:textId="625E84ED" w:rsidR="00AE49DF" w:rsidRDefault="00195CEE" w:rsidP="00195CEE">
      <w:pPr>
        <w:pStyle w:val="Heading3"/>
      </w:pPr>
      <w:bookmarkStart w:id="42" w:name="_Toc146791882"/>
      <w:r>
        <w:lastRenderedPageBreak/>
        <w:t>Debt / Equity ratio.</w:t>
      </w:r>
      <w:bookmarkEnd w:id="42"/>
    </w:p>
    <w:p w14:paraId="299631B9" w14:textId="6507C8AB" w:rsidR="00195CEE" w:rsidRDefault="000B4A9C">
      <w:r>
        <w:t>Compares total business liabilities to its shareholder’s equity and can be used to measure reliance on dept over time.</w:t>
      </w:r>
    </w:p>
    <w:tbl>
      <w:tblPr>
        <w:tblW w:w="7820" w:type="dxa"/>
        <w:jc w:val="center"/>
        <w:tblLook w:val="04A0" w:firstRow="1" w:lastRow="0" w:firstColumn="1" w:lastColumn="0" w:noHBand="0" w:noVBand="1"/>
      </w:tblPr>
      <w:tblGrid>
        <w:gridCol w:w="2020"/>
        <w:gridCol w:w="1160"/>
        <w:gridCol w:w="1160"/>
        <w:gridCol w:w="1160"/>
        <w:gridCol w:w="1160"/>
        <w:gridCol w:w="1160"/>
      </w:tblGrid>
      <w:tr w:rsidR="000B4A9C" w:rsidRPr="000B4A9C" w14:paraId="152E2315" w14:textId="77777777" w:rsidTr="000B4A9C">
        <w:trPr>
          <w:trHeight w:val="288"/>
          <w:jc w:val="center"/>
        </w:trPr>
        <w:tc>
          <w:tcPr>
            <w:tcW w:w="2020" w:type="dxa"/>
            <w:tcBorders>
              <w:top w:val="single" w:sz="8" w:space="0" w:color="auto"/>
              <w:left w:val="single" w:sz="8" w:space="0" w:color="auto"/>
              <w:bottom w:val="single" w:sz="4" w:space="0" w:color="auto"/>
              <w:right w:val="single" w:sz="4" w:space="0" w:color="auto"/>
            </w:tcBorders>
            <w:shd w:val="clear" w:color="000000" w:fill="FFFF00"/>
            <w:noWrap/>
            <w:vAlign w:val="bottom"/>
            <w:hideMark/>
          </w:tcPr>
          <w:p w14:paraId="0459D423" w14:textId="77777777" w:rsidR="000B4A9C" w:rsidRPr="000B4A9C" w:rsidRDefault="000B4A9C" w:rsidP="000B4A9C">
            <w:pPr>
              <w:spacing w:after="0" w:line="240" w:lineRule="auto"/>
              <w:jc w:val="center"/>
              <w:rPr>
                <w:rFonts w:ascii="Calibri" w:eastAsia="Times New Roman" w:hAnsi="Calibri" w:cs="Calibri"/>
                <w:color w:val="000000"/>
                <w:sz w:val="22"/>
                <w:lang w:eastAsia="en-GB"/>
              </w:rPr>
            </w:pPr>
            <w:r w:rsidRPr="000B4A9C">
              <w:rPr>
                <w:rFonts w:ascii="Calibri" w:eastAsia="Times New Roman" w:hAnsi="Calibri" w:cs="Calibri"/>
                <w:color w:val="000000"/>
                <w:sz w:val="22"/>
                <w:lang w:eastAsia="en-GB"/>
              </w:rPr>
              <w:t>Year</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052BF9DE" w14:textId="77777777" w:rsidR="000B4A9C" w:rsidRPr="000B4A9C" w:rsidRDefault="000B4A9C" w:rsidP="000B4A9C">
            <w:pPr>
              <w:spacing w:after="0" w:line="240" w:lineRule="auto"/>
              <w:jc w:val="center"/>
              <w:rPr>
                <w:rFonts w:ascii="Calibri" w:eastAsia="Times New Roman" w:hAnsi="Calibri" w:cs="Calibri"/>
                <w:color w:val="000000"/>
                <w:sz w:val="22"/>
                <w:lang w:eastAsia="en-GB"/>
              </w:rPr>
            </w:pPr>
            <w:r w:rsidRPr="000B4A9C">
              <w:rPr>
                <w:rFonts w:ascii="Calibri" w:eastAsia="Times New Roman" w:hAnsi="Calibri" w:cs="Calibri"/>
                <w:color w:val="000000"/>
                <w:sz w:val="22"/>
                <w:lang w:eastAsia="en-GB"/>
              </w:rPr>
              <w:t>2018</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031D6124" w14:textId="77777777" w:rsidR="000B4A9C" w:rsidRPr="000B4A9C" w:rsidRDefault="000B4A9C" w:rsidP="000B4A9C">
            <w:pPr>
              <w:spacing w:after="0" w:line="240" w:lineRule="auto"/>
              <w:jc w:val="center"/>
              <w:rPr>
                <w:rFonts w:ascii="Calibri" w:eastAsia="Times New Roman" w:hAnsi="Calibri" w:cs="Calibri"/>
                <w:color w:val="000000"/>
                <w:sz w:val="22"/>
                <w:lang w:eastAsia="en-GB"/>
              </w:rPr>
            </w:pPr>
            <w:r w:rsidRPr="000B4A9C">
              <w:rPr>
                <w:rFonts w:ascii="Calibri" w:eastAsia="Times New Roman" w:hAnsi="Calibri" w:cs="Calibri"/>
                <w:color w:val="000000"/>
                <w:sz w:val="22"/>
                <w:lang w:eastAsia="en-GB"/>
              </w:rPr>
              <w:t>2019</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19244AFE" w14:textId="77777777" w:rsidR="000B4A9C" w:rsidRPr="000B4A9C" w:rsidRDefault="000B4A9C" w:rsidP="000B4A9C">
            <w:pPr>
              <w:spacing w:after="0" w:line="240" w:lineRule="auto"/>
              <w:jc w:val="center"/>
              <w:rPr>
                <w:rFonts w:ascii="Calibri" w:eastAsia="Times New Roman" w:hAnsi="Calibri" w:cs="Calibri"/>
                <w:color w:val="000000"/>
                <w:sz w:val="22"/>
                <w:lang w:eastAsia="en-GB"/>
              </w:rPr>
            </w:pPr>
            <w:r w:rsidRPr="000B4A9C">
              <w:rPr>
                <w:rFonts w:ascii="Calibri" w:eastAsia="Times New Roman" w:hAnsi="Calibri" w:cs="Calibri"/>
                <w:color w:val="000000"/>
                <w:sz w:val="22"/>
                <w:lang w:eastAsia="en-GB"/>
              </w:rPr>
              <w:t>2020</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205DAC7F" w14:textId="77777777" w:rsidR="000B4A9C" w:rsidRPr="000B4A9C" w:rsidRDefault="000B4A9C" w:rsidP="000B4A9C">
            <w:pPr>
              <w:spacing w:after="0" w:line="240" w:lineRule="auto"/>
              <w:jc w:val="center"/>
              <w:rPr>
                <w:rFonts w:ascii="Calibri" w:eastAsia="Times New Roman" w:hAnsi="Calibri" w:cs="Calibri"/>
                <w:color w:val="000000"/>
                <w:sz w:val="22"/>
                <w:lang w:eastAsia="en-GB"/>
              </w:rPr>
            </w:pPr>
            <w:r w:rsidRPr="000B4A9C">
              <w:rPr>
                <w:rFonts w:ascii="Calibri" w:eastAsia="Times New Roman" w:hAnsi="Calibri" w:cs="Calibri"/>
                <w:color w:val="000000"/>
                <w:sz w:val="22"/>
                <w:lang w:eastAsia="en-GB"/>
              </w:rPr>
              <w:t>2021</w:t>
            </w:r>
          </w:p>
        </w:tc>
        <w:tc>
          <w:tcPr>
            <w:tcW w:w="1160" w:type="dxa"/>
            <w:tcBorders>
              <w:top w:val="single" w:sz="8" w:space="0" w:color="auto"/>
              <w:left w:val="nil"/>
              <w:bottom w:val="single" w:sz="4" w:space="0" w:color="auto"/>
              <w:right w:val="single" w:sz="8" w:space="0" w:color="auto"/>
            </w:tcBorders>
            <w:shd w:val="clear" w:color="000000" w:fill="FFFF00"/>
            <w:noWrap/>
            <w:vAlign w:val="bottom"/>
            <w:hideMark/>
          </w:tcPr>
          <w:p w14:paraId="44AF53C9" w14:textId="77777777" w:rsidR="000B4A9C" w:rsidRPr="000B4A9C" w:rsidRDefault="000B4A9C" w:rsidP="000B4A9C">
            <w:pPr>
              <w:spacing w:after="0" w:line="240" w:lineRule="auto"/>
              <w:jc w:val="center"/>
              <w:rPr>
                <w:rFonts w:ascii="Calibri" w:eastAsia="Times New Roman" w:hAnsi="Calibri" w:cs="Calibri"/>
                <w:color w:val="000000"/>
                <w:sz w:val="22"/>
                <w:lang w:eastAsia="en-GB"/>
              </w:rPr>
            </w:pPr>
            <w:r w:rsidRPr="000B4A9C">
              <w:rPr>
                <w:rFonts w:ascii="Calibri" w:eastAsia="Times New Roman" w:hAnsi="Calibri" w:cs="Calibri"/>
                <w:color w:val="000000"/>
                <w:sz w:val="22"/>
                <w:lang w:eastAsia="en-GB"/>
              </w:rPr>
              <w:t>2022</w:t>
            </w:r>
          </w:p>
        </w:tc>
      </w:tr>
      <w:tr w:rsidR="000B4A9C" w:rsidRPr="000B4A9C" w14:paraId="691D339D" w14:textId="77777777" w:rsidTr="000B4A9C">
        <w:trPr>
          <w:trHeight w:val="999"/>
          <w:jc w:val="center"/>
        </w:trPr>
        <w:tc>
          <w:tcPr>
            <w:tcW w:w="2020" w:type="dxa"/>
            <w:tcBorders>
              <w:top w:val="nil"/>
              <w:left w:val="single" w:sz="8" w:space="0" w:color="auto"/>
              <w:bottom w:val="single" w:sz="4" w:space="0" w:color="auto"/>
              <w:right w:val="single" w:sz="4" w:space="0" w:color="auto"/>
            </w:tcBorders>
            <w:shd w:val="clear" w:color="auto" w:fill="auto"/>
            <w:vAlign w:val="bottom"/>
            <w:hideMark/>
          </w:tcPr>
          <w:p w14:paraId="181FABE5" w14:textId="77777777" w:rsidR="009D4C5C" w:rsidRDefault="000B4A9C" w:rsidP="000B4A9C">
            <w:pPr>
              <w:spacing w:after="0" w:line="240" w:lineRule="auto"/>
              <w:jc w:val="center"/>
              <w:rPr>
                <w:rFonts w:ascii="Calibri" w:eastAsia="Times New Roman" w:hAnsi="Calibri" w:cs="Calibri"/>
                <w:color w:val="000000"/>
                <w:sz w:val="22"/>
                <w:lang w:eastAsia="en-GB"/>
              </w:rPr>
            </w:pPr>
            <w:r w:rsidRPr="000B4A9C">
              <w:rPr>
                <w:rFonts w:ascii="Calibri" w:eastAsia="Times New Roman" w:hAnsi="Calibri" w:cs="Calibri"/>
                <w:color w:val="000000"/>
                <w:sz w:val="22"/>
                <w:lang w:eastAsia="en-GB"/>
              </w:rPr>
              <w:t xml:space="preserve">Average Mercedes Debt </w:t>
            </w:r>
            <w:r w:rsidR="009D4C5C">
              <w:rPr>
                <w:rFonts w:ascii="Calibri" w:eastAsia="Times New Roman" w:hAnsi="Calibri" w:cs="Calibri"/>
                <w:color w:val="000000"/>
                <w:sz w:val="22"/>
                <w:lang w:eastAsia="en-GB"/>
              </w:rPr>
              <w:t xml:space="preserve">/ Equity </w:t>
            </w:r>
          </w:p>
          <w:p w14:paraId="2604A709" w14:textId="0E2E0FC5" w:rsidR="000B4A9C" w:rsidRPr="000B4A9C" w:rsidRDefault="000B4A9C" w:rsidP="000B4A9C">
            <w:pPr>
              <w:spacing w:after="0" w:line="240" w:lineRule="auto"/>
              <w:jc w:val="center"/>
              <w:rPr>
                <w:rFonts w:ascii="Calibri" w:eastAsia="Times New Roman" w:hAnsi="Calibri" w:cs="Calibri"/>
                <w:color w:val="000000"/>
                <w:sz w:val="22"/>
                <w:lang w:eastAsia="en-GB"/>
              </w:rPr>
            </w:pPr>
            <w:r w:rsidRPr="000B4A9C">
              <w:rPr>
                <w:rFonts w:ascii="Calibri" w:eastAsia="Times New Roman" w:hAnsi="Calibri" w:cs="Calibri"/>
                <w:color w:val="000000"/>
                <w:sz w:val="22"/>
                <w:lang w:eastAsia="en-GB"/>
              </w:rPr>
              <w:t>Ratio</w:t>
            </w:r>
          </w:p>
        </w:tc>
        <w:tc>
          <w:tcPr>
            <w:tcW w:w="5800" w:type="dxa"/>
            <w:gridSpan w:val="5"/>
            <w:tcBorders>
              <w:top w:val="single" w:sz="4" w:space="0" w:color="auto"/>
              <w:left w:val="nil"/>
              <w:bottom w:val="single" w:sz="4" w:space="0" w:color="auto"/>
              <w:right w:val="single" w:sz="8" w:space="0" w:color="000000"/>
            </w:tcBorders>
            <w:shd w:val="clear" w:color="auto" w:fill="auto"/>
            <w:noWrap/>
            <w:vAlign w:val="bottom"/>
            <w:hideMark/>
          </w:tcPr>
          <w:p w14:paraId="1B88C5E9" w14:textId="77777777" w:rsidR="000B4A9C" w:rsidRPr="000B4A9C" w:rsidRDefault="000B4A9C" w:rsidP="000B4A9C">
            <w:pPr>
              <w:spacing w:after="0" w:line="240" w:lineRule="auto"/>
              <w:jc w:val="center"/>
              <w:rPr>
                <w:rFonts w:ascii="Calibri" w:eastAsia="Times New Roman" w:hAnsi="Calibri" w:cs="Calibri"/>
                <w:color w:val="000000"/>
                <w:sz w:val="22"/>
                <w:lang w:eastAsia="en-GB"/>
              </w:rPr>
            </w:pPr>
            <w:r w:rsidRPr="000B4A9C">
              <w:rPr>
                <w:rFonts w:ascii="Calibri" w:eastAsia="Times New Roman" w:hAnsi="Calibri" w:cs="Calibri"/>
                <w:color w:val="000000"/>
                <w:sz w:val="22"/>
                <w:lang w:eastAsia="en-GB"/>
              </w:rPr>
              <w:t>No data readily available</w:t>
            </w:r>
          </w:p>
        </w:tc>
      </w:tr>
      <w:tr w:rsidR="000B4A9C" w:rsidRPr="000B4A9C" w14:paraId="40FF2B5F" w14:textId="77777777" w:rsidTr="000B4A9C">
        <w:trPr>
          <w:trHeight w:val="999"/>
          <w:jc w:val="center"/>
        </w:trPr>
        <w:tc>
          <w:tcPr>
            <w:tcW w:w="2020" w:type="dxa"/>
            <w:tcBorders>
              <w:top w:val="nil"/>
              <w:left w:val="single" w:sz="8" w:space="0" w:color="auto"/>
              <w:bottom w:val="nil"/>
              <w:right w:val="single" w:sz="4" w:space="0" w:color="auto"/>
            </w:tcBorders>
            <w:shd w:val="clear" w:color="auto" w:fill="auto"/>
            <w:vAlign w:val="bottom"/>
            <w:hideMark/>
          </w:tcPr>
          <w:p w14:paraId="6AB16CA6" w14:textId="77777777" w:rsidR="009D4C5C" w:rsidRDefault="000B4A9C" w:rsidP="000B4A9C">
            <w:pPr>
              <w:spacing w:after="0" w:line="240" w:lineRule="auto"/>
              <w:jc w:val="center"/>
              <w:rPr>
                <w:rFonts w:ascii="Calibri" w:eastAsia="Times New Roman" w:hAnsi="Calibri" w:cs="Calibri"/>
                <w:color w:val="000000"/>
                <w:sz w:val="22"/>
                <w:lang w:eastAsia="en-GB"/>
              </w:rPr>
            </w:pPr>
            <w:r w:rsidRPr="000B4A9C">
              <w:rPr>
                <w:rFonts w:ascii="Calibri" w:eastAsia="Times New Roman" w:hAnsi="Calibri" w:cs="Calibri"/>
                <w:color w:val="000000"/>
                <w:sz w:val="22"/>
                <w:lang w:eastAsia="en-GB"/>
              </w:rPr>
              <w:t>Average Ferrari Debt</w:t>
            </w:r>
            <w:r w:rsidR="009D4C5C">
              <w:rPr>
                <w:rFonts w:ascii="Calibri" w:eastAsia="Times New Roman" w:hAnsi="Calibri" w:cs="Calibri"/>
                <w:color w:val="000000"/>
                <w:sz w:val="22"/>
                <w:lang w:eastAsia="en-GB"/>
              </w:rPr>
              <w:t xml:space="preserve"> / Equity</w:t>
            </w:r>
          </w:p>
          <w:p w14:paraId="2052022D" w14:textId="4CA4D5F8" w:rsidR="000B4A9C" w:rsidRPr="000B4A9C" w:rsidRDefault="000B4A9C" w:rsidP="000B4A9C">
            <w:pPr>
              <w:spacing w:after="0" w:line="240" w:lineRule="auto"/>
              <w:jc w:val="center"/>
              <w:rPr>
                <w:rFonts w:ascii="Calibri" w:eastAsia="Times New Roman" w:hAnsi="Calibri" w:cs="Calibri"/>
                <w:color w:val="000000"/>
                <w:sz w:val="22"/>
                <w:lang w:eastAsia="en-GB"/>
              </w:rPr>
            </w:pPr>
            <w:r w:rsidRPr="000B4A9C">
              <w:rPr>
                <w:rFonts w:ascii="Calibri" w:eastAsia="Times New Roman" w:hAnsi="Calibri" w:cs="Calibri"/>
                <w:color w:val="000000"/>
                <w:sz w:val="22"/>
                <w:lang w:eastAsia="en-GB"/>
              </w:rPr>
              <w:t xml:space="preserve"> Ratio</w:t>
            </w:r>
          </w:p>
        </w:tc>
        <w:tc>
          <w:tcPr>
            <w:tcW w:w="5800" w:type="dxa"/>
            <w:gridSpan w:val="5"/>
            <w:tcBorders>
              <w:top w:val="single" w:sz="4" w:space="0" w:color="auto"/>
              <w:left w:val="nil"/>
              <w:bottom w:val="single" w:sz="4" w:space="0" w:color="auto"/>
              <w:right w:val="single" w:sz="8" w:space="0" w:color="000000"/>
            </w:tcBorders>
            <w:shd w:val="clear" w:color="auto" w:fill="auto"/>
            <w:noWrap/>
            <w:vAlign w:val="bottom"/>
            <w:hideMark/>
          </w:tcPr>
          <w:p w14:paraId="052A40A8" w14:textId="77777777" w:rsidR="000B4A9C" w:rsidRPr="000B4A9C" w:rsidRDefault="000B4A9C" w:rsidP="000B4A9C">
            <w:pPr>
              <w:spacing w:after="0" w:line="240" w:lineRule="auto"/>
              <w:jc w:val="center"/>
              <w:rPr>
                <w:rFonts w:ascii="Calibri" w:eastAsia="Times New Roman" w:hAnsi="Calibri" w:cs="Calibri"/>
                <w:color w:val="000000"/>
                <w:sz w:val="22"/>
                <w:lang w:eastAsia="en-GB"/>
              </w:rPr>
            </w:pPr>
            <w:r w:rsidRPr="000B4A9C">
              <w:rPr>
                <w:rFonts w:ascii="Calibri" w:eastAsia="Times New Roman" w:hAnsi="Calibri" w:cs="Calibri"/>
                <w:color w:val="000000"/>
                <w:sz w:val="22"/>
                <w:lang w:eastAsia="en-GB"/>
              </w:rPr>
              <w:t>No data readily available</w:t>
            </w:r>
          </w:p>
        </w:tc>
      </w:tr>
      <w:tr w:rsidR="000B4A9C" w:rsidRPr="000B4A9C" w14:paraId="04133821" w14:textId="77777777" w:rsidTr="000B4A9C">
        <w:trPr>
          <w:trHeight w:val="999"/>
          <w:jc w:val="center"/>
        </w:trPr>
        <w:tc>
          <w:tcPr>
            <w:tcW w:w="2020" w:type="dxa"/>
            <w:tcBorders>
              <w:top w:val="single" w:sz="4" w:space="0" w:color="auto"/>
              <w:left w:val="single" w:sz="8" w:space="0" w:color="auto"/>
              <w:bottom w:val="single" w:sz="8" w:space="0" w:color="auto"/>
              <w:right w:val="single" w:sz="4" w:space="0" w:color="auto"/>
            </w:tcBorders>
            <w:shd w:val="clear" w:color="auto" w:fill="auto"/>
            <w:vAlign w:val="bottom"/>
            <w:hideMark/>
          </w:tcPr>
          <w:p w14:paraId="182FBA26" w14:textId="483CE3E5" w:rsidR="000B4A9C" w:rsidRPr="000B4A9C" w:rsidRDefault="000B4A9C" w:rsidP="009D4C5C">
            <w:pPr>
              <w:spacing w:after="0" w:line="240" w:lineRule="auto"/>
              <w:jc w:val="center"/>
              <w:rPr>
                <w:rFonts w:ascii="Calibri" w:eastAsia="Times New Roman" w:hAnsi="Calibri" w:cs="Calibri"/>
                <w:color w:val="000000"/>
                <w:sz w:val="22"/>
                <w:lang w:eastAsia="en-GB"/>
              </w:rPr>
            </w:pPr>
            <w:r w:rsidRPr="000B4A9C">
              <w:rPr>
                <w:rFonts w:ascii="Calibri" w:eastAsia="Times New Roman" w:hAnsi="Calibri" w:cs="Calibri"/>
                <w:color w:val="000000"/>
                <w:sz w:val="22"/>
                <w:lang w:eastAsia="en-GB"/>
              </w:rPr>
              <w:t>Aston Martin Deb</w:t>
            </w:r>
            <w:r w:rsidR="009D4C5C">
              <w:rPr>
                <w:rFonts w:ascii="Calibri" w:eastAsia="Times New Roman" w:hAnsi="Calibri" w:cs="Calibri"/>
                <w:color w:val="000000"/>
                <w:sz w:val="22"/>
                <w:lang w:eastAsia="en-GB"/>
              </w:rPr>
              <w:t xml:space="preserve">t / Equity </w:t>
            </w:r>
            <w:r w:rsidRPr="000B4A9C">
              <w:rPr>
                <w:rFonts w:ascii="Calibri" w:eastAsia="Times New Roman" w:hAnsi="Calibri" w:cs="Calibri"/>
                <w:color w:val="000000"/>
                <w:sz w:val="22"/>
                <w:lang w:eastAsia="en-GB"/>
              </w:rPr>
              <w:t>Ratio</w:t>
            </w:r>
          </w:p>
        </w:tc>
        <w:tc>
          <w:tcPr>
            <w:tcW w:w="1160" w:type="dxa"/>
            <w:tcBorders>
              <w:top w:val="nil"/>
              <w:left w:val="nil"/>
              <w:bottom w:val="single" w:sz="8" w:space="0" w:color="auto"/>
              <w:right w:val="single" w:sz="4" w:space="0" w:color="auto"/>
            </w:tcBorders>
            <w:shd w:val="clear" w:color="auto" w:fill="auto"/>
            <w:noWrap/>
            <w:vAlign w:val="bottom"/>
            <w:hideMark/>
          </w:tcPr>
          <w:p w14:paraId="7A050716" w14:textId="77777777" w:rsidR="000B4A9C" w:rsidRPr="000B4A9C" w:rsidRDefault="000B4A9C" w:rsidP="000B4A9C">
            <w:pPr>
              <w:spacing w:after="0" w:line="240" w:lineRule="auto"/>
              <w:jc w:val="center"/>
              <w:rPr>
                <w:rFonts w:ascii="Calibri" w:eastAsia="Times New Roman" w:hAnsi="Calibri" w:cs="Calibri"/>
                <w:color w:val="000000"/>
                <w:sz w:val="22"/>
                <w:lang w:eastAsia="en-GB"/>
              </w:rPr>
            </w:pPr>
            <w:r w:rsidRPr="000B4A9C">
              <w:rPr>
                <w:rFonts w:ascii="Calibri" w:eastAsia="Times New Roman" w:hAnsi="Calibri" w:cs="Calibri"/>
                <w:color w:val="000000"/>
                <w:sz w:val="22"/>
                <w:lang w:eastAsia="en-GB"/>
              </w:rPr>
              <w:t>358.7%</w:t>
            </w:r>
          </w:p>
        </w:tc>
        <w:tc>
          <w:tcPr>
            <w:tcW w:w="1160" w:type="dxa"/>
            <w:tcBorders>
              <w:top w:val="nil"/>
              <w:left w:val="nil"/>
              <w:bottom w:val="single" w:sz="8" w:space="0" w:color="auto"/>
              <w:right w:val="single" w:sz="4" w:space="0" w:color="auto"/>
            </w:tcBorders>
            <w:shd w:val="clear" w:color="auto" w:fill="auto"/>
            <w:noWrap/>
            <w:vAlign w:val="bottom"/>
            <w:hideMark/>
          </w:tcPr>
          <w:p w14:paraId="2DEDDB8B" w14:textId="77777777" w:rsidR="000B4A9C" w:rsidRPr="000B4A9C" w:rsidRDefault="000B4A9C" w:rsidP="000B4A9C">
            <w:pPr>
              <w:spacing w:after="0" w:line="240" w:lineRule="auto"/>
              <w:jc w:val="center"/>
              <w:rPr>
                <w:rFonts w:ascii="Calibri" w:eastAsia="Times New Roman" w:hAnsi="Calibri" w:cs="Calibri"/>
                <w:color w:val="000000"/>
                <w:sz w:val="22"/>
                <w:lang w:eastAsia="en-GB"/>
              </w:rPr>
            </w:pPr>
            <w:r w:rsidRPr="000B4A9C">
              <w:rPr>
                <w:rFonts w:ascii="Calibri" w:eastAsia="Times New Roman" w:hAnsi="Calibri" w:cs="Calibri"/>
                <w:color w:val="000000"/>
                <w:sz w:val="22"/>
                <w:lang w:eastAsia="en-GB"/>
              </w:rPr>
              <w:t>521.6%</w:t>
            </w:r>
          </w:p>
        </w:tc>
        <w:tc>
          <w:tcPr>
            <w:tcW w:w="1160" w:type="dxa"/>
            <w:tcBorders>
              <w:top w:val="nil"/>
              <w:left w:val="nil"/>
              <w:bottom w:val="single" w:sz="8" w:space="0" w:color="auto"/>
              <w:right w:val="single" w:sz="4" w:space="0" w:color="auto"/>
            </w:tcBorders>
            <w:shd w:val="clear" w:color="auto" w:fill="auto"/>
            <w:noWrap/>
            <w:vAlign w:val="bottom"/>
            <w:hideMark/>
          </w:tcPr>
          <w:p w14:paraId="190C236A" w14:textId="77777777" w:rsidR="000B4A9C" w:rsidRPr="000B4A9C" w:rsidRDefault="000B4A9C" w:rsidP="000B4A9C">
            <w:pPr>
              <w:spacing w:after="0" w:line="240" w:lineRule="auto"/>
              <w:jc w:val="center"/>
              <w:rPr>
                <w:rFonts w:ascii="Calibri" w:eastAsia="Times New Roman" w:hAnsi="Calibri" w:cs="Calibri"/>
                <w:color w:val="000000"/>
                <w:sz w:val="22"/>
                <w:lang w:eastAsia="en-GB"/>
              </w:rPr>
            </w:pPr>
            <w:r w:rsidRPr="000B4A9C">
              <w:rPr>
                <w:rFonts w:ascii="Calibri" w:eastAsia="Times New Roman" w:hAnsi="Calibri" w:cs="Calibri"/>
                <w:color w:val="000000"/>
                <w:sz w:val="22"/>
                <w:lang w:eastAsia="en-GB"/>
              </w:rPr>
              <w:t>247.6%</w:t>
            </w:r>
          </w:p>
        </w:tc>
        <w:tc>
          <w:tcPr>
            <w:tcW w:w="1160" w:type="dxa"/>
            <w:tcBorders>
              <w:top w:val="nil"/>
              <w:left w:val="nil"/>
              <w:bottom w:val="single" w:sz="8" w:space="0" w:color="auto"/>
              <w:right w:val="single" w:sz="4" w:space="0" w:color="auto"/>
            </w:tcBorders>
            <w:shd w:val="clear" w:color="auto" w:fill="auto"/>
            <w:noWrap/>
            <w:vAlign w:val="bottom"/>
            <w:hideMark/>
          </w:tcPr>
          <w:p w14:paraId="01B74AAA" w14:textId="77777777" w:rsidR="000B4A9C" w:rsidRPr="000B4A9C" w:rsidRDefault="000B4A9C" w:rsidP="000B4A9C">
            <w:pPr>
              <w:spacing w:after="0" w:line="240" w:lineRule="auto"/>
              <w:jc w:val="center"/>
              <w:rPr>
                <w:rFonts w:ascii="Calibri" w:eastAsia="Times New Roman" w:hAnsi="Calibri" w:cs="Calibri"/>
                <w:color w:val="000000"/>
                <w:sz w:val="22"/>
                <w:lang w:eastAsia="en-GB"/>
              </w:rPr>
            </w:pPr>
            <w:r w:rsidRPr="000B4A9C">
              <w:rPr>
                <w:rFonts w:ascii="Calibri" w:eastAsia="Times New Roman" w:hAnsi="Calibri" w:cs="Calibri"/>
                <w:color w:val="000000"/>
                <w:sz w:val="22"/>
                <w:lang w:eastAsia="en-GB"/>
              </w:rPr>
              <w:t>330.4%</w:t>
            </w:r>
          </w:p>
        </w:tc>
        <w:tc>
          <w:tcPr>
            <w:tcW w:w="1160" w:type="dxa"/>
            <w:tcBorders>
              <w:top w:val="nil"/>
              <w:left w:val="nil"/>
              <w:bottom w:val="single" w:sz="8" w:space="0" w:color="auto"/>
              <w:right w:val="single" w:sz="8" w:space="0" w:color="auto"/>
            </w:tcBorders>
            <w:shd w:val="clear" w:color="auto" w:fill="auto"/>
            <w:noWrap/>
            <w:vAlign w:val="bottom"/>
            <w:hideMark/>
          </w:tcPr>
          <w:p w14:paraId="6FB8153A" w14:textId="77777777" w:rsidR="000B4A9C" w:rsidRPr="000B4A9C" w:rsidRDefault="000B4A9C" w:rsidP="000B4A9C">
            <w:pPr>
              <w:spacing w:after="0" w:line="240" w:lineRule="auto"/>
              <w:jc w:val="center"/>
              <w:rPr>
                <w:rFonts w:ascii="Calibri" w:eastAsia="Times New Roman" w:hAnsi="Calibri" w:cs="Calibri"/>
                <w:color w:val="000000"/>
                <w:sz w:val="22"/>
                <w:lang w:eastAsia="en-GB"/>
              </w:rPr>
            </w:pPr>
            <w:r w:rsidRPr="000B4A9C">
              <w:rPr>
                <w:rFonts w:ascii="Calibri" w:eastAsia="Times New Roman" w:hAnsi="Calibri" w:cs="Calibri"/>
                <w:color w:val="000000"/>
                <w:sz w:val="22"/>
                <w:lang w:eastAsia="en-GB"/>
              </w:rPr>
              <w:t>301.9%</w:t>
            </w:r>
          </w:p>
        </w:tc>
      </w:tr>
    </w:tbl>
    <w:p w14:paraId="2BDCB5A4" w14:textId="4B90838D" w:rsidR="00AE49DF" w:rsidRDefault="001D4DA5" w:rsidP="001D4DA5">
      <w:pPr>
        <w:pStyle w:val="Caption"/>
        <w:jc w:val="right"/>
      </w:pPr>
      <w:bookmarkStart w:id="43" w:name="_Ref146813984"/>
      <w:r>
        <w:t xml:space="preserve">Table </w:t>
      </w:r>
      <w:fldSimple w:instr=" SEQ Table \* ARABIC ">
        <w:r w:rsidR="0013381E">
          <w:rPr>
            <w:noProof/>
          </w:rPr>
          <w:t>13</w:t>
        </w:r>
      </w:fldSimple>
      <w:r>
        <w:t xml:space="preserve"> Debt / Equity Ratio</w:t>
      </w:r>
      <w:bookmarkEnd w:id="43"/>
    </w:p>
    <w:p w14:paraId="625B74EA" w14:textId="77777777" w:rsidR="001D4DA5" w:rsidRDefault="001D4DA5"/>
    <w:p w14:paraId="349B0088" w14:textId="7D2F3138" w:rsidR="001D4DA5" w:rsidRDefault="001D4DA5" w:rsidP="001D4DA5">
      <w:pPr>
        <w:pStyle w:val="Heading3"/>
      </w:pPr>
      <w:bookmarkStart w:id="44" w:name="_Toc146791883"/>
      <w:r>
        <w:t>Long term Debt / Equity ratio</w:t>
      </w:r>
      <w:bookmarkEnd w:id="44"/>
    </w:p>
    <w:p w14:paraId="4A3DAE8F" w14:textId="6FB90A28" w:rsidR="001D4DA5" w:rsidRPr="001D4DA5" w:rsidRDefault="00863264" w:rsidP="001D4DA5">
      <w:r>
        <w:t>Compare long term liabilities to shareholder’s equity.</w:t>
      </w:r>
    </w:p>
    <w:tbl>
      <w:tblPr>
        <w:tblW w:w="7820" w:type="dxa"/>
        <w:jc w:val="center"/>
        <w:tblLook w:val="04A0" w:firstRow="1" w:lastRow="0" w:firstColumn="1" w:lastColumn="0" w:noHBand="0" w:noVBand="1"/>
      </w:tblPr>
      <w:tblGrid>
        <w:gridCol w:w="2020"/>
        <w:gridCol w:w="1160"/>
        <w:gridCol w:w="1160"/>
        <w:gridCol w:w="1160"/>
        <w:gridCol w:w="1160"/>
        <w:gridCol w:w="1160"/>
      </w:tblGrid>
      <w:tr w:rsidR="001D4DA5" w:rsidRPr="001D4DA5" w14:paraId="1A7283C2" w14:textId="77777777" w:rsidTr="001D4DA5">
        <w:trPr>
          <w:trHeight w:val="288"/>
          <w:jc w:val="center"/>
        </w:trPr>
        <w:tc>
          <w:tcPr>
            <w:tcW w:w="2020" w:type="dxa"/>
            <w:tcBorders>
              <w:top w:val="single" w:sz="8" w:space="0" w:color="auto"/>
              <w:left w:val="single" w:sz="8" w:space="0" w:color="auto"/>
              <w:bottom w:val="single" w:sz="4" w:space="0" w:color="auto"/>
              <w:right w:val="single" w:sz="4" w:space="0" w:color="auto"/>
            </w:tcBorders>
            <w:shd w:val="clear" w:color="000000" w:fill="FFFF00"/>
            <w:noWrap/>
            <w:vAlign w:val="bottom"/>
            <w:hideMark/>
          </w:tcPr>
          <w:p w14:paraId="0EFF24FF" w14:textId="77777777" w:rsidR="001D4DA5" w:rsidRPr="001D4DA5" w:rsidRDefault="001D4DA5" w:rsidP="001D4DA5">
            <w:pPr>
              <w:spacing w:after="0" w:line="240" w:lineRule="auto"/>
              <w:jc w:val="center"/>
              <w:rPr>
                <w:rFonts w:ascii="Calibri" w:eastAsia="Times New Roman" w:hAnsi="Calibri" w:cs="Calibri"/>
                <w:color w:val="000000"/>
                <w:sz w:val="22"/>
                <w:lang w:eastAsia="en-GB"/>
              </w:rPr>
            </w:pPr>
            <w:r w:rsidRPr="001D4DA5">
              <w:rPr>
                <w:rFonts w:ascii="Calibri" w:eastAsia="Times New Roman" w:hAnsi="Calibri" w:cs="Calibri"/>
                <w:color w:val="000000"/>
                <w:sz w:val="22"/>
                <w:lang w:eastAsia="en-GB"/>
              </w:rPr>
              <w:t>Year</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6D3AF724" w14:textId="77777777" w:rsidR="001D4DA5" w:rsidRPr="001D4DA5" w:rsidRDefault="001D4DA5" w:rsidP="001D4DA5">
            <w:pPr>
              <w:spacing w:after="0" w:line="240" w:lineRule="auto"/>
              <w:jc w:val="center"/>
              <w:rPr>
                <w:rFonts w:ascii="Calibri" w:eastAsia="Times New Roman" w:hAnsi="Calibri" w:cs="Calibri"/>
                <w:color w:val="000000"/>
                <w:sz w:val="22"/>
                <w:lang w:eastAsia="en-GB"/>
              </w:rPr>
            </w:pPr>
            <w:r w:rsidRPr="001D4DA5">
              <w:rPr>
                <w:rFonts w:ascii="Calibri" w:eastAsia="Times New Roman" w:hAnsi="Calibri" w:cs="Calibri"/>
                <w:color w:val="000000"/>
                <w:sz w:val="22"/>
                <w:lang w:eastAsia="en-GB"/>
              </w:rPr>
              <w:t>2018</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0A281C3D" w14:textId="77777777" w:rsidR="001D4DA5" w:rsidRPr="001D4DA5" w:rsidRDefault="001D4DA5" w:rsidP="001D4DA5">
            <w:pPr>
              <w:spacing w:after="0" w:line="240" w:lineRule="auto"/>
              <w:jc w:val="center"/>
              <w:rPr>
                <w:rFonts w:ascii="Calibri" w:eastAsia="Times New Roman" w:hAnsi="Calibri" w:cs="Calibri"/>
                <w:color w:val="000000"/>
                <w:sz w:val="22"/>
                <w:lang w:eastAsia="en-GB"/>
              </w:rPr>
            </w:pPr>
            <w:r w:rsidRPr="001D4DA5">
              <w:rPr>
                <w:rFonts w:ascii="Calibri" w:eastAsia="Times New Roman" w:hAnsi="Calibri" w:cs="Calibri"/>
                <w:color w:val="000000"/>
                <w:sz w:val="22"/>
                <w:lang w:eastAsia="en-GB"/>
              </w:rPr>
              <w:t>2019</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3FD002E3" w14:textId="77777777" w:rsidR="001D4DA5" w:rsidRPr="001D4DA5" w:rsidRDefault="001D4DA5" w:rsidP="001D4DA5">
            <w:pPr>
              <w:spacing w:after="0" w:line="240" w:lineRule="auto"/>
              <w:jc w:val="center"/>
              <w:rPr>
                <w:rFonts w:ascii="Calibri" w:eastAsia="Times New Roman" w:hAnsi="Calibri" w:cs="Calibri"/>
                <w:color w:val="000000"/>
                <w:sz w:val="22"/>
                <w:lang w:eastAsia="en-GB"/>
              </w:rPr>
            </w:pPr>
            <w:r w:rsidRPr="001D4DA5">
              <w:rPr>
                <w:rFonts w:ascii="Calibri" w:eastAsia="Times New Roman" w:hAnsi="Calibri" w:cs="Calibri"/>
                <w:color w:val="000000"/>
                <w:sz w:val="22"/>
                <w:lang w:eastAsia="en-GB"/>
              </w:rPr>
              <w:t>2020</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2A0B972E" w14:textId="77777777" w:rsidR="001D4DA5" w:rsidRPr="001D4DA5" w:rsidRDefault="001D4DA5" w:rsidP="001D4DA5">
            <w:pPr>
              <w:spacing w:after="0" w:line="240" w:lineRule="auto"/>
              <w:jc w:val="center"/>
              <w:rPr>
                <w:rFonts w:ascii="Calibri" w:eastAsia="Times New Roman" w:hAnsi="Calibri" w:cs="Calibri"/>
                <w:color w:val="000000"/>
                <w:sz w:val="22"/>
                <w:lang w:eastAsia="en-GB"/>
              </w:rPr>
            </w:pPr>
            <w:r w:rsidRPr="001D4DA5">
              <w:rPr>
                <w:rFonts w:ascii="Calibri" w:eastAsia="Times New Roman" w:hAnsi="Calibri" w:cs="Calibri"/>
                <w:color w:val="000000"/>
                <w:sz w:val="22"/>
                <w:lang w:eastAsia="en-GB"/>
              </w:rPr>
              <w:t>2021</w:t>
            </w:r>
          </w:p>
        </w:tc>
        <w:tc>
          <w:tcPr>
            <w:tcW w:w="1160" w:type="dxa"/>
            <w:tcBorders>
              <w:top w:val="single" w:sz="8" w:space="0" w:color="auto"/>
              <w:left w:val="nil"/>
              <w:bottom w:val="single" w:sz="4" w:space="0" w:color="auto"/>
              <w:right w:val="single" w:sz="8" w:space="0" w:color="auto"/>
            </w:tcBorders>
            <w:shd w:val="clear" w:color="000000" w:fill="FFFF00"/>
            <w:noWrap/>
            <w:vAlign w:val="bottom"/>
            <w:hideMark/>
          </w:tcPr>
          <w:p w14:paraId="19B39BF3" w14:textId="77777777" w:rsidR="001D4DA5" w:rsidRPr="001D4DA5" w:rsidRDefault="001D4DA5" w:rsidP="001D4DA5">
            <w:pPr>
              <w:spacing w:after="0" w:line="240" w:lineRule="auto"/>
              <w:jc w:val="center"/>
              <w:rPr>
                <w:rFonts w:ascii="Calibri" w:eastAsia="Times New Roman" w:hAnsi="Calibri" w:cs="Calibri"/>
                <w:color w:val="000000"/>
                <w:sz w:val="22"/>
                <w:lang w:eastAsia="en-GB"/>
              </w:rPr>
            </w:pPr>
            <w:r w:rsidRPr="001D4DA5">
              <w:rPr>
                <w:rFonts w:ascii="Calibri" w:eastAsia="Times New Roman" w:hAnsi="Calibri" w:cs="Calibri"/>
                <w:color w:val="000000"/>
                <w:sz w:val="22"/>
                <w:lang w:eastAsia="en-GB"/>
              </w:rPr>
              <w:t>2022</w:t>
            </w:r>
          </w:p>
        </w:tc>
      </w:tr>
      <w:tr w:rsidR="001D4DA5" w:rsidRPr="001D4DA5" w14:paraId="62F7519E" w14:textId="77777777" w:rsidTr="001D4DA5">
        <w:trPr>
          <w:trHeight w:val="999"/>
          <w:jc w:val="center"/>
        </w:trPr>
        <w:tc>
          <w:tcPr>
            <w:tcW w:w="2020" w:type="dxa"/>
            <w:tcBorders>
              <w:top w:val="nil"/>
              <w:left w:val="single" w:sz="8" w:space="0" w:color="auto"/>
              <w:bottom w:val="single" w:sz="4" w:space="0" w:color="auto"/>
              <w:right w:val="single" w:sz="4" w:space="0" w:color="auto"/>
            </w:tcBorders>
            <w:shd w:val="clear" w:color="auto" w:fill="auto"/>
            <w:vAlign w:val="bottom"/>
            <w:hideMark/>
          </w:tcPr>
          <w:p w14:paraId="36357215" w14:textId="739B79F9" w:rsidR="001D4DA5" w:rsidRPr="001D4DA5" w:rsidRDefault="001D4DA5" w:rsidP="001D4DA5">
            <w:pPr>
              <w:spacing w:after="0" w:line="240" w:lineRule="auto"/>
              <w:jc w:val="center"/>
              <w:rPr>
                <w:rFonts w:ascii="Calibri" w:eastAsia="Times New Roman" w:hAnsi="Calibri" w:cs="Calibri"/>
                <w:color w:val="000000"/>
                <w:sz w:val="22"/>
                <w:lang w:eastAsia="en-GB"/>
              </w:rPr>
            </w:pPr>
            <w:r w:rsidRPr="001D4DA5">
              <w:rPr>
                <w:rFonts w:ascii="Calibri" w:eastAsia="Times New Roman" w:hAnsi="Calibri" w:cs="Calibri"/>
                <w:color w:val="000000"/>
                <w:sz w:val="22"/>
                <w:lang w:eastAsia="en-GB"/>
              </w:rPr>
              <w:t>Average Mercedes Long</w:t>
            </w:r>
            <w:r>
              <w:rPr>
                <w:rFonts w:ascii="Calibri" w:eastAsia="Times New Roman" w:hAnsi="Calibri" w:cs="Calibri"/>
                <w:color w:val="000000"/>
                <w:sz w:val="22"/>
                <w:lang w:eastAsia="en-GB"/>
              </w:rPr>
              <w:t>-t</w:t>
            </w:r>
            <w:r w:rsidRPr="001D4DA5">
              <w:rPr>
                <w:rFonts w:ascii="Calibri" w:eastAsia="Times New Roman" w:hAnsi="Calibri" w:cs="Calibri"/>
                <w:color w:val="000000"/>
                <w:sz w:val="22"/>
                <w:lang w:eastAsia="en-GB"/>
              </w:rPr>
              <w:t>erm Debt / Equity Ratio</w:t>
            </w:r>
          </w:p>
        </w:tc>
        <w:tc>
          <w:tcPr>
            <w:tcW w:w="5800" w:type="dxa"/>
            <w:gridSpan w:val="5"/>
            <w:tcBorders>
              <w:top w:val="single" w:sz="4" w:space="0" w:color="auto"/>
              <w:left w:val="nil"/>
              <w:bottom w:val="single" w:sz="4" w:space="0" w:color="auto"/>
              <w:right w:val="single" w:sz="8" w:space="0" w:color="000000"/>
            </w:tcBorders>
            <w:shd w:val="clear" w:color="auto" w:fill="auto"/>
            <w:noWrap/>
            <w:vAlign w:val="bottom"/>
            <w:hideMark/>
          </w:tcPr>
          <w:p w14:paraId="3B6669D8" w14:textId="77777777" w:rsidR="001D4DA5" w:rsidRPr="001D4DA5" w:rsidRDefault="001D4DA5" w:rsidP="001D4DA5">
            <w:pPr>
              <w:spacing w:after="0" w:line="240" w:lineRule="auto"/>
              <w:jc w:val="center"/>
              <w:rPr>
                <w:rFonts w:ascii="Calibri" w:eastAsia="Times New Roman" w:hAnsi="Calibri" w:cs="Calibri"/>
                <w:color w:val="000000"/>
                <w:sz w:val="22"/>
                <w:lang w:eastAsia="en-GB"/>
              </w:rPr>
            </w:pPr>
            <w:r w:rsidRPr="001D4DA5">
              <w:rPr>
                <w:rFonts w:ascii="Calibri" w:eastAsia="Times New Roman" w:hAnsi="Calibri" w:cs="Calibri"/>
                <w:color w:val="000000"/>
                <w:sz w:val="22"/>
                <w:lang w:eastAsia="en-GB"/>
              </w:rPr>
              <w:t>No data readily available</w:t>
            </w:r>
          </w:p>
        </w:tc>
      </w:tr>
      <w:tr w:rsidR="001D4DA5" w:rsidRPr="001D4DA5" w14:paraId="1F83E684" w14:textId="77777777" w:rsidTr="001D4DA5">
        <w:trPr>
          <w:trHeight w:val="999"/>
          <w:jc w:val="center"/>
        </w:trPr>
        <w:tc>
          <w:tcPr>
            <w:tcW w:w="2020" w:type="dxa"/>
            <w:tcBorders>
              <w:top w:val="nil"/>
              <w:left w:val="single" w:sz="8" w:space="0" w:color="auto"/>
              <w:bottom w:val="single" w:sz="4" w:space="0" w:color="auto"/>
              <w:right w:val="single" w:sz="4" w:space="0" w:color="auto"/>
            </w:tcBorders>
            <w:shd w:val="clear" w:color="auto" w:fill="auto"/>
            <w:vAlign w:val="bottom"/>
            <w:hideMark/>
          </w:tcPr>
          <w:p w14:paraId="4503058C" w14:textId="635EA737" w:rsidR="001D4DA5" w:rsidRPr="001D4DA5" w:rsidRDefault="001D4DA5" w:rsidP="009D4C5C">
            <w:pPr>
              <w:spacing w:after="0" w:line="240" w:lineRule="auto"/>
              <w:jc w:val="center"/>
              <w:rPr>
                <w:rFonts w:ascii="Calibri" w:eastAsia="Times New Roman" w:hAnsi="Calibri" w:cs="Calibri"/>
                <w:color w:val="000000"/>
                <w:sz w:val="22"/>
                <w:lang w:eastAsia="en-GB"/>
              </w:rPr>
            </w:pPr>
            <w:r w:rsidRPr="001D4DA5">
              <w:rPr>
                <w:rFonts w:ascii="Calibri" w:eastAsia="Times New Roman" w:hAnsi="Calibri" w:cs="Calibri"/>
                <w:color w:val="000000"/>
                <w:sz w:val="22"/>
                <w:lang w:eastAsia="en-GB"/>
              </w:rPr>
              <w:t>Average Ferrari Long</w:t>
            </w:r>
            <w:r>
              <w:rPr>
                <w:rFonts w:ascii="Calibri" w:eastAsia="Times New Roman" w:hAnsi="Calibri" w:cs="Calibri"/>
                <w:color w:val="000000"/>
                <w:sz w:val="22"/>
                <w:lang w:eastAsia="en-GB"/>
              </w:rPr>
              <w:t>-t</w:t>
            </w:r>
            <w:r w:rsidRPr="001D4DA5">
              <w:rPr>
                <w:rFonts w:ascii="Calibri" w:eastAsia="Times New Roman" w:hAnsi="Calibri" w:cs="Calibri"/>
                <w:color w:val="000000"/>
                <w:sz w:val="22"/>
                <w:lang w:eastAsia="en-GB"/>
              </w:rPr>
              <w:t xml:space="preserve">erm Debt / </w:t>
            </w:r>
            <w:r w:rsidR="009D4C5C">
              <w:rPr>
                <w:rFonts w:ascii="Calibri" w:eastAsia="Times New Roman" w:hAnsi="Calibri" w:cs="Calibri"/>
                <w:color w:val="000000"/>
                <w:sz w:val="22"/>
                <w:lang w:eastAsia="en-GB"/>
              </w:rPr>
              <w:t>Equity</w:t>
            </w:r>
            <w:r w:rsidRPr="001D4DA5">
              <w:rPr>
                <w:rFonts w:ascii="Calibri" w:eastAsia="Times New Roman" w:hAnsi="Calibri" w:cs="Calibri"/>
                <w:color w:val="000000"/>
                <w:sz w:val="22"/>
                <w:lang w:eastAsia="en-GB"/>
              </w:rPr>
              <w:t xml:space="preserve"> Ratio</w:t>
            </w:r>
          </w:p>
        </w:tc>
        <w:tc>
          <w:tcPr>
            <w:tcW w:w="5800" w:type="dxa"/>
            <w:gridSpan w:val="5"/>
            <w:tcBorders>
              <w:top w:val="single" w:sz="4" w:space="0" w:color="auto"/>
              <w:left w:val="nil"/>
              <w:bottom w:val="single" w:sz="4" w:space="0" w:color="auto"/>
              <w:right w:val="single" w:sz="8" w:space="0" w:color="000000"/>
            </w:tcBorders>
            <w:shd w:val="clear" w:color="auto" w:fill="auto"/>
            <w:noWrap/>
            <w:vAlign w:val="bottom"/>
            <w:hideMark/>
          </w:tcPr>
          <w:p w14:paraId="1FF89BF6" w14:textId="77777777" w:rsidR="001D4DA5" w:rsidRPr="001D4DA5" w:rsidRDefault="001D4DA5" w:rsidP="001D4DA5">
            <w:pPr>
              <w:spacing w:after="0" w:line="240" w:lineRule="auto"/>
              <w:jc w:val="center"/>
              <w:rPr>
                <w:rFonts w:ascii="Calibri" w:eastAsia="Times New Roman" w:hAnsi="Calibri" w:cs="Calibri"/>
                <w:color w:val="000000"/>
                <w:sz w:val="22"/>
                <w:lang w:eastAsia="en-GB"/>
              </w:rPr>
            </w:pPr>
            <w:r w:rsidRPr="001D4DA5">
              <w:rPr>
                <w:rFonts w:ascii="Calibri" w:eastAsia="Times New Roman" w:hAnsi="Calibri" w:cs="Calibri"/>
                <w:color w:val="000000"/>
                <w:sz w:val="22"/>
                <w:lang w:eastAsia="en-GB"/>
              </w:rPr>
              <w:t>No data readily available</w:t>
            </w:r>
          </w:p>
        </w:tc>
      </w:tr>
      <w:tr w:rsidR="001D4DA5" w:rsidRPr="001D4DA5" w14:paraId="265D998E" w14:textId="77777777" w:rsidTr="001D4DA5">
        <w:trPr>
          <w:trHeight w:val="999"/>
          <w:jc w:val="center"/>
        </w:trPr>
        <w:tc>
          <w:tcPr>
            <w:tcW w:w="2020" w:type="dxa"/>
            <w:tcBorders>
              <w:top w:val="nil"/>
              <w:left w:val="single" w:sz="8" w:space="0" w:color="auto"/>
              <w:bottom w:val="single" w:sz="8" w:space="0" w:color="auto"/>
              <w:right w:val="single" w:sz="4" w:space="0" w:color="auto"/>
            </w:tcBorders>
            <w:shd w:val="clear" w:color="auto" w:fill="auto"/>
            <w:vAlign w:val="bottom"/>
            <w:hideMark/>
          </w:tcPr>
          <w:p w14:paraId="20F7F315" w14:textId="77777777" w:rsidR="001D4DA5" w:rsidRDefault="001D4DA5" w:rsidP="001D4DA5">
            <w:pPr>
              <w:spacing w:after="0" w:line="240" w:lineRule="auto"/>
              <w:jc w:val="center"/>
              <w:rPr>
                <w:rFonts w:ascii="Calibri" w:eastAsia="Times New Roman" w:hAnsi="Calibri" w:cs="Calibri"/>
                <w:color w:val="000000"/>
                <w:sz w:val="22"/>
                <w:lang w:eastAsia="en-GB"/>
              </w:rPr>
            </w:pPr>
            <w:r w:rsidRPr="001D4DA5">
              <w:rPr>
                <w:rFonts w:ascii="Calibri" w:eastAsia="Times New Roman" w:hAnsi="Calibri" w:cs="Calibri"/>
                <w:color w:val="000000"/>
                <w:sz w:val="22"/>
                <w:lang w:eastAsia="en-GB"/>
              </w:rPr>
              <w:t>Aston Martin Long</w:t>
            </w:r>
            <w:r>
              <w:rPr>
                <w:rFonts w:ascii="Calibri" w:eastAsia="Times New Roman" w:hAnsi="Calibri" w:cs="Calibri"/>
                <w:color w:val="000000"/>
                <w:sz w:val="22"/>
                <w:lang w:eastAsia="en-GB"/>
              </w:rPr>
              <w:t>-</w:t>
            </w:r>
          </w:p>
          <w:p w14:paraId="222F07A2" w14:textId="05BF8FAF" w:rsidR="001D4DA5" w:rsidRPr="001D4DA5" w:rsidRDefault="001D4DA5" w:rsidP="001D4DA5">
            <w:pPr>
              <w:spacing w:after="0" w:line="240" w:lineRule="auto"/>
              <w:jc w:val="center"/>
              <w:rPr>
                <w:rFonts w:ascii="Calibri" w:eastAsia="Times New Roman" w:hAnsi="Calibri" w:cs="Calibri"/>
                <w:color w:val="000000"/>
                <w:sz w:val="22"/>
                <w:lang w:eastAsia="en-GB"/>
              </w:rPr>
            </w:pPr>
            <w:r w:rsidRPr="001D4DA5">
              <w:rPr>
                <w:rFonts w:ascii="Calibri" w:eastAsia="Times New Roman" w:hAnsi="Calibri" w:cs="Calibri"/>
                <w:color w:val="000000"/>
                <w:sz w:val="22"/>
                <w:lang w:eastAsia="en-GB"/>
              </w:rPr>
              <w:t>term Debt / Equity Ratio</w:t>
            </w:r>
          </w:p>
        </w:tc>
        <w:tc>
          <w:tcPr>
            <w:tcW w:w="1160" w:type="dxa"/>
            <w:tcBorders>
              <w:top w:val="nil"/>
              <w:left w:val="nil"/>
              <w:bottom w:val="single" w:sz="8" w:space="0" w:color="auto"/>
              <w:right w:val="single" w:sz="4" w:space="0" w:color="auto"/>
            </w:tcBorders>
            <w:shd w:val="clear" w:color="auto" w:fill="auto"/>
            <w:noWrap/>
            <w:vAlign w:val="bottom"/>
            <w:hideMark/>
          </w:tcPr>
          <w:p w14:paraId="014495BE" w14:textId="77777777" w:rsidR="001D4DA5" w:rsidRPr="001D4DA5" w:rsidRDefault="001D4DA5" w:rsidP="001D4DA5">
            <w:pPr>
              <w:spacing w:after="0" w:line="240" w:lineRule="auto"/>
              <w:jc w:val="center"/>
              <w:rPr>
                <w:rFonts w:ascii="Calibri" w:eastAsia="Times New Roman" w:hAnsi="Calibri" w:cs="Calibri"/>
                <w:color w:val="000000"/>
                <w:sz w:val="22"/>
                <w:lang w:eastAsia="en-GB"/>
              </w:rPr>
            </w:pPr>
            <w:r w:rsidRPr="001D4DA5">
              <w:rPr>
                <w:rFonts w:ascii="Calibri" w:eastAsia="Times New Roman" w:hAnsi="Calibri" w:cs="Calibri"/>
                <w:color w:val="000000"/>
                <w:sz w:val="22"/>
                <w:lang w:eastAsia="en-GB"/>
              </w:rPr>
              <w:t>177.2%</w:t>
            </w:r>
          </w:p>
        </w:tc>
        <w:tc>
          <w:tcPr>
            <w:tcW w:w="1160" w:type="dxa"/>
            <w:tcBorders>
              <w:top w:val="nil"/>
              <w:left w:val="nil"/>
              <w:bottom w:val="single" w:sz="8" w:space="0" w:color="auto"/>
              <w:right w:val="single" w:sz="4" w:space="0" w:color="auto"/>
            </w:tcBorders>
            <w:shd w:val="clear" w:color="auto" w:fill="auto"/>
            <w:noWrap/>
            <w:vAlign w:val="bottom"/>
            <w:hideMark/>
          </w:tcPr>
          <w:p w14:paraId="3F313CDE" w14:textId="77777777" w:rsidR="001D4DA5" w:rsidRPr="001D4DA5" w:rsidRDefault="001D4DA5" w:rsidP="001D4DA5">
            <w:pPr>
              <w:spacing w:after="0" w:line="240" w:lineRule="auto"/>
              <w:jc w:val="center"/>
              <w:rPr>
                <w:rFonts w:ascii="Calibri" w:eastAsia="Times New Roman" w:hAnsi="Calibri" w:cs="Calibri"/>
                <w:color w:val="000000"/>
                <w:sz w:val="22"/>
                <w:lang w:eastAsia="en-GB"/>
              </w:rPr>
            </w:pPr>
            <w:r w:rsidRPr="001D4DA5">
              <w:rPr>
                <w:rFonts w:ascii="Calibri" w:eastAsia="Times New Roman" w:hAnsi="Calibri" w:cs="Calibri"/>
                <w:color w:val="000000"/>
                <w:sz w:val="22"/>
                <w:lang w:eastAsia="en-GB"/>
              </w:rPr>
              <w:t>282.5%</w:t>
            </w:r>
          </w:p>
        </w:tc>
        <w:tc>
          <w:tcPr>
            <w:tcW w:w="1160" w:type="dxa"/>
            <w:tcBorders>
              <w:top w:val="nil"/>
              <w:left w:val="nil"/>
              <w:bottom w:val="single" w:sz="8" w:space="0" w:color="auto"/>
              <w:right w:val="single" w:sz="4" w:space="0" w:color="auto"/>
            </w:tcBorders>
            <w:shd w:val="clear" w:color="auto" w:fill="auto"/>
            <w:noWrap/>
            <w:vAlign w:val="bottom"/>
            <w:hideMark/>
          </w:tcPr>
          <w:p w14:paraId="5EF8D5E2" w14:textId="77777777" w:rsidR="001D4DA5" w:rsidRPr="001D4DA5" w:rsidRDefault="001D4DA5" w:rsidP="001D4DA5">
            <w:pPr>
              <w:spacing w:after="0" w:line="240" w:lineRule="auto"/>
              <w:jc w:val="center"/>
              <w:rPr>
                <w:rFonts w:ascii="Calibri" w:eastAsia="Times New Roman" w:hAnsi="Calibri" w:cs="Calibri"/>
                <w:color w:val="000000"/>
                <w:sz w:val="22"/>
                <w:lang w:eastAsia="en-GB"/>
              </w:rPr>
            </w:pPr>
            <w:r w:rsidRPr="001D4DA5">
              <w:rPr>
                <w:rFonts w:ascii="Calibri" w:eastAsia="Times New Roman" w:hAnsi="Calibri" w:cs="Calibri"/>
                <w:color w:val="000000"/>
                <w:sz w:val="22"/>
                <w:lang w:eastAsia="en-GB"/>
              </w:rPr>
              <w:t>147.0%</w:t>
            </w:r>
          </w:p>
        </w:tc>
        <w:tc>
          <w:tcPr>
            <w:tcW w:w="1160" w:type="dxa"/>
            <w:tcBorders>
              <w:top w:val="nil"/>
              <w:left w:val="nil"/>
              <w:bottom w:val="single" w:sz="8" w:space="0" w:color="auto"/>
              <w:right w:val="single" w:sz="4" w:space="0" w:color="auto"/>
            </w:tcBorders>
            <w:shd w:val="clear" w:color="auto" w:fill="auto"/>
            <w:noWrap/>
            <w:vAlign w:val="bottom"/>
            <w:hideMark/>
          </w:tcPr>
          <w:p w14:paraId="0B321E1D" w14:textId="77777777" w:rsidR="001D4DA5" w:rsidRPr="001D4DA5" w:rsidRDefault="001D4DA5" w:rsidP="001D4DA5">
            <w:pPr>
              <w:spacing w:after="0" w:line="240" w:lineRule="auto"/>
              <w:jc w:val="center"/>
              <w:rPr>
                <w:rFonts w:ascii="Calibri" w:eastAsia="Times New Roman" w:hAnsi="Calibri" w:cs="Calibri"/>
                <w:color w:val="000000"/>
                <w:sz w:val="22"/>
                <w:lang w:eastAsia="en-GB"/>
              </w:rPr>
            </w:pPr>
            <w:r w:rsidRPr="001D4DA5">
              <w:rPr>
                <w:rFonts w:ascii="Calibri" w:eastAsia="Times New Roman" w:hAnsi="Calibri" w:cs="Calibri"/>
                <w:color w:val="000000"/>
                <w:sz w:val="22"/>
                <w:lang w:eastAsia="en-GB"/>
              </w:rPr>
              <w:t>193.4%</w:t>
            </w:r>
          </w:p>
        </w:tc>
        <w:tc>
          <w:tcPr>
            <w:tcW w:w="1160" w:type="dxa"/>
            <w:tcBorders>
              <w:top w:val="nil"/>
              <w:left w:val="nil"/>
              <w:bottom w:val="single" w:sz="8" w:space="0" w:color="auto"/>
              <w:right w:val="single" w:sz="8" w:space="0" w:color="auto"/>
            </w:tcBorders>
            <w:shd w:val="clear" w:color="auto" w:fill="auto"/>
            <w:noWrap/>
            <w:vAlign w:val="bottom"/>
            <w:hideMark/>
          </w:tcPr>
          <w:p w14:paraId="1CB9FE4D" w14:textId="77777777" w:rsidR="001D4DA5" w:rsidRPr="001D4DA5" w:rsidRDefault="001D4DA5" w:rsidP="001D4DA5">
            <w:pPr>
              <w:spacing w:after="0" w:line="240" w:lineRule="auto"/>
              <w:jc w:val="center"/>
              <w:rPr>
                <w:rFonts w:ascii="Calibri" w:eastAsia="Times New Roman" w:hAnsi="Calibri" w:cs="Calibri"/>
                <w:color w:val="000000"/>
                <w:sz w:val="22"/>
                <w:lang w:eastAsia="en-GB"/>
              </w:rPr>
            </w:pPr>
            <w:r w:rsidRPr="001D4DA5">
              <w:rPr>
                <w:rFonts w:ascii="Calibri" w:eastAsia="Times New Roman" w:hAnsi="Calibri" w:cs="Calibri"/>
                <w:color w:val="000000"/>
                <w:sz w:val="22"/>
                <w:lang w:eastAsia="en-GB"/>
              </w:rPr>
              <w:t>167.0%</w:t>
            </w:r>
          </w:p>
        </w:tc>
      </w:tr>
    </w:tbl>
    <w:p w14:paraId="3CCA49E6" w14:textId="4FB0E340" w:rsidR="00A91C13" w:rsidRDefault="001D4DA5" w:rsidP="00A91C13">
      <w:pPr>
        <w:pStyle w:val="Caption"/>
        <w:jc w:val="right"/>
      </w:pPr>
      <w:bookmarkStart w:id="45" w:name="_Ref146814040"/>
      <w:r>
        <w:t xml:space="preserve">Table </w:t>
      </w:r>
      <w:fldSimple w:instr=" SEQ Table \* ARABIC ">
        <w:r w:rsidR="0013381E">
          <w:rPr>
            <w:noProof/>
          </w:rPr>
          <w:t>14</w:t>
        </w:r>
      </w:fldSimple>
      <w:r>
        <w:t xml:space="preserve"> Long-Term Debt / Equity </w:t>
      </w:r>
      <w:r w:rsidR="000377CA">
        <w:t>R</w:t>
      </w:r>
      <w:r>
        <w:t>atio</w:t>
      </w:r>
      <w:bookmarkEnd w:id="45"/>
    </w:p>
    <w:p w14:paraId="08337316" w14:textId="77777777" w:rsidR="00A91C13" w:rsidRDefault="00A91C13" w:rsidP="00863264">
      <w:pPr>
        <w:pStyle w:val="Heading3"/>
      </w:pPr>
    </w:p>
    <w:p w14:paraId="0A091047" w14:textId="77777777" w:rsidR="00A91C13" w:rsidRDefault="00A91C13" w:rsidP="00863264">
      <w:pPr>
        <w:pStyle w:val="Heading3"/>
      </w:pPr>
    </w:p>
    <w:p w14:paraId="6A977D2D" w14:textId="77777777" w:rsidR="00A91C13" w:rsidRDefault="00A91C13" w:rsidP="00863264">
      <w:pPr>
        <w:pStyle w:val="Heading3"/>
      </w:pPr>
    </w:p>
    <w:p w14:paraId="29C20926" w14:textId="77777777" w:rsidR="00A91C13" w:rsidRDefault="00A91C13" w:rsidP="00863264">
      <w:pPr>
        <w:pStyle w:val="Heading3"/>
      </w:pPr>
    </w:p>
    <w:p w14:paraId="6EADE7B6" w14:textId="77777777" w:rsidR="00A91C13" w:rsidRDefault="00A91C13" w:rsidP="00863264">
      <w:pPr>
        <w:pStyle w:val="Heading3"/>
      </w:pPr>
    </w:p>
    <w:p w14:paraId="64528F45" w14:textId="77777777" w:rsidR="00A91C13" w:rsidRDefault="00A91C13" w:rsidP="00A91C13"/>
    <w:p w14:paraId="4855315B" w14:textId="77777777" w:rsidR="00A91C13" w:rsidRDefault="00A91C13" w:rsidP="00A91C13"/>
    <w:p w14:paraId="505767F7" w14:textId="77777777" w:rsidR="00A91C13" w:rsidRDefault="00A91C13" w:rsidP="00A91C13"/>
    <w:p w14:paraId="593FC91F" w14:textId="77777777" w:rsidR="00A91C13" w:rsidRPr="00A91C13" w:rsidRDefault="00A91C13" w:rsidP="00A91C13"/>
    <w:p w14:paraId="706D2BF5" w14:textId="6A3D1B22" w:rsidR="00AE49DF" w:rsidRDefault="00863264" w:rsidP="00863264">
      <w:pPr>
        <w:pStyle w:val="Heading3"/>
      </w:pPr>
      <w:bookmarkStart w:id="46" w:name="_Toc146791884"/>
      <w:r>
        <w:lastRenderedPageBreak/>
        <w:t>Interest Coverage Ratio</w:t>
      </w:r>
      <w:bookmarkEnd w:id="46"/>
    </w:p>
    <w:p w14:paraId="4F6550C7" w14:textId="23B90427" w:rsidR="00AE49DF" w:rsidRDefault="00A0040D" w:rsidP="001D4DA5">
      <w:pPr>
        <w:tabs>
          <w:tab w:val="left" w:pos="2674"/>
        </w:tabs>
      </w:pPr>
      <w:r>
        <w:t xml:space="preserve">Measures the amount of operating profit to cover interest payments </w:t>
      </w:r>
      <w:sdt>
        <w:sdtPr>
          <w:id w:val="-961501829"/>
          <w:citation/>
        </w:sdtPr>
        <w:sdtContent>
          <w:r>
            <w:fldChar w:fldCharType="begin"/>
          </w:r>
          <w:r>
            <w:instrText xml:space="preserve"> CITATION Atr17 \l 2057 </w:instrText>
          </w:r>
          <w:r>
            <w:fldChar w:fldCharType="separate"/>
          </w:r>
          <w:r w:rsidRPr="00A0040D">
            <w:rPr>
              <w:noProof/>
            </w:rPr>
            <w:t>(Atrill &amp; McLaney, 2017)</w:t>
          </w:r>
          <w:r>
            <w:fldChar w:fldCharType="end"/>
          </w:r>
        </w:sdtContent>
      </w:sdt>
      <w:r>
        <w:t>.</w:t>
      </w:r>
    </w:p>
    <w:tbl>
      <w:tblPr>
        <w:tblW w:w="7820" w:type="dxa"/>
        <w:jc w:val="center"/>
        <w:tblLook w:val="04A0" w:firstRow="1" w:lastRow="0" w:firstColumn="1" w:lastColumn="0" w:noHBand="0" w:noVBand="1"/>
      </w:tblPr>
      <w:tblGrid>
        <w:gridCol w:w="2020"/>
        <w:gridCol w:w="1160"/>
        <w:gridCol w:w="1160"/>
        <w:gridCol w:w="1160"/>
        <w:gridCol w:w="1160"/>
        <w:gridCol w:w="1160"/>
      </w:tblGrid>
      <w:tr w:rsidR="00A91C13" w:rsidRPr="00A91C13" w14:paraId="2BC29CDE" w14:textId="77777777" w:rsidTr="00A91C13">
        <w:trPr>
          <w:trHeight w:val="288"/>
          <w:jc w:val="center"/>
        </w:trPr>
        <w:tc>
          <w:tcPr>
            <w:tcW w:w="2020" w:type="dxa"/>
            <w:tcBorders>
              <w:top w:val="single" w:sz="8" w:space="0" w:color="auto"/>
              <w:left w:val="single" w:sz="8" w:space="0" w:color="auto"/>
              <w:bottom w:val="single" w:sz="4" w:space="0" w:color="auto"/>
              <w:right w:val="single" w:sz="4" w:space="0" w:color="auto"/>
            </w:tcBorders>
            <w:shd w:val="clear" w:color="000000" w:fill="FFFF00"/>
            <w:noWrap/>
            <w:vAlign w:val="bottom"/>
            <w:hideMark/>
          </w:tcPr>
          <w:p w14:paraId="6B80379A"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Year</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30E20CD3"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2018</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6B12DA7C"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2019</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4D54AD19"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2020</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44818135"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2021</w:t>
            </w:r>
          </w:p>
        </w:tc>
        <w:tc>
          <w:tcPr>
            <w:tcW w:w="1160" w:type="dxa"/>
            <w:tcBorders>
              <w:top w:val="single" w:sz="8" w:space="0" w:color="auto"/>
              <w:left w:val="nil"/>
              <w:bottom w:val="single" w:sz="4" w:space="0" w:color="auto"/>
              <w:right w:val="single" w:sz="8" w:space="0" w:color="auto"/>
            </w:tcBorders>
            <w:shd w:val="clear" w:color="000000" w:fill="FFFF00"/>
            <w:noWrap/>
            <w:vAlign w:val="bottom"/>
            <w:hideMark/>
          </w:tcPr>
          <w:p w14:paraId="3746A206"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2022</w:t>
            </w:r>
          </w:p>
        </w:tc>
      </w:tr>
      <w:tr w:rsidR="00A91C13" w:rsidRPr="00A91C13" w14:paraId="724205F7" w14:textId="77777777" w:rsidTr="00A91C13">
        <w:trPr>
          <w:trHeight w:val="999"/>
          <w:jc w:val="center"/>
        </w:trPr>
        <w:tc>
          <w:tcPr>
            <w:tcW w:w="2020" w:type="dxa"/>
            <w:tcBorders>
              <w:top w:val="nil"/>
              <w:left w:val="single" w:sz="8" w:space="0" w:color="auto"/>
              <w:bottom w:val="single" w:sz="4" w:space="0" w:color="auto"/>
              <w:right w:val="single" w:sz="4" w:space="0" w:color="auto"/>
            </w:tcBorders>
            <w:shd w:val="clear" w:color="auto" w:fill="auto"/>
            <w:vAlign w:val="bottom"/>
            <w:hideMark/>
          </w:tcPr>
          <w:p w14:paraId="6408BE92"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Mercedes Interest Coverage Ratio</w:t>
            </w:r>
          </w:p>
        </w:tc>
        <w:tc>
          <w:tcPr>
            <w:tcW w:w="1160" w:type="dxa"/>
            <w:tcBorders>
              <w:top w:val="nil"/>
              <w:left w:val="nil"/>
              <w:bottom w:val="single" w:sz="4" w:space="0" w:color="auto"/>
              <w:right w:val="single" w:sz="4" w:space="0" w:color="auto"/>
            </w:tcBorders>
            <w:shd w:val="clear" w:color="auto" w:fill="auto"/>
            <w:noWrap/>
            <w:vAlign w:val="bottom"/>
            <w:hideMark/>
          </w:tcPr>
          <w:p w14:paraId="3E83E3A5"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14.4</w:t>
            </w:r>
          </w:p>
        </w:tc>
        <w:tc>
          <w:tcPr>
            <w:tcW w:w="1160" w:type="dxa"/>
            <w:tcBorders>
              <w:top w:val="nil"/>
              <w:left w:val="nil"/>
              <w:bottom w:val="single" w:sz="4" w:space="0" w:color="auto"/>
              <w:right w:val="single" w:sz="4" w:space="0" w:color="auto"/>
            </w:tcBorders>
            <w:shd w:val="clear" w:color="auto" w:fill="auto"/>
            <w:noWrap/>
            <w:vAlign w:val="bottom"/>
            <w:hideMark/>
          </w:tcPr>
          <w:p w14:paraId="64C10D67"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3.7</w:t>
            </w:r>
          </w:p>
        </w:tc>
        <w:tc>
          <w:tcPr>
            <w:tcW w:w="1160" w:type="dxa"/>
            <w:tcBorders>
              <w:top w:val="nil"/>
              <w:left w:val="nil"/>
              <w:bottom w:val="single" w:sz="4" w:space="0" w:color="auto"/>
              <w:right w:val="single" w:sz="4" w:space="0" w:color="auto"/>
            </w:tcBorders>
            <w:shd w:val="clear" w:color="auto" w:fill="auto"/>
            <w:noWrap/>
            <w:vAlign w:val="bottom"/>
            <w:hideMark/>
          </w:tcPr>
          <w:p w14:paraId="5D2C07CD"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23.3</w:t>
            </w:r>
          </w:p>
        </w:tc>
        <w:tc>
          <w:tcPr>
            <w:tcW w:w="1160" w:type="dxa"/>
            <w:tcBorders>
              <w:top w:val="nil"/>
              <w:left w:val="nil"/>
              <w:bottom w:val="single" w:sz="4" w:space="0" w:color="auto"/>
              <w:right w:val="single" w:sz="4" w:space="0" w:color="auto"/>
            </w:tcBorders>
            <w:shd w:val="clear" w:color="auto" w:fill="auto"/>
            <w:noWrap/>
            <w:vAlign w:val="bottom"/>
            <w:hideMark/>
          </w:tcPr>
          <w:p w14:paraId="7D342613"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40.9</w:t>
            </w:r>
          </w:p>
        </w:tc>
        <w:tc>
          <w:tcPr>
            <w:tcW w:w="1160" w:type="dxa"/>
            <w:tcBorders>
              <w:top w:val="nil"/>
              <w:left w:val="nil"/>
              <w:bottom w:val="single" w:sz="4" w:space="0" w:color="auto"/>
              <w:right w:val="single" w:sz="8" w:space="0" w:color="auto"/>
            </w:tcBorders>
            <w:shd w:val="clear" w:color="auto" w:fill="auto"/>
            <w:noWrap/>
            <w:vAlign w:val="bottom"/>
            <w:hideMark/>
          </w:tcPr>
          <w:p w14:paraId="54A5A89A"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48.1</w:t>
            </w:r>
          </w:p>
        </w:tc>
      </w:tr>
      <w:tr w:rsidR="00A91C13" w:rsidRPr="00A91C13" w14:paraId="0FB8CB1A" w14:textId="77777777" w:rsidTr="00A91C13">
        <w:trPr>
          <w:trHeight w:val="999"/>
          <w:jc w:val="center"/>
        </w:trPr>
        <w:tc>
          <w:tcPr>
            <w:tcW w:w="2020" w:type="dxa"/>
            <w:tcBorders>
              <w:top w:val="nil"/>
              <w:left w:val="single" w:sz="8" w:space="0" w:color="auto"/>
              <w:bottom w:val="single" w:sz="4" w:space="0" w:color="auto"/>
              <w:right w:val="single" w:sz="4" w:space="0" w:color="auto"/>
            </w:tcBorders>
            <w:shd w:val="clear" w:color="auto" w:fill="auto"/>
            <w:vAlign w:val="bottom"/>
            <w:hideMark/>
          </w:tcPr>
          <w:p w14:paraId="69EBD5C1"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Average Ferrari Interest Coverage Ratio</w:t>
            </w:r>
          </w:p>
        </w:tc>
        <w:tc>
          <w:tcPr>
            <w:tcW w:w="1160" w:type="dxa"/>
            <w:tcBorders>
              <w:top w:val="nil"/>
              <w:left w:val="nil"/>
              <w:bottom w:val="single" w:sz="4" w:space="0" w:color="auto"/>
              <w:right w:val="single" w:sz="4" w:space="0" w:color="auto"/>
            </w:tcBorders>
            <w:shd w:val="clear" w:color="auto" w:fill="auto"/>
            <w:noWrap/>
            <w:vAlign w:val="bottom"/>
            <w:hideMark/>
          </w:tcPr>
          <w:p w14:paraId="1774453A"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14.0</w:t>
            </w:r>
          </w:p>
        </w:tc>
        <w:tc>
          <w:tcPr>
            <w:tcW w:w="1160" w:type="dxa"/>
            <w:tcBorders>
              <w:top w:val="nil"/>
              <w:left w:val="nil"/>
              <w:bottom w:val="single" w:sz="4" w:space="0" w:color="auto"/>
              <w:right w:val="single" w:sz="4" w:space="0" w:color="auto"/>
            </w:tcBorders>
            <w:shd w:val="clear" w:color="auto" w:fill="auto"/>
            <w:noWrap/>
            <w:vAlign w:val="bottom"/>
            <w:hideMark/>
          </w:tcPr>
          <w:p w14:paraId="62907C10"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14.0</w:t>
            </w:r>
          </w:p>
        </w:tc>
        <w:tc>
          <w:tcPr>
            <w:tcW w:w="1160" w:type="dxa"/>
            <w:tcBorders>
              <w:top w:val="nil"/>
              <w:left w:val="nil"/>
              <w:bottom w:val="single" w:sz="4" w:space="0" w:color="auto"/>
              <w:right w:val="single" w:sz="4" w:space="0" w:color="auto"/>
            </w:tcBorders>
            <w:shd w:val="clear" w:color="auto" w:fill="auto"/>
            <w:noWrap/>
            <w:vAlign w:val="bottom"/>
            <w:hideMark/>
          </w:tcPr>
          <w:p w14:paraId="5BF46247"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14.0</w:t>
            </w:r>
          </w:p>
        </w:tc>
        <w:tc>
          <w:tcPr>
            <w:tcW w:w="1160" w:type="dxa"/>
            <w:tcBorders>
              <w:top w:val="nil"/>
              <w:left w:val="nil"/>
              <w:bottom w:val="single" w:sz="4" w:space="0" w:color="auto"/>
              <w:right w:val="single" w:sz="4" w:space="0" w:color="auto"/>
            </w:tcBorders>
            <w:shd w:val="clear" w:color="auto" w:fill="auto"/>
            <w:noWrap/>
            <w:vAlign w:val="bottom"/>
            <w:hideMark/>
          </w:tcPr>
          <w:p w14:paraId="496B3048"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14.4</w:t>
            </w:r>
          </w:p>
        </w:tc>
        <w:tc>
          <w:tcPr>
            <w:tcW w:w="1160" w:type="dxa"/>
            <w:tcBorders>
              <w:top w:val="nil"/>
              <w:left w:val="nil"/>
              <w:bottom w:val="single" w:sz="4" w:space="0" w:color="auto"/>
              <w:right w:val="single" w:sz="8" w:space="0" w:color="auto"/>
            </w:tcBorders>
            <w:shd w:val="clear" w:color="auto" w:fill="auto"/>
            <w:noWrap/>
            <w:vAlign w:val="bottom"/>
            <w:hideMark/>
          </w:tcPr>
          <w:p w14:paraId="302828FA"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14.4</w:t>
            </w:r>
          </w:p>
        </w:tc>
      </w:tr>
      <w:tr w:rsidR="00A91C13" w:rsidRPr="00A91C13" w14:paraId="0260D731" w14:textId="77777777" w:rsidTr="00A91C13">
        <w:trPr>
          <w:trHeight w:val="999"/>
          <w:jc w:val="center"/>
        </w:trPr>
        <w:tc>
          <w:tcPr>
            <w:tcW w:w="2020" w:type="dxa"/>
            <w:tcBorders>
              <w:top w:val="nil"/>
              <w:left w:val="single" w:sz="8" w:space="0" w:color="auto"/>
              <w:bottom w:val="single" w:sz="8" w:space="0" w:color="auto"/>
              <w:right w:val="single" w:sz="4" w:space="0" w:color="auto"/>
            </w:tcBorders>
            <w:shd w:val="clear" w:color="auto" w:fill="auto"/>
            <w:vAlign w:val="bottom"/>
            <w:hideMark/>
          </w:tcPr>
          <w:p w14:paraId="3F54547A"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Aston Martin Interest Coverage Ratio</w:t>
            </w:r>
          </w:p>
        </w:tc>
        <w:tc>
          <w:tcPr>
            <w:tcW w:w="1160" w:type="dxa"/>
            <w:tcBorders>
              <w:top w:val="nil"/>
              <w:left w:val="nil"/>
              <w:bottom w:val="single" w:sz="8" w:space="0" w:color="auto"/>
              <w:right w:val="single" w:sz="4" w:space="0" w:color="auto"/>
            </w:tcBorders>
            <w:shd w:val="clear" w:color="auto" w:fill="auto"/>
            <w:noWrap/>
            <w:vAlign w:val="bottom"/>
            <w:hideMark/>
          </w:tcPr>
          <w:p w14:paraId="2139905B"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1.7</w:t>
            </w:r>
          </w:p>
        </w:tc>
        <w:tc>
          <w:tcPr>
            <w:tcW w:w="1160" w:type="dxa"/>
            <w:tcBorders>
              <w:top w:val="nil"/>
              <w:left w:val="nil"/>
              <w:bottom w:val="single" w:sz="8" w:space="0" w:color="auto"/>
              <w:right w:val="single" w:sz="4" w:space="0" w:color="auto"/>
            </w:tcBorders>
            <w:shd w:val="clear" w:color="auto" w:fill="auto"/>
            <w:noWrap/>
            <w:vAlign w:val="bottom"/>
            <w:hideMark/>
          </w:tcPr>
          <w:p w14:paraId="3863CA33"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0.1</w:t>
            </w:r>
          </w:p>
        </w:tc>
        <w:tc>
          <w:tcPr>
            <w:tcW w:w="1160" w:type="dxa"/>
            <w:tcBorders>
              <w:top w:val="nil"/>
              <w:left w:val="nil"/>
              <w:bottom w:val="single" w:sz="8" w:space="0" w:color="auto"/>
              <w:right w:val="single" w:sz="4" w:space="0" w:color="auto"/>
            </w:tcBorders>
            <w:shd w:val="clear" w:color="auto" w:fill="auto"/>
            <w:noWrap/>
            <w:vAlign w:val="bottom"/>
            <w:hideMark/>
          </w:tcPr>
          <w:p w14:paraId="6750E9E1"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2.7</w:t>
            </w:r>
          </w:p>
        </w:tc>
        <w:tc>
          <w:tcPr>
            <w:tcW w:w="1160" w:type="dxa"/>
            <w:tcBorders>
              <w:top w:val="nil"/>
              <w:left w:val="nil"/>
              <w:bottom w:val="single" w:sz="8" w:space="0" w:color="auto"/>
              <w:right w:val="single" w:sz="4" w:space="0" w:color="auto"/>
            </w:tcBorders>
            <w:shd w:val="clear" w:color="auto" w:fill="auto"/>
            <w:noWrap/>
            <w:vAlign w:val="bottom"/>
            <w:hideMark/>
          </w:tcPr>
          <w:p w14:paraId="26295766"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0.6</w:t>
            </w:r>
          </w:p>
        </w:tc>
        <w:tc>
          <w:tcPr>
            <w:tcW w:w="1160" w:type="dxa"/>
            <w:tcBorders>
              <w:top w:val="nil"/>
              <w:left w:val="nil"/>
              <w:bottom w:val="single" w:sz="8" w:space="0" w:color="auto"/>
              <w:right w:val="single" w:sz="8" w:space="0" w:color="auto"/>
            </w:tcBorders>
            <w:shd w:val="clear" w:color="auto" w:fill="auto"/>
            <w:noWrap/>
            <w:vAlign w:val="bottom"/>
            <w:hideMark/>
          </w:tcPr>
          <w:p w14:paraId="1B0AA4CC" w14:textId="77777777" w:rsidR="00A91C13" w:rsidRPr="00A91C13" w:rsidRDefault="00A91C13" w:rsidP="00A91C13">
            <w:pPr>
              <w:spacing w:after="0" w:line="240" w:lineRule="auto"/>
              <w:jc w:val="center"/>
              <w:rPr>
                <w:rFonts w:ascii="Calibri" w:eastAsia="Times New Roman" w:hAnsi="Calibri" w:cs="Calibri"/>
                <w:color w:val="000000"/>
                <w:sz w:val="22"/>
                <w:lang w:eastAsia="en-GB"/>
              </w:rPr>
            </w:pPr>
            <w:r w:rsidRPr="00A91C13">
              <w:rPr>
                <w:rFonts w:ascii="Calibri" w:eastAsia="Times New Roman" w:hAnsi="Calibri" w:cs="Calibri"/>
                <w:color w:val="000000"/>
                <w:sz w:val="22"/>
                <w:lang w:eastAsia="en-GB"/>
              </w:rPr>
              <w:t>0.8</w:t>
            </w:r>
          </w:p>
        </w:tc>
      </w:tr>
    </w:tbl>
    <w:p w14:paraId="234B83CA" w14:textId="748AF3EC" w:rsidR="00AE49DF" w:rsidRDefault="00A91C13" w:rsidP="00A91C13">
      <w:pPr>
        <w:pStyle w:val="Caption"/>
        <w:jc w:val="right"/>
      </w:pPr>
      <w:bookmarkStart w:id="47" w:name="_Ref146814072"/>
      <w:r>
        <w:t xml:space="preserve">Table </w:t>
      </w:r>
      <w:fldSimple w:instr=" SEQ Table \* ARABIC ">
        <w:r w:rsidR="0013381E">
          <w:rPr>
            <w:noProof/>
          </w:rPr>
          <w:t>15</w:t>
        </w:r>
      </w:fldSimple>
      <w:r>
        <w:t xml:space="preserve"> Interest Coverage Ratio.</w:t>
      </w:r>
      <w:bookmarkEnd w:id="47"/>
    </w:p>
    <w:p w14:paraId="127484BA" w14:textId="02F823B1" w:rsidR="00AE49DF" w:rsidRDefault="00A0040D">
      <w:r>
        <w:t>Both Mercedes and Ferrari can cover this ration by at least a factor, with Mercedes performance since 2020 showing great improvement. Aston Martin’s average over 5 years at 1.2 just covers the Interest payments, but recent 2021 – 2022 shows there is not enough profit to cover</w:t>
      </w:r>
      <w:r w:rsidR="00B43C87">
        <w:t xml:space="preserve"> interest payments.</w:t>
      </w:r>
    </w:p>
    <w:p w14:paraId="0117D3F4" w14:textId="667A4725" w:rsidR="00A0040D" w:rsidRDefault="00A0040D" w:rsidP="009D4C5C">
      <w:pPr>
        <w:pStyle w:val="Heading2"/>
      </w:pPr>
      <w:bookmarkStart w:id="48" w:name="_Toc146791885"/>
      <w:r>
        <w:t>Investor Ratios.</w:t>
      </w:r>
      <w:bookmarkEnd w:id="48"/>
    </w:p>
    <w:p w14:paraId="61A406A7" w14:textId="608044CE" w:rsidR="00A0040D" w:rsidRDefault="009D4C5C">
      <w:r>
        <w:t xml:space="preserve">Designed to help shareholders and potential investors asses returns on their investments </w:t>
      </w:r>
      <w:sdt>
        <w:sdtPr>
          <w:id w:val="1518735831"/>
          <w:citation/>
        </w:sdtPr>
        <w:sdtContent>
          <w:r>
            <w:fldChar w:fldCharType="begin"/>
          </w:r>
          <w:r>
            <w:instrText xml:space="preserve"> CITATION Atr17 \l 2057 </w:instrText>
          </w:r>
          <w:r>
            <w:fldChar w:fldCharType="separate"/>
          </w:r>
          <w:r w:rsidRPr="009D4C5C">
            <w:rPr>
              <w:noProof/>
            </w:rPr>
            <w:t>(Atrill &amp; McLaney, 2017)</w:t>
          </w:r>
          <w:r>
            <w:fldChar w:fldCharType="end"/>
          </w:r>
        </w:sdtContent>
      </w:sdt>
      <w:r>
        <w:t>.</w:t>
      </w:r>
    </w:p>
    <w:p w14:paraId="2F4120F9" w14:textId="2F27AB12" w:rsidR="009D4C5C" w:rsidRDefault="00B43C87" w:rsidP="00B43C87">
      <w:pPr>
        <w:pStyle w:val="Heading3"/>
      </w:pPr>
      <w:bookmarkStart w:id="49" w:name="_Toc146791886"/>
      <w:r>
        <w:t>Earnings per Ordinary Share Ratio</w:t>
      </w:r>
      <w:bookmarkEnd w:id="49"/>
    </w:p>
    <w:p w14:paraId="22E7BA2C" w14:textId="7000D336" w:rsidR="00B43C87" w:rsidRDefault="004B6BF4">
      <w:r>
        <w:t>Used to assess a business investment potential by comparing profit after tax and the number of shares in issue.</w:t>
      </w:r>
    </w:p>
    <w:tbl>
      <w:tblPr>
        <w:tblW w:w="7820" w:type="dxa"/>
        <w:jc w:val="center"/>
        <w:tblLook w:val="04A0" w:firstRow="1" w:lastRow="0" w:firstColumn="1" w:lastColumn="0" w:noHBand="0" w:noVBand="1"/>
      </w:tblPr>
      <w:tblGrid>
        <w:gridCol w:w="2020"/>
        <w:gridCol w:w="1160"/>
        <w:gridCol w:w="1160"/>
        <w:gridCol w:w="1160"/>
        <w:gridCol w:w="1160"/>
        <w:gridCol w:w="1160"/>
      </w:tblGrid>
      <w:tr w:rsidR="004B6BF4" w:rsidRPr="004B6BF4" w14:paraId="4C3C2948" w14:textId="77777777" w:rsidTr="004B6BF4">
        <w:trPr>
          <w:trHeight w:val="288"/>
          <w:jc w:val="center"/>
        </w:trPr>
        <w:tc>
          <w:tcPr>
            <w:tcW w:w="2020" w:type="dxa"/>
            <w:tcBorders>
              <w:top w:val="single" w:sz="8" w:space="0" w:color="auto"/>
              <w:left w:val="single" w:sz="8" w:space="0" w:color="auto"/>
              <w:bottom w:val="single" w:sz="4" w:space="0" w:color="auto"/>
              <w:right w:val="single" w:sz="4" w:space="0" w:color="auto"/>
            </w:tcBorders>
            <w:shd w:val="clear" w:color="000000" w:fill="FFFF00"/>
            <w:noWrap/>
            <w:vAlign w:val="bottom"/>
            <w:hideMark/>
          </w:tcPr>
          <w:p w14:paraId="36CBA2E9" w14:textId="77777777" w:rsidR="004B6BF4" w:rsidRPr="004B6BF4" w:rsidRDefault="004B6BF4" w:rsidP="004B6BF4">
            <w:pPr>
              <w:spacing w:after="0" w:line="240" w:lineRule="auto"/>
              <w:jc w:val="center"/>
              <w:rPr>
                <w:rFonts w:ascii="Calibri" w:eastAsia="Times New Roman" w:hAnsi="Calibri" w:cs="Calibri"/>
                <w:color w:val="000000"/>
                <w:sz w:val="22"/>
                <w:lang w:eastAsia="en-GB"/>
              </w:rPr>
            </w:pPr>
            <w:r w:rsidRPr="004B6BF4">
              <w:rPr>
                <w:rFonts w:ascii="Calibri" w:eastAsia="Times New Roman" w:hAnsi="Calibri" w:cs="Calibri"/>
                <w:color w:val="000000"/>
                <w:sz w:val="22"/>
                <w:lang w:eastAsia="en-GB"/>
              </w:rPr>
              <w:t>Year</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3D35A2E8" w14:textId="77777777" w:rsidR="004B6BF4" w:rsidRPr="004B6BF4" w:rsidRDefault="004B6BF4" w:rsidP="004B6BF4">
            <w:pPr>
              <w:spacing w:after="0" w:line="240" w:lineRule="auto"/>
              <w:jc w:val="center"/>
              <w:rPr>
                <w:rFonts w:ascii="Calibri" w:eastAsia="Times New Roman" w:hAnsi="Calibri" w:cs="Calibri"/>
                <w:color w:val="000000"/>
                <w:sz w:val="22"/>
                <w:lang w:eastAsia="en-GB"/>
              </w:rPr>
            </w:pPr>
            <w:r w:rsidRPr="004B6BF4">
              <w:rPr>
                <w:rFonts w:ascii="Calibri" w:eastAsia="Times New Roman" w:hAnsi="Calibri" w:cs="Calibri"/>
                <w:color w:val="000000"/>
                <w:sz w:val="22"/>
                <w:lang w:eastAsia="en-GB"/>
              </w:rPr>
              <w:t>2018</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4DB76517" w14:textId="77777777" w:rsidR="004B6BF4" w:rsidRPr="004B6BF4" w:rsidRDefault="004B6BF4" w:rsidP="004B6BF4">
            <w:pPr>
              <w:spacing w:after="0" w:line="240" w:lineRule="auto"/>
              <w:jc w:val="center"/>
              <w:rPr>
                <w:rFonts w:ascii="Calibri" w:eastAsia="Times New Roman" w:hAnsi="Calibri" w:cs="Calibri"/>
                <w:color w:val="000000"/>
                <w:sz w:val="22"/>
                <w:lang w:eastAsia="en-GB"/>
              </w:rPr>
            </w:pPr>
            <w:r w:rsidRPr="004B6BF4">
              <w:rPr>
                <w:rFonts w:ascii="Calibri" w:eastAsia="Times New Roman" w:hAnsi="Calibri" w:cs="Calibri"/>
                <w:color w:val="000000"/>
                <w:sz w:val="22"/>
                <w:lang w:eastAsia="en-GB"/>
              </w:rPr>
              <w:t>2019</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0FADEFC9" w14:textId="77777777" w:rsidR="004B6BF4" w:rsidRPr="004B6BF4" w:rsidRDefault="004B6BF4" w:rsidP="004B6BF4">
            <w:pPr>
              <w:spacing w:after="0" w:line="240" w:lineRule="auto"/>
              <w:jc w:val="center"/>
              <w:rPr>
                <w:rFonts w:ascii="Calibri" w:eastAsia="Times New Roman" w:hAnsi="Calibri" w:cs="Calibri"/>
                <w:color w:val="000000"/>
                <w:sz w:val="22"/>
                <w:lang w:eastAsia="en-GB"/>
              </w:rPr>
            </w:pPr>
            <w:r w:rsidRPr="004B6BF4">
              <w:rPr>
                <w:rFonts w:ascii="Calibri" w:eastAsia="Times New Roman" w:hAnsi="Calibri" w:cs="Calibri"/>
                <w:color w:val="000000"/>
                <w:sz w:val="22"/>
                <w:lang w:eastAsia="en-GB"/>
              </w:rPr>
              <w:t>2020</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1ED4AFFD" w14:textId="77777777" w:rsidR="004B6BF4" w:rsidRPr="004B6BF4" w:rsidRDefault="004B6BF4" w:rsidP="004B6BF4">
            <w:pPr>
              <w:spacing w:after="0" w:line="240" w:lineRule="auto"/>
              <w:jc w:val="center"/>
              <w:rPr>
                <w:rFonts w:ascii="Calibri" w:eastAsia="Times New Roman" w:hAnsi="Calibri" w:cs="Calibri"/>
                <w:color w:val="000000"/>
                <w:sz w:val="22"/>
                <w:lang w:eastAsia="en-GB"/>
              </w:rPr>
            </w:pPr>
            <w:r w:rsidRPr="004B6BF4">
              <w:rPr>
                <w:rFonts w:ascii="Calibri" w:eastAsia="Times New Roman" w:hAnsi="Calibri" w:cs="Calibri"/>
                <w:color w:val="000000"/>
                <w:sz w:val="22"/>
                <w:lang w:eastAsia="en-GB"/>
              </w:rPr>
              <w:t>2021</w:t>
            </w:r>
          </w:p>
        </w:tc>
        <w:tc>
          <w:tcPr>
            <w:tcW w:w="1160" w:type="dxa"/>
            <w:tcBorders>
              <w:top w:val="single" w:sz="8" w:space="0" w:color="auto"/>
              <w:left w:val="nil"/>
              <w:bottom w:val="single" w:sz="4" w:space="0" w:color="auto"/>
              <w:right w:val="single" w:sz="8" w:space="0" w:color="auto"/>
            </w:tcBorders>
            <w:shd w:val="clear" w:color="000000" w:fill="FFFF00"/>
            <w:noWrap/>
            <w:vAlign w:val="bottom"/>
            <w:hideMark/>
          </w:tcPr>
          <w:p w14:paraId="607038B4" w14:textId="77777777" w:rsidR="004B6BF4" w:rsidRPr="004B6BF4" w:rsidRDefault="004B6BF4" w:rsidP="004B6BF4">
            <w:pPr>
              <w:spacing w:after="0" w:line="240" w:lineRule="auto"/>
              <w:jc w:val="center"/>
              <w:rPr>
                <w:rFonts w:ascii="Calibri" w:eastAsia="Times New Roman" w:hAnsi="Calibri" w:cs="Calibri"/>
                <w:color w:val="000000"/>
                <w:sz w:val="22"/>
                <w:lang w:eastAsia="en-GB"/>
              </w:rPr>
            </w:pPr>
            <w:r w:rsidRPr="004B6BF4">
              <w:rPr>
                <w:rFonts w:ascii="Calibri" w:eastAsia="Times New Roman" w:hAnsi="Calibri" w:cs="Calibri"/>
                <w:color w:val="000000"/>
                <w:sz w:val="22"/>
                <w:lang w:eastAsia="en-GB"/>
              </w:rPr>
              <w:t>2022</w:t>
            </w:r>
          </w:p>
        </w:tc>
      </w:tr>
      <w:tr w:rsidR="004B6BF4" w:rsidRPr="004B6BF4" w14:paraId="6501067B" w14:textId="77777777" w:rsidTr="004B6BF4">
        <w:trPr>
          <w:trHeight w:val="999"/>
          <w:jc w:val="center"/>
        </w:trPr>
        <w:tc>
          <w:tcPr>
            <w:tcW w:w="2020" w:type="dxa"/>
            <w:tcBorders>
              <w:top w:val="nil"/>
              <w:left w:val="single" w:sz="8" w:space="0" w:color="auto"/>
              <w:bottom w:val="single" w:sz="4" w:space="0" w:color="auto"/>
              <w:right w:val="single" w:sz="4" w:space="0" w:color="auto"/>
            </w:tcBorders>
            <w:shd w:val="clear" w:color="auto" w:fill="auto"/>
            <w:vAlign w:val="bottom"/>
            <w:hideMark/>
          </w:tcPr>
          <w:p w14:paraId="3B088B78" w14:textId="77777777" w:rsidR="004B6BF4" w:rsidRPr="004B6BF4" w:rsidRDefault="004B6BF4" w:rsidP="004B6BF4">
            <w:pPr>
              <w:spacing w:after="0" w:line="240" w:lineRule="auto"/>
              <w:jc w:val="center"/>
              <w:rPr>
                <w:rFonts w:ascii="Calibri" w:eastAsia="Times New Roman" w:hAnsi="Calibri" w:cs="Calibri"/>
                <w:color w:val="000000"/>
                <w:sz w:val="22"/>
                <w:lang w:eastAsia="en-GB"/>
              </w:rPr>
            </w:pPr>
            <w:r w:rsidRPr="004B6BF4">
              <w:rPr>
                <w:rFonts w:ascii="Calibri" w:eastAsia="Times New Roman" w:hAnsi="Calibri" w:cs="Calibri"/>
                <w:color w:val="000000"/>
                <w:sz w:val="22"/>
                <w:lang w:eastAsia="en-GB"/>
              </w:rPr>
              <w:t>Mercedes Earnings per Ordinary share Ratio</w:t>
            </w:r>
          </w:p>
        </w:tc>
        <w:tc>
          <w:tcPr>
            <w:tcW w:w="5800" w:type="dxa"/>
            <w:gridSpan w:val="5"/>
            <w:tcBorders>
              <w:top w:val="single" w:sz="4" w:space="0" w:color="auto"/>
              <w:left w:val="nil"/>
              <w:bottom w:val="single" w:sz="4" w:space="0" w:color="auto"/>
              <w:right w:val="single" w:sz="8" w:space="0" w:color="000000"/>
            </w:tcBorders>
            <w:shd w:val="clear" w:color="auto" w:fill="auto"/>
            <w:noWrap/>
            <w:vAlign w:val="bottom"/>
            <w:hideMark/>
          </w:tcPr>
          <w:p w14:paraId="51DB4C0A" w14:textId="6CEC0876" w:rsidR="004B6BF4" w:rsidRPr="004B6BF4" w:rsidRDefault="004B6BF4" w:rsidP="004B6BF4">
            <w:pPr>
              <w:spacing w:after="0" w:line="240" w:lineRule="auto"/>
              <w:jc w:val="center"/>
              <w:rPr>
                <w:rFonts w:ascii="Calibri" w:eastAsia="Times New Roman" w:hAnsi="Calibri" w:cs="Calibri"/>
                <w:color w:val="000000"/>
                <w:sz w:val="22"/>
                <w:lang w:eastAsia="en-GB"/>
              </w:rPr>
            </w:pPr>
            <w:r w:rsidRPr="004B6BF4">
              <w:rPr>
                <w:rFonts w:ascii="Calibri" w:eastAsia="Times New Roman" w:hAnsi="Calibri" w:cs="Calibri"/>
                <w:color w:val="000000"/>
                <w:sz w:val="22"/>
                <w:lang w:eastAsia="en-GB"/>
              </w:rPr>
              <w:t>No readily available data</w:t>
            </w:r>
          </w:p>
        </w:tc>
      </w:tr>
      <w:tr w:rsidR="004B6BF4" w:rsidRPr="004B6BF4" w14:paraId="7A5EACFD" w14:textId="77777777" w:rsidTr="004B6BF4">
        <w:trPr>
          <w:trHeight w:val="999"/>
          <w:jc w:val="center"/>
        </w:trPr>
        <w:tc>
          <w:tcPr>
            <w:tcW w:w="2020" w:type="dxa"/>
            <w:tcBorders>
              <w:top w:val="nil"/>
              <w:left w:val="single" w:sz="8" w:space="0" w:color="auto"/>
              <w:bottom w:val="single" w:sz="4" w:space="0" w:color="auto"/>
              <w:right w:val="single" w:sz="4" w:space="0" w:color="auto"/>
            </w:tcBorders>
            <w:shd w:val="clear" w:color="auto" w:fill="auto"/>
            <w:vAlign w:val="bottom"/>
            <w:hideMark/>
          </w:tcPr>
          <w:p w14:paraId="73627745" w14:textId="77777777" w:rsidR="004B6BF4" w:rsidRPr="004B6BF4" w:rsidRDefault="004B6BF4" w:rsidP="004B6BF4">
            <w:pPr>
              <w:spacing w:after="0" w:line="240" w:lineRule="auto"/>
              <w:jc w:val="center"/>
              <w:rPr>
                <w:rFonts w:ascii="Calibri" w:eastAsia="Times New Roman" w:hAnsi="Calibri" w:cs="Calibri"/>
                <w:color w:val="000000"/>
                <w:sz w:val="22"/>
                <w:lang w:eastAsia="en-GB"/>
              </w:rPr>
            </w:pPr>
            <w:r w:rsidRPr="004B6BF4">
              <w:rPr>
                <w:rFonts w:ascii="Calibri" w:eastAsia="Times New Roman" w:hAnsi="Calibri" w:cs="Calibri"/>
                <w:color w:val="000000"/>
                <w:sz w:val="22"/>
                <w:lang w:eastAsia="en-GB"/>
              </w:rPr>
              <w:t>Ferrari Earnings per Ordinary Share Ratio</w:t>
            </w:r>
          </w:p>
        </w:tc>
        <w:tc>
          <w:tcPr>
            <w:tcW w:w="5800" w:type="dxa"/>
            <w:gridSpan w:val="5"/>
            <w:tcBorders>
              <w:top w:val="single" w:sz="4" w:space="0" w:color="auto"/>
              <w:left w:val="nil"/>
              <w:bottom w:val="single" w:sz="4" w:space="0" w:color="auto"/>
              <w:right w:val="single" w:sz="8" w:space="0" w:color="000000"/>
            </w:tcBorders>
            <w:shd w:val="clear" w:color="auto" w:fill="auto"/>
            <w:noWrap/>
            <w:vAlign w:val="bottom"/>
            <w:hideMark/>
          </w:tcPr>
          <w:p w14:paraId="2386830F" w14:textId="6B811DAA" w:rsidR="004B6BF4" w:rsidRPr="004B6BF4" w:rsidRDefault="004B6BF4" w:rsidP="004B6BF4">
            <w:pPr>
              <w:spacing w:after="0" w:line="240" w:lineRule="auto"/>
              <w:jc w:val="center"/>
              <w:rPr>
                <w:rFonts w:ascii="Calibri" w:eastAsia="Times New Roman" w:hAnsi="Calibri" w:cs="Calibri"/>
                <w:color w:val="000000"/>
                <w:sz w:val="22"/>
                <w:lang w:eastAsia="en-GB"/>
              </w:rPr>
            </w:pPr>
            <w:r w:rsidRPr="004B6BF4">
              <w:rPr>
                <w:rFonts w:ascii="Calibri" w:eastAsia="Times New Roman" w:hAnsi="Calibri" w:cs="Calibri"/>
                <w:color w:val="000000"/>
                <w:sz w:val="22"/>
                <w:lang w:eastAsia="en-GB"/>
              </w:rPr>
              <w:t>No readily available data</w:t>
            </w:r>
          </w:p>
        </w:tc>
      </w:tr>
      <w:tr w:rsidR="004B6BF4" w:rsidRPr="004B6BF4" w14:paraId="453646AC" w14:textId="77777777" w:rsidTr="004B6BF4">
        <w:trPr>
          <w:trHeight w:val="999"/>
          <w:jc w:val="center"/>
        </w:trPr>
        <w:tc>
          <w:tcPr>
            <w:tcW w:w="2020" w:type="dxa"/>
            <w:tcBorders>
              <w:top w:val="nil"/>
              <w:left w:val="single" w:sz="8" w:space="0" w:color="auto"/>
              <w:bottom w:val="single" w:sz="8" w:space="0" w:color="auto"/>
              <w:right w:val="single" w:sz="4" w:space="0" w:color="auto"/>
            </w:tcBorders>
            <w:shd w:val="clear" w:color="auto" w:fill="auto"/>
            <w:vAlign w:val="bottom"/>
            <w:hideMark/>
          </w:tcPr>
          <w:p w14:paraId="1D1F5E3F" w14:textId="77777777" w:rsidR="004B6BF4" w:rsidRPr="004B6BF4" w:rsidRDefault="004B6BF4" w:rsidP="004B6BF4">
            <w:pPr>
              <w:spacing w:after="0" w:line="240" w:lineRule="auto"/>
              <w:jc w:val="center"/>
              <w:rPr>
                <w:rFonts w:ascii="Calibri" w:eastAsia="Times New Roman" w:hAnsi="Calibri" w:cs="Calibri"/>
                <w:color w:val="000000"/>
                <w:sz w:val="22"/>
                <w:lang w:eastAsia="en-GB"/>
              </w:rPr>
            </w:pPr>
            <w:r w:rsidRPr="004B6BF4">
              <w:rPr>
                <w:rFonts w:ascii="Calibri" w:eastAsia="Times New Roman" w:hAnsi="Calibri" w:cs="Calibri"/>
                <w:color w:val="000000"/>
                <w:sz w:val="22"/>
                <w:lang w:eastAsia="en-GB"/>
              </w:rPr>
              <w:t>Aston Martin Earnings per Ordinary share Ratio</w:t>
            </w:r>
          </w:p>
        </w:tc>
        <w:tc>
          <w:tcPr>
            <w:tcW w:w="1160" w:type="dxa"/>
            <w:tcBorders>
              <w:top w:val="nil"/>
              <w:left w:val="nil"/>
              <w:bottom w:val="single" w:sz="8" w:space="0" w:color="auto"/>
              <w:right w:val="single" w:sz="4" w:space="0" w:color="auto"/>
            </w:tcBorders>
            <w:shd w:val="clear" w:color="auto" w:fill="auto"/>
            <w:noWrap/>
            <w:vAlign w:val="bottom"/>
            <w:hideMark/>
          </w:tcPr>
          <w:p w14:paraId="576F65EF" w14:textId="77777777" w:rsidR="004B6BF4" w:rsidRPr="004B6BF4" w:rsidRDefault="004B6BF4" w:rsidP="004B6BF4">
            <w:pPr>
              <w:spacing w:after="0" w:line="240" w:lineRule="auto"/>
              <w:jc w:val="center"/>
              <w:rPr>
                <w:rFonts w:ascii="Calibri" w:eastAsia="Times New Roman" w:hAnsi="Calibri" w:cs="Calibri"/>
                <w:color w:val="000000"/>
                <w:sz w:val="22"/>
                <w:lang w:eastAsia="en-GB"/>
              </w:rPr>
            </w:pPr>
            <w:r w:rsidRPr="004B6BF4">
              <w:rPr>
                <w:rFonts w:ascii="Calibri" w:eastAsia="Times New Roman" w:hAnsi="Calibri" w:cs="Calibri"/>
                <w:color w:val="000000"/>
                <w:sz w:val="22"/>
                <w:lang w:eastAsia="en-GB"/>
              </w:rPr>
              <w:t>-0.4</w:t>
            </w:r>
          </w:p>
        </w:tc>
        <w:tc>
          <w:tcPr>
            <w:tcW w:w="1160" w:type="dxa"/>
            <w:tcBorders>
              <w:top w:val="nil"/>
              <w:left w:val="nil"/>
              <w:bottom w:val="single" w:sz="8" w:space="0" w:color="auto"/>
              <w:right w:val="single" w:sz="4" w:space="0" w:color="auto"/>
            </w:tcBorders>
            <w:shd w:val="clear" w:color="auto" w:fill="auto"/>
            <w:noWrap/>
            <w:vAlign w:val="bottom"/>
            <w:hideMark/>
          </w:tcPr>
          <w:p w14:paraId="67A673DD" w14:textId="77777777" w:rsidR="004B6BF4" w:rsidRPr="004B6BF4" w:rsidRDefault="004B6BF4" w:rsidP="004B6BF4">
            <w:pPr>
              <w:spacing w:after="0" w:line="240" w:lineRule="auto"/>
              <w:jc w:val="center"/>
              <w:rPr>
                <w:rFonts w:ascii="Calibri" w:eastAsia="Times New Roman" w:hAnsi="Calibri" w:cs="Calibri"/>
                <w:color w:val="000000"/>
                <w:sz w:val="22"/>
                <w:lang w:eastAsia="en-GB"/>
              </w:rPr>
            </w:pPr>
            <w:r w:rsidRPr="004B6BF4">
              <w:rPr>
                <w:rFonts w:ascii="Calibri" w:eastAsia="Times New Roman" w:hAnsi="Calibri" w:cs="Calibri"/>
                <w:color w:val="000000"/>
                <w:sz w:val="22"/>
                <w:lang w:eastAsia="en-GB"/>
              </w:rPr>
              <w:t>-0.4</w:t>
            </w:r>
          </w:p>
        </w:tc>
        <w:tc>
          <w:tcPr>
            <w:tcW w:w="1160" w:type="dxa"/>
            <w:tcBorders>
              <w:top w:val="nil"/>
              <w:left w:val="nil"/>
              <w:bottom w:val="single" w:sz="8" w:space="0" w:color="auto"/>
              <w:right w:val="single" w:sz="4" w:space="0" w:color="auto"/>
            </w:tcBorders>
            <w:shd w:val="clear" w:color="auto" w:fill="auto"/>
            <w:noWrap/>
            <w:vAlign w:val="bottom"/>
            <w:hideMark/>
          </w:tcPr>
          <w:p w14:paraId="77B7D0A8" w14:textId="77777777" w:rsidR="004B6BF4" w:rsidRPr="004B6BF4" w:rsidRDefault="004B6BF4" w:rsidP="004B6BF4">
            <w:pPr>
              <w:spacing w:after="0" w:line="240" w:lineRule="auto"/>
              <w:jc w:val="center"/>
              <w:rPr>
                <w:rFonts w:ascii="Calibri" w:eastAsia="Times New Roman" w:hAnsi="Calibri" w:cs="Calibri"/>
                <w:color w:val="000000"/>
                <w:sz w:val="22"/>
                <w:lang w:eastAsia="en-GB"/>
              </w:rPr>
            </w:pPr>
            <w:r w:rsidRPr="004B6BF4">
              <w:rPr>
                <w:rFonts w:ascii="Calibri" w:eastAsia="Times New Roman" w:hAnsi="Calibri" w:cs="Calibri"/>
                <w:color w:val="000000"/>
                <w:sz w:val="22"/>
                <w:lang w:eastAsia="en-GB"/>
              </w:rPr>
              <w:t>-5.7</w:t>
            </w:r>
          </w:p>
        </w:tc>
        <w:tc>
          <w:tcPr>
            <w:tcW w:w="1160" w:type="dxa"/>
            <w:tcBorders>
              <w:top w:val="nil"/>
              <w:left w:val="nil"/>
              <w:bottom w:val="single" w:sz="8" w:space="0" w:color="auto"/>
              <w:right w:val="single" w:sz="4" w:space="0" w:color="auto"/>
            </w:tcBorders>
            <w:shd w:val="clear" w:color="auto" w:fill="auto"/>
            <w:noWrap/>
            <w:vAlign w:val="bottom"/>
            <w:hideMark/>
          </w:tcPr>
          <w:p w14:paraId="61CCA208" w14:textId="77777777" w:rsidR="004B6BF4" w:rsidRPr="004B6BF4" w:rsidRDefault="004B6BF4" w:rsidP="004B6BF4">
            <w:pPr>
              <w:spacing w:after="0" w:line="240" w:lineRule="auto"/>
              <w:jc w:val="center"/>
              <w:rPr>
                <w:rFonts w:ascii="Calibri" w:eastAsia="Times New Roman" w:hAnsi="Calibri" w:cs="Calibri"/>
                <w:color w:val="000000"/>
                <w:sz w:val="22"/>
                <w:lang w:eastAsia="en-GB"/>
              </w:rPr>
            </w:pPr>
            <w:r w:rsidRPr="004B6BF4">
              <w:rPr>
                <w:rFonts w:ascii="Calibri" w:eastAsia="Times New Roman" w:hAnsi="Calibri" w:cs="Calibri"/>
                <w:color w:val="000000"/>
                <w:sz w:val="22"/>
                <w:lang w:eastAsia="en-GB"/>
              </w:rPr>
              <w:t>-1.6</w:t>
            </w:r>
          </w:p>
        </w:tc>
        <w:tc>
          <w:tcPr>
            <w:tcW w:w="1160" w:type="dxa"/>
            <w:tcBorders>
              <w:top w:val="nil"/>
              <w:left w:val="nil"/>
              <w:bottom w:val="single" w:sz="8" w:space="0" w:color="auto"/>
              <w:right w:val="single" w:sz="8" w:space="0" w:color="auto"/>
            </w:tcBorders>
            <w:shd w:val="clear" w:color="auto" w:fill="auto"/>
            <w:noWrap/>
            <w:vAlign w:val="bottom"/>
            <w:hideMark/>
          </w:tcPr>
          <w:p w14:paraId="0271076B" w14:textId="77777777" w:rsidR="004B6BF4" w:rsidRPr="004B6BF4" w:rsidRDefault="004B6BF4" w:rsidP="004B6BF4">
            <w:pPr>
              <w:spacing w:after="0" w:line="240" w:lineRule="auto"/>
              <w:jc w:val="center"/>
              <w:rPr>
                <w:rFonts w:ascii="Calibri" w:eastAsia="Times New Roman" w:hAnsi="Calibri" w:cs="Calibri"/>
                <w:color w:val="000000"/>
                <w:sz w:val="22"/>
                <w:lang w:eastAsia="en-GB"/>
              </w:rPr>
            </w:pPr>
            <w:r w:rsidRPr="004B6BF4">
              <w:rPr>
                <w:rFonts w:ascii="Calibri" w:eastAsia="Times New Roman" w:hAnsi="Calibri" w:cs="Calibri"/>
                <w:color w:val="000000"/>
                <w:sz w:val="22"/>
                <w:lang w:eastAsia="en-GB"/>
              </w:rPr>
              <w:t>-1.2</w:t>
            </w:r>
          </w:p>
        </w:tc>
      </w:tr>
    </w:tbl>
    <w:p w14:paraId="4377E203" w14:textId="1EAC2A8A" w:rsidR="00A91C13" w:rsidRDefault="004B6BF4" w:rsidP="004B6BF4">
      <w:pPr>
        <w:pStyle w:val="Caption"/>
        <w:jc w:val="right"/>
      </w:pPr>
      <w:bookmarkStart w:id="50" w:name="_Ref146814105"/>
      <w:r>
        <w:t xml:space="preserve">Table </w:t>
      </w:r>
      <w:fldSimple w:instr=" SEQ Table \* ARABIC ">
        <w:r w:rsidR="0013381E">
          <w:rPr>
            <w:noProof/>
          </w:rPr>
          <w:t>16</w:t>
        </w:r>
      </w:fldSimple>
      <w:r>
        <w:t xml:space="preserve"> Earnings per Ordinary Share Ratio</w:t>
      </w:r>
      <w:bookmarkEnd w:id="50"/>
    </w:p>
    <w:p w14:paraId="0269DD13" w14:textId="77777777" w:rsidR="00A91C13" w:rsidRDefault="00A91C13"/>
    <w:p w14:paraId="2F9CD2BB" w14:textId="77777777" w:rsidR="00A91C13" w:rsidRDefault="00A91C13"/>
    <w:p w14:paraId="610EE530" w14:textId="77777777" w:rsidR="00A91C13" w:rsidRDefault="00A91C13"/>
    <w:p w14:paraId="7A8D7869" w14:textId="7E01D4B6" w:rsidR="00A91C13" w:rsidRDefault="004B6BF4" w:rsidP="004B6BF4">
      <w:pPr>
        <w:pStyle w:val="Heading3"/>
      </w:pPr>
      <w:bookmarkStart w:id="51" w:name="_Toc146791887"/>
      <w:r>
        <w:lastRenderedPageBreak/>
        <w:t>Price per Earnings Ratio</w:t>
      </w:r>
      <w:bookmarkEnd w:id="51"/>
    </w:p>
    <w:p w14:paraId="69DB090C" w14:textId="758FBDFF" w:rsidR="004B6BF4" w:rsidRDefault="004B6BF4">
      <w:r>
        <w:t>Relates to the market value per share to earnings per share.</w:t>
      </w:r>
    </w:p>
    <w:tbl>
      <w:tblPr>
        <w:tblW w:w="7820" w:type="dxa"/>
        <w:jc w:val="center"/>
        <w:tblLook w:val="04A0" w:firstRow="1" w:lastRow="0" w:firstColumn="1" w:lastColumn="0" w:noHBand="0" w:noVBand="1"/>
      </w:tblPr>
      <w:tblGrid>
        <w:gridCol w:w="2020"/>
        <w:gridCol w:w="1160"/>
        <w:gridCol w:w="1160"/>
        <w:gridCol w:w="1160"/>
        <w:gridCol w:w="1160"/>
        <w:gridCol w:w="1160"/>
      </w:tblGrid>
      <w:tr w:rsidR="0013381E" w:rsidRPr="0013381E" w14:paraId="4341CF78" w14:textId="77777777" w:rsidTr="0013381E">
        <w:trPr>
          <w:trHeight w:val="288"/>
          <w:jc w:val="center"/>
        </w:trPr>
        <w:tc>
          <w:tcPr>
            <w:tcW w:w="2020" w:type="dxa"/>
            <w:tcBorders>
              <w:top w:val="single" w:sz="8" w:space="0" w:color="auto"/>
              <w:left w:val="single" w:sz="8" w:space="0" w:color="auto"/>
              <w:bottom w:val="single" w:sz="4" w:space="0" w:color="auto"/>
              <w:right w:val="single" w:sz="4" w:space="0" w:color="auto"/>
            </w:tcBorders>
            <w:shd w:val="clear" w:color="000000" w:fill="FFFF00"/>
            <w:noWrap/>
            <w:vAlign w:val="bottom"/>
            <w:hideMark/>
          </w:tcPr>
          <w:p w14:paraId="78898A87"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Year</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4F9456BA"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2018</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08CFF6D0"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2019</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2D3C49DA"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2020</w:t>
            </w:r>
          </w:p>
        </w:tc>
        <w:tc>
          <w:tcPr>
            <w:tcW w:w="1160" w:type="dxa"/>
            <w:tcBorders>
              <w:top w:val="single" w:sz="8" w:space="0" w:color="auto"/>
              <w:left w:val="nil"/>
              <w:bottom w:val="single" w:sz="4" w:space="0" w:color="auto"/>
              <w:right w:val="single" w:sz="4" w:space="0" w:color="auto"/>
            </w:tcBorders>
            <w:shd w:val="clear" w:color="000000" w:fill="FFFF00"/>
            <w:noWrap/>
            <w:vAlign w:val="bottom"/>
            <w:hideMark/>
          </w:tcPr>
          <w:p w14:paraId="7CEA0430"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2021</w:t>
            </w:r>
          </w:p>
        </w:tc>
        <w:tc>
          <w:tcPr>
            <w:tcW w:w="1160" w:type="dxa"/>
            <w:tcBorders>
              <w:top w:val="single" w:sz="8" w:space="0" w:color="auto"/>
              <w:left w:val="nil"/>
              <w:bottom w:val="single" w:sz="4" w:space="0" w:color="auto"/>
              <w:right w:val="single" w:sz="8" w:space="0" w:color="auto"/>
            </w:tcBorders>
            <w:shd w:val="clear" w:color="000000" w:fill="FFFF00"/>
            <w:noWrap/>
            <w:vAlign w:val="bottom"/>
            <w:hideMark/>
          </w:tcPr>
          <w:p w14:paraId="38AF9708"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2022</w:t>
            </w:r>
          </w:p>
        </w:tc>
      </w:tr>
      <w:tr w:rsidR="0013381E" w:rsidRPr="0013381E" w14:paraId="19CBAFE2" w14:textId="77777777" w:rsidTr="0013381E">
        <w:trPr>
          <w:trHeight w:val="999"/>
          <w:jc w:val="center"/>
        </w:trPr>
        <w:tc>
          <w:tcPr>
            <w:tcW w:w="2020" w:type="dxa"/>
            <w:tcBorders>
              <w:top w:val="nil"/>
              <w:left w:val="single" w:sz="8" w:space="0" w:color="auto"/>
              <w:bottom w:val="single" w:sz="4" w:space="0" w:color="auto"/>
              <w:right w:val="single" w:sz="4" w:space="0" w:color="auto"/>
            </w:tcBorders>
            <w:shd w:val="clear" w:color="auto" w:fill="auto"/>
            <w:vAlign w:val="bottom"/>
            <w:hideMark/>
          </w:tcPr>
          <w:p w14:paraId="4EC105F6"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Mercedes Price per Earnings Ratio</w:t>
            </w:r>
          </w:p>
        </w:tc>
        <w:tc>
          <w:tcPr>
            <w:tcW w:w="1160" w:type="dxa"/>
            <w:tcBorders>
              <w:top w:val="nil"/>
              <w:left w:val="nil"/>
              <w:bottom w:val="single" w:sz="4" w:space="0" w:color="auto"/>
              <w:right w:val="single" w:sz="4" w:space="0" w:color="auto"/>
            </w:tcBorders>
            <w:shd w:val="clear" w:color="auto" w:fill="auto"/>
            <w:noWrap/>
            <w:vAlign w:val="bottom"/>
            <w:hideMark/>
          </w:tcPr>
          <w:p w14:paraId="5E0E8043"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6.7</w:t>
            </w:r>
          </w:p>
        </w:tc>
        <w:tc>
          <w:tcPr>
            <w:tcW w:w="1160" w:type="dxa"/>
            <w:tcBorders>
              <w:top w:val="nil"/>
              <w:left w:val="nil"/>
              <w:bottom w:val="single" w:sz="4" w:space="0" w:color="auto"/>
              <w:right w:val="single" w:sz="4" w:space="0" w:color="auto"/>
            </w:tcBorders>
            <w:shd w:val="clear" w:color="auto" w:fill="auto"/>
            <w:noWrap/>
            <w:vAlign w:val="bottom"/>
            <w:hideMark/>
          </w:tcPr>
          <w:p w14:paraId="6D5B78A2"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22.2</w:t>
            </w:r>
          </w:p>
        </w:tc>
        <w:tc>
          <w:tcPr>
            <w:tcW w:w="1160" w:type="dxa"/>
            <w:tcBorders>
              <w:top w:val="nil"/>
              <w:left w:val="nil"/>
              <w:bottom w:val="single" w:sz="4" w:space="0" w:color="auto"/>
              <w:right w:val="single" w:sz="4" w:space="0" w:color="auto"/>
            </w:tcBorders>
            <w:shd w:val="clear" w:color="auto" w:fill="auto"/>
            <w:noWrap/>
            <w:vAlign w:val="bottom"/>
            <w:hideMark/>
          </w:tcPr>
          <w:p w14:paraId="692FC713"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17.0</w:t>
            </w:r>
          </w:p>
        </w:tc>
        <w:tc>
          <w:tcPr>
            <w:tcW w:w="1160" w:type="dxa"/>
            <w:tcBorders>
              <w:top w:val="nil"/>
              <w:left w:val="nil"/>
              <w:bottom w:val="single" w:sz="4" w:space="0" w:color="auto"/>
              <w:right w:val="single" w:sz="4" w:space="0" w:color="auto"/>
            </w:tcBorders>
            <w:shd w:val="clear" w:color="auto" w:fill="auto"/>
            <w:noWrap/>
            <w:vAlign w:val="bottom"/>
            <w:hideMark/>
          </w:tcPr>
          <w:p w14:paraId="68F51737"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3.1</w:t>
            </w:r>
          </w:p>
        </w:tc>
        <w:tc>
          <w:tcPr>
            <w:tcW w:w="1160" w:type="dxa"/>
            <w:tcBorders>
              <w:top w:val="nil"/>
              <w:left w:val="nil"/>
              <w:bottom w:val="single" w:sz="4" w:space="0" w:color="auto"/>
              <w:right w:val="single" w:sz="8" w:space="0" w:color="auto"/>
            </w:tcBorders>
            <w:shd w:val="clear" w:color="auto" w:fill="auto"/>
            <w:noWrap/>
            <w:vAlign w:val="bottom"/>
            <w:hideMark/>
          </w:tcPr>
          <w:p w14:paraId="1D8887BA"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5.0</w:t>
            </w:r>
          </w:p>
        </w:tc>
      </w:tr>
      <w:tr w:rsidR="0013381E" w:rsidRPr="0013381E" w14:paraId="07FC9C18" w14:textId="77777777" w:rsidTr="0013381E">
        <w:trPr>
          <w:trHeight w:val="999"/>
          <w:jc w:val="center"/>
        </w:trPr>
        <w:tc>
          <w:tcPr>
            <w:tcW w:w="2020" w:type="dxa"/>
            <w:tcBorders>
              <w:top w:val="nil"/>
              <w:left w:val="single" w:sz="8" w:space="0" w:color="auto"/>
              <w:bottom w:val="single" w:sz="4" w:space="0" w:color="auto"/>
              <w:right w:val="single" w:sz="4" w:space="0" w:color="auto"/>
            </w:tcBorders>
            <w:shd w:val="clear" w:color="auto" w:fill="auto"/>
            <w:vAlign w:val="bottom"/>
            <w:hideMark/>
          </w:tcPr>
          <w:p w14:paraId="36272541" w14:textId="4A2DD74F"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Ferrari P</w:t>
            </w:r>
            <w:r>
              <w:rPr>
                <w:rFonts w:ascii="Calibri" w:eastAsia="Times New Roman" w:hAnsi="Calibri" w:cs="Calibri"/>
                <w:color w:val="000000"/>
                <w:sz w:val="22"/>
                <w:lang w:eastAsia="en-GB"/>
              </w:rPr>
              <w:t>rice</w:t>
            </w:r>
            <w:r w:rsidRPr="0013381E">
              <w:rPr>
                <w:rFonts w:ascii="Calibri" w:eastAsia="Times New Roman" w:hAnsi="Calibri" w:cs="Calibri"/>
                <w:color w:val="000000"/>
                <w:sz w:val="22"/>
                <w:lang w:eastAsia="en-GB"/>
              </w:rPr>
              <w:t xml:space="preserve"> per Earnings Ratio</w:t>
            </w:r>
          </w:p>
        </w:tc>
        <w:tc>
          <w:tcPr>
            <w:tcW w:w="1160" w:type="dxa"/>
            <w:tcBorders>
              <w:top w:val="nil"/>
              <w:left w:val="nil"/>
              <w:bottom w:val="single" w:sz="4" w:space="0" w:color="auto"/>
              <w:right w:val="single" w:sz="4" w:space="0" w:color="auto"/>
            </w:tcBorders>
            <w:shd w:val="clear" w:color="auto" w:fill="auto"/>
            <w:noWrap/>
            <w:vAlign w:val="bottom"/>
            <w:hideMark/>
          </w:tcPr>
          <w:p w14:paraId="16CCF247"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19.7</w:t>
            </w:r>
          </w:p>
        </w:tc>
        <w:tc>
          <w:tcPr>
            <w:tcW w:w="1160" w:type="dxa"/>
            <w:tcBorders>
              <w:top w:val="nil"/>
              <w:left w:val="nil"/>
              <w:bottom w:val="single" w:sz="4" w:space="0" w:color="auto"/>
              <w:right w:val="single" w:sz="4" w:space="0" w:color="auto"/>
            </w:tcBorders>
            <w:shd w:val="clear" w:color="auto" w:fill="auto"/>
            <w:noWrap/>
            <w:vAlign w:val="bottom"/>
            <w:hideMark/>
          </w:tcPr>
          <w:p w14:paraId="4F774218"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38.7</w:t>
            </w:r>
          </w:p>
        </w:tc>
        <w:tc>
          <w:tcPr>
            <w:tcW w:w="1160" w:type="dxa"/>
            <w:tcBorders>
              <w:top w:val="nil"/>
              <w:left w:val="nil"/>
              <w:bottom w:val="single" w:sz="4" w:space="0" w:color="auto"/>
              <w:right w:val="single" w:sz="4" w:space="0" w:color="auto"/>
            </w:tcBorders>
            <w:shd w:val="clear" w:color="auto" w:fill="auto"/>
            <w:noWrap/>
            <w:vAlign w:val="bottom"/>
            <w:hideMark/>
          </w:tcPr>
          <w:p w14:paraId="2D2F6451"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59.4</w:t>
            </w:r>
          </w:p>
        </w:tc>
        <w:tc>
          <w:tcPr>
            <w:tcW w:w="1160" w:type="dxa"/>
            <w:tcBorders>
              <w:top w:val="nil"/>
              <w:left w:val="nil"/>
              <w:bottom w:val="single" w:sz="4" w:space="0" w:color="auto"/>
              <w:right w:val="single" w:sz="4" w:space="0" w:color="auto"/>
            </w:tcBorders>
            <w:shd w:val="clear" w:color="auto" w:fill="auto"/>
            <w:noWrap/>
            <w:vAlign w:val="bottom"/>
            <w:hideMark/>
          </w:tcPr>
          <w:p w14:paraId="0E2849DA"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48.0</w:t>
            </w:r>
          </w:p>
        </w:tc>
        <w:tc>
          <w:tcPr>
            <w:tcW w:w="1160" w:type="dxa"/>
            <w:tcBorders>
              <w:top w:val="nil"/>
              <w:left w:val="nil"/>
              <w:bottom w:val="single" w:sz="4" w:space="0" w:color="auto"/>
              <w:right w:val="single" w:sz="8" w:space="0" w:color="auto"/>
            </w:tcBorders>
            <w:shd w:val="clear" w:color="auto" w:fill="auto"/>
            <w:noWrap/>
            <w:vAlign w:val="bottom"/>
            <w:hideMark/>
          </w:tcPr>
          <w:p w14:paraId="3AA5DC2E"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39.5</w:t>
            </w:r>
          </w:p>
        </w:tc>
      </w:tr>
      <w:tr w:rsidR="0013381E" w:rsidRPr="0013381E" w14:paraId="3ACB6A9E" w14:textId="77777777" w:rsidTr="0013381E">
        <w:trPr>
          <w:trHeight w:val="999"/>
          <w:jc w:val="center"/>
        </w:trPr>
        <w:tc>
          <w:tcPr>
            <w:tcW w:w="2020" w:type="dxa"/>
            <w:tcBorders>
              <w:top w:val="nil"/>
              <w:left w:val="single" w:sz="8" w:space="0" w:color="auto"/>
              <w:bottom w:val="single" w:sz="8" w:space="0" w:color="auto"/>
              <w:right w:val="single" w:sz="4" w:space="0" w:color="auto"/>
            </w:tcBorders>
            <w:shd w:val="clear" w:color="auto" w:fill="auto"/>
            <w:vAlign w:val="bottom"/>
            <w:hideMark/>
          </w:tcPr>
          <w:p w14:paraId="00FCEDDC"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Aston Martin Price per Earnings Ratio</w:t>
            </w:r>
          </w:p>
        </w:tc>
        <w:tc>
          <w:tcPr>
            <w:tcW w:w="1160" w:type="dxa"/>
            <w:tcBorders>
              <w:top w:val="nil"/>
              <w:left w:val="nil"/>
              <w:bottom w:val="single" w:sz="8" w:space="0" w:color="auto"/>
              <w:right w:val="single" w:sz="4" w:space="0" w:color="auto"/>
            </w:tcBorders>
            <w:shd w:val="clear" w:color="auto" w:fill="auto"/>
            <w:noWrap/>
            <w:vAlign w:val="bottom"/>
            <w:hideMark/>
          </w:tcPr>
          <w:p w14:paraId="023DB9B0"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-6.0</w:t>
            </w:r>
          </w:p>
        </w:tc>
        <w:tc>
          <w:tcPr>
            <w:tcW w:w="1160" w:type="dxa"/>
            <w:tcBorders>
              <w:top w:val="nil"/>
              <w:left w:val="nil"/>
              <w:bottom w:val="single" w:sz="8" w:space="0" w:color="auto"/>
              <w:right w:val="single" w:sz="4" w:space="0" w:color="auto"/>
            </w:tcBorders>
            <w:shd w:val="clear" w:color="auto" w:fill="auto"/>
            <w:noWrap/>
            <w:vAlign w:val="bottom"/>
            <w:hideMark/>
          </w:tcPr>
          <w:p w14:paraId="15094139"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-4.1</w:t>
            </w:r>
          </w:p>
        </w:tc>
        <w:tc>
          <w:tcPr>
            <w:tcW w:w="1160" w:type="dxa"/>
            <w:tcBorders>
              <w:top w:val="nil"/>
              <w:left w:val="nil"/>
              <w:bottom w:val="single" w:sz="8" w:space="0" w:color="auto"/>
              <w:right w:val="single" w:sz="4" w:space="0" w:color="auto"/>
            </w:tcBorders>
            <w:shd w:val="clear" w:color="auto" w:fill="auto"/>
            <w:noWrap/>
            <w:vAlign w:val="bottom"/>
            <w:hideMark/>
          </w:tcPr>
          <w:p w14:paraId="1F17F419"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-1.8</w:t>
            </w:r>
          </w:p>
        </w:tc>
        <w:tc>
          <w:tcPr>
            <w:tcW w:w="1160" w:type="dxa"/>
            <w:tcBorders>
              <w:top w:val="nil"/>
              <w:left w:val="nil"/>
              <w:bottom w:val="single" w:sz="8" w:space="0" w:color="auto"/>
              <w:right w:val="single" w:sz="4" w:space="0" w:color="auto"/>
            </w:tcBorders>
            <w:shd w:val="clear" w:color="auto" w:fill="auto"/>
            <w:noWrap/>
            <w:vAlign w:val="bottom"/>
            <w:hideMark/>
          </w:tcPr>
          <w:p w14:paraId="74FC19BD"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-3.6</w:t>
            </w:r>
          </w:p>
        </w:tc>
        <w:tc>
          <w:tcPr>
            <w:tcW w:w="1160" w:type="dxa"/>
            <w:tcBorders>
              <w:top w:val="nil"/>
              <w:left w:val="nil"/>
              <w:bottom w:val="single" w:sz="8" w:space="0" w:color="auto"/>
              <w:right w:val="single" w:sz="8" w:space="0" w:color="auto"/>
            </w:tcBorders>
            <w:shd w:val="clear" w:color="auto" w:fill="auto"/>
            <w:noWrap/>
            <w:vAlign w:val="bottom"/>
            <w:hideMark/>
          </w:tcPr>
          <w:p w14:paraId="06746821" w14:textId="77777777" w:rsidR="0013381E" w:rsidRPr="0013381E" w:rsidRDefault="0013381E" w:rsidP="0013381E">
            <w:pPr>
              <w:spacing w:after="0" w:line="240" w:lineRule="auto"/>
              <w:jc w:val="center"/>
              <w:rPr>
                <w:rFonts w:ascii="Calibri" w:eastAsia="Times New Roman" w:hAnsi="Calibri" w:cs="Calibri"/>
                <w:color w:val="000000"/>
                <w:sz w:val="22"/>
                <w:lang w:eastAsia="en-GB"/>
              </w:rPr>
            </w:pPr>
            <w:r w:rsidRPr="0013381E">
              <w:rPr>
                <w:rFonts w:ascii="Calibri" w:eastAsia="Times New Roman" w:hAnsi="Calibri" w:cs="Calibri"/>
                <w:color w:val="000000"/>
                <w:sz w:val="22"/>
                <w:lang w:eastAsia="en-GB"/>
              </w:rPr>
              <w:t>-1.5</w:t>
            </w:r>
          </w:p>
        </w:tc>
      </w:tr>
    </w:tbl>
    <w:p w14:paraId="055E365F" w14:textId="3088FC03" w:rsidR="004B6BF4" w:rsidRDefault="0013381E" w:rsidP="0013381E">
      <w:pPr>
        <w:pStyle w:val="Caption"/>
        <w:jc w:val="right"/>
      </w:pPr>
      <w:bookmarkStart w:id="52" w:name="_Ref146814136"/>
      <w:r>
        <w:t xml:space="preserve">Table </w:t>
      </w:r>
      <w:fldSimple w:instr=" SEQ Table \* ARABIC ">
        <w:r>
          <w:rPr>
            <w:noProof/>
          </w:rPr>
          <w:t>17</w:t>
        </w:r>
      </w:fldSimple>
      <w:r>
        <w:t xml:space="preserve"> Price per Earnings Ratio</w:t>
      </w:r>
      <w:bookmarkEnd w:id="52"/>
    </w:p>
    <w:p w14:paraId="680FCF41" w14:textId="77777777" w:rsidR="00A91C13" w:rsidRDefault="00A91C13"/>
    <w:p w14:paraId="20359C14" w14:textId="14DE0378" w:rsidR="00A91C13" w:rsidRDefault="0013381E">
      <w:r>
        <w:t xml:space="preserve">The </w:t>
      </w:r>
      <w:r w:rsidR="0012169F">
        <w:t>D</w:t>
      </w:r>
      <w:r>
        <w:t xml:space="preserve">ividend Investor Ratios could not be calculated for Aston Martin as no </w:t>
      </w:r>
      <w:r w:rsidR="0012169F">
        <w:t xml:space="preserve">declared </w:t>
      </w:r>
      <w:r>
        <w:t>Dividend paid in the 2018 – 2022 5-year period which is obviously concerning for shareholders and obviously not attractive to potential investors.</w:t>
      </w:r>
    </w:p>
    <w:p w14:paraId="0A102838" w14:textId="77777777" w:rsidR="00A91C13" w:rsidRDefault="00A91C13"/>
    <w:p w14:paraId="419094C7" w14:textId="77777777" w:rsidR="00A91C13" w:rsidRDefault="00A91C13"/>
    <w:p w14:paraId="7250009E" w14:textId="77777777" w:rsidR="00A91C13" w:rsidRDefault="00A91C13"/>
    <w:p w14:paraId="36E40213" w14:textId="77777777" w:rsidR="00A91C13" w:rsidRDefault="00A91C13"/>
    <w:p w14:paraId="2EEE530A" w14:textId="77777777" w:rsidR="00A91C13" w:rsidRDefault="00A91C13"/>
    <w:p w14:paraId="46EF164A" w14:textId="77777777" w:rsidR="00A91C13" w:rsidRDefault="00A91C13"/>
    <w:p w14:paraId="1E294FA0" w14:textId="77777777" w:rsidR="00A91C13" w:rsidRDefault="00A91C13"/>
    <w:p w14:paraId="093FB61A" w14:textId="77777777" w:rsidR="00A91C13" w:rsidRDefault="00A91C13"/>
    <w:p w14:paraId="7DBB06F0" w14:textId="77777777" w:rsidR="00A91C13" w:rsidRDefault="00A91C13"/>
    <w:p w14:paraId="03A1D86D" w14:textId="77777777" w:rsidR="00A91C13" w:rsidRDefault="00A91C13"/>
    <w:p w14:paraId="43C718B4" w14:textId="77777777" w:rsidR="00A91C13" w:rsidRDefault="00A91C13"/>
    <w:p w14:paraId="7BD28028" w14:textId="77777777" w:rsidR="00A91C13" w:rsidRDefault="00A91C13"/>
    <w:p w14:paraId="635BC61C" w14:textId="77777777" w:rsidR="00A91C13" w:rsidRDefault="00A91C13"/>
    <w:p w14:paraId="7B5EFBEA" w14:textId="77777777" w:rsidR="00A91C13" w:rsidRDefault="00A91C13"/>
    <w:p w14:paraId="609701EA" w14:textId="77777777" w:rsidR="00A91C13" w:rsidRDefault="00A91C13"/>
    <w:p w14:paraId="2E978837" w14:textId="77777777" w:rsidR="00A91C13" w:rsidRDefault="00A91C13"/>
    <w:bookmarkStart w:id="53" w:name="_Toc146791888" w:displacedByCustomXml="next"/>
    <w:sdt>
      <w:sdtPr>
        <w:rPr>
          <w:rFonts w:eastAsiaTheme="minorHAnsi" w:cstheme="minorBidi"/>
          <w:sz w:val="24"/>
          <w:szCs w:val="22"/>
        </w:rPr>
        <w:id w:val="1308281512"/>
        <w:docPartObj>
          <w:docPartGallery w:val="Bibliographies"/>
          <w:docPartUnique/>
        </w:docPartObj>
      </w:sdtPr>
      <w:sdtContent>
        <w:p w14:paraId="17D0888D" w14:textId="212BC3A6" w:rsidR="00AE49DF" w:rsidRDefault="00AE49DF">
          <w:pPr>
            <w:pStyle w:val="Heading1"/>
          </w:pPr>
          <w:r>
            <w:t>Bibliography</w:t>
          </w:r>
          <w:bookmarkEnd w:id="53"/>
        </w:p>
        <w:sdt>
          <w:sdtPr>
            <w:id w:val="111145805"/>
            <w:bibliography/>
          </w:sdtPr>
          <w:sdtContent>
            <w:p w14:paraId="24021BAF" w14:textId="77777777" w:rsidR="007D5C64" w:rsidRDefault="00AE49DF" w:rsidP="007D5C64">
              <w:pPr>
                <w:pStyle w:val="Bibliography"/>
                <w:rPr>
                  <w:noProof/>
                  <w:szCs w:val="24"/>
                </w:rPr>
              </w:pPr>
              <w:r>
                <w:fldChar w:fldCharType="begin"/>
              </w:r>
              <w:r>
                <w:instrText xml:space="preserve"> BIBLIOGRAPHY </w:instrText>
              </w:r>
              <w:r>
                <w:fldChar w:fldCharType="separate"/>
              </w:r>
              <w:r w:rsidR="007D5C64">
                <w:rPr>
                  <w:noProof/>
                </w:rPr>
                <w:t xml:space="preserve">Aston Martin F1, 2023. </w:t>
              </w:r>
              <w:r w:rsidR="007D5C64">
                <w:rPr>
                  <w:i/>
                  <w:iCs/>
                  <w:noProof/>
                </w:rPr>
                <w:t xml:space="preserve">Aston Martin F1. </w:t>
              </w:r>
              <w:r w:rsidR="007D5C64">
                <w:rPr>
                  <w:noProof/>
                </w:rPr>
                <w:t xml:space="preserve">[Online] </w:t>
              </w:r>
              <w:r w:rsidR="007D5C64">
                <w:rPr>
                  <w:noProof/>
                </w:rPr>
                <w:br/>
                <w:t xml:space="preserve">Available at: </w:t>
              </w:r>
              <w:r w:rsidR="007D5C64">
                <w:rPr>
                  <w:noProof/>
                  <w:u w:val="single"/>
                </w:rPr>
                <w:t>https://www.astonmartinf1.com/en-GB/news/announcement/moving-day-a-proud-milestone-on-our-journey</w:t>
              </w:r>
              <w:r w:rsidR="007D5C64">
                <w:rPr>
                  <w:noProof/>
                </w:rPr>
                <w:br/>
                <w:t>[Accessed 7 September 2023].</w:t>
              </w:r>
            </w:p>
            <w:p w14:paraId="7FECD84B" w14:textId="77777777" w:rsidR="007D5C64" w:rsidRDefault="007D5C64" w:rsidP="007D5C64">
              <w:pPr>
                <w:pStyle w:val="Bibliography"/>
                <w:rPr>
                  <w:noProof/>
                </w:rPr>
              </w:pPr>
              <w:r>
                <w:rPr>
                  <w:noProof/>
                </w:rPr>
                <w:t xml:space="preserve">Aston Martin, 2017. </w:t>
              </w:r>
              <w:r>
                <w:rPr>
                  <w:i/>
                  <w:iCs/>
                  <w:noProof/>
                </w:rPr>
                <w:t xml:space="preserve">Aston Martin Company. </w:t>
              </w:r>
              <w:r>
                <w:rPr>
                  <w:noProof/>
                </w:rPr>
                <w:t xml:space="preserve">[Online] </w:t>
              </w:r>
              <w:r>
                <w:rPr>
                  <w:noProof/>
                </w:rPr>
                <w:br/>
                <w:t xml:space="preserve">Available at: </w:t>
              </w:r>
              <w:r>
                <w:rPr>
                  <w:noProof/>
                  <w:u w:val="single"/>
                </w:rPr>
                <w:t>https://www.astonmartin.com/en-gb/our-world/news/2017/2/20/company</w:t>
              </w:r>
              <w:r>
                <w:rPr>
                  <w:noProof/>
                </w:rPr>
                <w:br/>
                <w:t>[Accessed 16 August 2023].</w:t>
              </w:r>
            </w:p>
            <w:p w14:paraId="3C32BFA4" w14:textId="77777777" w:rsidR="007D5C64" w:rsidRDefault="007D5C64" w:rsidP="007D5C64">
              <w:pPr>
                <w:pStyle w:val="Bibliography"/>
                <w:rPr>
                  <w:noProof/>
                </w:rPr>
              </w:pPr>
              <w:r>
                <w:rPr>
                  <w:noProof/>
                </w:rPr>
                <w:t xml:space="preserve">Atrill, P. &amp; McLaney, E., 2017. </w:t>
              </w:r>
              <w:r>
                <w:rPr>
                  <w:i/>
                  <w:iCs/>
                  <w:noProof/>
                </w:rPr>
                <w:t xml:space="preserve">Accounting and Finance for Non-Specialists. </w:t>
              </w:r>
              <w:r>
                <w:rPr>
                  <w:noProof/>
                </w:rPr>
                <w:t>10 ed. Harlow: Perason.</w:t>
              </w:r>
            </w:p>
            <w:p w14:paraId="01EEBCF1" w14:textId="77777777" w:rsidR="007D5C64" w:rsidRDefault="007D5C64" w:rsidP="007D5C64">
              <w:pPr>
                <w:pStyle w:val="Bibliography"/>
                <w:rPr>
                  <w:noProof/>
                </w:rPr>
              </w:pPr>
              <w:r>
                <w:rPr>
                  <w:noProof/>
                </w:rPr>
                <w:t xml:space="preserve">CFI_Team, 2023. </w:t>
              </w:r>
              <w:r>
                <w:rPr>
                  <w:i/>
                  <w:iCs/>
                  <w:noProof/>
                </w:rPr>
                <w:t xml:space="preserve">Corporate Finance Instite. </w:t>
              </w:r>
              <w:r>
                <w:rPr>
                  <w:noProof/>
                </w:rPr>
                <w:t xml:space="preserve">[Online] </w:t>
              </w:r>
              <w:r>
                <w:rPr>
                  <w:noProof/>
                </w:rPr>
                <w:br/>
                <w:t xml:space="preserve">Available at: </w:t>
              </w:r>
              <w:r>
                <w:rPr>
                  <w:noProof/>
                  <w:u w:val="single"/>
                </w:rPr>
                <w:t>https://corporatefinanceinstitute.com/resources/accounting/limitations-ratio-analysis/</w:t>
              </w:r>
              <w:r>
                <w:rPr>
                  <w:noProof/>
                </w:rPr>
                <w:br/>
                <w:t>[Accessed 10 September 2023].</w:t>
              </w:r>
            </w:p>
            <w:p w14:paraId="3ED30C2B" w14:textId="77777777" w:rsidR="007D5C64" w:rsidRDefault="007D5C64" w:rsidP="007D5C64">
              <w:pPr>
                <w:pStyle w:val="Bibliography"/>
                <w:rPr>
                  <w:noProof/>
                </w:rPr>
              </w:pPr>
              <w:r>
                <w:rPr>
                  <w:noProof/>
                </w:rPr>
                <w:t xml:space="preserve">Comapny_Market_Cap, 2022. </w:t>
              </w:r>
              <w:r>
                <w:rPr>
                  <w:i/>
                  <w:iCs/>
                  <w:noProof/>
                </w:rPr>
                <w:t xml:space="preserve">Company Market Cap. </w:t>
              </w:r>
              <w:r>
                <w:rPr>
                  <w:noProof/>
                </w:rPr>
                <w:t xml:space="preserve">[Online] </w:t>
              </w:r>
              <w:r>
                <w:rPr>
                  <w:noProof/>
                </w:rPr>
                <w:br/>
                <w:t xml:space="preserve">Available at: </w:t>
              </w:r>
              <w:r>
                <w:rPr>
                  <w:noProof/>
                  <w:u w:val="single"/>
                </w:rPr>
                <w:t>https://companiesmarketcap.com/ferrari/operating-margin/</w:t>
              </w:r>
              <w:r>
                <w:rPr>
                  <w:noProof/>
                </w:rPr>
                <w:br/>
                <w:t>[Accessed 11 September 2023].</w:t>
              </w:r>
            </w:p>
            <w:p w14:paraId="4186A451" w14:textId="77777777" w:rsidR="007D5C64" w:rsidRDefault="007D5C64" w:rsidP="007D5C64">
              <w:pPr>
                <w:pStyle w:val="Bibliography"/>
                <w:rPr>
                  <w:noProof/>
                </w:rPr>
              </w:pPr>
              <w:r>
                <w:rPr>
                  <w:noProof/>
                </w:rPr>
                <w:t xml:space="preserve">Company_Market_Cap, 2022. </w:t>
              </w:r>
              <w:r>
                <w:rPr>
                  <w:i/>
                  <w:iCs/>
                  <w:noProof/>
                </w:rPr>
                <w:t xml:space="preserve">Company Market cap. </w:t>
              </w:r>
              <w:r>
                <w:rPr>
                  <w:noProof/>
                </w:rPr>
                <w:t xml:space="preserve">[Online] </w:t>
              </w:r>
              <w:r>
                <w:rPr>
                  <w:noProof/>
                </w:rPr>
                <w:br/>
                <w:t xml:space="preserve">Available at: </w:t>
              </w:r>
              <w:r>
                <w:rPr>
                  <w:noProof/>
                  <w:u w:val="single"/>
                </w:rPr>
                <w:t>https://companiesmarketcap.com/mercedes-benz-group/operating-margin/#:~:text=According%20to%20Mercedes-Benz%27s%20latest%20financial%20reports%20and%20stock,the%20company%20had%20an%20Operating%20Margin%20of%2013.53%25.</w:t>
              </w:r>
              <w:r>
                <w:rPr>
                  <w:noProof/>
                </w:rPr>
                <w:br/>
                <w:t>[Accessed 11 September 2023].</w:t>
              </w:r>
            </w:p>
            <w:p w14:paraId="655A87F9" w14:textId="77777777" w:rsidR="007D5C64" w:rsidRDefault="007D5C64" w:rsidP="007D5C64">
              <w:pPr>
                <w:pStyle w:val="Bibliography"/>
                <w:rPr>
                  <w:noProof/>
                </w:rPr>
              </w:pPr>
              <w:r>
                <w:rPr>
                  <w:noProof/>
                </w:rPr>
                <w:t xml:space="preserve">Fernando, J., 2023. </w:t>
              </w:r>
              <w:r>
                <w:rPr>
                  <w:i/>
                  <w:iCs/>
                  <w:noProof/>
                </w:rPr>
                <w:t xml:space="preserve">Investopedia. </w:t>
              </w:r>
              <w:r>
                <w:rPr>
                  <w:noProof/>
                </w:rPr>
                <w:t xml:space="preserve">[Online] </w:t>
              </w:r>
              <w:r>
                <w:rPr>
                  <w:noProof/>
                </w:rPr>
                <w:br/>
                <w:t xml:space="preserve">Available at: </w:t>
              </w:r>
              <w:r>
                <w:rPr>
                  <w:noProof/>
                  <w:u w:val="single"/>
                </w:rPr>
                <w:t>https://www.investopedia.com/terms/r/returnonequity.asp#What%20Is%20Return%20on%20Equity%20(ROE)?</w:t>
              </w:r>
              <w:r>
                <w:rPr>
                  <w:noProof/>
                </w:rPr>
                <w:br/>
                <w:t>[Accessed 13 September 2023].</w:t>
              </w:r>
            </w:p>
            <w:p w14:paraId="5D1F3F69" w14:textId="77777777" w:rsidR="007D5C64" w:rsidRDefault="007D5C64" w:rsidP="007D5C64">
              <w:pPr>
                <w:pStyle w:val="Bibliography"/>
                <w:rPr>
                  <w:noProof/>
                </w:rPr>
              </w:pPr>
              <w:r>
                <w:rPr>
                  <w:noProof/>
                </w:rPr>
                <w:t xml:space="preserve">Fields, E., 2016. </w:t>
              </w:r>
              <w:r>
                <w:rPr>
                  <w:i/>
                  <w:iCs/>
                  <w:noProof/>
                </w:rPr>
                <w:t xml:space="preserve">The Essentials of Finance and Accounting for Nonfinancial Managers. </w:t>
              </w:r>
              <w:r>
                <w:rPr>
                  <w:noProof/>
                </w:rPr>
                <w:t>3 ed. New York: AMACOM.</w:t>
              </w:r>
            </w:p>
            <w:p w14:paraId="12D084D3" w14:textId="77777777" w:rsidR="007D5C64" w:rsidRDefault="007D5C64" w:rsidP="007D5C64">
              <w:pPr>
                <w:pStyle w:val="Bibliography"/>
                <w:rPr>
                  <w:noProof/>
                </w:rPr>
              </w:pPr>
              <w:r>
                <w:rPr>
                  <w:noProof/>
                </w:rPr>
                <w:t xml:space="preserve">Finbox, 2023. </w:t>
              </w:r>
              <w:r>
                <w:rPr>
                  <w:i/>
                  <w:iCs/>
                  <w:noProof/>
                </w:rPr>
                <w:t xml:space="preserve">Finbox. </w:t>
              </w:r>
              <w:r>
                <w:rPr>
                  <w:noProof/>
                </w:rPr>
                <w:t xml:space="preserve">[Online] </w:t>
              </w:r>
              <w:r>
                <w:rPr>
                  <w:noProof/>
                </w:rPr>
                <w:br/>
                <w:t xml:space="preserve">Available at: </w:t>
              </w:r>
              <w:r>
                <w:rPr>
                  <w:noProof/>
                  <w:u w:val="single"/>
                </w:rPr>
                <w:t>https://finbox.com/DB:DAI/explorer/gp_margin/</w:t>
              </w:r>
              <w:r>
                <w:rPr>
                  <w:noProof/>
                </w:rPr>
                <w:br/>
                <w:t>[Accessed 11 September 2023].</w:t>
              </w:r>
            </w:p>
            <w:p w14:paraId="648458C9" w14:textId="77777777" w:rsidR="007D5C64" w:rsidRDefault="007D5C64" w:rsidP="007D5C64">
              <w:pPr>
                <w:pStyle w:val="Bibliography"/>
                <w:rPr>
                  <w:noProof/>
                </w:rPr>
              </w:pPr>
              <w:r>
                <w:rPr>
                  <w:noProof/>
                </w:rPr>
                <w:t xml:space="preserve">Finbox, 2023. </w:t>
              </w:r>
              <w:r>
                <w:rPr>
                  <w:i/>
                  <w:iCs/>
                  <w:noProof/>
                </w:rPr>
                <w:t xml:space="preserve">Finbox. </w:t>
              </w:r>
              <w:r>
                <w:rPr>
                  <w:noProof/>
                </w:rPr>
                <w:t xml:space="preserve">[Online] </w:t>
              </w:r>
              <w:r>
                <w:rPr>
                  <w:noProof/>
                </w:rPr>
                <w:br/>
                <w:t xml:space="preserve">Available at: </w:t>
              </w:r>
              <w:r>
                <w:rPr>
                  <w:noProof/>
                  <w:u w:val="single"/>
                </w:rPr>
                <w:t>https://finbox.com/NYSE:RACE/explorer/gp_margin/#:~:text=Ferrari%27s%20gross%20profit%20margin%20for%20fiscal%20years%20ending,from%20fiscal%20years%20ending%20December%202018%20to%202022.</w:t>
              </w:r>
              <w:r>
                <w:rPr>
                  <w:noProof/>
                </w:rPr>
                <w:br/>
                <w:t>[Accessed 11 September 2023].</w:t>
              </w:r>
            </w:p>
            <w:p w14:paraId="444EF175" w14:textId="77777777" w:rsidR="007D5C64" w:rsidRDefault="007D5C64" w:rsidP="007D5C64">
              <w:pPr>
                <w:pStyle w:val="Bibliography"/>
                <w:rPr>
                  <w:noProof/>
                </w:rPr>
              </w:pPr>
              <w:r>
                <w:rPr>
                  <w:noProof/>
                </w:rPr>
                <w:lastRenderedPageBreak/>
                <w:t xml:space="preserve">Fridson, M. &amp; Alvarez, F., 2011. </w:t>
              </w:r>
              <w:r>
                <w:rPr>
                  <w:i/>
                  <w:iCs/>
                  <w:noProof/>
                </w:rPr>
                <w:t xml:space="preserve">Finanacial Statement Analysis A Practitioner's Guide. </w:t>
              </w:r>
              <w:r>
                <w:rPr>
                  <w:noProof/>
                </w:rPr>
                <w:t>4 ed. New Jersey: John Wiley and Sons Inc..</w:t>
              </w:r>
            </w:p>
            <w:p w14:paraId="2391F890" w14:textId="77777777" w:rsidR="007D5C64" w:rsidRDefault="007D5C64" w:rsidP="007D5C64">
              <w:pPr>
                <w:pStyle w:val="Bibliography"/>
                <w:rPr>
                  <w:noProof/>
                </w:rPr>
              </w:pPr>
              <w:r>
                <w:rPr>
                  <w:noProof/>
                </w:rPr>
                <w:t xml:space="preserve">Macro_Trends, 2023. </w:t>
              </w:r>
              <w:r>
                <w:rPr>
                  <w:i/>
                  <w:iCs/>
                  <w:noProof/>
                </w:rPr>
                <w:t xml:space="preserve">Macro trends. </w:t>
              </w:r>
              <w:r>
                <w:rPr>
                  <w:noProof/>
                </w:rPr>
                <w:t xml:space="preserve">[Online] </w:t>
              </w:r>
              <w:r>
                <w:rPr>
                  <w:noProof/>
                </w:rPr>
                <w:br/>
                <w:t xml:space="preserve">Available at: </w:t>
              </w:r>
              <w:r>
                <w:rPr>
                  <w:noProof/>
                  <w:u w:val="single"/>
                </w:rPr>
                <w:t>https://www.macrotrends.net/stocks/charts/RACE/ferrari/net-profit-margin</w:t>
              </w:r>
              <w:r>
                <w:rPr>
                  <w:noProof/>
                </w:rPr>
                <w:br/>
                <w:t>[Accessed 11 September 2023].</w:t>
              </w:r>
            </w:p>
            <w:p w14:paraId="31F964BC" w14:textId="77777777" w:rsidR="007D5C64" w:rsidRDefault="007D5C64" w:rsidP="007D5C64">
              <w:pPr>
                <w:pStyle w:val="Bibliography"/>
                <w:rPr>
                  <w:noProof/>
                </w:rPr>
              </w:pPr>
              <w:r>
                <w:rPr>
                  <w:noProof/>
                </w:rPr>
                <w:t xml:space="preserve">Macro_Trends, 2023. </w:t>
              </w:r>
              <w:r>
                <w:rPr>
                  <w:i/>
                  <w:iCs/>
                  <w:noProof/>
                </w:rPr>
                <w:t xml:space="preserve">Marco trends. </w:t>
              </w:r>
              <w:r>
                <w:rPr>
                  <w:noProof/>
                </w:rPr>
                <w:t xml:space="preserve">[Online] </w:t>
              </w:r>
              <w:r>
                <w:rPr>
                  <w:noProof/>
                </w:rPr>
                <w:br/>
                <w:t xml:space="preserve">Available at: </w:t>
              </w:r>
              <w:r>
                <w:rPr>
                  <w:noProof/>
                  <w:u w:val="single"/>
                </w:rPr>
                <w:t>https://www.macrotrends.net/stocks/charts/MBGAF/mercedes-benz-group-ag/net-profit-margin</w:t>
              </w:r>
              <w:r>
                <w:rPr>
                  <w:noProof/>
                </w:rPr>
                <w:br/>
                <w:t>[Accessed 11 September 2023].</w:t>
              </w:r>
            </w:p>
            <w:p w14:paraId="36134504" w14:textId="43D6C40B" w:rsidR="00AE49DF" w:rsidRDefault="00AE49DF" w:rsidP="007D5C64">
              <w:r>
                <w:rPr>
                  <w:b/>
                  <w:bCs/>
                  <w:noProof/>
                </w:rPr>
                <w:fldChar w:fldCharType="end"/>
              </w:r>
            </w:p>
          </w:sdtContent>
        </w:sdt>
      </w:sdtContent>
    </w:sdt>
    <w:p w14:paraId="6EC7FC56" w14:textId="77777777" w:rsidR="00AE49DF" w:rsidRDefault="00AE49DF"/>
    <w:p w14:paraId="6FE0933B" w14:textId="77777777" w:rsidR="00AE49DF" w:rsidRDefault="00AE49DF"/>
    <w:p w14:paraId="7CCB13B8" w14:textId="01E452D7" w:rsidR="00AE49DF" w:rsidRDefault="00AE49DF" w:rsidP="00AE49DF">
      <w:pPr>
        <w:tabs>
          <w:tab w:val="left" w:pos="1392"/>
        </w:tabs>
      </w:pPr>
      <w:r>
        <w:tab/>
      </w:r>
    </w:p>
    <w:p w14:paraId="14D78785" w14:textId="77777777" w:rsidR="00AE49DF" w:rsidRDefault="00AE49DF"/>
    <w:p w14:paraId="03B2CF35" w14:textId="77777777" w:rsidR="00AE49DF" w:rsidRDefault="00AE49DF"/>
    <w:p w14:paraId="5A5AF395" w14:textId="77777777" w:rsidR="00AE49DF" w:rsidRDefault="00AE49DF"/>
    <w:p w14:paraId="15AA866C" w14:textId="77777777" w:rsidR="00AE49DF" w:rsidRDefault="00AE49DF"/>
    <w:p w14:paraId="1FA76BEE" w14:textId="77777777" w:rsidR="00AE49DF" w:rsidRDefault="00AE49DF"/>
    <w:p w14:paraId="757538AA" w14:textId="77777777" w:rsidR="00AE49DF" w:rsidRDefault="00AE49DF"/>
    <w:p w14:paraId="370A3891" w14:textId="77777777" w:rsidR="00AE49DF" w:rsidRDefault="00AE49DF"/>
    <w:p w14:paraId="21E402B0" w14:textId="77777777" w:rsidR="00AE49DF" w:rsidRDefault="00AE49DF"/>
    <w:p w14:paraId="397155B3" w14:textId="77777777" w:rsidR="00AE49DF" w:rsidRDefault="00AE49DF"/>
    <w:p w14:paraId="0C4F75A9" w14:textId="77777777" w:rsidR="00AE49DF" w:rsidRDefault="00AE49DF"/>
    <w:p w14:paraId="773A69B8" w14:textId="77777777" w:rsidR="007678F0" w:rsidRDefault="007678F0"/>
    <w:p w14:paraId="706F5328" w14:textId="77777777" w:rsidR="00B635BA" w:rsidRDefault="00B635BA"/>
    <w:p w14:paraId="26E59575" w14:textId="77777777" w:rsidR="00B635BA" w:rsidRDefault="00B635BA"/>
    <w:p w14:paraId="29BF31FD" w14:textId="77777777" w:rsidR="00B635BA" w:rsidRDefault="00B635BA"/>
    <w:p w14:paraId="03162495" w14:textId="77777777" w:rsidR="00B635BA" w:rsidRDefault="00B635BA"/>
    <w:p w14:paraId="48B5F3D0" w14:textId="77777777" w:rsidR="00B635BA" w:rsidRDefault="00B635BA"/>
    <w:p w14:paraId="3C53D2FB" w14:textId="77777777" w:rsidR="00B635BA" w:rsidRDefault="00B635BA"/>
    <w:p w14:paraId="693165FA" w14:textId="77777777" w:rsidR="00B635BA" w:rsidRDefault="00B635BA"/>
    <w:sectPr w:rsidR="00B635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3486F1" w14:textId="77777777" w:rsidR="00ED410C" w:rsidRDefault="00ED410C" w:rsidP="00A32DEC">
      <w:pPr>
        <w:spacing w:after="0" w:line="240" w:lineRule="auto"/>
      </w:pPr>
      <w:r>
        <w:separator/>
      </w:r>
    </w:p>
  </w:endnote>
  <w:endnote w:type="continuationSeparator" w:id="0">
    <w:p w14:paraId="33FF395E" w14:textId="77777777" w:rsidR="00ED410C" w:rsidRDefault="00ED410C" w:rsidP="00A32D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E26CB5" w14:textId="77777777" w:rsidR="00ED410C" w:rsidRDefault="00ED410C" w:rsidP="00A32DEC">
      <w:pPr>
        <w:spacing w:after="0" w:line="240" w:lineRule="auto"/>
      </w:pPr>
      <w:r>
        <w:separator/>
      </w:r>
    </w:p>
  </w:footnote>
  <w:footnote w:type="continuationSeparator" w:id="0">
    <w:p w14:paraId="02ACAD3D" w14:textId="77777777" w:rsidR="00ED410C" w:rsidRDefault="00ED410C" w:rsidP="00A32D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4E69BD"/>
    <w:multiLevelType w:val="hybridMultilevel"/>
    <w:tmpl w:val="26BEBF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82612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351"/>
    <w:rsid w:val="00010035"/>
    <w:rsid w:val="00023944"/>
    <w:rsid w:val="00031899"/>
    <w:rsid w:val="00037477"/>
    <w:rsid w:val="000377CA"/>
    <w:rsid w:val="000561DA"/>
    <w:rsid w:val="00091F61"/>
    <w:rsid w:val="000B4A9C"/>
    <w:rsid w:val="000E28BA"/>
    <w:rsid w:val="00102FD9"/>
    <w:rsid w:val="0012169F"/>
    <w:rsid w:val="0013381E"/>
    <w:rsid w:val="00156762"/>
    <w:rsid w:val="00156985"/>
    <w:rsid w:val="00195041"/>
    <w:rsid w:val="00195CEE"/>
    <w:rsid w:val="001A53BA"/>
    <w:rsid w:val="001C1940"/>
    <w:rsid w:val="001C4E42"/>
    <w:rsid w:val="001D4DA5"/>
    <w:rsid w:val="001E0E39"/>
    <w:rsid w:val="001F38BC"/>
    <w:rsid w:val="001F58AD"/>
    <w:rsid w:val="00255B8D"/>
    <w:rsid w:val="00274FCA"/>
    <w:rsid w:val="00294BAF"/>
    <w:rsid w:val="0033041C"/>
    <w:rsid w:val="00345E37"/>
    <w:rsid w:val="0035036A"/>
    <w:rsid w:val="00374C65"/>
    <w:rsid w:val="003B5B03"/>
    <w:rsid w:val="003E28A9"/>
    <w:rsid w:val="004043AA"/>
    <w:rsid w:val="00427B38"/>
    <w:rsid w:val="004B6BF4"/>
    <w:rsid w:val="004E324F"/>
    <w:rsid w:val="0052734B"/>
    <w:rsid w:val="005362CA"/>
    <w:rsid w:val="00537F68"/>
    <w:rsid w:val="00556A9A"/>
    <w:rsid w:val="00583F10"/>
    <w:rsid w:val="00597C75"/>
    <w:rsid w:val="005A01CD"/>
    <w:rsid w:val="005B29DF"/>
    <w:rsid w:val="005C2A45"/>
    <w:rsid w:val="005C38C9"/>
    <w:rsid w:val="00614CAD"/>
    <w:rsid w:val="006250A0"/>
    <w:rsid w:val="0064135A"/>
    <w:rsid w:val="006801F8"/>
    <w:rsid w:val="006B0142"/>
    <w:rsid w:val="006B35E0"/>
    <w:rsid w:val="006C0FD2"/>
    <w:rsid w:val="006C7CB6"/>
    <w:rsid w:val="006E0616"/>
    <w:rsid w:val="00755070"/>
    <w:rsid w:val="007678F0"/>
    <w:rsid w:val="00787697"/>
    <w:rsid w:val="00794367"/>
    <w:rsid w:val="007C7470"/>
    <w:rsid w:val="007D5C64"/>
    <w:rsid w:val="00804F8C"/>
    <w:rsid w:val="008329DA"/>
    <w:rsid w:val="008475B9"/>
    <w:rsid w:val="00863264"/>
    <w:rsid w:val="00877654"/>
    <w:rsid w:val="00896351"/>
    <w:rsid w:val="0093736A"/>
    <w:rsid w:val="009511C2"/>
    <w:rsid w:val="00952589"/>
    <w:rsid w:val="009C1FA3"/>
    <w:rsid w:val="009C33E8"/>
    <w:rsid w:val="009C5AB5"/>
    <w:rsid w:val="009D4C5C"/>
    <w:rsid w:val="009F6F7A"/>
    <w:rsid w:val="00A0040D"/>
    <w:rsid w:val="00A32DEC"/>
    <w:rsid w:val="00A3355D"/>
    <w:rsid w:val="00A353F7"/>
    <w:rsid w:val="00A376A0"/>
    <w:rsid w:val="00A64BD9"/>
    <w:rsid w:val="00A91C13"/>
    <w:rsid w:val="00A9517C"/>
    <w:rsid w:val="00AD3728"/>
    <w:rsid w:val="00AE053E"/>
    <w:rsid w:val="00AE49DF"/>
    <w:rsid w:val="00B1081E"/>
    <w:rsid w:val="00B33B61"/>
    <w:rsid w:val="00B43C87"/>
    <w:rsid w:val="00B57091"/>
    <w:rsid w:val="00B635BA"/>
    <w:rsid w:val="00B719CD"/>
    <w:rsid w:val="00BA0E3F"/>
    <w:rsid w:val="00BB22FF"/>
    <w:rsid w:val="00BE3113"/>
    <w:rsid w:val="00BF4082"/>
    <w:rsid w:val="00C22AF9"/>
    <w:rsid w:val="00C5059E"/>
    <w:rsid w:val="00CB7495"/>
    <w:rsid w:val="00CC2146"/>
    <w:rsid w:val="00D05850"/>
    <w:rsid w:val="00D410F5"/>
    <w:rsid w:val="00D82AC6"/>
    <w:rsid w:val="00DA06C1"/>
    <w:rsid w:val="00DB175F"/>
    <w:rsid w:val="00DE5221"/>
    <w:rsid w:val="00E232A1"/>
    <w:rsid w:val="00E25B51"/>
    <w:rsid w:val="00E732FC"/>
    <w:rsid w:val="00E74B1D"/>
    <w:rsid w:val="00E87D63"/>
    <w:rsid w:val="00E95841"/>
    <w:rsid w:val="00EB1ABC"/>
    <w:rsid w:val="00EB1CFC"/>
    <w:rsid w:val="00EC7675"/>
    <w:rsid w:val="00ED2E5D"/>
    <w:rsid w:val="00ED410C"/>
    <w:rsid w:val="00F51D06"/>
    <w:rsid w:val="00F542B5"/>
    <w:rsid w:val="00F62BA0"/>
    <w:rsid w:val="00F7241B"/>
    <w:rsid w:val="00FA7BD2"/>
    <w:rsid w:val="00FC01BB"/>
    <w:rsid w:val="00FD7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B8DF8"/>
  <w15:chartTrackingRefBased/>
  <w15:docId w15:val="{1E34331F-9CA3-4D4B-AE91-38284158B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41B"/>
    <w:rPr>
      <w:kern w:val="0"/>
      <w:sz w:val="24"/>
      <w14:ligatures w14:val="none"/>
    </w:rPr>
  </w:style>
  <w:style w:type="paragraph" w:styleId="Heading1">
    <w:name w:val="heading 1"/>
    <w:basedOn w:val="Normal"/>
    <w:next w:val="Normal"/>
    <w:link w:val="Heading1Char"/>
    <w:uiPriority w:val="9"/>
    <w:qFormat/>
    <w:rsid w:val="00294BAF"/>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156985"/>
    <w:pPr>
      <w:keepNext/>
      <w:keepLines/>
      <w:spacing w:before="40" w:after="0"/>
      <w:ind w:left="284"/>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345E37"/>
    <w:pPr>
      <w:keepNext/>
      <w:keepLines/>
      <w:spacing w:before="40" w:after="0"/>
      <w:ind w:left="567"/>
      <w:outlineLvl w:val="2"/>
    </w:pPr>
    <w:rPr>
      <w:rFonts w:eastAsiaTheme="majorEastAsia" w:cstheme="majorBid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4BAF"/>
    <w:rPr>
      <w:rFonts w:eastAsiaTheme="majorEastAsia" w:cstheme="majorBidi"/>
      <w:kern w:val="0"/>
      <w:sz w:val="32"/>
      <w:szCs w:val="32"/>
      <w14:ligatures w14:val="none"/>
    </w:rPr>
  </w:style>
  <w:style w:type="character" w:customStyle="1" w:styleId="Heading2Char">
    <w:name w:val="Heading 2 Char"/>
    <w:basedOn w:val="DefaultParagraphFont"/>
    <w:link w:val="Heading2"/>
    <w:uiPriority w:val="9"/>
    <w:rsid w:val="00156985"/>
    <w:rPr>
      <w:rFonts w:eastAsiaTheme="majorEastAsia" w:cstheme="majorBidi"/>
      <w:kern w:val="0"/>
      <w:sz w:val="28"/>
      <w:szCs w:val="26"/>
      <w14:ligatures w14:val="none"/>
    </w:rPr>
  </w:style>
  <w:style w:type="paragraph" w:styleId="NoSpacing">
    <w:name w:val="No Spacing"/>
    <w:uiPriority w:val="1"/>
    <w:qFormat/>
    <w:rsid w:val="008475B9"/>
    <w:pPr>
      <w:spacing w:after="0" w:line="240" w:lineRule="auto"/>
    </w:pPr>
    <w:rPr>
      <w:kern w:val="0"/>
      <w:sz w:val="24"/>
      <w14:ligatures w14:val="none"/>
    </w:rPr>
  </w:style>
  <w:style w:type="paragraph" w:styleId="ListParagraph">
    <w:name w:val="List Paragraph"/>
    <w:basedOn w:val="Normal"/>
    <w:uiPriority w:val="34"/>
    <w:qFormat/>
    <w:rsid w:val="00345E37"/>
    <w:pPr>
      <w:ind w:left="720"/>
      <w:contextualSpacing/>
    </w:pPr>
  </w:style>
  <w:style w:type="character" w:customStyle="1" w:styleId="Heading3Char">
    <w:name w:val="Heading 3 Char"/>
    <w:basedOn w:val="DefaultParagraphFont"/>
    <w:link w:val="Heading3"/>
    <w:uiPriority w:val="9"/>
    <w:rsid w:val="00345E37"/>
    <w:rPr>
      <w:rFonts w:eastAsiaTheme="majorEastAsia" w:cstheme="majorBidi"/>
      <w:kern w:val="0"/>
      <w:sz w:val="24"/>
      <w:szCs w:val="24"/>
      <w:u w:val="single"/>
      <w14:ligatures w14:val="none"/>
    </w:rPr>
  </w:style>
  <w:style w:type="paragraph" w:styleId="Caption">
    <w:name w:val="caption"/>
    <w:basedOn w:val="Normal"/>
    <w:next w:val="Normal"/>
    <w:uiPriority w:val="35"/>
    <w:unhideWhenUsed/>
    <w:qFormat/>
    <w:rsid w:val="00B635B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64BD9"/>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A64BD9"/>
    <w:pPr>
      <w:spacing w:after="100"/>
    </w:pPr>
  </w:style>
  <w:style w:type="paragraph" w:styleId="TOC2">
    <w:name w:val="toc 2"/>
    <w:basedOn w:val="Normal"/>
    <w:next w:val="Normal"/>
    <w:autoRedefine/>
    <w:uiPriority w:val="39"/>
    <w:unhideWhenUsed/>
    <w:rsid w:val="00A64BD9"/>
    <w:pPr>
      <w:spacing w:after="100"/>
      <w:ind w:left="240"/>
    </w:pPr>
  </w:style>
  <w:style w:type="paragraph" w:styleId="TOC3">
    <w:name w:val="toc 3"/>
    <w:basedOn w:val="Normal"/>
    <w:next w:val="Normal"/>
    <w:autoRedefine/>
    <w:uiPriority w:val="39"/>
    <w:unhideWhenUsed/>
    <w:rsid w:val="00A64BD9"/>
    <w:pPr>
      <w:spacing w:after="100"/>
      <w:ind w:left="480"/>
    </w:pPr>
  </w:style>
  <w:style w:type="character" w:styleId="Hyperlink">
    <w:name w:val="Hyperlink"/>
    <w:basedOn w:val="DefaultParagraphFont"/>
    <w:uiPriority w:val="99"/>
    <w:unhideWhenUsed/>
    <w:rsid w:val="00A64BD9"/>
    <w:rPr>
      <w:color w:val="0563C1" w:themeColor="hyperlink"/>
      <w:u w:val="single"/>
    </w:rPr>
  </w:style>
  <w:style w:type="paragraph" w:styleId="TableofFigures">
    <w:name w:val="table of figures"/>
    <w:basedOn w:val="Normal"/>
    <w:next w:val="Normal"/>
    <w:uiPriority w:val="99"/>
    <w:unhideWhenUsed/>
    <w:rsid w:val="001C1940"/>
    <w:pPr>
      <w:spacing w:after="0"/>
    </w:pPr>
  </w:style>
  <w:style w:type="paragraph" w:styleId="Bibliography">
    <w:name w:val="Bibliography"/>
    <w:basedOn w:val="Normal"/>
    <w:next w:val="Normal"/>
    <w:uiPriority w:val="37"/>
    <w:unhideWhenUsed/>
    <w:rsid w:val="00AE49DF"/>
  </w:style>
  <w:style w:type="paragraph" w:styleId="Header">
    <w:name w:val="header"/>
    <w:basedOn w:val="Normal"/>
    <w:link w:val="HeaderChar"/>
    <w:uiPriority w:val="99"/>
    <w:unhideWhenUsed/>
    <w:rsid w:val="00A32D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DEC"/>
    <w:rPr>
      <w:kern w:val="0"/>
      <w:sz w:val="24"/>
      <w14:ligatures w14:val="none"/>
    </w:rPr>
  </w:style>
  <w:style w:type="paragraph" w:styleId="Footer">
    <w:name w:val="footer"/>
    <w:basedOn w:val="Normal"/>
    <w:link w:val="FooterChar"/>
    <w:uiPriority w:val="99"/>
    <w:unhideWhenUsed/>
    <w:rsid w:val="00A32D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DEC"/>
    <w:rPr>
      <w:kern w:val="0"/>
      <w:sz w:val="24"/>
      <w14:ligatures w14:val="none"/>
    </w:rPr>
  </w:style>
  <w:style w:type="paragraph" w:styleId="NormalWeb">
    <w:name w:val="Normal (Web)"/>
    <w:basedOn w:val="Normal"/>
    <w:uiPriority w:val="99"/>
    <w:semiHidden/>
    <w:unhideWhenUsed/>
    <w:rsid w:val="0093736A"/>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4045">
      <w:bodyDiv w:val="1"/>
      <w:marLeft w:val="0"/>
      <w:marRight w:val="0"/>
      <w:marTop w:val="0"/>
      <w:marBottom w:val="0"/>
      <w:divBdr>
        <w:top w:val="none" w:sz="0" w:space="0" w:color="auto"/>
        <w:left w:val="none" w:sz="0" w:space="0" w:color="auto"/>
        <w:bottom w:val="none" w:sz="0" w:space="0" w:color="auto"/>
        <w:right w:val="none" w:sz="0" w:space="0" w:color="auto"/>
      </w:divBdr>
    </w:div>
    <w:div w:id="24526700">
      <w:bodyDiv w:val="1"/>
      <w:marLeft w:val="0"/>
      <w:marRight w:val="0"/>
      <w:marTop w:val="0"/>
      <w:marBottom w:val="0"/>
      <w:divBdr>
        <w:top w:val="none" w:sz="0" w:space="0" w:color="auto"/>
        <w:left w:val="none" w:sz="0" w:space="0" w:color="auto"/>
        <w:bottom w:val="none" w:sz="0" w:space="0" w:color="auto"/>
        <w:right w:val="none" w:sz="0" w:space="0" w:color="auto"/>
      </w:divBdr>
    </w:div>
    <w:div w:id="39403694">
      <w:bodyDiv w:val="1"/>
      <w:marLeft w:val="0"/>
      <w:marRight w:val="0"/>
      <w:marTop w:val="0"/>
      <w:marBottom w:val="0"/>
      <w:divBdr>
        <w:top w:val="none" w:sz="0" w:space="0" w:color="auto"/>
        <w:left w:val="none" w:sz="0" w:space="0" w:color="auto"/>
        <w:bottom w:val="none" w:sz="0" w:space="0" w:color="auto"/>
        <w:right w:val="none" w:sz="0" w:space="0" w:color="auto"/>
      </w:divBdr>
    </w:div>
    <w:div w:id="41176511">
      <w:bodyDiv w:val="1"/>
      <w:marLeft w:val="0"/>
      <w:marRight w:val="0"/>
      <w:marTop w:val="0"/>
      <w:marBottom w:val="0"/>
      <w:divBdr>
        <w:top w:val="none" w:sz="0" w:space="0" w:color="auto"/>
        <w:left w:val="none" w:sz="0" w:space="0" w:color="auto"/>
        <w:bottom w:val="none" w:sz="0" w:space="0" w:color="auto"/>
        <w:right w:val="none" w:sz="0" w:space="0" w:color="auto"/>
      </w:divBdr>
    </w:div>
    <w:div w:id="72969840">
      <w:bodyDiv w:val="1"/>
      <w:marLeft w:val="0"/>
      <w:marRight w:val="0"/>
      <w:marTop w:val="0"/>
      <w:marBottom w:val="0"/>
      <w:divBdr>
        <w:top w:val="none" w:sz="0" w:space="0" w:color="auto"/>
        <w:left w:val="none" w:sz="0" w:space="0" w:color="auto"/>
        <w:bottom w:val="none" w:sz="0" w:space="0" w:color="auto"/>
        <w:right w:val="none" w:sz="0" w:space="0" w:color="auto"/>
      </w:divBdr>
    </w:div>
    <w:div w:id="78716300">
      <w:bodyDiv w:val="1"/>
      <w:marLeft w:val="0"/>
      <w:marRight w:val="0"/>
      <w:marTop w:val="0"/>
      <w:marBottom w:val="0"/>
      <w:divBdr>
        <w:top w:val="none" w:sz="0" w:space="0" w:color="auto"/>
        <w:left w:val="none" w:sz="0" w:space="0" w:color="auto"/>
        <w:bottom w:val="none" w:sz="0" w:space="0" w:color="auto"/>
        <w:right w:val="none" w:sz="0" w:space="0" w:color="auto"/>
      </w:divBdr>
    </w:div>
    <w:div w:id="99377317">
      <w:bodyDiv w:val="1"/>
      <w:marLeft w:val="0"/>
      <w:marRight w:val="0"/>
      <w:marTop w:val="0"/>
      <w:marBottom w:val="0"/>
      <w:divBdr>
        <w:top w:val="none" w:sz="0" w:space="0" w:color="auto"/>
        <w:left w:val="none" w:sz="0" w:space="0" w:color="auto"/>
        <w:bottom w:val="none" w:sz="0" w:space="0" w:color="auto"/>
        <w:right w:val="none" w:sz="0" w:space="0" w:color="auto"/>
      </w:divBdr>
    </w:div>
    <w:div w:id="115102729">
      <w:bodyDiv w:val="1"/>
      <w:marLeft w:val="0"/>
      <w:marRight w:val="0"/>
      <w:marTop w:val="0"/>
      <w:marBottom w:val="0"/>
      <w:divBdr>
        <w:top w:val="none" w:sz="0" w:space="0" w:color="auto"/>
        <w:left w:val="none" w:sz="0" w:space="0" w:color="auto"/>
        <w:bottom w:val="none" w:sz="0" w:space="0" w:color="auto"/>
        <w:right w:val="none" w:sz="0" w:space="0" w:color="auto"/>
      </w:divBdr>
    </w:div>
    <w:div w:id="127672232">
      <w:bodyDiv w:val="1"/>
      <w:marLeft w:val="0"/>
      <w:marRight w:val="0"/>
      <w:marTop w:val="0"/>
      <w:marBottom w:val="0"/>
      <w:divBdr>
        <w:top w:val="none" w:sz="0" w:space="0" w:color="auto"/>
        <w:left w:val="none" w:sz="0" w:space="0" w:color="auto"/>
        <w:bottom w:val="none" w:sz="0" w:space="0" w:color="auto"/>
        <w:right w:val="none" w:sz="0" w:space="0" w:color="auto"/>
      </w:divBdr>
    </w:div>
    <w:div w:id="147552978">
      <w:bodyDiv w:val="1"/>
      <w:marLeft w:val="0"/>
      <w:marRight w:val="0"/>
      <w:marTop w:val="0"/>
      <w:marBottom w:val="0"/>
      <w:divBdr>
        <w:top w:val="none" w:sz="0" w:space="0" w:color="auto"/>
        <w:left w:val="none" w:sz="0" w:space="0" w:color="auto"/>
        <w:bottom w:val="none" w:sz="0" w:space="0" w:color="auto"/>
        <w:right w:val="none" w:sz="0" w:space="0" w:color="auto"/>
      </w:divBdr>
    </w:div>
    <w:div w:id="166214993">
      <w:bodyDiv w:val="1"/>
      <w:marLeft w:val="0"/>
      <w:marRight w:val="0"/>
      <w:marTop w:val="0"/>
      <w:marBottom w:val="0"/>
      <w:divBdr>
        <w:top w:val="none" w:sz="0" w:space="0" w:color="auto"/>
        <w:left w:val="none" w:sz="0" w:space="0" w:color="auto"/>
        <w:bottom w:val="none" w:sz="0" w:space="0" w:color="auto"/>
        <w:right w:val="none" w:sz="0" w:space="0" w:color="auto"/>
      </w:divBdr>
    </w:div>
    <w:div w:id="167260235">
      <w:bodyDiv w:val="1"/>
      <w:marLeft w:val="0"/>
      <w:marRight w:val="0"/>
      <w:marTop w:val="0"/>
      <w:marBottom w:val="0"/>
      <w:divBdr>
        <w:top w:val="none" w:sz="0" w:space="0" w:color="auto"/>
        <w:left w:val="none" w:sz="0" w:space="0" w:color="auto"/>
        <w:bottom w:val="none" w:sz="0" w:space="0" w:color="auto"/>
        <w:right w:val="none" w:sz="0" w:space="0" w:color="auto"/>
      </w:divBdr>
    </w:div>
    <w:div w:id="168568322">
      <w:bodyDiv w:val="1"/>
      <w:marLeft w:val="0"/>
      <w:marRight w:val="0"/>
      <w:marTop w:val="0"/>
      <w:marBottom w:val="0"/>
      <w:divBdr>
        <w:top w:val="none" w:sz="0" w:space="0" w:color="auto"/>
        <w:left w:val="none" w:sz="0" w:space="0" w:color="auto"/>
        <w:bottom w:val="none" w:sz="0" w:space="0" w:color="auto"/>
        <w:right w:val="none" w:sz="0" w:space="0" w:color="auto"/>
      </w:divBdr>
    </w:div>
    <w:div w:id="178203681">
      <w:bodyDiv w:val="1"/>
      <w:marLeft w:val="0"/>
      <w:marRight w:val="0"/>
      <w:marTop w:val="0"/>
      <w:marBottom w:val="0"/>
      <w:divBdr>
        <w:top w:val="none" w:sz="0" w:space="0" w:color="auto"/>
        <w:left w:val="none" w:sz="0" w:space="0" w:color="auto"/>
        <w:bottom w:val="none" w:sz="0" w:space="0" w:color="auto"/>
        <w:right w:val="none" w:sz="0" w:space="0" w:color="auto"/>
      </w:divBdr>
    </w:div>
    <w:div w:id="186069544">
      <w:bodyDiv w:val="1"/>
      <w:marLeft w:val="0"/>
      <w:marRight w:val="0"/>
      <w:marTop w:val="0"/>
      <w:marBottom w:val="0"/>
      <w:divBdr>
        <w:top w:val="none" w:sz="0" w:space="0" w:color="auto"/>
        <w:left w:val="none" w:sz="0" w:space="0" w:color="auto"/>
        <w:bottom w:val="none" w:sz="0" w:space="0" w:color="auto"/>
        <w:right w:val="none" w:sz="0" w:space="0" w:color="auto"/>
      </w:divBdr>
    </w:div>
    <w:div w:id="191456430">
      <w:bodyDiv w:val="1"/>
      <w:marLeft w:val="0"/>
      <w:marRight w:val="0"/>
      <w:marTop w:val="0"/>
      <w:marBottom w:val="0"/>
      <w:divBdr>
        <w:top w:val="none" w:sz="0" w:space="0" w:color="auto"/>
        <w:left w:val="none" w:sz="0" w:space="0" w:color="auto"/>
        <w:bottom w:val="none" w:sz="0" w:space="0" w:color="auto"/>
        <w:right w:val="none" w:sz="0" w:space="0" w:color="auto"/>
      </w:divBdr>
    </w:div>
    <w:div w:id="207762898">
      <w:bodyDiv w:val="1"/>
      <w:marLeft w:val="0"/>
      <w:marRight w:val="0"/>
      <w:marTop w:val="0"/>
      <w:marBottom w:val="0"/>
      <w:divBdr>
        <w:top w:val="none" w:sz="0" w:space="0" w:color="auto"/>
        <w:left w:val="none" w:sz="0" w:space="0" w:color="auto"/>
        <w:bottom w:val="none" w:sz="0" w:space="0" w:color="auto"/>
        <w:right w:val="none" w:sz="0" w:space="0" w:color="auto"/>
      </w:divBdr>
    </w:div>
    <w:div w:id="211966207">
      <w:bodyDiv w:val="1"/>
      <w:marLeft w:val="0"/>
      <w:marRight w:val="0"/>
      <w:marTop w:val="0"/>
      <w:marBottom w:val="0"/>
      <w:divBdr>
        <w:top w:val="none" w:sz="0" w:space="0" w:color="auto"/>
        <w:left w:val="none" w:sz="0" w:space="0" w:color="auto"/>
        <w:bottom w:val="none" w:sz="0" w:space="0" w:color="auto"/>
        <w:right w:val="none" w:sz="0" w:space="0" w:color="auto"/>
      </w:divBdr>
    </w:div>
    <w:div w:id="230694615">
      <w:bodyDiv w:val="1"/>
      <w:marLeft w:val="0"/>
      <w:marRight w:val="0"/>
      <w:marTop w:val="0"/>
      <w:marBottom w:val="0"/>
      <w:divBdr>
        <w:top w:val="none" w:sz="0" w:space="0" w:color="auto"/>
        <w:left w:val="none" w:sz="0" w:space="0" w:color="auto"/>
        <w:bottom w:val="none" w:sz="0" w:space="0" w:color="auto"/>
        <w:right w:val="none" w:sz="0" w:space="0" w:color="auto"/>
      </w:divBdr>
    </w:div>
    <w:div w:id="237785371">
      <w:bodyDiv w:val="1"/>
      <w:marLeft w:val="0"/>
      <w:marRight w:val="0"/>
      <w:marTop w:val="0"/>
      <w:marBottom w:val="0"/>
      <w:divBdr>
        <w:top w:val="none" w:sz="0" w:space="0" w:color="auto"/>
        <w:left w:val="none" w:sz="0" w:space="0" w:color="auto"/>
        <w:bottom w:val="none" w:sz="0" w:space="0" w:color="auto"/>
        <w:right w:val="none" w:sz="0" w:space="0" w:color="auto"/>
      </w:divBdr>
    </w:div>
    <w:div w:id="241641423">
      <w:bodyDiv w:val="1"/>
      <w:marLeft w:val="0"/>
      <w:marRight w:val="0"/>
      <w:marTop w:val="0"/>
      <w:marBottom w:val="0"/>
      <w:divBdr>
        <w:top w:val="none" w:sz="0" w:space="0" w:color="auto"/>
        <w:left w:val="none" w:sz="0" w:space="0" w:color="auto"/>
        <w:bottom w:val="none" w:sz="0" w:space="0" w:color="auto"/>
        <w:right w:val="none" w:sz="0" w:space="0" w:color="auto"/>
      </w:divBdr>
    </w:div>
    <w:div w:id="249436871">
      <w:bodyDiv w:val="1"/>
      <w:marLeft w:val="0"/>
      <w:marRight w:val="0"/>
      <w:marTop w:val="0"/>
      <w:marBottom w:val="0"/>
      <w:divBdr>
        <w:top w:val="none" w:sz="0" w:space="0" w:color="auto"/>
        <w:left w:val="none" w:sz="0" w:space="0" w:color="auto"/>
        <w:bottom w:val="none" w:sz="0" w:space="0" w:color="auto"/>
        <w:right w:val="none" w:sz="0" w:space="0" w:color="auto"/>
      </w:divBdr>
    </w:div>
    <w:div w:id="267156876">
      <w:bodyDiv w:val="1"/>
      <w:marLeft w:val="0"/>
      <w:marRight w:val="0"/>
      <w:marTop w:val="0"/>
      <w:marBottom w:val="0"/>
      <w:divBdr>
        <w:top w:val="none" w:sz="0" w:space="0" w:color="auto"/>
        <w:left w:val="none" w:sz="0" w:space="0" w:color="auto"/>
        <w:bottom w:val="none" w:sz="0" w:space="0" w:color="auto"/>
        <w:right w:val="none" w:sz="0" w:space="0" w:color="auto"/>
      </w:divBdr>
    </w:div>
    <w:div w:id="290981159">
      <w:bodyDiv w:val="1"/>
      <w:marLeft w:val="0"/>
      <w:marRight w:val="0"/>
      <w:marTop w:val="0"/>
      <w:marBottom w:val="0"/>
      <w:divBdr>
        <w:top w:val="none" w:sz="0" w:space="0" w:color="auto"/>
        <w:left w:val="none" w:sz="0" w:space="0" w:color="auto"/>
        <w:bottom w:val="none" w:sz="0" w:space="0" w:color="auto"/>
        <w:right w:val="none" w:sz="0" w:space="0" w:color="auto"/>
      </w:divBdr>
    </w:div>
    <w:div w:id="297145220">
      <w:bodyDiv w:val="1"/>
      <w:marLeft w:val="0"/>
      <w:marRight w:val="0"/>
      <w:marTop w:val="0"/>
      <w:marBottom w:val="0"/>
      <w:divBdr>
        <w:top w:val="none" w:sz="0" w:space="0" w:color="auto"/>
        <w:left w:val="none" w:sz="0" w:space="0" w:color="auto"/>
        <w:bottom w:val="none" w:sz="0" w:space="0" w:color="auto"/>
        <w:right w:val="none" w:sz="0" w:space="0" w:color="auto"/>
      </w:divBdr>
    </w:div>
    <w:div w:id="318730049">
      <w:bodyDiv w:val="1"/>
      <w:marLeft w:val="0"/>
      <w:marRight w:val="0"/>
      <w:marTop w:val="0"/>
      <w:marBottom w:val="0"/>
      <w:divBdr>
        <w:top w:val="none" w:sz="0" w:space="0" w:color="auto"/>
        <w:left w:val="none" w:sz="0" w:space="0" w:color="auto"/>
        <w:bottom w:val="none" w:sz="0" w:space="0" w:color="auto"/>
        <w:right w:val="none" w:sz="0" w:space="0" w:color="auto"/>
      </w:divBdr>
    </w:div>
    <w:div w:id="354618214">
      <w:bodyDiv w:val="1"/>
      <w:marLeft w:val="0"/>
      <w:marRight w:val="0"/>
      <w:marTop w:val="0"/>
      <w:marBottom w:val="0"/>
      <w:divBdr>
        <w:top w:val="none" w:sz="0" w:space="0" w:color="auto"/>
        <w:left w:val="none" w:sz="0" w:space="0" w:color="auto"/>
        <w:bottom w:val="none" w:sz="0" w:space="0" w:color="auto"/>
        <w:right w:val="none" w:sz="0" w:space="0" w:color="auto"/>
      </w:divBdr>
    </w:div>
    <w:div w:id="359668813">
      <w:bodyDiv w:val="1"/>
      <w:marLeft w:val="0"/>
      <w:marRight w:val="0"/>
      <w:marTop w:val="0"/>
      <w:marBottom w:val="0"/>
      <w:divBdr>
        <w:top w:val="none" w:sz="0" w:space="0" w:color="auto"/>
        <w:left w:val="none" w:sz="0" w:space="0" w:color="auto"/>
        <w:bottom w:val="none" w:sz="0" w:space="0" w:color="auto"/>
        <w:right w:val="none" w:sz="0" w:space="0" w:color="auto"/>
      </w:divBdr>
    </w:div>
    <w:div w:id="369191069">
      <w:bodyDiv w:val="1"/>
      <w:marLeft w:val="0"/>
      <w:marRight w:val="0"/>
      <w:marTop w:val="0"/>
      <w:marBottom w:val="0"/>
      <w:divBdr>
        <w:top w:val="none" w:sz="0" w:space="0" w:color="auto"/>
        <w:left w:val="none" w:sz="0" w:space="0" w:color="auto"/>
        <w:bottom w:val="none" w:sz="0" w:space="0" w:color="auto"/>
        <w:right w:val="none" w:sz="0" w:space="0" w:color="auto"/>
      </w:divBdr>
    </w:div>
    <w:div w:id="379595553">
      <w:bodyDiv w:val="1"/>
      <w:marLeft w:val="0"/>
      <w:marRight w:val="0"/>
      <w:marTop w:val="0"/>
      <w:marBottom w:val="0"/>
      <w:divBdr>
        <w:top w:val="none" w:sz="0" w:space="0" w:color="auto"/>
        <w:left w:val="none" w:sz="0" w:space="0" w:color="auto"/>
        <w:bottom w:val="none" w:sz="0" w:space="0" w:color="auto"/>
        <w:right w:val="none" w:sz="0" w:space="0" w:color="auto"/>
      </w:divBdr>
    </w:div>
    <w:div w:id="400249685">
      <w:bodyDiv w:val="1"/>
      <w:marLeft w:val="0"/>
      <w:marRight w:val="0"/>
      <w:marTop w:val="0"/>
      <w:marBottom w:val="0"/>
      <w:divBdr>
        <w:top w:val="none" w:sz="0" w:space="0" w:color="auto"/>
        <w:left w:val="none" w:sz="0" w:space="0" w:color="auto"/>
        <w:bottom w:val="none" w:sz="0" w:space="0" w:color="auto"/>
        <w:right w:val="none" w:sz="0" w:space="0" w:color="auto"/>
      </w:divBdr>
    </w:div>
    <w:div w:id="427122313">
      <w:bodyDiv w:val="1"/>
      <w:marLeft w:val="0"/>
      <w:marRight w:val="0"/>
      <w:marTop w:val="0"/>
      <w:marBottom w:val="0"/>
      <w:divBdr>
        <w:top w:val="none" w:sz="0" w:space="0" w:color="auto"/>
        <w:left w:val="none" w:sz="0" w:space="0" w:color="auto"/>
        <w:bottom w:val="none" w:sz="0" w:space="0" w:color="auto"/>
        <w:right w:val="none" w:sz="0" w:space="0" w:color="auto"/>
      </w:divBdr>
    </w:div>
    <w:div w:id="451284463">
      <w:bodyDiv w:val="1"/>
      <w:marLeft w:val="0"/>
      <w:marRight w:val="0"/>
      <w:marTop w:val="0"/>
      <w:marBottom w:val="0"/>
      <w:divBdr>
        <w:top w:val="none" w:sz="0" w:space="0" w:color="auto"/>
        <w:left w:val="none" w:sz="0" w:space="0" w:color="auto"/>
        <w:bottom w:val="none" w:sz="0" w:space="0" w:color="auto"/>
        <w:right w:val="none" w:sz="0" w:space="0" w:color="auto"/>
      </w:divBdr>
    </w:div>
    <w:div w:id="464589792">
      <w:bodyDiv w:val="1"/>
      <w:marLeft w:val="0"/>
      <w:marRight w:val="0"/>
      <w:marTop w:val="0"/>
      <w:marBottom w:val="0"/>
      <w:divBdr>
        <w:top w:val="none" w:sz="0" w:space="0" w:color="auto"/>
        <w:left w:val="none" w:sz="0" w:space="0" w:color="auto"/>
        <w:bottom w:val="none" w:sz="0" w:space="0" w:color="auto"/>
        <w:right w:val="none" w:sz="0" w:space="0" w:color="auto"/>
      </w:divBdr>
    </w:div>
    <w:div w:id="465852071">
      <w:bodyDiv w:val="1"/>
      <w:marLeft w:val="0"/>
      <w:marRight w:val="0"/>
      <w:marTop w:val="0"/>
      <w:marBottom w:val="0"/>
      <w:divBdr>
        <w:top w:val="none" w:sz="0" w:space="0" w:color="auto"/>
        <w:left w:val="none" w:sz="0" w:space="0" w:color="auto"/>
        <w:bottom w:val="none" w:sz="0" w:space="0" w:color="auto"/>
        <w:right w:val="none" w:sz="0" w:space="0" w:color="auto"/>
      </w:divBdr>
    </w:div>
    <w:div w:id="468285696">
      <w:bodyDiv w:val="1"/>
      <w:marLeft w:val="0"/>
      <w:marRight w:val="0"/>
      <w:marTop w:val="0"/>
      <w:marBottom w:val="0"/>
      <w:divBdr>
        <w:top w:val="none" w:sz="0" w:space="0" w:color="auto"/>
        <w:left w:val="none" w:sz="0" w:space="0" w:color="auto"/>
        <w:bottom w:val="none" w:sz="0" w:space="0" w:color="auto"/>
        <w:right w:val="none" w:sz="0" w:space="0" w:color="auto"/>
      </w:divBdr>
    </w:div>
    <w:div w:id="478153350">
      <w:bodyDiv w:val="1"/>
      <w:marLeft w:val="0"/>
      <w:marRight w:val="0"/>
      <w:marTop w:val="0"/>
      <w:marBottom w:val="0"/>
      <w:divBdr>
        <w:top w:val="none" w:sz="0" w:space="0" w:color="auto"/>
        <w:left w:val="none" w:sz="0" w:space="0" w:color="auto"/>
        <w:bottom w:val="none" w:sz="0" w:space="0" w:color="auto"/>
        <w:right w:val="none" w:sz="0" w:space="0" w:color="auto"/>
      </w:divBdr>
    </w:div>
    <w:div w:id="483817565">
      <w:bodyDiv w:val="1"/>
      <w:marLeft w:val="0"/>
      <w:marRight w:val="0"/>
      <w:marTop w:val="0"/>
      <w:marBottom w:val="0"/>
      <w:divBdr>
        <w:top w:val="none" w:sz="0" w:space="0" w:color="auto"/>
        <w:left w:val="none" w:sz="0" w:space="0" w:color="auto"/>
        <w:bottom w:val="none" w:sz="0" w:space="0" w:color="auto"/>
        <w:right w:val="none" w:sz="0" w:space="0" w:color="auto"/>
      </w:divBdr>
    </w:div>
    <w:div w:id="492796483">
      <w:bodyDiv w:val="1"/>
      <w:marLeft w:val="0"/>
      <w:marRight w:val="0"/>
      <w:marTop w:val="0"/>
      <w:marBottom w:val="0"/>
      <w:divBdr>
        <w:top w:val="none" w:sz="0" w:space="0" w:color="auto"/>
        <w:left w:val="none" w:sz="0" w:space="0" w:color="auto"/>
        <w:bottom w:val="none" w:sz="0" w:space="0" w:color="auto"/>
        <w:right w:val="none" w:sz="0" w:space="0" w:color="auto"/>
      </w:divBdr>
    </w:div>
    <w:div w:id="526062456">
      <w:bodyDiv w:val="1"/>
      <w:marLeft w:val="0"/>
      <w:marRight w:val="0"/>
      <w:marTop w:val="0"/>
      <w:marBottom w:val="0"/>
      <w:divBdr>
        <w:top w:val="none" w:sz="0" w:space="0" w:color="auto"/>
        <w:left w:val="none" w:sz="0" w:space="0" w:color="auto"/>
        <w:bottom w:val="none" w:sz="0" w:space="0" w:color="auto"/>
        <w:right w:val="none" w:sz="0" w:space="0" w:color="auto"/>
      </w:divBdr>
    </w:div>
    <w:div w:id="564218467">
      <w:bodyDiv w:val="1"/>
      <w:marLeft w:val="0"/>
      <w:marRight w:val="0"/>
      <w:marTop w:val="0"/>
      <w:marBottom w:val="0"/>
      <w:divBdr>
        <w:top w:val="none" w:sz="0" w:space="0" w:color="auto"/>
        <w:left w:val="none" w:sz="0" w:space="0" w:color="auto"/>
        <w:bottom w:val="none" w:sz="0" w:space="0" w:color="auto"/>
        <w:right w:val="none" w:sz="0" w:space="0" w:color="auto"/>
      </w:divBdr>
    </w:div>
    <w:div w:id="584654857">
      <w:bodyDiv w:val="1"/>
      <w:marLeft w:val="0"/>
      <w:marRight w:val="0"/>
      <w:marTop w:val="0"/>
      <w:marBottom w:val="0"/>
      <w:divBdr>
        <w:top w:val="none" w:sz="0" w:space="0" w:color="auto"/>
        <w:left w:val="none" w:sz="0" w:space="0" w:color="auto"/>
        <w:bottom w:val="none" w:sz="0" w:space="0" w:color="auto"/>
        <w:right w:val="none" w:sz="0" w:space="0" w:color="auto"/>
      </w:divBdr>
    </w:div>
    <w:div w:id="587887830">
      <w:bodyDiv w:val="1"/>
      <w:marLeft w:val="0"/>
      <w:marRight w:val="0"/>
      <w:marTop w:val="0"/>
      <w:marBottom w:val="0"/>
      <w:divBdr>
        <w:top w:val="none" w:sz="0" w:space="0" w:color="auto"/>
        <w:left w:val="none" w:sz="0" w:space="0" w:color="auto"/>
        <w:bottom w:val="none" w:sz="0" w:space="0" w:color="auto"/>
        <w:right w:val="none" w:sz="0" w:space="0" w:color="auto"/>
      </w:divBdr>
    </w:div>
    <w:div w:id="610936392">
      <w:bodyDiv w:val="1"/>
      <w:marLeft w:val="0"/>
      <w:marRight w:val="0"/>
      <w:marTop w:val="0"/>
      <w:marBottom w:val="0"/>
      <w:divBdr>
        <w:top w:val="none" w:sz="0" w:space="0" w:color="auto"/>
        <w:left w:val="none" w:sz="0" w:space="0" w:color="auto"/>
        <w:bottom w:val="none" w:sz="0" w:space="0" w:color="auto"/>
        <w:right w:val="none" w:sz="0" w:space="0" w:color="auto"/>
      </w:divBdr>
    </w:div>
    <w:div w:id="611789817">
      <w:bodyDiv w:val="1"/>
      <w:marLeft w:val="0"/>
      <w:marRight w:val="0"/>
      <w:marTop w:val="0"/>
      <w:marBottom w:val="0"/>
      <w:divBdr>
        <w:top w:val="none" w:sz="0" w:space="0" w:color="auto"/>
        <w:left w:val="none" w:sz="0" w:space="0" w:color="auto"/>
        <w:bottom w:val="none" w:sz="0" w:space="0" w:color="auto"/>
        <w:right w:val="none" w:sz="0" w:space="0" w:color="auto"/>
      </w:divBdr>
    </w:div>
    <w:div w:id="704523983">
      <w:bodyDiv w:val="1"/>
      <w:marLeft w:val="0"/>
      <w:marRight w:val="0"/>
      <w:marTop w:val="0"/>
      <w:marBottom w:val="0"/>
      <w:divBdr>
        <w:top w:val="none" w:sz="0" w:space="0" w:color="auto"/>
        <w:left w:val="none" w:sz="0" w:space="0" w:color="auto"/>
        <w:bottom w:val="none" w:sz="0" w:space="0" w:color="auto"/>
        <w:right w:val="none" w:sz="0" w:space="0" w:color="auto"/>
      </w:divBdr>
    </w:div>
    <w:div w:id="706106714">
      <w:bodyDiv w:val="1"/>
      <w:marLeft w:val="0"/>
      <w:marRight w:val="0"/>
      <w:marTop w:val="0"/>
      <w:marBottom w:val="0"/>
      <w:divBdr>
        <w:top w:val="none" w:sz="0" w:space="0" w:color="auto"/>
        <w:left w:val="none" w:sz="0" w:space="0" w:color="auto"/>
        <w:bottom w:val="none" w:sz="0" w:space="0" w:color="auto"/>
        <w:right w:val="none" w:sz="0" w:space="0" w:color="auto"/>
      </w:divBdr>
    </w:div>
    <w:div w:id="766384000">
      <w:bodyDiv w:val="1"/>
      <w:marLeft w:val="0"/>
      <w:marRight w:val="0"/>
      <w:marTop w:val="0"/>
      <w:marBottom w:val="0"/>
      <w:divBdr>
        <w:top w:val="none" w:sz="0" w:space="0" w:color="auto"/>
        <w:left w:val="none" w:sz="0" w:space="0" w:color="auto"/>
        <w:bottom w:val="none" w:sz="0" w:space="0" w:color="auto"/>
        <w:right w:val="none" w:sz="0" w:space="0" w:color="auto"/>
      </w:divBdr>
    </w:div>
    <w:div w:id="768164865">
      <w:bodyDiv w:val="1"/>
      <w:marLeft w:val="0"/>
      <w:marRight w:val="0"/>
      <w:marTop w:val="0"/>
      <w:marBottom w:val="0"/>
      <w:divBdr>
        <w:top w:val="none" w:sz="0" w:space="0" w:color="auto"/>
        <w:left w:val="none" w:sz="0" w:space="0" w:color="auto"/>
        <w:bottom w:val="none" w:sz="0" w:space="0" w:color="auto"/>
        <w:right w:val="none" w:sz="0" w:space="0" w:color="auto"/>
      </w:divBdr>
      <w:divsChild>
        <w:div w:id="1604994188">
          <w:marLeft w:val="0"/>
          <w:marRight w:val="0"/>
          <w:marTop w:val="0"/>
          <w:marBottom w:val="0"/>
          <w:divBdr>
            <w:top w:val="none" w:sz="0" w:space="0" w:color="auto"/>
            <w:left w:val="none" w:sz="0" w:space="0" w:color="auto"/>
            <w:bottom w:val="none" w:sz="0" w:space="0" w:color="auto"/>
            <w:right w:val="none" w:sz="0" w:space="0" w:color="auto"/>
          </w:divBdr>
        </w:div>
      </w:divsChild>
    </w:div>
    <w:div w:id="768500281">
      <w:bodyDiv w:val="1"/>
      <w:marLeft w:val="0"/>
      <w:marRight w:val="0"/>
      <w:marTop w:val="0"/>
      <w:marBottom w:val="0"/>
      <w:divBdr>
        <w:top w:val="none" w:sz="0" w:space="0" w:color="auto"/>
        <w:left w:val="none" w:sz="0" w:space="0" w:color="auto"/>
        <w:bottom w:val="none" w:sz="0" w:space="0" w:color="auto"/>
        <w:right w:val="none" w:sz="0" w:space="0" w:color="auto"/>
      </w:divBdr>
    </w:div>
    <w:div w:id="817914751">
      <w:bodyDiv w:val="1"/>
      <w:marLeft w:val="0"/>
      <w:marRight w:val="0"/>
      <w:marTop w:val="0"/>
      <w:marBottom w:val="0"/>
      <w:divBdr>
        <w:top w:val="none" w:sz="0" w:space="0" w:color="auto"/>
        <w:left w:val="none" w:sz="0" w:space="0" w:color="auto"/>
        <w:bottom w:val="none" w:sz="0" w:space="0" w:color="auto"/>
        <w:right w:val="none" w:sz="0" w:space="0" w:color="auto"/>
      </w:divBdr>
    </w:div>
    <w:div w:id="819662453">
      <w:bodyDiv w:val="1"/>
      <w:marLeft w:val="0"/>
      <w:marRight w:val="0"/>
      <w:marTop w:val="0"/>
      <w:marBottom w:val="0"/>
      <w:divBdr>
        <w:top w:val="none" w:sz="0" w:space="0" w:color="auto"/>
        <w:left w:val="none" w:sz="0" w:space="0" w:color="auto"/>
        <w:bottom w:val="none" w:sz="0" w:space="0" w:color="auto"/>
        <w:right w:val="none" w:sz="0" w:space="0" w:color="auto"/>
      </w:divBdr>
    </w:div>
    <w:div w:id="873885425">
      <w:bodyDiv w:val="1"/>
      <w:marLeft w:val="0"/>
      <w:marRight w:val="0"/>
      <w:marTop w:val="0"/>
      <w:marBottom w:val="0"/>
      <w:divBdr>
        <w:top w:val="none" w:sz="0" w:space="0" w:color="auto"/>
        <w:left w:val="none" w:sz="0" w:space="0" w:color="auto"/>
        <w:bottom w:val="none" w:sz="0" w:space="0" w:color="auto"/>
        <w:right w:val="none" w:sz="0" w:space="0" w:color="auto"/>
      </w:divBdr>
    </w:div>
    <w:div w:id="881791751">
      <w:bodyDiv w:val="1"/>
      <w:marLeft w:val="0"/>
      <w:marRight w:val="0"/>
      <w:marTop w:val="0"/>
      <w:marBottom w:val="0"/>
      <w:divBdr>
        <w:top w:val="none" w:sz="0" w:space="0" w:color="auto"/>
        <w:left w:val="none" w:sz="0" w:space="0" w:color="auto"/>
        <w:bottom w:val="none" w:sz="0" w:space="0" w:color="auto"/>
        <w:right w:val="none" w:sz="0" w:space="0" w:color="auto"/>
      </w:divBdr>
    </w:div>
    <w:div w:id="883640278">
      <w:bodyDiv w:val="1"/>
      <w:marLeft w:val="0"/>
      <w:marRight w:val="0"/>
      <w:marTop w:val="0"/>
      <w:marBottom w:val="0"/>
      <w:divBdr>
        <w:top w:val="none" w:sz="0" w:space="0" w:color="auto"/>
        <w:left w:val="none" w:sz="0" w:space="0" w:color="auto"/>
        <w:bottom w:val="none" w:sz="0" w:space="0" w:color="auto"/>
        <w:right w:val="none" w:sz="0" w:space="0" w:color="auto"/>
      </w:divBdr>
    </w:div>
    <w:div w:id="890769302">
      <w:bodyDiv w:val="1"/>
      <w:marLeft w:val="0"/>
      <w:marRight w:val="0"/>
      <w:marTop w:val="0"/>
      <w:marBottom w:val="0"/>
      <w:divBdr>
        <w:top w:val="none" w:sz="0" w:space="0" w:color="auto"/>
        <w:left w:val="none" w:sz="0" w:space="0" w:color="auto"/>
        <w:bottom w:val="none" w:sz="0" w:space="0" w:color="auto"/>
        <w:right w:val="none" w:sz="0" w:space="0" w:color="auto"/>
      </w:divBdr>
    </w:div>
    <w:div w:id="912546132">
      <w:bodyDiv w:val="1"/>
      <w:marLeft w:val="0"/>
      <w:marRight w:val="0"/>
      <w:marTop w:val="0"/>
      <w:marBottom w:val="0"/>
      <w:divBdr>
        <w:top w:val="none" w:sz="0" w:space="0" w:color="auto"/>
        <w:left w:val="none" w:sz="0" w:space="0" w:color="auto"/>
        <w:bottom w:val="none" w:sz="0" w:space="0" w:color="auto"/>
        <w:right w:val="none" w:sz="0" w:space="0" w:color="auto"/>
      </w:divBdr>
    </w:div>
    <w:div w:id="931932895">
      <w:bodyDiv w:val="1"/>
      <w:marLeft w:val="0"/>
      <w:marRight w:val="0"/>
      <w:marTop w:val="0"/>
      <w:marBottom w:val="0"/>
      <w:divBdr>
        <w:top w:val="none" w:sz="0" w:space="0" w:color="auto"/>
        <w:left w:val="none" w:sz="0" w:space="0" w:color="auto"/>
        <w:bottom w:val="none" w:sz="0" w:space="0" w:color="auto"/>
        <w:right w:val="none" w:sz="0" w:space="0" w:color="auto"/>
      </w:divBdr>
    </w:div>
    <w:div w:id="933125563">
      <w:bodyDiv w:val="1"/>
      <w:marLeft w:val="0"/>
      <w:marRight w:val="0"/>
      <w:marTop w:val="0"/>
      <w:marBottom w:val="0"/>
      <w:divBdr>
        <w:top w:val="none" w:sz="0" w:space="0" w:color="auto"/>
        <w:left w:val="none" w:sz="0" w:space="0" w:color="auto"/>
        <w:bottom w:val="none" w:sz="0" w:space="0" w:color="auto"/>
        <w:right w:val="none" w:sz="0" w:space="0" w:color="auto"/>
      </w:divBdr>
    </w:div>
    <w:div w:id="954215293">
      <w:bodyDiv w:val="1"/>
      <w:marLeft w:val="0"/>
      <w:marRight w:val="0"/>
      <w:marTop w:val="0"/>
      <w:marBottom w:val="0"/>
      <w:divBdr>
        <w:top w:val="none" w:sz="0" w:space="0" w:color="auto"/>
        <w:left w:val="none" w:sz="0" w:space="0" w:color="auto"/>
        <w:bottom w:val="none" w:sz="0" w:space="0" w:color="auto"/>
        <w:right w:val="none" w:sz="0" w:space="0" w:color="auto"/>
      </w:divBdr>
    </w:div>
    <w:div w:id="967005833">
      <w:bodyDiv w:val="1"/>
      <w:marLeft w:val="0"/>
      <w:marRight w:val="0"/>
      <w:marTop w:val="0"/>
      <w:marBottom w:val="0"/>
      <w:divBdr>
        <w:top w:val="none" w:sz="0" w:space="0" w:color="auto"/>
        <w:left w:val="none" w:sz="0" w:space="0" w:color="auto"/>
        <w:bottom w:val="none" w:sz="0" w:space="0" w:color="auto"/>
        <w:right w:val="none" w:sz="0" w:space="0" w:color="auto"/>
      </w:divBdr>
    </w:div>
    <w:div w:id="967977457">
      <w:bodyDiv w:val="1"/>
      <w:marLeft w:val="0"/>
      <w:marRight w:val="0"/>
      <w:marTop w:val="0"/>
      <w:marBottom w:val="0"/>
      <w:divBdr>
        <w:top w:val="none" w:sz="0" w:space="0" w:color="auto"/>
        <w:left w:val="none" w:sz="0" w:space="0" w:color="auto"/>
        <w:bottom w:val="none" w:sz="0" w:space="0" w:color="auto"/>
        <w:right w:val="none" w:sz="0" w:space="0" w:color="auto"/>
      </w:divBdr>
    </w:div>
    <w:div w:id="968127655">
      <w:bodyDiv w:val="1"/>
      <w:marLeft w:val="0"/>
      <w:marRight w:val="0"/>
      <w:marTop w:val="0"/>
      <w:marBottom w:val="0"/>
      <w:divBdr>
        <w:top w:val="none" w:sz="0" w:space="0" w:color="auto"/>
        <w:left w:val="none" w:sz="0" w:space="0" w:color="auto"/>
        <w:bottom w:val="none" w:sz="0" w:space="0" w:color="auto"/>
        <w:right w:val="none" w:sz="0" w:space="0" w:color="auto"/>
      </w:divBdr>
    </w:div>
    <w:div w:id="1006053459">
      <w:bodyDiv w:val="1"/>
      <w:marLeft w:val="0"/>
      <w:marRight w:val="0"/>
      <w:marTop w:val="0"/>
      <w:marBottom w:val="0"/>
      <w:divBdr>
        <w:top w:val="none" w:sz="0" w:space="0" w:color="auto"/>
        <w:left w:val="none" w:sz="0" w:space="0" w:color="auto"/>
        <w:bottom w:val="none" w:sz="0" w:space="0" w:color="auto"/>
        <w:right w:val="none" w:sz="0" w:space="0" w:color="auto"/>
      </w:divBdr>
    </w:div>
    <w:div w:id="1014040144">
      <w:bodyDiv w:val="1"/>
      <w:marLeft w:val="0"/>
      <w:marRight w:val="0"/>
      <w:marTop w:val="0"/>
      <w:marBottom w:val="0"/>
      <w:divBdr>
        <w:top w:val="none" w:sz="0" w:space="0" w:color="auto"/>
        <w:left w:val="none" w:sz="0" w:space="0" w:color="auto"/>
        <w:bottom w:val="none" w:sz="0" w:space="0" w:color="auto"/>
        <w:right w:val="none" w:sz="0" w:space="0" w:color="auto"/>
      </w:divBdr>
    </w:div>
    <w:div w:id="1066152505">
      <w:bodyDiv w:val="1"/>
      <w:marLeft w:val="0"/>
      <w:marRight w:val="0"/>
      <w:marTop w:val="0"/>
      <w:marBottom w:val="0"/>
      <w:divBdr>
        <w:top w:val="none" w:sz="0" w:space="0" w:color="auto"/>
        <w:left w:val="none" w:sz="0" w:space="0" w:color="auto"/>
        <w:bottom w:val="none" w:sz="0" w:space="0" w:color="auto"/>
        <w:right w:val="none" w:sz="0" w:space="0" w:color="auto"/>
      </w:divBdr>
    </w:div>
    <w:div w:id="1115099111">
      <w:bodyDiv w:val="1"/>
      <w:marLeft w:val="0"/>
      <w:marRight w:val="0"/>
      <w:marTop w:val="0"/>
      <w:marBottom w:val="0"/>
      <w:divBdr>
        <w:top w:val="none" w:sz="0" w:space="0" w:color="auto"/>
        <w:left w:val="none" w:sz="0" w:space="0" w:color="auto"/>
        <w:bottom w:val="none" w:sz="0" w:space="0" w:color="auto"/>
        <w:right w:val="none" w:sz="0" w:space="0" w:color="auto"/>
      </w:divBdr>
    </w:div>
    <w:div w:id="1115637285">
      <w:bodyDiv w:val="1"/>
      <w:marLeft w:val="0"/>
      <w:marRight w:val="0"/>
      <w:marTop w:val="0"/>
      <w:marBottom w:val="0"/>
      <w:divBdr>
        <w:top w:val="none" w:sz="0" w:space="0" w:color="auto"/>
        <w:left w:val="none" w:sz="0" w:space="0" w:color="auto"/>
        <w:bottom w:val="none" w:sz="0" w:space="0" w:color="auto"/>
        <w:right w:val="none" w:sz="0" w:space="0" w:color="auto"/>
      </w:divBdr>
    </w:div>
    <w:div w:id="1121530818">
      <w:bodyDiv w:val="1"/>
      <w:marLeft w:val="0"/>
      <w:marRight w:val="0"/>
      <w:marTop w:val="0"/>
      <w:marBottom w:val="0"/>
      <w:divBdr>
        <w:top w:val="none" w:sz="0" w:space="0" w:color="auto"/>
        <w:left w:val="none" w:sz="0" w:space="0" w:color="auto"/>
        <w:bottom w:val="none" w:sz="0" w:space="0" w:color="auto"/>
        <w:right w:val="none" w:sz="0" w:space="0" w:color="auto"/>
      </w:divBdr>
    </w:div>
    <w:div w:id="1122765604">
      <w:bodyDiv w:val="1"/>
      <w:marLeft w:val="0"/>
      <w:marRight w:val="0"/>
      <w:marTop w:val="0"/>
      <w:marBottom w:val="0"/>
      <w:divBdr>
        <w:top w:val="none" w:sz="0" w:space="0" w:color="auto"/>
        <w:left w:val="none" w:sz="0" w:space="0" w:color="auto"/>
        <w:bottom w:val="none" w:sz="0" w:space="0" w:color="auto"/>
        <w:right w:val="none" w:sz="0" w:space="0" w:color="auto"/>
      </w:divBdr>
    </w:div>
    <w:div w:id="1157308709">
      <w:bodyDiv w:val="1"/>
      <w:marLeft w:val="0"/>
      <w:marRight w:val="0"/>
      <w:marTop w:val="0"/>
      <w:marBottom w:val="0"/>
      <w:divBdr>
        <w:top w:val="none" w:sz="0" w:space="0" w:color="auto"/>
        <w:left w:val="none" w:sz="0" w:space="0" w:color="auto"/>
        <w:bottom w:val="none" w:sz="0" w:space="0" w:color="auto"/>
        <w:right w:val="none" w:sz="0" w:space="0" w:color="auto"/>
      </w:divBdr>
    </w:div>
    <w:div w:id="1167596307">
      <w:bodyDiv w:val="1"/>
      <w:marLeft w:val="0"/>
      <w:marRight w:val="0"/>
      <w:marTop w:val="0"/>
      <w:marBottom w:val="0"/>
      <w:divBdr>
        <w:top w:val="none" w:sz="0" w:space="0" w:color="auto"/>
        <w:left w:val="none" w:sz="0" w:space="0" w:color="auto"/>
        <w:bottom w:val="none" w:sz="0" w:space="0" w:color="auto"/>
        <w:right w:val="none" w:sz="0" w:space="0" w:color="auto"/>
      </w:divBdr>
    </w:div>
    <w:div w:id="1183586747">
      <w:bodyDiv w:val="1"/>
      <w:marLeft w:val="0"/>
      <w:marRight w:val="0"/>
      <w:marTop w:val="0"/>
      <w:marBottom w:val="0"/>
      <w:divBdr>
        <w:top w:val="none" w:sz="0" w:space="0" w:color="auto"/>
        <w:left w:val="none" w:sz="0" w:space="0" w:color="auto"/>
        <w:bottom w:val="none" w:sz="0" w:space="0" w:color="auto"/>
        <w:right w:val="none" w:sz="0" w:space="0" w:color="auto"/>
      </w:divBdr>
    </w:div>
    <w:div w:id="1204101795">
      <w:bodyDiv w:val="1"/>
      <w:marLeft w:val="0"/>
      <w:marRight w:val="0"/>
      <w:marTop w:val="0"/>
      <w:marBottom w:val="0"/>
      <w:divBdr>
        <w:top w:val="none" w:sz="0" w:space="0" w:color="auto"/>
        <w:left w:val="none" w:sz="0" w:space="0" w:color="auto"/>
        <w:bottom w:val="none" w:sz="0" w:space="0" w:color="auto"/>
        <w:right w:val="none" w:sz="0" w:space="0" w:color="auto"/>
      </w:divBdr>
    </w:div>
    <w:div w:id="1229606166">
      <w:bodyDiv w:val="1"/>
      <w:marLeft w:val="0"/>
      <w:marRight w:val="0"/>
      <w:marTop w:val="0"/>
      <w:marBottom w:val="0"/>
      <w:divBdr>
        <w:top w:val="none" w:sz="0" w:space="0" w:color="auto"/>
        <w:left w:val="none" w:sz="0" w:space="0" w:color="auto"/>
        <w:bottom w:val="none" w:sz="0" w:space="0" w:color="auto"/>
        <w:right w:val="none" w:sz="0" w:space="0" w:color="auto"/>
      </w:divBdr>
    </w:div>
    <w:div w:id="1237209291">
      <w:bodyDiv w:val="1"/>
      <w:marLeft w:val="0"/>
      <w:marRight w:val="0"/>
      <w:marTop w:val="0"/>
      <w:marBottom w:val="0"/>
      <w:divBdr>
        <w:top w:val="none" w:sz="0" w:space="0" w:color="auto"/>
        <w:left w:val="none" w:sz="0" w:space="0" w:color="auto"/>
        <w:bottom w:val="none" w:sz="0" w:space="0" w:color="auto"/>
        <w:right w:val="none" w:sz="0" w:space="0" w:color="auto"/>
      </w:divBdr>
    </w:div>
    <w:div w:id="1244070680">
      <w:bodyDiv w:val="1"/>
      <w:marLeft w:val="0"/>
      <w:marRight w:val="0"/>
      <w:marTop w:val="0"/>
      <w:marBottom w:val="0"/>
      <w:divBdr>
        <w:top w:val="none" w:sz="0" w:space="0" w:color="auto"/>
        <w:left w:val="none" w:sz="0" w:space="0" w:color="auto"/>
        <w:bottom w:val="none" w:sz="0" w:space="0" w:color="auto"/>
        <w:right w:val="none" w:sz="0" w:space="0" w:color="auto"/>
      </w:divBdr>
    </w:div>
    <w:div w:id="1271204527">
      <w:bodyDiv w:val="1"/>
      <w:marLeft w:val="0"/>
      <w:marRight w:val="0"/>
      <w:marTop w:val="0"/>
      <w:marBottom w:val="0"/>
      <w:divBdr>
        <w:top w:val="none" w:sz="0" w:space="0" w:color="auto"/>
        <w:left w:val="none" w:sz="0" w:space="0" w:color="auto"/>
        <w:bottom w:val="none" w:sz="0" w:space="0" w:color="auto"/>
        <w:right w:val="none" w:sz="0" w:space="0" w:color="auto"/>
      </w:divBdr>
    </w:div>
    <w:div w:id="1277176118">
      <w:bodyDiv w:val="1"/>
      <w:marLeft w:val="0"/>
      <w:marRight w:val="0"/>
      <w:marTop w:val="0"/>
      <w:marBottom w:val="0"/>
      <w:divBdr>
        <w:top w:val="none" w:sz="0" w:space="0" w:color="auto"/>
        <w:left w:val="none" w:sz="0" w:space="0" w:color="auto"/>
        <w:bottom w:val="none" w:sz="0" w:space="0" w:color="auto"/>
        <w:right w:val="none" w:sz="0" w:space="0" w:color="auto"/>
      </w:divBdr>
    </w:div>
    <w:div w:id="1290551600">
      <w:bodyDiv w:val="1"/>
      <w:marLeft w:val="0"/>
      <w:marRight w:val="0"/>
      <w:marTop w:val="0"/>
      <w:marBottom w:val="0"/>
      <w:divBdr>
        <w:top w:val="none" w:sz="0" w:space="0" w:color="auto"/>
        <w:left w:val="none" w:sz="0" w:space="0" w:color="auto"/>
        <w:bottom w:val="none" w:sz="0" w:space="0" w:color="auto"/>
        <w:right w:val="none" w:sz="0" w:space="0" w:color="auto"/>
      </w:divBdr>
    </w:div>
    <w:div w:id="1307666602">
      <w:bodyDiv w:val="1"/>
      <w:marLeft w:val="0"/>
      <w:marRight w:val="0"/>
      <w:marTop w:val="0"/>
      <w:marBottom w:val="0"/>
      <w:divBdr>
        <w:top w:val="none" w:sz="0" w:space="0" w:color="auto"/>
        <w:left w:val="none" w:sz="0" w:space="0" w:color="auto"/>
        <w:bottom w:val="none" w:sz="0" w:space="0" w:color="auto"/>
        <w:right w:val="none" w:sz="0" w:space="0" w:color="auto"/>
      </w:divBdr>
    </w:div>
    <w:div w:id="1310092464">
      <w:bodyDiv w:val="1"/>
      <w:marLeft w:val="0"/>
      <w:marRight w:val="0"/>
      <w:marTop w:val="0"/>
      <w:marBottom w:val="0"/>
      <w:divBdr>
        <w:top w:val="none" w:sz="0" w:space="0" w:color="auto"/>
        <w:left w:val="none" w:sz="0" w:space="0" w:color="auto"/>
        <w:bottom w:val="none" w:sz="0" w:space="0" w:color="auto"/>
        <w:right w:val="none" w:sz="0" w:space="0" w:color="auto"/>
      </w:divBdr>
    </w:div>
    <w:div w:id="1370842506">
      <w:bodyDiv w:val="1"/>
      <w:marLeft w:val="0"/>
      <w:marRight w:val="0"/>
      <w:marTop w:val="0"/>
      <w:marBottom w:val="0"/>
      <w:divBdr>
        <w:top w:val="none" w:sz="0" w:space="0" w:color="auto"/>
        <w:left w:val="none" w:sz="0" w:space="0" w:color="auto"/>
        <w:bottom w:val="none" w:sz="0" w:space="0" w:color="auto"/>
        <w:right w:val="none" w:sz="0" w:space="0" w:color="auto"/>
      </w:divBdr>
    </w:div>
    <w:div w:id="1397557140">
      <w:bodyDiv w:val="1"/>
      <w:marLeft w:val="0"/>
      <w:marRight w:val="0"/>
      <w:marTop w:val="0"/>
      <w:marBottom w:val="0"/>
      <w:divBdr>
        <w:top w:val="none" w:sz="0" w:space="0" w:color="auto"/>
        <w:left w:val="none" w:sz="0" w:space="0" w:color="auto"/>
        <w:bottom w:val="none" w:sz="0" w:space="0" w:color="auto"/>
        <w:right w:val="none" w:sz="0" w:space="0" w:color="auto"/>
      </w:divBdr>
    </w:div>
    <w:div w:id="1421566102">
      <w:bodyDiv w:val="1"/>
      <w:marLeft w:val="0"/>
      <w:marRight w:val="0"/>
      <w:marTop w:val="0"/>
      <w:marBottom w:val="0"/>
      <w:divBdr>
        <w:top w:val="none" w:sz="0" w:space="0" w:color="auto"/>
        <w:left w:val="none" w:sz="0" w:space="0" w:color="auto"/>
        <w:bottom w:val="none" w:sz="0" w:space="0" w:color="auto"/>
        <w:right w:val="none" w:sz="0" w:space="0" w:color="auto"/>
      </w:divBdr>
    </w:div>
    <w:div w:id="1425881219">
      <w:bodyDiv w:val="1"/>
      <w:marLeft w:val="0"/>
      <w:marRight w:val="0"/>
      <w:marTop w:val="0"/>
      <w:marBottom w:val="0"/>
      <w:divBdr>
        <w:top w:val="none" w:sz="0" w:space="0" w:color="auto"/>
        <w:left w:val="none" w:sz="0" w:space="0" w:color="auto"/>
        <w:bottom w:val="none" w:sz="0" w:space="0" w:color="auto"/>
        <w:right w:val="none" w:sz="0" w:space="0" w:color="auto"/>
      </w:divBdr>
    </w:div>
    <w:div w:id="1432697007">
      <w:bodyDiv w:val="1"/>
      <w:marLeft w:val="0"/>
      <w:marRight w:val="0"/>
      <w:marTop w:val="0"/>
      <w:marBottom w:val="0"/>
      <w:divBdr>
        <w:top w:val="none" w:sz="0" w:space="0" w:color="auto"/>
        <w:left w:val="none" w:sz="0" w:space="0" w:color="auto"/>
        <w:bottom w:val="none" w:sz="0" w:space="0" w:color="auto"/>
        <w:right w:val="none" w:sz="0" w:space="0" w:color="auto"/>
      </w:divBdr>
    </w:div>
    <w:div w:id="1449003846">
      <w:bodyDiv w:val="1"/>
      <w:marLeft w:val="0"/>
      <w:marRight w:val="0"/>
      <w:marTop w:val="0"/>
      <w:marBottom w:val="0"/>
      <w:divBdr>
        <w:top w:val="none" w:sz="0" w:space="0" w:color="auto"/>
        <w:left w:val="none" w:sz="0" w:space="0" w:color="auto"/>
        <w:bottom w:val="none" w:sz="0" w:space="0" w:color="auto"/>
        <w:right w:val="none" w:sz="0" w:space="0" w:color="auto"/>
      </w:divBdr>
    </w:div>
    <w:div w:id="1449354044">
      <w:bodyDiv w:val="1"/>
      <w:marLeft w:val="0"/>
      <w:marRight w:val="0"/>
      <w:marTop w:val="0"/>
      <w:marBottom w:val="0"/>
      <w:divBdr>
        <w:top w:val="none" w:sz="0" w:space="0" w:color="auto"/>
        <w:left w:val="none" w:sz="0" w:space="0" w:color="auto"/>
        <w:bottom w:val="none" w:sz="0" w:space="0" w:color="auto"/>
        <w:right w:val="none" w:sz="0" w:space="0" w:color="auto"/>
      </w:divBdr>
    </w:div>
    <w:div w:id="1461459579">
      <w:bodyDiv w:val="1"/>
      <w:marLeft w:val="0"/>
      <w:marRight w:val="0"/>
      <w:marTop w:val="0"/>
      <w:marBottom w:val="0"/>
      <w:divBdr>
        <w:top w:val="none" w:sz="0" w:space="0" w:color="auto"/>
        <w:left w:val="none" w:sz="0" w:space="0" w:color="auto"/>
        <w:bottom w:val="none" w:sz="0" w:space="0" w:color="auto"/>
        <w:right w:val="none" w:sz="0" w:space="0" w:color="auto"/>
      </w:divBdr>
    </w:div>
    <w:div w:id="1544050192">
      <w:bodyDiv w:val="1"/>
      <w:marLeft w:val="0"/>
      <w:marRight w:val="0"/>
      <w:marTop w:val="0"/>
      <w:marBottom w:val="0"/>
      <w:divBdr>
        <w:top w:val="none" w:sz="0" w:space="0" w:color="auto"/>
        <w:left w:val="none" w:sz="0" w:space="0" w:color="auto"/>
        <w:bottom w:val="none" w:sz="0" w:space="0" w:color="auto"/>
        <w:right w:val="none" w:sz="0" w:space="0" w:color="auto"/>
      </w:divBdr>
    </w:div>
    <w:div w:id="1561136977">
      <w:bodyDiv w:val="1"/>
      <w:marLeft w:val="0"/>
      <w:marRight w:val="0"/>
      <w:marTop w:val="0"/>
      <w:marBottom w:val="0"/>
      <w:divBdr>
        <w:top w:val="none" w:sz="0" w:space="0" w:color="auto"/>
        <w:left w:val="none" w:sz="0" w:space="0" w:color="auto"/>
        <w:bottom w:val="none" w:sz="0" w:space="0" w:color="auto"/>
        <w:right w:val="none" w:sz="0" w:space="0" w:color="auto"/>
      </w:divBdr>
    </w:div>
    <w:div w:id="1566917709">
      <w:bodyDiv w:val="1"/>
      <w:marLeft w:val="0"/>
      <w:marRight w:val="0"/>
      <w:marTop w:val="0"/>
      <w:marBottom w:val="0"/>
      <w:divBdr>
        <w:top w:val="none" w:sz="0" w:space="0" w:color="auto"/>
        <w:left w:val="none" w:sz="0" w:space="0" w:color="auto"/>
        <w:bottom w:val="none" w:sz="0" w:space="0" w:color="auto"/>
        <w:right w:val="none" w:sz="0" w:space="0" w:color="auto"/>
      </w:divBdr>
    </w:div>
    <w:div w:id="1601066952">
      <w:bodyDiv w:val="1"/>
      <w:marLeft w:val="0"/>
      <w:marRight w:val="0"/>
      <w:marTop w:val="0"/>
      <w:marBottom w:val="0"/>
      <w:divBdr>
        <w:top w:val="none" w:sz="0" w:space="0" w:color="auto"/>
        <w:left w:val="none" w:sz="0" w:space="0" w:color="auto"/>
        <w:bottom w:val="none" w:sz="0" w:space="0" w:color="auto"/>
        <w:right w:val="none" w:sz="0" w:space="0" w:color="auto"/>
      </w:divBdr>
    </w:div>
    <w:div w:id="1607695480">
      <w:bodyDiv w:val="1"/>
      <w:marLeft w:val="0"/>
      <w:marRight w:val="0"/>
      <w:marTop w:val="0"/>
      <w:marBottom w:val="0"/>
      <w:divBdr>
        <w:top w:val="none" w:sz="0" w:space="0" w:color="auto"/>
        <w:left w:val="none" w:sz="0" w:space="0" w:color="auto"/>
        <w:bottom w:val="none" w:sz="0" w:space="0" w:color="auto"/>
        <w:right w:val="none" w:sz="0" w:space="0" w:color="auto"/>
      </w:divBdr>
    </w:div>
    <w:div w:id="1655646866">
      <w:bodyDiv w:val="1"/>
      <w:marLeft w:val="0"/>
      <w:marRight w:val="0"/>
      <w:marTop w:val="0"/>
      <w:marBottom w:val="0"/>
      <w:divBdr>
        <w:top w:val="none" w:sz="0" w:space="0" w:color="auto"/>
        <w:left w:val="none" w:sz="0" w:space="0" w:color="auto"/>
        <w:bottom w:val="none" w:sz="0" w:space="0" w:color="auto"/>
        <w:right w:val="none" w:sz="0" w:space="0" w:color="auto"/>
      </w:divBdr>
    </w:div>
    <w:div w:id="1657101768">
      <w:bodyDiv w:val="1"/>
      <w:marLeft w:val="0"/>
      <w:marRight w:val="0"/>
      <w:marTop w:val="0"/>
      <w:marBottom w:val="0"/>
      <w:divBdr>
        <w:top w:val="none" w:sz="0" w:space="0" w:color="auto"/>
        <w:left w:val="none" w:sz="0" w:space="0" w:color="auto"/>
        <w:bottom w:val="none" w:sz="0" w:space="0" w:color="auto"/>
        <w:right w:val="none" w:sz="0" w:space="0" w:color="auto"/>
      </w:divBdr>
    </w:div>
    <w:div w:id="1661882644">
      <w:bodyDiv w:val="1"/>
      <w:marLeft w:val="0"/>
      <w:marRight w:val="0"/>
      <w:marTop w:val="0"/>
      <w:marBottom w:val="0"/>
      <w:divBdr>
        <w:top w:val="none" w:sz="0" w:space="0" w:color="auto"/>
        <w:left w:val="none" w:sz="0" w:space="0" w:color="auto"/>
        <w:bottom w:val="none" w:sz="0" w:space="0" w:color="auto"/>
        <w:right w:val="none" w:sz="0" w:space="0" w:color="auto"/>
      </w:divBdr>
    </w:div>
    <w:div w:id="1688630405">
      <w:bodyDiv w:val="1"/>
      <w:marLeft w:val="0"/>
      <w:marRight w:val="0"/>
      <w:marTop w:val="0"/>
      <w:marBottom w:val="0"/>
      <w:divBdr>
        <w:top w:val="none" w:sz="0" w:space="0" w:color="auto"/>
        <w:left w:val="none" w:sz="0" w:space="0" w:color="auto"/>
        <w:bottom w:val="none" w:sz="0" w:space="0" w:color="auto"/>
        <w:right w:val="none" w:sz="0" w:space="0" w:color="auto"/>
      </w:divBdr>
    </w:div>
    <w:div w:id="1691682620">
      <w:bodyDiv w:val="1"/>
      <w:marLeft w:val="0"/>
      <w:marRight w:val="0"/>
      <w:marTop w:val="0"/>
      <w:marBottom w:val="0"/>
      <w:divBdr>
        <w:top w:val="none" w:sz="0" w:space="0" w:color="auto"/>
        <w:left w:val="none" w:sz="0" w:space="0" w:color="auto"/>
        <w:bottom w:val="none" w:sz="0" w:space="0" w:color="auto"/>
        <w:right w:val="none" w:sz="0" w:space="0" w:color="auto"/>
      </w:divBdr>
    </w:div>
    <w:div w:id="1702511485">
      <w:bodyDiv w:val="1"/>
      <w:marLeft w:val="0"/>
      <w:marRight w:val="0"/>
      <w:marTop w:val="0"/>
      <w:marBottom w:val="0"/>
      <w:divBdr>
        <w:top w:val="none" w:sz="0" w:space="0" w:color="auto"/>
        <w:left w:val="none" w:sz="0" w:space="0" w:color="auto"/>
        <w:bottom w:val="none" w:sz="0" w:space="0" w:color="auto"/>
        <w:right w:val="none" w:sz="0" w:space="0" w:color="auto"/>
      </w:divBdr>
    </w:div>
    <w:div w:id="1703433400">
      <w:bodyDiv w:val="1"/>
      <w:marLeft w:val="0"/>
      <w:marRight w:val="0"/>
      <w:marTop w:val="0"/>
      <w:marBottom w:val="0"/>
      <w:divBdr>
        <w:top w:val="none" w:sz="0" w:space="0" w:color="auto"/>
        <w:left w:val="none" w:sz="0" w:space="0" w:color="auto"/>
        <w:bottom w:val="none" w:sz="0" w:space="0" w:color="auto"/>
        <w:right w:val="none" w:sz="0" w:space="0" w:color="auto"/>
      </w:divBdr>
    </w:div>
    <w:div w:id="1709336417">
      <w:bodyDiv w:val="1"/>
      <w:marLeft w:val="0"/>
      <w:marRight w:val="0"/>
      <w:marTop w:val="0"/>
      <w:marBottom w:val="0"/>
      <w:divBdr>
        <w:top w:val="none" w:sz="0" w:space="0" w:color="auto"/>
        <w:left w:val="none" w:sz="0" w:space="0" w:color="auto"/>
        <w:bottom w:val="none" w:sz="0" w:space="0" w:color="auto"/>
        <w:right w:val="none" w:sz="0" w:space="0" w:color="auto"/>
      </w:divBdr>
    </w:div>
    <w:div w:id="1734695532">
      <w:bodyDiv w:val="1"/>
      <w:marLeft w:val="0"/>
      <w:marRight w:val="0"/>
      <w:marTop w:val="0"/>
      <w:marBottom w:val="0"/>
      <w:divBdr>
        <w:top w:val="none" w:sz="0" w:space="0" w:color="auto"/>
        <w:left w:val="none" w:sz="0" w:space="0" w:color="auto"/>
        <w:bottom w:val="none" w:sz="0" w:space="0" w:color="auto"/>
        <w:right w:val="none" w:sz="0" w:space="0" w:color="auto"/>
      </w:divBdr>
    </w:div>
    <w:div w:id="1736708768">
      <w:bodyDiv w:val="1"/>
      <w:marLeft w:val="0"/>
      <w:marRight w:val="0"/>
      <w:marTop w:val="0"/>
      <w:marBottom w:val="0"/>
      <w:divBdr>
        <w:top w:val="none" w:sz="0" w:space="0" w:color="auto"/>
        <w:left w:val="none" w:sz="0" w:space="0" w:color="auto"/>
        <w:bottom w:val="none" w:sz="0" w:space="0" w:color="auto"/>
        <w:right w:val="none" w:sz="0" w:space="0" w:color="auto"/>
      </w:divBdr>
    </w:div>
    <w:div w:id="1738896033">
      <w:bodyDiv w:val="1"/>
      <w:marLeft w:val="0"/>
      <w:marRight w:val="0"/>
      <w:marTop w:val="0"/>
      <w:marBottom w:val="0"/>
      <w:divBdr>
        <w:top w:val="none" w:sz="0" w:space="0" w:color="auto"/>
        <w:left w:val="none" w:sz="0" w:space="0" w:color="auto"/>
        <w:bottom w:val="none" w:sz="0" w:space="0" w:color="auto"/>
        <w:right w:val="none" w:sz="0" w:space="0" w:color="auto"/>
      </w:divBdr>
    </w:div>
    <w:div w:id="1765103085">
      <w:bodyDiv w:val="1"/>
      <w:marLeft w:val="0"/>
      <w:marRight w:val="0"/>
      <w:marTop w:val="0"/>
      <w:marBottom w:val="0"/>
      <w:divBdr>
        <w:top w:val="none" w:sz="0" w:space="0" w:color="auto"/>
        <w:left w:val="none" w:sz="0" w:space="0" w:color="auto"/>
        <w:bottom w:val="none" w:sz="0" w:space="0" w:color="auto"/>
        <w:right w:val="none" w:sz="0" w:space="0" w:color="auto"/>
      </w:divBdr>
    </w:div>
    <w:div w:id="1766534612">
      <w:bodyDiv w:val="1"/>
      <w:marLeft w:val="0"/>
      <w:marRight w:val="0"/>
      <w:marTop w:val="0"/>
      <w:marBottom w:val="0"/>
      <w:divBdr>
        <w:top w:val="none" w:sz="0" w:space="0" w:color="auto"/>
        <w:left w:val="none" w:sz="0" w:space="0" w:color="auto"/>
        <w:bottom w:val="none" w:sz="0" w:space="0" w:color="auto"/>
        <w:right w:val="none" w:sz="0" w:space="0" w:color="auto"/>
      </w:divBdr>
    </w:div>
    <w:div w:id="1815683549">
      <w:bodyDiv w:val="1"/>
      <w:marLeft w:val="0"/>
      <w:marRight w:val="0"/>
      <w:marTop w:val="0"/>
      <w:marBottom w:val="0"/>
      <w:divBdr>
        <w:top w:val="none" w:sz="0" w:space="0" w:color="auto"/>
        <w:left w:val="none" w:sz="0" w:space="0" w:color="auto"/>
        <w:bottom w:val="none" w:sz="0" w:space="0" w:color="auto"/>
        <w:right w:val="none" w:sz="0" w:space="0" w:color="auto"/>
      </w:divBdr>
    </w:div>
    <w:div w:id="1836652302">
      <w:bodyDiv w:val="1"/>
      <w:marLeft w:val="0"/>
      <w:marRight w:val="0"/>
      <w:marTop w:val="0"/>
      <w:marBottom w:val="0"/>
      <w:divBdr>
        <w:top w:val="none" w:sz="0" w:space="0" w:color="auto"/>
        <w:left w:val="none" w:sz="0" w:space="0" w:color="auto"/>
        <w:bottom w:val="none" w:sz="0" w:space="0" w:color="auto"/>
        <w:right w:val="none" w:sz="0" w:space="0" w:color="auto"/>
      </w:divBdr>
    </w:div>
    <w:div w:id="1842695066">
      <w:bodyDiv w:val="1"/>
      <w:marLeft w:val="0"/>
      <w:marRight w:val="0"/>
      <w:marTop w:val="0"/>
      <w:marBottom w:val="0"/>
      <w:divBdr>
        <w:top w:val="none" w:sz="0" w:space="0" w:color="auto"/>
        <w:left w:val="none" w:sz="0" w:space="0" w:color="auto"/>
        <w:bottom w:val="none" w:sz="0" w:space="0" w:color="auto"/>
        <w:right w:val="none" w:sz="0" w:space="0" w:color="auto"/>
      </w:divBdr>
    </w:div>
    <w:div w:id="1868562638">
      <w:bodyDiv w:val="1"/>
      <w:marLeft w:val="0"/>
      <w:marRight w:val="0"/>
      <w:marTop w:val="0"/>
      <w:marBottom w:val="0"/>
      <w:divBdr>
        <w:top w:val="none" w:sz="0" w:space="0" w:color="auto"/>
        <w:left w:val="none" w:sz="0" w:space="0" w:color="auto"/>
        <w:bottom w:val="none" w:sz="0" w:space="0" w:color="auto"/>
        <w:right w:val="none" w:sz="0" w:space="0" w:color="auto"/>
      </w:divBdr>
    </w:div>
    <w:div w:id="1869100126">
      <w:bodyDiv w:val="1"/>
      <w:marLeft w:val="0"/>
      <w:marRight w:val="0"/>
      <w:marTop w:val="0"/>
      <w:marBottom w:val="0"/>
      <w:divBdr>
        <w:top w:val="none" w:sz="0" w:space="0" w:color="auto"/>
        <w:left w:val="none" w:sz="0" w:space="0" w:color="auto"/>
        <w:bottom w:val="none" w:sz="0" w:space="0" w:color="auto"/>
        <w:right w:val="none" w:sz="0" w:space="0" w:color="auto"/>
      </w:divBdr>
    </w:div>
    <w:div w:id="1894153861">
      <w:bodyDiv w:val="1"/>
      <w:marLeft w:val="0"/>
      <w:marRight w:val="0"/>
      <w:marTop w:val="0"/>
      <w:marBottom w:val="0"/>
      <w:divBdr>
        <w:top w:val="none" w:sz="0" w:space="0" w:color="auto"/>
        <w:left w:val="none" w:sz="0" w:space="0" w:color="auto"/>
        <w:bottom w:val="none" w:sz="0" w:space="0" w:color="auto"/>
        <w:right w:val="none" w:sz="0" w:space="0" w:color="auto"/>
      </w:divBdr>
    </w:div>
    <w:div w:id="1927685473">
      <w:bodyDiv w:val="1"/>
      <w:marLeft w:val="0"/>
      <w:marRight w:val="0"/>
      <w:marTop w:val="0"/>
      <w:marBottom w:val="0"/>
      <w:divBdr>
        <w:top w:val="none" w:sz="0" w:space="0" w:color="auto"/>
        <w:left w:val="none" w:sz="0" w:space="0" w:color="auto"/>
        <w:bottom w:val="none" w:sz="0" w:space="0" w:color="auto"/>
        <w:right w:val="none" w:sz="0" w:space="0" w:color="auto"/>
      </w:divBdr>
    </w:div>
    <w:div w:id="1931155420">
      <w:bodyDiv w:val="1"/>
      <w:marLeft w:val="0"/>
      <w:marRight w:val="0"/>
      <w:marTop w:val="0"/>
      <w:marBottom w:val="0"/>
      <w:divBdr>
        <w:top w:val="none" w:sz="0" w:space="0" w:color="auto"/>
        <w:left w:val="none" w:sz="0" w:space="0" w:color="auto"/>
        <w:bottom w:val="none" w:sz="0" w:space="0" w:color="auto"/>
        <w:right w:val="none" w:sz="0" w:space="0" w:color="auto"/>
      </w:divBdr>
    </w:div>
    <w:div w:id="1948610325">
      <w:bodyDiv w:val="1"/>
      <w:marLeft w:val="0"/>
      <w:marRight w:val="0"/>
      <w:marTop w:val="0"/>
      <w:marBottom w:val="0"/>
      <w:divBdr>
        <w:top w:val="none" w:sz="0" w:space="0" w:color="auto"/>
        <w:left w:val="none" w:sz="0" w:space="0" w:color="auto"/>
        <w:bottom w:val="none" w:sz="0" w:space="0" w:color="auto"/>
        <w:right w:val="none" w:sz="0" w:space="0" w:color="auto"/>
      </w:divBdr>
    </w:div>
    <w:div w:id="1962881530">
      <w:bodyDiv w:val="1"/>
      <w:marLeft w:val="0"/>
      <w:marRight w:val="0"/>
      <w:marTop w:val="0"/>
      <w:marBottom w:val="0"/>
      <w:divBdr>
        <w:top w:val="none" w:sz="0" w:space="0" w:color="auto"/>
        <w:left w:val="none" w:sz="0" w:space="0" w:color="auto"/>
        <w:bottom w:val="none" w:sz="0" w:space="0" w:color="auto"/>
        <w:right w:val="none" w:sz="0" w:space="0" w:color="auto"/>
      </w:divBdr>
    </w:div>
    <w:div w:id="1986738491">
      <w:bodyDiv w:val="1"/>
      <w:marLeft w:val="0"/>
      <w:marRight w:val="0"/>
      <w:marTop w:val="0"/>
      <w:marBottom w:val="0"/>
      <w:divBdr>
        <w:top w:val="none" w:sz="0" w:space="0" w:color="auto"/>
        <w:left w:val="none" w:sz="0" w:space="0" w:color="auto"/>
        <w:bottom w:val="none" w:sz="0" w:space="0" w:color="auto"/>
        <w:right w:val="none" w:sz="0" w:space="0" w:color="auto"/>
      </w:divBdr>
    </w:div>
    <w:div w:id="1993371201">
      <w:bodyDiv w:val="1"/>
      <w:marLeft w:val="0"/>
      <w:marRight w:val="0"/>
      <w:marTop w:val="0"/>
      <w:marBottom w:val="0"/>
      <w:divBdr>
        <w:top w:val="none" w:sz="0" w:space="0" w:color="auto"/>
        <w:left w:val="none" w:sz="0" w:space="0" w:color="auto"/>
        <w:bottom w:val="none" w:sz="0" w:space="0" w:color="auto"/>
        <w:right w:val="none" w:sz="0" w:space="0" w:color="auto"/>
      </w:divBdr>
    </w:div>
    <w:div w:id="1998922052">
      <w:bodyDiv w:val="1"/>
      <w:marLeft w:val="0"/>
      <w:marRight w:val="0"/>
      <w:marTop w:val="0"/>
      <w:marBottom w:val="0"/>
      <w:divBdr>
        <w:top w:val="none" w:sz="0" w:space="0" w:color="auto"/>
        <w:left w:val="none" w:sz="0" w:space="0" w:color="auto"/>
        <w:bottom w:val="none" w:sz="0" w:space="0" w:color="auto"/>
        <w:right w:val="none" w:sz="0" w:space="0" w:color="auto"/>
      </w:divBdr>
    </w:div>
    <w:div w:id="2012175062">
      <w:bodyDiv w:val="1"/>
      <w:marLeft w:val="0"/>
      <w:marRight w:val="0"/>
      <w:marTop w:val="0"/>
      <w:marBottom w:val="0"/>
      <w:divBdr>
        <w:top w:val="none" w:sz="0" w:space="0" w:color="auto"/>
        <w:left w:val="none" w:sz="0" w:space="0" w:color="auto"/>
        <w:bottom w:val="none" w:sz="0" w:space="0" w:color="auto"/>
        <w:right w:val="none" w:sz="0" w:space="0" w:color="auto"/>
      </w:divBdr>
    </w:div>
    <w:div w:id="2028752953">
      <w:bodyDiv w:val="1"/>
      <w:marLeft w:val="0"/>
      <w:marRight w:val="0"/>
      <w:marTop w:val="0"/>
      <w:marBottom w:val="0"/>
      <w:divBdr>
        <w:top w:val="none" w:sz="0" w:space="0" w:color="auto"/>
        <w:left w:val="none" w:sz="0" w:space="0" w:color="auto"/>
        <w:bottom w:val="none" w:sz="0" w:space="0" w:color="auto"/>
        <w:right w:val="none" w:sz="0" w:space="0" w:color="auto"/>
      </w:divBdr>
    </w:div>
    <w:div w:id="2033023481">
      <w:bodyDiv w:val="1"/>
      <w:marLeft w:val="0"/>
      <w:marRight w:val="0"/>
      <w:marTop w:val="0"/>
      <w:marBottom w:val="0"/>
      <w:divBdr>
        <w:top w:val="none" w:sz="0" w:space="0" w:color="auto"/>
        <w:left w:val="none" w:sz="0" w:space="0" w:color="auto"/>
        <w:bottom w:val="none" w:sz="0" w:space="0" w:color="auto"/>
        <w:right w:val="none" w:sz="0" w:space="0" w:color="auto"/>
      </w:divBdr>
    </w:div>
    <w:div w:id="2035417723">
      <w:bodyDiv w:val="1"/>
      <w:marLeft w:val="0"/>
      <w:marRight w:val="0"/>
      <w:marTop w:val="0"/>
      <w:marBottom w:val="0"/>
      <w:divBdr>
        <w:top w:val="none" w:sz="0" w:space="0" w:color="auto"/>
        <w:left w:val="none" w:sz="0" w:space="0" w:color="auto"/>
        <w:bottom w:val="none" w:sz="0" w:space="0" w:color="auto"/>
        <w:right w:val="none" w:sz="0" w:space="0" w:color="auto"/>
      </w:divBdr>
    </w:div>
    <w:div w:id="2038197158">
      <w:bodyDiv w:val="1"/>
      <w:marLeft w:val="0"/>
      <w:marRight w:val="0"/>
      <w:marTop w:val="0"/>
      <w:marBottom w:val="0"/>
      <w:divBdr>
        <w:top w:val="none" w:sz="0" w:space="0" w:color="auto"/>
        <w:left w:val="none" w:sz="0" w:space="0" w:color="auto"/>
        <w:bottom w:val="none" w:sz="0" w:space="0" w:color="auto"/>
        <w:right w:val="none" w:sz="0" w:space="0" w:color="auto"/>
      </w:divBdr>
    </w:div>
    <w:div w:id="2071223024">
      <w:bodyDiv w:val="1"/>
      <w:marLeft w:val="0"/>
      <w:marRight w:val="0"/>
      <w:marTop w:val="0"/>
      <w:marBottom w:val="0"/>
      <w:divBdr>
        <w:top w:val="none" w:sz="0" w:space="0" w:color="auto"/>
        <w:left w:val="none" w:sz="0" w:space="0" w:color="auto"/>
        <w:bottom w:val="none" w:sz="0" w:space="0" w:color="auto"/>
        <w:right w:val="none" w:sz="0" w:space="0" w:color="auto"/>
      </w:divBdr>
    </w:div>
    <w:div w:id="2089955988">
      <w:bodyDiv w:val="1"/>
      <w:marLeft w:val="0"/>
      <w:marRight w:val="0"/>
      <w:marTop w:val="0"/>
      <w:marBottom w:val="0"/>
      <w:divBdr>
        <w:top w:val="none" w:sz="0" w:space="0" w:color="auto"/>
        <w:left w:val="none" w:sz="0" w:space="0" w:color="auto"/>
        <w:bottom w:val="none" w:sz="0" w:space="0" w:color="auto"/>
        <w:right w:val="none" w:sz="0" w:space="0" w:color="auto"/>
      </w:divBdr>
    </w:div>
    <w:div w:id="2099717869">
      <w:bodyDiv w:val="1"/>
      <w:marLeft w:val="0"/>
      <w:marRight w:val="0"/>
      <w:marTop w:val="0"/>
      <w:marBottom w:val="0"/>
      <w:divBdr>
        <w:top w:val="none" w:sz="0" w:space="0" w:color="auto"/>
        <w:left w:val="none" w:sz="0" w:space="0" w:color="auto"/>
        <w:bottom w:val="none" w:sz="0" w:space="0" w:color="auto"/>
        <w:right w:val="none" w:sz="0" w:space="0" w:color="auto"/>
      </w:divBdr>
    </w:div>
    <w:div w:id="2124883885">
      <w:bodyDiv w:val="1"/>
      <w:marLeft w:val="0"/>
      <w:marRight w:val="0"/>
      <w:marTop w:val="0"/>
      <w:marBottom w:val="0"/>
      <w:divBdr>
        <w:top w:val="none" w:sz="0" w:space="0" w:color="auto"/>
        <w:left w:val="none" w:sz="0" w:space="0" w:color="auto"/>
        <w:bottom w:val="none" w:sz="0" w:space="0" w:color="auto"/>
        <w:right w:val="none" w:sz="0" w:space="0" w:color="auto"/>
      </w:divBdr>
    </w:div>
    <w:div w:id="2134253431">
      <w:bodyDiv w:val="1"/>
      <w:marLeft w:val="0"/>
      <w:marRight w:val="0"/>
      <w:marTop w:val="0"/>
      <w:marBottom w:val="0"/>
      <w:divBdr>
        <w:top w:val="none" w:sz="0" w:space="0" w:color="auto"/>
        <w:left w:val="none" w:sz="0" w:space="0" w:color="auto"/>
        <w:bottom w:val="none" w:sz="0" w:space="0" w:color="auto"/>
        <w:right w:val="none" w:sz="0" w:space="0" w:color="auto"/>
      </w:divBdr>
    </w:div>
    <w:div w:id="2136023539">
      <w:bodyDiv w:val="1"/>
      <w:marLeft w:val="0"/>
      <w:marRight w:val="0"/>
      <w:marTop w:val="0"/>
      <w:marBottom w:val="0"/>
      <w:divBdr>
        <w:top w:val="none" w:sz="0" w:space="0" w:color="auto"/>
        <w:left w:val="none" w:sz="0" w:space="0" w:color="auto"/>
        <w:bottom w:val="none" w:sz="0" w:space="0" w:color="auto"/>
        <w:right w:val="none" w:sz="0" w:space="0" w:color="auto"/>
      </w:divBdr>
    </w:div>
    <w:div w:id="2144424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Aston</a:t>
            </a:r>
            <a:r>
              <a:rPr lang="en-GB" baseline="0"/>
              <a:t> Martin Financial Performance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'Operati Profit Margin Ratio'!$B$8</c:f>
              <c:strCache>
                <c:ptCount val="1"/>
                <c:pt idx="0">
                  <c:v>Revenue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'Operati Profit Margin Ratio'!$C$2:$G$2</c:f>
              <c:numCache>
                <c:formatCode>General</c:formatCode>
                <c:ptCount val="5"/>
                <c:pt idx="0">
                  <c:v>2018</c:v>
                </c:pt>
                <c:pt idx="1">
                  <c:v>2019</c:v>
                </c:pt>
                <c:pt idx="2">
                  <c:v>2020</c:v>
                </c:pt>
                <c:pt idx="3">
                  <c:v>2021</c:v>
                </c:pt>
                <c:pt idx="4">
                  <c:v>2022</c:v>
                </c:pt>
              </c:numCache>
            </c:numRef>
          </c:cat>
          <c:val>
            <c:numRef>
              <c:f>'Operati Profit Margin Ratio'!$C$8:$G$8</c:f>
              <c:numCache>
                <c:formatCode>#,##0.0</c:formatCode>
                <c:ptCount val="5"/>
                <c:pt idx="0">
                  <c:v>1096.5</c:v>
                </c:pt>
                <c:pt idx="1">
                  <c:v>997.3</c:v>
                </c:pt>
                <c:pt idx="2">
                  <c:v>611.79999999999995</c:v>
                </c:pt>
                <c:pt idx="3">
                  <c:v>1095.3</c:v>
                </c:pt>
                <c:pt idx="4">
                  <c:v>1381.5</c:v>
                </c:pt>
              </c:numCache>
            </c:numRef>
          </c:val>
          <c:smooth val="0"/>
          <c:extLst>
            <c:ext xmlns:c16="http://schemas.microsoft.com/office/drawing/2014/chart" uri="{C3380CC4-5D6E-409C-BE32-E72D297353CC}">
              <c16:uniqueId val="{00000000-2097-4878-AD19-ACA4C08DEC63}"/>
            </c:ext>
          </c:extLst>
        </c:ser>
        <c:ser>
          <c:idx val="1"/>
          <c:order val="1"/>
          <c:tx>
            <c:strRef>
              <c:f>'Operati Profit Margin Ratio'!$B$11</c:f>
              <c:strCache>
                <c:ptCount val="1"/>
                <c:pt idx="0">
                  <c:v>Cost Of Goods Sold (COGS)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'Operati Profit Margin Ratio'!$C$2:$G$2</c:f>
              <c:numCache>
                <c:formatCode>General</c:formatCode>
                <c:ptCount val="5"/>
                <c:pt idx="0">
                  <c:v>2018</c:v>
                </c:pt>
                <c:pt idx="1">
                  <c:v>2019</c:v>
                </c:pt>
                <c:pt idx="2">
                  <c:v>2020</c:v>
                </c:pt>
                <c:pt idx="3">
                  <c:v>2021</c:v>
                </c:pt>
                <c:pt idx="4">
                  <c:v>2022</c:v>
                </c:pt>
              </c:numCache>
            </c:numRef>
          </c:cat>
          <c:val>
            <c:numRef>
              <c:f>'Operati Profit Margin Ratio'!$C$11:$G$11</c:f>
              <c:numCache>
                <c:formatCode>#,##0.0</c:formatCode>
                <c:ptCount val="5"/>
                <c:pt idx="0">
                  <c:v>660.7</c:v>
                </c:pt>
                <c:pt idx="1">
                  <c:v>642.70000000000005</c:v>
                </c:pt>
                <c:pt idx="2">
                  <c:v>500.7</c:v>
                </c:pt>
                <c:pt idx="3">
                  <c:v>751.6</c:v>
                </c:pt>
                <c:pt idx="4">
                  <c:v>930.8</c:v>
                </c:pt>
              </c:numCache>
            </c:numRef>
          </c:val>
          <c:smooth val="0"/>
          <c:extLst>
            <c:ext xmlns:c16="http://schemas.microsoft.com/office/drawing/2014/chart" uri="{C3380CC4-5D6E-409C-BE32-E72D297353CC}">
              <c16:uniqueId val="{00000001-2097-4878-AD19-ACA4C08DEC63}"/>
            </c:ext>
          </c:extLst>
        </c:ser>
        <c:ser>
          <c:idx val="2"/>
          <c:order val="2"/>
          <c:tx>
            <c:strRef>
              <c:f>'Operati Profit Margin Ratio'!$B$12</c:f>
              <c:strCache>
                <c:ptCount val="1"/>
                <c:pt idx="0">
                  <c:v>Selling, General and Administrative expenses (SG&amp;A)</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'Operati Profit Margin Ratio'!$C$2:$G$2</c:f>
              <c:numCache>
                <c:formatCode>General</c:formatCode>
                <c:ptCount val="5"/>
                <c:pt idx="0">
                  <c:v>2018</c:v>
                </c:pt>
                <c:pt idx="1">
                  <c:v>2019</c:v>
                </c:pt>
                <c:pt idx="2">
                  <c:v>2020</c:v>
                </c:pt>
                <c:pt idx="3">
                  <c:v>2021</c:v>
                </c:pt>
                <c:pt idx="4">
                  <c:v>2022</c:v>
                </c:pt>
              </c:numCache>
            </c:numRef>
          </c:cat>
          <c:val>
            <c:numRef>
              <c:f>'Operati Profit Margin Ratio'!$C$12:$G$12</c:f>
              <c:numCache>
                <c:formatCode>#,##0.0</c:formatCode>
                <c:ptCount val="5"/>
                <c:pt idx="0">
                  <c:v>383</c:v>
                </c:pt>
                <c:pt idx="1">
                  <c:v>330.2</c:v>
                </c:pt>
                <c:pt idx="2">
                  <c:v>336</c:v>
                </c:pt>
                <c:pt idx="3">
                  <c:v>418</c:v>
                </c:pt>
                <c:pt idx="4">
                  <c:v>568.6</c:v>
                </c:pt>
              </c:numCache>
            </c:numRef>
          </c:val>
          <c:smooth val="0"/>
          <c:extLst>
            <c:ext xmlns:c16="http://schemas.microsoft.com/office/drawing/2014/chart" uri="{C3380CC4-5D6E-409C-BE32-E72D297353CC}">
              <c16:uniqueId val="{00000002-2097-4878-AD19-ACA4C08DEC63}"/>
            </c:ext>
          </c:extLst>
        </c:ser>
        <c:ser>
          <c:idx val="3"/>
          <c:order val="3"/>
          <c:tx>
            <c:strRef>
              <c:f>'Operati Profit Margin Ratio'!$B$13</c:f>
              <c:strCache>
                <c:ptCount val="1"/>
                <c:pt idx="0">
                  <c:v>Operating Profit</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val>
            <c:numRef>
              <c:f>'Operati Profit Margin Ratio'!$C$13:$G$13</c:f>
              <c:numCache>
                <c:formatCode>#,##0.0</c:formatCode>
                <c:ptCount val="5"/>
                <c:pt idx="0">
                  <c:v>72.799999999999955</c:v>
                </c:pt>
                <c:pt idx="1">
                  <c:v>-36.700000000000138</c:v>
                </c:pt>
                <c:pt idx="2">
                  <c:v>-322.90000000000009</c:v>
                </c:pt>
                <c:pt idx="3">
                  <c:v>-76.499999999999957</c:v>
                </c:pt>
                <c:pt idx="4">
                  <c:v>-141.8000000000001</c:v>
                </c:pt>
              </c:numCache>
            </c:numRef>
          </c:val>
          <c:smooth val="0"/>
          <c:extLst>
            <c:ext xmlns:c16="http://schemas.microsoft.com/office/drawing/2014/chart" uri="{C3380CC4-5D6E-409C-BE32-E72D297353CC}">
              <c16:uniqueId val="{00000003-2097-4878-AD19-ACA4C08DEC63}"/>
            </c:ext>
          </c:extLst>
        </c:ser>
        <c:dLbls>
          <c:showLegendKey val="0"/>
          <c:showVal val="0"/>
          <c:showCatName val="0"/>
          <c:showSerName val="0"/>
          <c:showPercent val="0"/>
          <c:showBubbleSize val="0"/>
        </c:dLbls>
        <c:marker val="1"/>
        <c:smooth val="0"/>
        <c:axId val="47653504"/>
        <c:axId val="1835727328"/>
      </c:lineChart>
      <c:catAx>
        <c:axId val="47653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5727328"/>
        <c:crosses val="autoZero"/>
        <c:auto val="1"/>
        <c:lblAlgn val="ctr"/>
        <c:lblOffset val="100"/>
        <c:noMultiLvlLbl val="0"/>
      </c:catAx>
      <c:valAx>
        <c:axId val="1835727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535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Ast17</b:Tag>
    <b:SourceType>InternetSite</b:SourceType>
    <b:Guid>{43CDBA91-FA1A-4731-B9A4-65B02E04706C}</b:Guid>
    <b:Title>Aston Martin Company</b:Title>
    <b:Year>2017</b:Year>
    <b:Author>
      <b:Author>
        <b:Corporate>Aston Martin</b:Corporate>
      </b:Author>
    </b:Author>
    <b:YearAccessed>2023</b:YearAccessed>
    <b:MonthAccessed>August</b:MonthAccessed>
    <b:DayAccessed>16</b:DayAccessed>
    <b:URL>https://www.astonmartin.com/en-gb/our-world/news/2017/2/20/company</b:URL>
    <b:RefOrder>1</b:RefOrder>
  </b:Source>
  <b:Source>
    <b:Tag>Ast23</b:Tag>
    <b:SourceType>InternetSite</b:SourceType>
    <b:Guid>{A7019C93-B415-4921-99B0-81ED6E316104}</b:Guid>
    <b:Author>
      <b:Author>
        <b:Corporate>Aston Martin F1</b:Corporate>
      </b:Author>
    </b:Author>
    <b:Title>Aston Martin F1</b:Title>
    <b:Year>2023</b:Year>
    <b:YearAccessed>2023</b:YearAccessed>
    <b:MonthAccessed>September</b:MonthAccessed>
    <b:DayAccessed>7</b:DayAccessed>
    <b:URL>https://www.astonmartinf1.com/en-GB/news/announcement/moving-day-a-proud-milestone-on-our-journey</b:URL>
    <b:RefOrder>2</b:RefOrder>
  </b:Source>
  <b:Source>
    <b:Tag>Atr17</b:Tag>
    <b:SourceType>Book</b:SourceType>
    <b:Guid>{DF49FDFE-23CB-45F8-8B1D-17AA79A23793}</b:Guid>
    <b:Title>Accounting and Finance for Non-Specialists</b:Title>
    <b:Year>2017</b:Year>
    <b:City>Harlow</b:City>
    <b:Publisher>Perason</b:Publisher>
    <b:Edition>10</b:Edition>
    <b:Author>
      <b:Author>
        <b:NameList>
          <b:Person>
            <b:Last>Atrill</b:Last>
            <b:First>Peter</b:First>
          </b:Person>
          <b:Person>
            <b:Last>McLaney</b:Last>
            <b:First>Eddie</b:First>
          </b:Person>
        </b:NameList>
      </b:Author>
    </b:Author>
    <b:RefOrder>3</b:RefOrder>
  </b:Source>
  <b:Source>
    <b:Tag>Edw16</b:Tag>
    <b:SourceType>Book</b:SourceType>
    <b:Guid>{565887B2-A5E4-4CF4-B909-2ADC7A6A6AB4}</b:Guid>
    <b:Title>The Essentials of Finance and Accounting for Nonfinancial Managers</b:Title>
    <b:Year>2016</b:Year>
    <b:City>New York</b:City>
    <b:Publisher>AMACOM</b:Publisher>
    <b:Edition>3</b:Edition>
    <b:Author>
      <b:Author>
        <b:NameList>
          <b:Person>
            <b:Last>Fields</b:Last>
            <b:First>Edward</b:First>
          </b:Person>
        </b:NameList>
      </b:Author>
    </b:Author>
    <b:RefOrder>4</b:RefOrder>
  </b:Source>
  <b:Source>
    <b:Tag>CFI23</b:Tag>
    <b:SourceType>InternetSite</b:SourceType>
    <b:Guid>{55AF2F1C-B396-45D2-B21C-29B5505B4247}</b:Guid>
    <b:Title>Corporate Finance Instite</b:Title>
    <b:Year>2023</b:Year>
    <b:YearAccessed>2023</b:YearAccessed>
    <b:MonthAccessed>September</b:MonthAccessed>
    <b:DayAccessed>10</b:DayAccessed>
    <b:URL>https://corporatefinanceinstitute.com/resources/accounting/limitations-ratio-analysis/</b:URL>
    <b:Author>
      <b:Author>
        <b:NameList>
          <b:Person>
            <b:Last>CFI_Team</b:Last>
          </b:Person>
        </b:NameList>
      </b:Author>
    </b:Author>
    <b:RefOrder>5</b:RefOrder>
  </b:Source>
  <b:Source>
    <b:Tag>Fin23</b:Tag>
    <b:SourceType>InternetSite</b:SourceType>
    <b:Guid>{E0A3903C-D44C-46C2-BADC-CE2EF84F88E3}</b:Guid>
    <b:Author>
      <b:Author>
        <b:Corporate>Finbox</b:Corporate>
      </b:Author>
    </b:Author>
    <b:Title>Finbox</b:Title>
    <b:Year>2023</b:Year>
    <b:YearAccessed>2023</b:YearAccessed>
    <b:MonthAccessed>September</b:MonthAccessed>
    <b:DayAccessed>11</b:DayAccessed>
    <b:URL>https://finbox.com/DB:DAI/explorer/gp_margin/</b:URL>
    <b:RefOrder>6</b:RefOrder>
  </b:Source>
  <b:Source>
    <b:Tag>Fin231</b:Tag>
    <b:SourceType>InternetSite</b:SourceType>
    <b:Guid>{E14B717D-244C-4F25-84A5-3DB5D08BCD06}</b:Guid>
    <b:Author>
      <b:Author>
        <b:Corporate>Finbox</b:Corporate>
      </b:Author>
    </b:Author>
    <b:Title>Finbox</b:Title>
    <b:Year>2023</b:Year>
    <b:YearAccessed>2023</b:YearAccessed>
    <b:MonthAccessed>September</b:MonthAccessed>
    <b:DayAccessed>11</b:DayAccessed>
    <b:URL>https://finbox.com/NYSE:RACE/explorer/gp_margin/#:~:text=Ferrari%27s%20gross%20profit%20margin%20for%20fiscal%20years%20ending,from%20fiscal%20years%20ending%20December%202018%20to%202022.</b:URL>
    <b:RefOrder>7</b:RefOrder>
  </b:Source>
  <b:Source>
    <b:Tag>Com22</b:Tag>
    <b:SourceType>InternetSite</b:SourceType>
    <b:Guid>{97FE66E5-8D1E-4D40-B257-8D17EC1FE6B4}</b:Guid>
    <b:Title>Company Market Cap</b:Title>
    <b:Year>2022</b:Year>
    <b:YearAccessed>2023</b:YearAccessed>
    <b:MonthAccessed>September</b:MonthAccessed>
    <b:DayAccessed>11</b:DayAccessed>
    <b:URL>https://companiesmarketcap.com/ferrari/operating-margin/</b:URL>
    <b:Author>
      <b:Author>
        <b:NameList>
          <b:Person>
            <b:Last>Comapny_Market_Cap</b:Last>
          </b:Person>
        </b:NameList>
      </b:Author>
    </b:Author>
    <b:RefOrder>8</b:RefOrder>
  </b:Source>
  <b:Source>
    <b:Tag>Com221</b:Tag>
    <b:SourceType>InternetSite</b:SourceType>
    <b:Guid>{11866135-8797-46CD-B6AF-BAB05CEB78BE}</b:Guid>
    <b:Author>
      <b:Author>
        <b:Corporate>Company_Market_Cap</b:Corporate>
      </b:Author>
    </b:Author>
    <b:Title>Company Market cap</b:Title>
    <b:Year>2022</b:Year>
    <b:YearAccessed>2023</b:YearAccessed>
    <b:MonthAccessed>September</b:MonthAccessed>
    <b:DayAccessed>11</b:DayAccessed>
    <b:URL>https://companiesmarketcap.com/mercedes-benz-group/operating-margin/#:~:text=According%20to%20Mercedes-Benz%27s%20latest%20financial%20reports%20and%20stock,the%20company%20had%20an%20Operating%20Margin%20of%2013.53%25.</b:URL>
    <b:RefOrder>9</b:RefOrder>
  </b:Source>
  <b:Source>
    <b:Tag>Mac23</b:Tag>
    <b:SourceType>InternetSite</b:SourceType>
    <b:Guid>{34FE6012-10CC-4A15-8AB2-3528AD6247B8}</b:Guid>
    <b:Author>
      <b:Author>
        <b:Corporate>Macro_Trends</b:Corporate>
      </b:Author>
    </b:Author>
    <b:Title>Marco trends</b:Title>
    <b:Year>2023</b:Year>
    <b:YearAccessed>2023</b:YearAccessed>
    <b:MonthAccessed>September</b:MonthAccessed>
    <b:DayAccessed>11</b:DayAccessed>
    <b:URL>https://www.macrotrends.net/stocks/charts/MBGAF/mercedes-benz-group-ag/net-profit-margin</b:URL>
    <b:RefOrder>10</b:RefOrder>
  </b:Source>
  <b:Source>
    <b:Tag>Mac231</b:Tag>
    <b:SourceType>InternetSite</b:SourceType>
    <b:Guid>{C8C72C37-917B-4167-A193-021BBC8ED6EF}</b:Guid>
    <b:Author>
      <b:Author>
        <b:Corporate>Macro_Trends</b:Corporate>
      </b:Author>
    </b:Author>
    <b:Title>Macro trends</b:Title>
    <b:Year>2023</b:Year>
    <b:YearAccessed>2023</b:YearAccessed>
    <b:MonthAccessed>September</b:MonthAccessed>
    <b:DayAccessed>11</b:DayAccessed>
    <b:URL>https://www.macrotrends.net/stocks/charts/RACE/ferrari/net-profit-margin</b:URL>
    <b:RefOrder>11</b:RefOrder>
  </b:Source>
  <b:Source>
    <b:Tag>Fer23</b:Tag>
    <b:SourceType>InternetSite</b:SourceType>
    <b:Guid>{6DFD5EC5-1FBE-4D36-A2D2-8E5E59C4E282}</b:Guid>
    <b:Title>Investopedia</b:Title>
    <b:Year>2023</b:Year>
    <b:YearAccessed>2023</b:YearAccessed>
    <b:MonthAccessed>September</b:MonthAccessed>
    <b:DayAccessed>13</b:DayAccessed>
    <b:URL>https://www.investopedia.com/terms/r/returnonequity.asp#What%20Is%20Return%20on%20Equity%20(ROE)?</b:URL>
    <b:Author>
      <b:Author>
        <b:NameList>
          <b:Person>
            <b:Last>Fernando</b:Last>
            <b:First>Jason</b:First>
          </b:Person>
        </b:NameList>
      </b:Author>
    </b:Author>
    <b:RefOrder>12</b:RefOrder>
  </b:Source>
  <b:Source>
    <b:Tag>Fri11</b:Tag>
    <b:SourceType>Book</b:SourceType>
    <b:Guid>{F4F6A00F-0106-49E5-AB81-73083FCD7A37}</b:Guid>
    <b:Title>Finanacial Statement Analysis A Practitioner's Guide</b:Title>
    <b:Year>2011</b:Year>
    <b:City>New Jersey</b:City>
    <b:Publisher>John Wiley and Sons Inc.</b:Publisher>
    <b:Edition>4</b:Edition>
    <b:Author>
      <b:Author>
        <b:NameList>
          <b:Person>
            <b:Last>Fridson</b:Last>
            <b:First>Martin</b:First>
          </b:Person>
          <b:Person>
            <b:Last>Alvarez</b:Last>
            <b:First>Fernando</b:First>
          </b:Person>
        </b:NameList>
      </b:Author>
    </b:Author>
    <b:RefOrder>13</b:RefOrder>
  </b:Source>
</b:Sources>
</file>

<file path=customXml/itemProps1.xml><?xml version="1.0" encoding="utf-8"?>
<ds:datastoreItem xmlns:ds="http://schemas.openxmlformats.org/officeDocument/2006/customXml" ds:itemID="{A06EEBC5-86F8-489F-B820-3E9D2749F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3198</TotalTime>
  <Pages>20</Pages>
  <Words>4269</Words>
  <Characters>24336</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56</cp:revision>
  <dcterms:created xsi:type="dcterms:W3CDTF">2023-09-24T12:43:00Z</dcterms:created>
  <dcterms:modified xsi:type="dcterms:W3CDTF">2023-09-28T17:11:00Z</dcterms:modified>
</cp:coreProperties>
</file>