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3CF" w:rsidRDefault="000803CF" w:rsidP="000803CF">
      <w:pPr>
        <w:jc w:val="center"/>
        <w:rPr>
          <w:rFonts w:ascii="Arial" w:hAnsi="Arial" w:cs="Arial"/>
          <w:b/>
          <w:lang w:val="cy-GB"/>
        </w:rPr>
      </w:pPr>
    </w:p>
    <w:p w:rsidR="000803CF" w:rsidRDefault="000803CF" w:rsidP="000803CF">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803CF" w:rsidTr="00A577D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0803CF" w:rsidRDefault="000803CF" w:rsidP="00A577D9">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Student Name: Aaron Jack Barry</w:t>
            </w:r>
          </w:p>
          <w:p w:rsidR="000803CF" w:rsidRDefault="000803CF" w:rsidP="00A577D9">
            <w:pPr>
              <w:pStyle w:val="NormalWeb"/>
              <w:spacing w:before="0" w:beforeAutospacing="0" w:after="0" w:afterAutospacing="0" w:line="256" w:lineRule="auto"/>
              <w:ind w:right="34"/>
              <w:rPr>
                <w:rFonts w:ascii="Calibri" w:hAnsi="Calibri" w:cs="Tahoma"/>
                <w:i/>
                <w:sz w:val="24"/>
                <w:szCs w:val="24"/>
              </w:rPr>
            </w:pPr>
          </w:p>
        </w:tc>
      </w:tr>
      <w:tr w:rsidR="000803CF" w:rsidTr="00A577D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0803CF" w:rsidRDefault="000803CF" w:rsidP="00A577D9">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Module Code: CLSC6014</w:t>
            </w:r>
          </w:p>
          <w:p w:rsidR="000803CF" w:rsidRDefault="000803CF" w:rsidP="00A577D9">
            <w:pPr>
              <w:pStyle w:val="NormalWeb"/>
              <w:spacing w:before="0" w:beforeAutospacing="0" w:after="0" w:afterAutospacing="0" w:line="256" w:lineRule="auto"/>
              <w:ind w:right="34"/>
              <w:rPr>
                <w:rFonts w:ascii="Calibri" w:hAnsi="Calibri" w:cs="Tahoma"/>
                <w:i/>
                <w:sz w:val="24"/>
                <w:szCs w:val="24"/>
              </w:rPr>
            </w:pPr>
          </w:p>
          <w:p w:rsidR="000803CF" w:rsidRDefault="000803CF" w:rsidP="00A577D9">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Module title: Court and Society</w:t>
            </w:r>
          </w:p>
          <w:p w:rsidR="000803CF" w:rsidRDefault="000803CF" w:rsidP="00A577D9">
            <w:pPr>
              <w:pStyle w:val="NormalWeb"/>
              <w:spacing w:before="0" w:beforeAutospacing="0" w:after="0" w:afterAutospacing="0" w:line="256" w:lineRule="auto"/>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hideMark/>
          </w:tcPr>
          <w:p w:rsidR="000803CF" w:rsidRDefault="000803CF" w:rsidP="00A577D9">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Student number: 1500670</w:t>
            </w:r>
          </w:p>
        </w:tc>
      </w:tr>
      <w:tr w:rsidR="000803CF" w:rsidTr="00A577D9">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0803CF" w:rsidRDefault="000803CF" w:rsidP="00A577D9">
            <w:pPr>
              <w:pStyle w:val="NormalWeb"/>
              <w:spacing w:before="0" w:beforeAutospacing="0" w:after="0" w:afterAutospacing="0" w:line="256" w:lineRule="auto"/>
              <w:rPr>
                <w:rFonts w:ascii="Calibri" w:hAnsi="Calibri" w:cs="Tahoma"/>
                <w:i/>
                <w:sz w:val="24"/>
                <w:szCs w:val="24"/>
              </w:rPr>
            </w:pPr>
            <w:r>
              <w:rPr>
                <w:rFonts w:ascii="Calibri" w:hAnsi="Calibri" w:cs="Tahoma"/>
                <w:i/>
                <w:sz w:val="24"/>
                <w:szCs w:val="24"/>
              </w:rPr>
              <w:t>For completion by marker:</w:t>
            </w:r>
          </w:p>
          <w:p w:rsidR="000803CF" w:rsidRDefault="000803CF" w:rsidP="00A577D9">
            <w:pPr>
              <w:pStyle w:val="NormalWeb"/>
              <w:spacing w:line="256" w:lineRule="auto"/>
              <w:rPr>
                <w:rFonts w:ascii="Calibri" w:hAnsi="Calibri" w:cs="Tahoma"/>
                <w:i/>
                <w:sz w:val="24"/>
                <w:szCs w:val="24"/>
              </w:rPr>
            </w:pPr>
            <w:r>
              <w:rPr>
                <w:rFonts w:ascii="Calibri" w:hAnsi="Calibri" w:cs="Tahoma"/>
                <w:i/>
                <w:sz w:val="24"/>
                <w:szCs w:val="24"/>
              </w:rPr>
              <w:t>Comments:</w:t>
            </w: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p w:rsidR="000803CF" w:rsidRDefault="000803CF" w:rsidP="00A577D9">
            <w:pPr>
              <w:pStyle w:val="NormalWeb"/>
              <w:spacing w:line="256" w:lineRule="auto"/>
              <w:rPr>
                <w:rFonts w:ascii="Calibri" w:hAnsi="Calibri" w:cs="Tahoma"/>
                <w:i/>
                <w:sz w:val="24"/>
                <w:szCs w:val="24"/>
              </w:rPr>
            </w:pPr>
          </w:p>
        </w:tc>
      </w:tr>
      <w:tr w:rsidR="000803CF" w:rsidTr="00A577D9">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0803CF" w:rsidRDefault="000803CF" w:rsidP="00A577D9">
            <w:pPr>
              <w:pStyle w:val="NormalWeb"/>
              <w:spacing w:beforeAutospacing="0" w:afterAutospacing="0" w:line="256" w:lineRule="auto"/>
              <w:ind w:left="142" w:right="34"/>
              <w:rPr>
                <w:rFonts w:ascii="Calibri" w:hAnsi="Calibri" w:cs="Tahoma"/>
                <w:i/>
                <w:sz w:val="24"/>
                <w:szCs w:val="24"/>
              </w:rPr>
            </w:pPr>
            <w:r>
              <w:rPr>
                <w:rFonts w:ascii="Calibri" w:hAnsi="Calibri" w:cs="Tahoma"/>
                <w:i/>
                <w:sz w:val="24"/>
                <w:szCs w:val="24"/>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0803CF" w:rsidRDefault="000803CF" w:rsidP="00A577D9">
            <w:pPr>
              <w:pStyle w:val="NormalWeb"/>
              <w:spacing w:beforeAutospacing="0" w:after="0" w:afterAutospacing="0" w:line="256" w:lineRule="auto"/>
              <w:ind w:left="142" w:right="34"/>
              <w:rPr>
                <w:rFonts w:ascii="Calibri" w:hAnsi="Calibri" w:cs="Tahoma"/>
                <w:i/>
                <w:sz w:val="24"/>
                <w:szCs w:val="24"/>
              </w:rPr>
            </w:pPr>
            <w:r>
              <w:rPr>
                <w:rFonts w:ascii="Calibri" w:hAnsi="Calibri" w:cs="Tahoma"/>
                <w:i/>
                <w:sz w:val="24"/>
                <w:szCs w:val="24"/>
              </w:rPr>
              <w:t>Date:</w:t>
            </w:r>
          </w:p>
        </w:tc>
      </w:tr>
      <w:tr w:rsidR="000803CF" w:rsidTr="00A577D9">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0803CF" w:rsidRDefault="000803CF" w:rsidP="00A577D9">
            <w:pPr>
              <w:pStyle w:val="NormalWeb"/>
              <w:spacing w:before="0" w:beforeAutospacing="0" w:after="0" w:afterAutospacing="0" w:line="256" w:lineRule="auto"/>
              <w:ind w:left="142" w:right="34"/>
              <w:rPr>
                <w:rFonts w:ascii="Calibri" w:hAnsi="Calibri" w:cs="Tahoma"/>
                <w:i/>
                <w:sz w:val="24"/>
                <w:szCs w:val="24"/>
              </w:rPr>
            </w:pPr>
            <w:r>
              <w:rPr>
                <w:rFonts w:ascii="Calibri" w:hAnsi="Calibri" w:cs="Tahoma"/>
                <w:i/>
                <w:sz w:val="24"/>
                <w:szCs w:val="24"/>
              </w:rPr>
              <w:t xml:space="preserve">Provisional mark: </w:t>
            </w:r>
          </w:p>
          <w:p w:rsidR="000803CF" w:rsidRDefault="000803CF" w:rsidP="00A577D9">
            <w:pPr>
              <w:pStyle w:val="NormalWeb"/>
              <w:spacing w:before="0" w:beforeAutospacing="0" w:after="0" w:afterAutospacing="0" w:line="256" w:lineRule="auto"/>
              <w:ind w:left="142" w:right="34"/>
              <w:rPr>
                <w:rFonts w:ascii="Calibri" w:hAnsi="Calibri" w:cs="Tahoma"/>
                <w:i/>
                <w:sz w:val="24"/>
                <w:szCs w:val="24"/>
              </w:rPr>
            </w:pPr>
            <w:r>
              <w:rPr>
                <w:rFonts w:ascii="Calibri" w:hAnsi="Calibri" w:cs="Tahoma"/>
                <w:b/>
                <w:i/>
                <w:sz w:val="24"/>
                <w:szCs w:val="24"/>
              </w:rPr>
              <w:t>NB.</w:t>
            </w:r>
            <w:r>
              <w:rPr>
                <w:rFonts w:ascii="Calibri" w:hAnsi="Calibri" w:cs="Tahoma"/>
                <w:i/>
                <w:sz w:val="24"/>
                <w:szCs w:val="24"/>
              </w:rPr>
              <w:t xml:space="preserve">  All marks are provisional until confirmed by the final examination board. </w:t>
            </w:r>
          </w:p>
        </w:tc>
      </w:tr>
    </w:tbl>
    <w:p w:rsidR="000803CF" w:rsidRDefault="000803CF" w:rsidP="000803CF">
      <w:pPr>
        <w:jc w:val="center"/>
        <w:rPr>
          <w:b/>
          <w:sz w:val="28"/>
          <w:u w:val="single"/>
        </w:rPr>
      </w:pPr>
    </w:p>
    <w:p w:rsidR="000803CF" w:rsidRDefault="000803CF" w:rsidP="000803CF">
      <w:pPr>
        <w:jc w:val="center"/>
        <w:rPr>
          <w:b/>
          <w:sz w:val="28"/>
          <w:u w:val="single"/>
        </w:rPr>
      </w:pPr>
    </w:p>
    <w:p w:rsidR="000803CF" w:rsidRDefault="000803CF" w:rsidP="000803CF">
      <w:pPr>
        <w:jc w:val="center"/>
        <w:rPr>
          <w:b/>
          <w:sz w:val="28"/>
          <w:u w:val="single"/>
        </w:rPr>
      </w:pPr>
    </w:p>
    <w:p w:rsidR="000803CF" w:rsidRDefault="000803CF" w:rsidP="00390362">
      <w:pPr>
        <w:jc w:val="center"/>
        <w:rPr>
          <w:b/>
          <w:sz w:val="28"/>
          <w:u w:val="single"/>
        </w:rPr>
      </w:pPr>
    </w:p>
    <w:p w:rsidR="000803CF" w:rsidRDefault="000803CF" w:rsidP="00390362">
      <w:pPr>
        <w:jc w:val="center"/>
        <w:rPr>
          <w:b/>
          <w:sz w:val="28"/>
          <w:u w:val="single"/>
        </w:rPr>
      </w:pPr>
    </w:p>
    <w:p w:rsidR="004E0B8E" w:rsidRDefault="00390362" w:rsidP="00390362">
      <w:pPr>
        <w:jc w:val="center"/>
        <w:rPr>
          <w:b/>
          <w:sz w:val="28"/>
          <w:u w:val="single"/>
        </w:rPr>
      </w:pPr>
      <w:r w:rsidRPr="00390362">
        <w:rPr>
          <w:b/>
          <w:sz w:val="28"/>
          <w:u w:val="single"/>
        </w:rPr>
        <w:lastRenderedPageBreak/>
        <w:t>Court and Society Journal</w:t>
      </w:r>
    </w:p>
    <w:p w:rsidR="00390362" w:rsidRDefault="00390362" w:rsidP="000B7E9E">
      <w:pPr>
        <w:spacing w:line="360" w:lineRule="auto"/>
        <w:jc w:val="both"/>
        <w:rPr>
          <w:sz w:val="24"/>
        </w:rPr>
      </w:pPr>
      <w:r>
        <w:rPr>
          <w:sz w:val="24"/>
        </w:rPr>
        <w:t xml:space="preserve">  The ancient world was a beautiful but dangerous place for anyone who lived at the time</w:t>
      </w:r>
      <w:r w:rsidR="00811F7F">
        <w:rPr>
          <w:sz w:val="24"/>
        </w:rPr>
        <w:t xml:space="preserve"> due to wars, famine, and all manner of incurable diseases</w:t>
      </w:r>
      <w:r>
        <w:rPr>
          <w:sz w:val="24"/>
        </w:rPr>
        <w:t>, especially</w:t>
      </w:r>
      <w:r w:rsidR="000B7E9E">
        <w:rPr>
          <w:sz w:val="24"/>
        </w:rPr>
        <w:t xml:space="preserve"> for</w:t>
      </w:r>
      <w:r>
        <w:rPr>
          <w:sz w:val="24"/>
        </w:rPr>
        <w:t xml:space="preserve"> rulers and monarchs of nations great and small. I discovered this by roleplaying as an ancient character, and attempting to survive the schemes and plots of many other players. This journal will aim to cover the important events and decisions I took over the course of the practical element of the module, aiming to use historical precedence to back up why I made certain decisions, and what the outcomes were for my character and the nation he ruled.</w:t>
      </w:r>
    </w:p>
    <w:p w:rsidR="00F24AB1" w:rsidRDefault="00811F7F" w:rsidP="000B7E9E">
      <w:pPr>
        <w:spacing w:line="360" w:lineRule="auto"/>
        <w:jc w:val="both"/>
        <w:rPr>
          <w:sz w:val="24"/>
        </w:rPr>
      </w:pPr>
      <w:r>
        <w:rPr>
          <w:sz w:val="24"/>
        </w:rPr>
        <w:t xml:space="preserve">  Firstly, it would be useful to know who my </w:t>
      </w:r>
      <w:r w:rsidR="00B339FA">
        <w:rPr>
          <w:sz w:val="24"/>
        </w:rPr>
        <w:t xml:space="preserve">first </w:t>
      </w:r>
      <w:r>
        <w:rPr>
          <w:sz w:val="24"/>
        </w:rPr>
        <w:t xml:space="preserve">character was. His name was Apollonius, a thirty five year old Greek male ruling over Coele-Syria, a region to the west of Phoenicia spanning </w:t>
      </w:r>
      <w:r w:rsidR="00FD28F6">
        <w:rPr>
          <w:sz w:val="24"/>
        </w:rPr>
        <w:t>from Damascus to the Euphrates.</w:t>
      </w:r>
      <w:r w:rsidR="00FD28F6">
        <w:rPr>
          <w:rStyle w:val="FootnoteReference"/>
          <w:sz w:val="24"/>
        </w:rPr>
        <w:footnoteReference w:id="1"/>
      </w:r>
      <w:r w:rsidR="00FD28F6">
        <w:rPr>
          <w:sz w:val="24"/>
        </w:rPr>
        <w:t xml:space="preserve"> Coele-Syria started as a puppet of the Ptolemy’s with a Satrap based in Damascus, with my character being assigned the job of provincial governor. </w:t>
      </w:r>
    </w:p>
    <w:p w:rsidR="00811F7F" w:rsidRDefault="00F24AB1" w:rsidP="000B7E9E">
      <w:pPr>
        <w:spacing w:line="360" w:lineRule="auto"/>
        <w:jc w:val="both"/>
        <w:rPr>
          <w:sz w:val="24"/>
        </w:rPr>
      </w:pPr>
      <w:r>
        <w:rPr>
          <w:sz w:val="24"/>
        </w:rPr>
        <w:t xml:space="preserve">  The roleplaying aspect of the module started in 225 BC, a useful starting point as many events had happened within Coele-Syria, the Syrian Wars for example, and, according to history, several more wars happened afterwards.</w:t>
      </w:r>
      <w:r>
        <w:rPr>
          <w:rStyle w:val="FootnoteReference"/>
          <w:sz w:val="24"/>
        </w:rPr>
        <w:footnoteReference w:id="2"/>
      </w:r>
      <w:r w:rsidR="00EC35A7">
        <w:rPr>
          <w:sz w:val="24"/>
        </w:rPr>
        <w:t xml:space="preserve"> The Syrian Wars had been fought between the Seleucid Empire Ptolemaic Kingdom and had ravaged Coele-Syria and Phoenicia, therefore, my character, Apollonius, decided it was prudent to ally with another, small, nation; Phoenicia. To give this decision some context, Phoenicia and Coele-Syria were supposed to be played as one, small nation by the three people that were in our group; myself, Joseph Waddock, and Vincent Hingley. Instead, we decided to play Coele-Syria and Phoenicia as two separate entities, both puppets to the Ptolemaic Kingdom, played by two different people, so that we could get more done and subsequently only have to worry about one region each. Therefore, my character, Apollonius, agreed to work with </w:t>
      </w:r>
      <w:r w:rsidR="008A1382">
        <w:rPr>
          <w:sz w:val="24"/>
        </w:rPr>
        <w:t>Joseph Waddock’s character, Tadmet, to better ourselves and perhaps make our nations more powerful.</w:t>
      </w:r>
    </w:p>
    <w:p w:rsidR="00507C82" w:rsidRDefault="00507C82" w:rsidP="000B7E9E">
      <w:pPr>
        <w:spacing w:line="360" w:lineRule="auto"/>
        <w:jc w:val="both"/>
        <w:rPr>
          <w:sz w:val="24"/>
        </w:rPr>
      </w:pPr>
    </w:p>
    <w:p w:rsidR="00360C35" w:rsidRDefault="00360C35" w:rsidP="000B7E9E">
      <w:pPr>
        <w:spacing w:line="360" w:lineRule="auto"/>
        <w:jc w:val="both"/>
        <w:rPr>
          <w:sz w:val="24"/>
        </w:rPr>
      </w:pPr>
    </w:p>
    <w:p w:rsidR="00DB6CC0" w:rsidRDefault="008A1382" w:rsidP="000B7E9E">
      <w:pPr>
        <w:spacing w:line="360" w:lineRule="auto"/>
        <w:jc w:val="both"/>
        <w:rPr>
          <w:sz w:val="24"/>
        </w:rPr>
      </w:pPr>
      <w:r>
        <w:rPr>
          <w:sz w:val="24"/>
        </w:rPr>
        <w:lastRenderedPageBreak/>
        <w:t xml:space="preserve">  Our first act as a coalition was</w:t>
      </w:r>
      <w:r w:rsidR="009A0F45">
        <w:rPr>
          <w:sz w:val="24"/>
        </w:rPr>
        <w:t>, in 225 BC, to</w:t>
      </w:r>
      <w:r>
        <w:rPr>
          <w:sz w:val="24"/>
        </w:rPr>
        <w:t xml:space="preserve"> rebuild the infrastructure of Coele-Syria and Phoenicia to a degree that would, firstly, allow armies to pass through faster and, secondly, to allow an increase in trade for both our nations. Therefore, we decided to build a permanent stone road from Damascus, in Syria, to Tyre</w:t>
      </w:r>
      <w:r w:rsidR="00360C35">
        <w:rPr>
          <w:sz w:val="24"/>
        </w:rPr>
        <w:t>,</w:t>
      </w:r>
      <w:r>
        <w:rPr>
          <w:sz w:val="24"/>
        </w:rPr>
        <w:t xml:space="preserve"> in Phoenicia. Our historical precedence for doing so was mainly based on the infrastructure and building projects that the Romans had proceeded to carry out when they conquered the area nearly two centuries later, as they brought peace and prosperity to a fractured and warring land.</w:t>
      </w:r>
      <w:r>
        <w:rPr>
          <w:rStyle w:val="FootnoteReference"/>
          <w:sz w:val="24"/>
        </w:rPr>
        <w:footnoteReference w:id="3"/>
      </w:r>
    </w:p>
    <w:p w:rsidR="009A0F45" w:rsidRDefault="00DB6CC0" w:rsidP="000B7E9E">
      <w:pPr>
        <w:spacing w:line="360" w:lineRule="auto"/>
        <w:jc w:val="both"/>
        <w:rPr>
          <w:sz w:val="24"/>
        </w:rPr>
      </w:pPr>
      <w:r>
        <w:rPr>
          <w:sz w:val="24"/>
        </w:rPr>
        <w:t xml:space="preserve">  My character, Apollonius, and Tadmet decided it would be prudent to strengthen our ties by setting up a trade agreement with each other. Coele-Syria would trade some of its more abundant resources; wool, agricultural produce, and marble, in exchange for Phoenician purple dye and cedar wood. Syria still produces an abundance of wool and agricultural produce, yet its marble wealth has been severally exhausted by constant mining throughout history.</w:t>
      </w:r>
      <w:r>
        <w:rPr>
          <w:rStyle w:val="FootnoteReference"/>
          <w:sz w:val="24"/>
        </w:rPr>
        <w:footnoteReference w:id="4"/>
      </w:r>
      <w:r>
        <w:rPr>
          <w:sz w:val="24"/>
        </w:rPr>
        <w:t xml:space="preserve"> </w:t>
      </w:r>
      <w:r w:rsidR="005C3311">
        <w:rPr>
          <w:sz w:val="24"/>
        </w:rPr>
        <w:t xml:space="preserve">An historical precedence for trading between two nations can be seen in the form of the vast ‘Silk Road’ that </w:t>
      </w:r>
      <w:r w:rsidR="00F50D01">
        <w:rPr>
          <w:sz w:val="24"/>
        </w:rPr>
        <w:t>has existed since ancient times, and has since been used by many traders and explorers, such as Marco Polo.</w:t>
      </w:r>
      <w:r w:rsidR="00F50D01">
        <w:rPr>
          <w:rStyle w:val="FootnoteReference"/>
          <w:sz w:val="24"/>
        </w:rPr>
        <w:footnoteReference w:id="5"/>
      </w:r>
    </w:p>
    <w:p w:rsidR="00FD28F6" w:rsidRDefault="00EA2C05" w:rsidP="000B7E9E">
      <w:pPr>
        <w:spacing w:line="360" w:lineRule="auto"/>
        <w:jc w:val="both"/>
        <w:rPr>
          <w:sz w:val="24"/>
        </w:rPr>
      </w:pPr>
      <w:r>
        <w:rPr>
          <w:sz w:val="24"/>
        </w:rPr>
        <w:t xml:space="preserve">  Several years later, threats of war from the Seleucid Empire against the Ptolemaic Kingdom were being issued, therefore, Apollonius and Tadmet decided it was in the best interests of their two nations, and the entire of Ptolemaic Egypt, to begin the process of constructing fortifications along the Northern border of Phoenicia, and the Eastern border of Coele-Syri</w:t>
      </w:r>
      <w:r w:rsidR="009A0F45">
        <w:rPr>
          <w:sz w:val="24"/>
        </w:rPr>
        <w:t>a, on the Euphrates River. However, due to recent wars and devastation, the money that was used to rebuild the infrastructure had not been regained and therefore the fortifications could not be built. It was at that time that we decided to petition the new ruler of Ptolemaic Egypt, Ptolemy IV, to grant us money and manpower to build the forts quickly, before any Seleucid army could invade. Sadly the proposal was rejected in favour of an aggressive strategy when the time came to go to war. Our precedence for building fortifications along our borders to keep our enemies out can be seen throughout history; from Iron Age hill forts to</w:t>
      </w:r>
      <w:r w:rsidR="00462F63">
        <w:rPr>
          <w:sz w:val="24"/>
        </w:rPr>
        <w:t xml:space="preserve"> the</w:t>
      </w:r>
      <w:r w:rsidR="009A0F45">
        <w:rPr>
          <w:sz w:val="24"/>
        </w:rPr>
        <w:t xml:space="preserve"> forward </w:t>
      </w:r>
      <w:r w:rsidR="009A0F45">
        <w:rPr>
          <w:sz w:val="24"/>
        </w:rPr>
        <w:lastRenderedPageBreak/>
        <w:t xml:space="preserve">operating bases used by modern militaries throughout the world, especially by coalition and NATO forces that are and had been stationed in the Middle East </w:t>
      </w:r>
      <w:r w:rsidR="0023721D">
        <w:rPr>
          <w:sz w:val="24"/>
        </w:rPr>
        <w:t>for nearly twenty years.</w:t>
      </w:r>
      <w:r w:rsidR="0023721D">
        <w:rPr>
          <w:rStyle w:val="FootnoteReference"/>
          <w:sz w:val="24"/>
        </w:rPr>
        <w:footnoteReference w:id="6"/>
      </w:r>
      <w:r w:rsidR="00624842">
        <w:rPr>
          <w:sz w:val="24"/>
        </w:rPr>
        <w:t>,</w:t>
      </w:r>
      <w:r w:rsidR="00D3302A">
        <w:rPr>
          <w:rStyle w:val="FootnoteReference"/>
          <w:sz w:val="24"/>
        </w:rPr>
        <w:footnoteReference w:id="7"/>
      </w:r>
      <w:r w:rsidR="00624842">
        <w:rPr>
          <w:sz w:val="24"/>
        </w:rPr>
        <w:t xml:space="preserve"> </w:t>
      </w:r>
    </w:p>
    <w:p w:rsidR="000803CF" w:rsidRDefault="00B65F3B" w:rsidP="000B7E9E">
      <w:pPr>
        <w:spacing w:line="360" w:lineRule="auto"/>
        <w:jc w:val="both"/>
        <w:rPr>
          <w:sz w:val="24"/>
        </w:rPr>
      </w:pPr>
      <w:r>
        <w:rPr>
          <w:sz w:val="24"/>
        </w:rPr>
        <w:t xml:space="preserve">  War between the Seleucid Empire and Ptolemaic Kingdom eventually broke out after the death of Ptolemy III in 223 BC. Coele-Syria was not known for its abundant military power and soldiers, however, after my character, Apollonius, spent two years rebuilding the infrastructure and stability of Coele-Syria, a respectable amount of manpower could be called upon to defend the nation, almost five thousand soldiers. This figure comes from the Roman occupation of Syria and what is known today as the Middle East, as three legions were raised and maintained in the area.</w:t>
      </w:r>
      <w:r>
        <w:rPr>
          <w:rStyle w:val="FootnoteReference"/>
          <w:sz w:val="24"/>
        </w:rPr>
        <w:footnoteReference w:id="8"/>
      </w:r>
      <w:r w:rsidR="005E444A">
        <w:rPr>
          <w:sz w:val="24"/>
        </w:rPr>
        <w:t xml:space="preserve"> On</w:t>
      </w:r>
      <w:r w:rsidR="008B76FC">
        <w:rPr>
          <w:sz w:val="24"/>
        </w:rPr>
        <w:t>ly one of the three legions was</w:t>
      </w:r>
      <w:r w:rsidR="005E444A">
        <w:rPr>
          <w:sz w:val="24"/>
        </w:rPr>
        <w:t xml:space="preserve"> raised in and around Coele-Syria,</w:t>
      </w:r>
      <w:r w:rsidR="00977531">
        <w:rPr>
          <w:sz w:val="24"/>
        </w:rPr>
        <w:t xml:space="preserve"> Legio </w:t>
      </w:r>
      <w:proofErr w:type="spellStart"/>
      <w:r w:rsidR="00977531">
        <w:rPr>
          <w:sz w:val="24"/>
        </w:rPr>
        <w:t>Tertia</w:t>
      </w:r>
      <w:proofErr w:type="spellEnd"/>
      <w:r w:rsidR="00977531">
        <w:rPr>
          <w:sz w:val="24"/>
        </w:rPr>
        <w:t xml:space="preserve"> Cyrenaica,</w:t>
      </w:r>
      <w:r w:rsidR="005E444A">
        <w:rPr>
          <w:sz w:val="24"/>
        </w:rPr>
        <w:t xml:space="preserve"> therefore the figure of five thousand is not unreasonable for the amount of soldiers that could be raised during the Syrian Wars. </w:t>
      </w:r>
      <w:r w:rsidR="004D16B4">
        <w:rPr>
          <w:sz w:val="24"/>
        </w:rPr>
        <w:t>These five thousand soldiers were then sent to Tyre to meet with Ptolemaic forces massing at the city.</w:t>
      </w:r>
    </w:p>
    <w:p w:rsidR="00884E13" w:rsidRDefault="00884E13" w:rsidP="000B7E9E">
      <w:pPr>
        <w:spacing w:line="360" w:lineRule="auto"/>
        <w:jc w:val="both"/>
        <w:rPr>
          <w:sz w:val="24"/>
        </w:rPr>
      </w:pPr>
      <w:r>
        <w:rPr>
          <w:sz w:val="24"/>
        </w:rPr>
        <w:t xml:space="preserve">  One of the most interesting turn of events our characters were in involved in was the death of Crown Prince Eumenes, played by Liam Raybould. Before his untimely demise, Eumenes came to the nations of Coele-Syria and Phoenicia with an offer; if we helped him usurp Ptolemy IV, he would allow us to become free states instead of puppets to Egypt. We made an addendum to that due to the fact that third member of our group was the overall satrap of both Coele-Syria and Phoenicia, and both Apollonius and Tadmet desired to be freed from his rule. Eumenes agreed to get rid of </w:t>
      </w:r>
      <w:r w:rsidR="00D92E51">
        <w:rPr>
          <w:sz w:val="24"/>
        </w:rPr>
        <w:t xml:space="preserve">the satrap in Damascus and all that he had offered previously, in exchange for our help. Sadly, this did not come to pass, as Eumenes was killed by Ptolemy, however, we decided to get rid of the satrap ourselves, and succeeded in fulfilling our ambitions of becoming satraps </w:t>
      </w:r>
      <w:r w:rsidR="00F53C4B">
        <w:rPr>
          <w:sz w:val="24"/>
        </w:rPr>
        <w:t>of our respective nations</w:t>
      </w:r>
      <w:r w:rsidR="00D92E51">
        <w:rPr>
          <w:sz w:val="24"/>
        </w:rPr>
        <w:t xml:space="preserve">. </w:t>
      </w:r>
      <w:r w:rsidR="00E714EE">
        <w:rPr>
          <w:sz w:val="24"/>
        </w:rPr>
        <w:t>Many high ranking officials and rulers were killed in the ancient world by their subjects, therefore our historical precedence for this is the murder of Julius Caesar by his subjects and them subsequently taking power.</w:t>
      </w:r>
      <w:r w:rsidR="00E714EE">
        <w:rPr>
          <w:rStyle w:val="FootnoteReference"/>
          <w:sz w:val="24"/>
        </w:rPr>
        <w:footnoteReference w:id="9"/>
      </w:r>
    </w:p>
    <w:p w:rsidR="000B7E9E" w:rsidRDefault="000B7E9E" w:rsidP="000B7E9E">
      <w:pPr>
        <w:spacing w:line="360" w:lineRule="auto"/>
        <w:jc w:val="both"/>
        <w:rPr>
          <w:sz w:val="24"/>
        </w:rPr>
      </w:pPr>
    </w:p>
    <w:p w:rsidR="000B7E9E" w:rsidRDefault="000B7E9E" w:rsidP="000B7E9E">
      <w:pPr>
        <w:spacing w:line="360" w:lineRule="auto"/>
        <w:jc w:val="both"/>
        <w:rPr>
          <w:sz w:val="24"/>
        </w:rPr>
      </w:pPr>
    </w:p>
    <w:p w:rsidR="00D07407" w:rsidRDefault="00D07407" w:rsidP="000B7E9E">
      <w:pPr>
        <w:spacing w:line="360" w:lineRule="auto"/>
        <w:jc w:val="both"/>
        <w:rPr>
          <w:sz w:val="24"/>
        </w:rPr>
      </w:pPr>
      <w:r>
        <w:rPr>
          <w:sz w:val="24"/>
        </w:rPr>
        <w:lastRenderedPageBreak/>
        <w:t xml:space="preserve">  A plan was hatched by both myself and Tadmet to gain more power and independence from Egypt and the Ptolemy’s that involved stating our intentions through a grovelling letter to Ptolemy IV himself. </w:t>
      </w:r>
      <w:r w:rsidR="004A7517">
        <w:rPr>
          <w:sz w:val="24"/>
        </w:rPr>
        <w:t xml:space="preserve">Sadly, events conspired against us, and my character was invited to peruse a zoo of animals that he had helped to create in Alexandria but, whilst he was there, the letter arrived and Apollonius was subsequently imprisoned in said zoo. </w:t>
      </w:r>
      <w:r w:rsidR="004316BE">
        <w:rPr>
          <w:sz w:val="24"/>
        </w:rPr>
        <w:t xml:space="preserve">It took the intervention of one of Ptolemy’s most </w:t>
      </w:r>
      <w:r w:rsidR="00303478">
        <w:rPr>
          <w:sz w:val="24"/>
        </w:rPr>
        <w:t>trusted</w:t>
      </w:r>
      <w:r w:rsidR="004316BE">
        <w:rPr>
          <w:sz w:val="24"/>
        </w:rPr>
        <w:t xml:space="preserve"> </w:t>
      </w:r>
      <w:r w:rsidR="00303478">
        <w:rPr>
          <w:sz w:val="24"/>
        </w:rPr>
        <w:t>advisors</w:t>
      </w:r>
      <w:r w:rsidR="004316BE">
        <w:rPr>
          <w:sz w:val="24"/>
        </w:rPr>
        <w:t xml:space="preserve"> to stop Ptolemy killing my character, and I swore an unrepayable life debt to the advisor, played by Tory Wilkinson.</w:t>
      </w:r>
      <w:r w:rsidR="00303478">
        <w:rPr>
          <w:sz w:val="24"/>
        </w:rPr>
        <w:t xml:space="preserve"> An event in history that involved subjects breaking away from their overlord can be seen in the shape of the Jews of Judea revolting against Roman rule in 66 AD.</w:t>
      </w:r>
      <w:r w:rsidR="00303478">
        <w:rPr>
          <w:rStyle w:val="FootnoteReference"/>
          <w:sz w:val="24"/>
        </w:rPr>
        <w:footnoteReference w:id="10"/>
      </w:r>
    </w:p>
    <w:p w:rsidR="000B7E9E" w:rsidRDefault="00DB6CC0" w:rsidP="000B7E9E">
      <w:pPr>
        <w:spacing w:line="360" w:lineRule="auto"/>
        <w:jc w:val="both"/>
        <w:rPr>
          <w:sz w:val="24"/>
        </w:rPr>
      </w:pPr>
      <w:r>
        <w:rPr>
          <w:sz w:val="24"/>
        </w:rPr>
        <w:t xml:space="preserve">  </w:t>
      </w:r>
      <w:r w:rsidR="00977531">
        <w:rPr>
          <w:sz w:val="24"/>
        </w:rPr>
        <w:t>The Seleucid Empire won the war against the Ptolemaic Kingdom, took both Phoenicia and Coele-Syria as puppets, and made an alliance with what was left of the Ptolemaic royal court. By 216 BC, however, several plans had been proposed and were in motion to subvert Seleucid power in the region, and free Phoenicia, Antioch, and Coele-Syria from Seleucid rule. The plans involved several secret meetings between Macedon, played by several masters students, to guarantee the freedom of Phoenicia, Antioch, and Coele-Syria for our support in the Macedonian war against the Seleucid Empire. Phoenicia, Antioch, and Coele-Syria would raise and muster as many soldiers as they possibly could and lay siege to and take several important Seleucid cities, forcing them to either try to deal with the Macedonians whilst losing their country, or retreat and attempt to deal with the rebels</w:t>
      </w:r>
      <w:r w:rsidR="002E7952">
        <w:rPr>
          <w:sz w:val="24"/>
        </w:rPr>
        <w:t xml:space="preserve"> whilst losing the war with Macedon</w:t>
      </w:r>
      <w:r w:rsidR="00977531">
        <w:rPr>
          <w:sz w:val="24"/>
        </w:rPr>
        <w:t>.</w:t>
      </w:r>
      <w:r w:rsidR="002E7952">
        <w:rPr>
          <w:sz w:val="24"/>
        </w:rPr>
        <w:t xml:space="preserve"> Sadly, fate conspired against the conspirators, and the Ptolemaic army which was with the Seleucid army near the Aegean Sea, somehow sprinted back to Alexandria, through Phoenicia, and outflanked the rebel army within a matter of weeks, forcing a peace, despite many miles of land being between the two armies.</w:t>
      </w:r>
      <w:r w:rsidR="00BF2383">
        <w:rPr>
          <w:sz w:val="24"/>
        </w:rPr>
        <w:t xml:space="preserve"> No one was executed, but my character, Apollonius, as forced to re-swear fealty to the Seleucid King.</w:t>
      </w:r>
      <w:r w:rsidR="004C548A">
        <w:rPr>
          <w:sz w:val="24"/>
        </w:rPr>
        <w:t xml:space="preserve"> Historical precedence for </w:t>
      </w:r>
      <w:r w:rsidR="0070534C">
        <w:rPr>
          <w:sz w:val="24"/>
        </w:rPr>
        <w:t>subjects revolting against their ruler can be seen once again in the assassination of Julius Caesar, but can also be seen in medieval Britain, during the Barons War, where Norman barons rose in revolt against their ruler, King John, and forced him to sign the Magna Carta, a constitution that is still upheld today.</w:t>
      </w:r>
      <w:r w:rsidR="0070534C">
        <w:rPr>
          <w:rStyle w:val="FootnoteReference"/>
          <w:sz w:val="24"/>
        </w:rPr>
        <w:footnoteReference w:id="11"/>
      </w:r>
    </w:p>
    <w:p w:rsidR="000070C2" w:rsidRDefault="00A275C6" w:rsidP="000B7E9E">
      <w:pPr>
        <w:spacing w:line="360" w:lineRule="auto"/>
        <w:jc w:val="both"/>
        <w:rPr>
          <w:sz w:val="24"/>
        </w:rPr>
      </w:pPr>
      <w:r>
        <w:rPr>
          <w:sz w:val="24"/>
        </w:rPr>
        <w:lastRenderedPageBreak/>
        <w:t xml:space="preserve">  In 215 BC, Phoenicia and Coele-Syria signed a free trade agreement that allowed goods and merchants to pass through their borders and thus bond the two nations closer together. This triggered a wave of new trade deals from neighbouring kingdoms and nations, the Nabataeans, played by Rebecca Neill, and the new Ptolemaic Kingdom, played by Tory Wilkinson. </w:t>
      </w:r>
      <w:r w:rsidR="000070C2">
        <w:rPr>
          <w:sz w:val="24"/>
        </w:rPr>
        <w:t>It was agreed that trade would be allowed to pass through Nabataean land, protected by the Nabataeans, from both Coele-Syria and Phoenicia, to Egypt, in exchange for a yearly tribute of talents. The Nabataeans would also be allowed to trade spices with the Ptolemaic Kingdom, Phoenicia, and Coele-Syria. Goods would include cedar wood, wool, agricultural produce, fish, and marble being traded by all parties in exchange for one another. The trade route between Coele-Syria and Phoenicia to Egypt would stretch from Damascus to Tyre, then to Ashkelon to Gaza and finally Alexandria. The trade route would also divert at Gaza to proceed south into Nabataean lands t</w:t>
      </w:r>
      <w:r w:rsidR="00B318CF">
        <w:rPr>
          <w:sz w:val="24"/>
        </w:rPr>
        <w:t>o Petra, the Nabataean capital city.</w:t>
      </w:r>
      <w:r w:rsidR="004B3F9C">
        <w:rPr>
          <w:sz w:val="24"/>
        </w:rPr>
        <w:t xml:space="preserve"> This trade route is based on the ‘Silk Road’ and the large amount of trade that happened along it, with deviations to get to India reflecting the deviations made to get to Petra and Nabataea.</w:t>
      </w:r>
      <w:r w:rsidR="00D70465">
        <w:rPr>
          <w:rStyle w:val="FootnoteReference"/>
          <w:sz w:val="24"/>
        </w:rPr>
        <w:footnoteReference w:id="12"/>
      </w:r>
    </w:p>
    <w:p w:rsidR="00D70465" w:rsidRDefault="00F55968" w:rsidP="000B7E9E">
      <w:pPr>
        <w:spacing w:line="360" w:lineRule="auto"/>
        <w:jc w:val="both"/>
        <w:rPr>
          <w:sz w:val="24"/>
        </w:rPr>
      </w:pPr>
      <w:r>
        <w:rPr>
          <w:sz w:val="24"/>
        </w:rPr>
        <w:t xml:space="preserve">  During the same year, 215 BC, it became apparent to both my character, Apollonius, and Tadmet of Phoenicia that Judea, and all her riches, had been left unguarded and unclaimed by both the Seleucid Empire and Ptolemaic Kingdom. Therefore, it was decided that Judea should be claimed and brought under the protection of both Coele-Syria and Phoenicia. Our Casus Belli was stated as religious conquest, as both Apollonius and Tadmet were High Priests of Astarte, an ancient Babylonian deity, and Judea needed to be brought into the fold.</w:t>
      </w:r>
      <w:r>
        <w:rPr>
          <w:rStyle w:val="FootnoteReference"/>
          <w:sz w:val="24"/>
        </w:rPr>
        <w:footnoteReference w:id="13"/>
      </w:r>
      <w:r w:rsidR="0081096E">
        <w:rPr>
          <w:sz w:val="24"/>
        </w:rPr>
        <w:t xml:space="preserve"> We cited religious conquest as our reason for war not only because Judea was under a different religion, but also because the Babylonian Empire had invaded Judea for similar religious reasons several hundred years before, and therefore had given us his</w:t>
      </w:r>
      <w:r w:rsidR="006C65C8">
        <w:rPr>
          <w:sz w:val="24"/>
        </w:rPr>
        <w:t>torical precedence for invasion</w:t>
      </w:r>
      <w:bookmarkStart w:id="0" w:name="_GoBack"/>
      <w:bookmarkEnd w:id="0"/>
      <w:r w:rsidR="0081096E">
        <w:rPr>
          <w:sz w:val="24"/>
        </w:rPr>
        <w:t xml:space="preserve"> ourselves.</w:t>
      </w:r>
      <w:r w:rsidR="0081096E">
        <w:rPr>
          <w:rStyle w:val="FootnoteReference"/>
          <w:sz w:val="24"/>
        </w:rPr>
        <w:footnoteReference w:id="14"/>
      </w:r>
    </w:p>
    <w:p w:rsidR="00507C82" w:rsidRDefault="00FF4D1C" w:rsidP="000B7E9E">
      <w:pPr>
        <w:spacing w:line="360" w:lineRule="auto"/>
        <w:jc w:val="both"/>
        <w:rPr>
          <w:sz w:val="24"/>
        </w:rPr>
      </w:pPr>
      <w:r>
        <w:rPr>
          <w:sz w:val="24"/>
        </w:rPr>
        <w:t xml:space="preserve">  </w:t>
      </w:r>
    </w:p>
    <w:p w:rsidR="00507C82" w:rsidRDefault="00507C82" w:rsidP="000B7E9E">
      <w:pPr>
        <w:spacing w:line="360" w:lineRule="auto"/>
        <w:jc w:val="both"/>
        <w:rPr>
          <w:sz w:val="24"/>
        </w:rPr>
      </w:pPr>
    </w:p>
    <w:p w:rsidR="000B7E9E" w:rsidRDefault="000B7E9E" w:rsidP="000B7E9E">
      <w:pPr>
        <w:spacing w:line="360" w:lineRule="auto"/>
        <w:jc w:val="both"/>
        <w:rPr>
          <w:sz w:val="24"/>
        </w:rPr>
      </w:pPr>
    </w:p>
    <w:p w:rsidR="000803CF" w:rsidRDefault="00507C82" w:rsidP="000B7E9E">
      <w:pPr>
        <w:spacing w:line="360" w:lineRule="auto"/>
        <w:jc w:val="both"/>
        <w:rPr>
          <w:sz w:val="24"/>
        </w:rPr>
      </w:pPr>
      <w:r>
        <w:rPr>
          <w:sz w:val="24"/>
        </w:rPr>
        <w:lastRenderedPageBreak/>
        <w:t xml:space="preserve">  </w:t>
      </w:r>
      <w:r w:rsidR="00FF4D1C">
        <w:rPr>
          <w:sz w:val="24"/>
        </w:rPr>
        <w:t xml:space="preserve">After surviving the wrath of kings, multiple wars, and almost being executed in a zoo, it was an act of the gods that eventually killed Apollonius. Just after a successful invasion of Judea, plague erupted across Egypt, Phoenicia, Nabataea, and Coele-Syria and killed thousands, including my character who died an undignified death in a temple in Jerusalem, after being faithful to the gods for his entire life. </w:t>
      </w:r>
      <w:r w:rsidR="00694237">
        <w:rPr>
          <w:sz w:val="24"/>
        </w:rPr>
        <w:t>Coele-Syria was inherited by Tadmet of Phoenicia after consulting with the Ptolemaic court, and I was given a new character, Dinocrates of Rhodes, for the final year of the practical side of the module.</w:t>
      </w:r>
    </w:p>
    <w:p w:rsidR="00FF4D1C" w:rsidRDefault="00694237" w:rsidP="000B7E9E">
      <w:pPr>
        <w:spacing w:line="360" w:lineRule="auto"/>
        <w:jc w:val="both"/>
        <w:rPr>
          <w:sz w:val="24"/>
        </w:rPr>
      </w:pPr>
      <w:r>
        <w:rPr>
          <w:sz w:val="24"/>
        </w:rPr>
        <w:t xml:space="preserve">  Dinocrates did not achieve much of note apart from trade deals with Phoenicia and Ptolemaic Egypt and sending mercenaries to aid the Seleucids in their war with Ptolemaic Egypt, yet being paid double by Phoenicia to change sides during a battle.</w:t>
      </w:r>
      <w:r w:rsidR="00FD1002">
        <w:rPr>
          <w:sz w:val="24"/>
        </w:rPr>
        <w:t xml:space="preserve"> Mercenaries were a key part of battles in the ancient and medieval periods of history, and historical precedence can be found for their use in many battles waged in these time periods.</w:t>
      </w:r>
      <w:r w:rsidR="00FD1002">
        <w:rPr>
          <w:rStyle w:val="FootnoteReference"/>
          <w:sz w:val="24"/>
        </w:rPr>
        <w:footnoteReference w:id="15"/>
      </w:r>
    </w:p>
    <w:p w:rsidR="00BD74DE" w:rsidRPr="00A275C6" w:rsidRDefault="00BD74DE" w:rsidP="000B7E9E">
      <w:pPr>
        <w:spacing w:line="360" w:lineRule="auto"/>
        <w:jc w:val="both"/>
        <w:rPr>
          <w:sz w:val="24"/>
        </w:rPr>
      </w:pPr>
      <w:r>
        <w:rPr>
          <w:sz w:val="24"/>
        </w:rPr>
        <w:t xml:space="preserve">  In conclusion, </w:t>
      </w:r>
      <w:r w:rsidR="00766B42">
        <w:rPr>
          <w:sz w:val="24"/>
        </w:rPr>
        <w:t>the practical side of the Court and Society module was very interesting, and provided a unique insight into how people lived and survived in the ancient world. My character did not achieve much worthy of note, apart from taking the intervention of a god to kill him, yet despite everything, he achieved his goal of making Coele-Syria a prosperous nation of traders, and expanding the borders into lands Coele-Syria, in reality, had never even hoped to attain.</w:t>
      </w:r>
      <w:r>
        <w:rPr>
          <w:sz w:val="24"/>
        </w:rPr>
        <w:t xml:space="preserve"> </w:t>
      </w:r>
    </w:p>
    <w:p w:rsidR="000803CF" w:rsidRDefault="000803CF" w:rsidP="00390362">
      <w:pPr>
        <w:rPr>
          <w:b/>
          <w:sz w:val="24"/>
          <w:u w:val="single"/>
        </w:rPr>
      </w:pPr>
    </w:p>
    <w:p w:rsidR="000803CF" w:rsidRDefault="000803CF" w:rsidP="00390362">
      <w:pPr>
        <w:rPr>
          <w:b/>
          <w:sz w:val="24"/>
          <w:u w:val="single"/>
        </w:rPr>
      </w:pPr>
    </w:p>
    <w:p w:rsidR="000803CF" w:rsidRDefault="000803CF" w:rsidP="00390362">
      <w:pPr>
        <w:rPr>
          <w:b/>
          <w:sz w:val="24"/>
          <w:u w:val="single"/>
        </w:rPr>
      </w:pPr>
    </w:p>
    <w:p w:rsidR="000803CF" w:rsidRDefault="000803CF" w:rsidP="00390362">
      <w:pPr>
        <w:rPr>
          <w:b/>
          <w:sz w:val="24"/>
          <w:u w:val="single"/>
        </w:rPr>
      </w:pPr>
    </w:p>
    <w:p w:rsidR="000803CF" w:rsidRDefault="000803CF" w:rsidP="00390362">
      <w:pPr>
        <w:rPr>
          <w:b/>
          <w:sz w:val="24"/>
          <w:u w:val="single"/>
        </w:rPr>
      </w:pPr>
    </w:p>
    <w:p w:rsidR="000803CF" w:rsidRDefault="000803CF" w:rsidP="00390362">
      <w:pPr>
        <w:rPr>
          <w:b/>
          <w:sz w:val="24"/>
          <w:u w:val="single"/>
        </w:rPr>
      </w:pPr>
    </w:p>
    <w:p w:rsidR="000803CF" w:rsidRDefault="000803CF" w:rsidP="00390362">
      <w:pPr>
        <w:rPr>
          <w:b/>
          <w:sz w:val="24"/>
          <w:u w:val="single"/>
        </w:rPr>
      </w:pPr>
    </w:p>
    <w:p w:rsidR="000803CF" w:rsidRDefault="000803CF" w:rsidP="00390362">
      <w:pPr>
        <w:rPr>
          <w:b/>
          <w:sz w:val="24"/>
          <w:u w:val="single"/>
        </w:rPr>
      </w:pPr>
    </w:p>
    <w:p w:rsidR="000803CF" w:rsidRDefault="000803CF" w:rsidP="00390362">
      <w:pPr>
        <w:rPr>
          <w:b/>
          <w:sz w:val="24"/>
          <w:u w:val="single"/>
        </w:rPr>
      </w:pPr>
    </w:p>
    <w:p w:rsidR="000B7E9E" w:rsidRDefault="000B7E9E" w:rsidP="00390362">
      <w:pPr>
        <w:rPr>
          <w:b/>
          <w:sz w:val="24"/>
          <w:u w:val="single"/>
        </w:rPr>
      </w:pPr>
    </w:p>
    <w:p w:rsidR="00FD28F6" w:rsidRDefault="00FD28F6" w:rsidP="00390362">
      <w:pPr>
        <w:rPr>
          <w:b/>
          <w:sz w:val="24"/>
          <w:u w:val="single"/>
        </w:rPr>
      </w:pPr>
      <w:r w:rsidRPr="00FD28F6">
        <w:rPr>
          <w:b/>
          <w:sz w:val="24"/>
          <w:u w:val="single"/>
        </w:rPr>
        <w:lastRenderedPageBreak/>
        <w:t>Bibliography</w:t>
      </w:r>
    </w:p>
    <w:p w:rsidR="000803CF" w:rsidRDefault="000803CF" w:rsidP="00390362">
      <w:pPr>
        <w:rPr>
          <w:b/>
          <w:sz w:val="24"/>
          <w:u w:val="single"/>
        </w:rPr>
      </w:pPr>
      <w:r>
        <w:rPr>
          <w:b/>
          <w:sz w:val="24"/>
          <w:u w:val="single"/>
        </w:rPr>
        <w:t>Books</w:t>
      </w:r>
    </w:p>
    <w:p w:rsidR="000803CF" w:rsidRPr="000803CF" w:rsidRDefault="000803CF" w:rsidP="000803CF">
      <w:pPr>
        <w:rPr>
          <w:sz w:val="24"/>
          <w:szCs w:val="24"/>
        </w:rPr>
      </w:pPr>
      <w:r w:rsidRPr="000803CF">
        <w:rPr>
          <w:sz w:val="24"/>
          <w:szCs w:val="24"/>
        </w:rPr>
        <w:t xml:space="preserve">Berlin, A. and </w:t>
      </w:r>
      <w:proofErr w:type="spellStart"/>
      <w:r w:rsidRPr="000803CF">
        <w:rPr>
          <w:sz w:val="24"/>
          <w:szCs w:val="24"/>
        </w:rPr>
        <w:t>Overman</w:t>
      </w:r>
      <w:proofErr w:type="spellEnd"/>
      <w:r w:rsidRPr="000803CF">
        <w:rPr>
          <w:sz w:val="24"/>
          <w:szCs w:val="24"/>
        </w:rPr>
        <w:t>, J. (2002). </w:t>
      </w:r>
      <w:r w:rsidRPr="000803CF">
        <w:rPr>
          <w:i/>
          <w:sz w:val="24"/>
          <w:szCs w:val="24"/>
        </w:rPr>
        <w:t>The First Jewish revolt</w:t>
      </w:r>
      <w:r w:rsidRPr="000803CF">
        <w:rPr>
          <w:sz w:val="24"/>
          <w:szCs w:val="24"/>
        </w:rPr>
        <w:t>. London: Routledge.</w:t>
      </w:r>
    </w:p>
    <w:p w:rsidR="000803CF" w:rsidRPr="000803CF" w:rsidRDefault="000803CF" w:rsidP="000803CF">
      <w:pPr>
        <w:rPr>
          <w:rFonts w:cs="Open Sans"/>
          <w:color w:val="000000" w:themeColor="text1"/>
          <w:sz w:val="24"/>
          <w:szCs w:val="24"/>
          <w:shd w:val="clear" w:color="auto" w:fill="FFFFFF"/>
        </w:rPr>
      </w:pPr>
      <w:proofErr w:type="spellStart"/>
      <w:r w:rsidRPr="000803CF">
        <w:rPr>
          <w:rFonts w:cs="Open Sans"/>
          <w:color w:val="000000" w:themeColor="text1"/>
          <w:sz w:val="24"/>
          <w:szCs w:val="24"/>
          <w:shd w:val="clear" w:color="auto" w:fill="FFFFFF"/>
        </w:rPr>
        <w:t>Budin</w:t>
      </w:r>
      <w:proofErr w:type="spellEnd"/>
      <w:r w:rsidRPr="000803CF">
        <w:rPr>
          <w:rFonts w:cs="Open Sans"/>
          <w:color w:val="000000" w:themeColor="text1"/>
          <w:sz w:val="24"/>
          <w:szCs w:val="24"/>
          <w:shd w:val="clear" w:color="auto" w:fill="FFFFFF"/>
        </w:rPr>
        <w:t>, S. (2004). A Reconsideration of the Aphrodite-</w:t>
      </w:r>
      <w:proofErr w:type="spellStart"/>
      <w:r w:rsidRPr="000803CF">
        <w:rPr>
          <w:rFonts w:cs="Open Sans"/>
          <w:color w:val="000000" w:themeColor="text1"/>
          <w:sz w:val="24"/>
          <w:szCs w:val="24"/>
          <w:shd w:val="clear" w:color="auto" w:fill="FFFFFF"/>
        </w:rPr>
        <w:t>Ashtart</w:t>
      </w:r>
      <w:proofErr w:type="spellEnd"/>
      <w:r w:rsidRPr="000803CF">
        <w:rPr>
          <w:rFonts w:cs="Open Sans"/>
          <w:color w:val="000000" w:themeColor="text1"/>
          <w:sz w:val="24"/>
          <w:szCs w:val="24"/>
          <w:shd w:val="clear" w:color="auto" w:fill="FFFFFF"/>
        </w:rPr>
        <w:t xml:space="preserve"> Syncretism. </w:t>
      </w:r>
      <w:r w:rsidRPr="000803CF">
        <w:rPr>
          <w:rFonts w:cs="Open Sans"/>
          <w:i/>
          <w:iCs/>
          <w:color w:val="000000" w:themeColor="text1"/>
          <w:sz w:val="24"/>
          <w:szCs w:val="24"/>
          <w:shd w:val="clear" w:color="auto" w:fill="FFFFFF"/>
        </w:rPr>
        <w:t>Numen</w:t>
      </w:r>
      <w:r w:rsidRPr="000803CF">
        <w:rPr>
          <w:rFonts w:cs="Open Sans"/>
          <w:color w:val="000000" w:themeColor="text1"/>
          <w:sz w:val="24"/>
          <w:szCs w:val="24"/>
          <w:shd w:val="clear" w:color="auto" w:fill="FFFFFF"/>
        </w:rPr>
        <w:t>, 51(2), pp.95-145.</w:t>
      </w:r>
    </w:p>
    <w:p w:rsidR="000803CF" w:rsidRPr="000803CF" w:rsidRDefault="000803CF" w:rsidP="000803CF">
      <w:pPr>
        <w:rPr>
          <w:sz w:val="24"/>
          <w:szCs w:val="24"/>
        </w:rPr>
      </w:pPr>
      <w:r w:rsidRPr="000803CF">
        <w:rPr>
          <w:sz w:val="24"/>
          <w:szCs w:val="24"/>
        </w:rPr>
        <w:t>Griffith, G. (1935). </w:t>
      </w:r>
      <w:r w:rsidRPr="000803CF">
        <w:rPr>
          <w:i/>
          <w:sz w:val="24"/>
          <w:szCs w:val="24"/>
        </w:rPr>
        <w:t>The mercenaries of the Hellenistic world</w:t>
      </w:r>
      <w:r w:rsidRPr="000803CF">
        <w:rPr>
          <w:sz w:val="24"/>
          <w:szCs w:val="24"/>
        </w:rPr>
        <w:t>. Cambridge: Chicago.</w:t>
      </w:r>
    </w:p>
    <w:p w:rsidR="000803CF" w:rsidRPr="000803CF" w:rsidRDefault="000803CF" w:rsidP="000803CF">
      <w:pPr>
        <w:rPr>
          <w:sz w:val="24"/>
          <w:szCs w:val="24"/>
        </w:rPr>
      </w:pPr>
      <w:r w:rsidRPr="000803CF">
        <w:rPr>
          <w:sz w:val="24"/>
          <w:szCs w:val="24"/>
        </w:rPr>
        <w:t>Jones, J. (1983). </w:t>
      </w:r>
      <w:r w:rsidRPr="000803CF">
        <w:rPr>
          <w:i/>
          <w:sz w:val="24"/>
          <w:szCs w:val="24"/>
        </w:rPr>
        <w:t>King John and Magna Carta</w:t>
      </w:r>
      <w:r w:rsidRPr="000803CF">
        <w:rPr>
          <w:sz w:val="24"/>
          <w:szCs w:val="24"/>
        </w:rPr>
        <w:t>. Harlow: Longman.</w:t>
      </w:r>
    </w:p>
    <w:p w:rsidR="000803CF" w:rsidRPr="000803CF" w:rsidRDefault="000803CF" w:rsidP="000803CF">
      <w:pPr>
        <w:rPr>
          <w:color w:val="000000" w:themeColor="text1"/>
          <w:sz w:val="24"/>
          <w:szCs w:val="24"/>
        </w:rPr>
      </w:pPr>
      <w:r w:rsidRPr="000803CF">
        <w:rPr>
          <w:rFonts w:cs="Open Sans"/>
          <w:color w:val="000000" w:themeColor="text1"/>
          <w:sz w:val="24"/>
          <w:szCs w:val="24"/>
          <w:shd w:val="clear" w:color="auto" w:fill="FFFFFF"/>
        </w:rPr>
        <w:t>Lawrence, A. (1979). </w:t>
      </w:r>
      <w:r w:rsidRPr="000803CF">
        <w:rPr>
          <w:rFonts w:cs="Open Sans"/>
          <w:i/>
          <w:iCs/>
          <w:color w:val="000000" w:themeColor="text1"/>
          <w:sz w:val="24"/>
          <w:szCs w:val="24"/>
          <w:shd w:val="clear" w:color="auto" w:fill="FFFFFF"/>
        </w:rPr>
        <w:t>Greek aims in fortification</w:t>
      </w:r>
      <w:r w:rsidRPr="000803CF">
        <w:rPr>
          <w:rFonts w:cs="Open Sans"/>
          <w:color w:val="000000" w:themeColor="text1"/>
          <w:sz w:val="24"/>
          <w:szCs w:val="24"/>
          <w:shd w:val="clear" w:color="auto" w:fill="FFFFFF"/>
        </w:rPr>
        <w:t>. Oxford: Clarendon Press.</w:t>
      </w:r>
    </w:p>
    <w:p w:rsidR="000803CF" w:rsidRDefault="000803CF" w:rsidP="000803CF">
      <w:pPr>
        <w:rPr>
          <w:rFonts w:cs="Open Sans"/>
          <w:color w:val="000000" w:themeColor="text1"/>
          <w:sz w:val="24"/>
          <w:szCs w:val="24"/>
          <w:shd w:val="clear" w:color="auto" w:fill="FFFFFF"/>
        </w:rPr>
      </w:pPr>
      <w:proofErr w:type="spellStart"/>
      <w:r w:rsidRPr="000803CF">
        <w:rPr>
          <w:rFonts w:cs="Open Sans"/>
          <w:color w:val="000000" w:themeColor="text1"/>
          <w:sz w:val="24"/>
          <w:szCs w:val="24"/>
          <w:shd w:val="clear" w:color="auto" w:fill="FFFFFF"/>
        </w:rPr>
        <w:t>Livius</w:t>
      </w:r>
      <w:proofErr w:type="spellEnd"/>
      <w:r w:rsidRPr="000803CF">
        <w:rPr>
          <w:rFonts w:cs="Open Sans"/>
          <w:color w:val="000000" w:themeColor="text1"/>
          <w:sz w:val="24"/>
          <w:szCs w:val="24"/>
          <w:shd w:val="clear" w:color="auto" w:fill="FFFFFF"/>
        </w:rPr>
        <w:t xml:space="preserve"> </w:t>
      </w:r>
      <w:proofErr w:type="spellStart"/>
      <w:r w:rsidRPr="000803CF">
        <w:rPr>
          <w:rFonts w:cs="Open Sans"/>
          <w:color w:val="000000" w:themeColor="text1"/>
          <w:sz w:val="24"/>
          <w:szCs w:val="24"/>
          <w:shd w:val="clear" w:color="auto" w:fill="FFFFFF"/>
        </w:rPr>
        <w:t>Patavinus</w:t>
      </w:r>
      <w:proofErr w:type="spellEnd"/>
      <w:r w:rsidRPr="000803CF">
        <w:rPr>
          <w:rFonts w:cs="Open Sans"/>
          <w:color w:val="000000" w:themeColor="text1"/>
          <w:sz w:val="24"/>
          <w:szCs w:val="24"/>
          <w:shd w:val="clear" w:color="auto" w:fill="FFFFFF"/>
        </w:rPr>
        <w:t>, T. and Yardley, J. (2017). </w:t>
      </w:r>
      <w:r w:rsidRPr="000803CF">
        <w:rPr>
          <w:rFonts w:cs="Open Sans"/>
          <w:i/>
          <w:iCs/>
          <w:color w:val="000000" w:themeColor="text1"/>
          <w:sz w:val="24"/>
          <w:szCs w:val="24"/>
          <w:shd w:val="clear" w:color="auto" w:fill="FFFFFF"/>
        </w:rPr>
        <w:t>History of Rome</w:t>
      </w:r>
      <w:r w:rsidRPr="000803CF">
        <w:rPr>
          <w:rFonts w:cs="Open Sans"/>
          <w:color w:val="000000" w:themeColor="text1"/>
          <w:sz w:val="24"/>
          <w:szCs w:val="24"/>
          <w:shd w:val="clear" w:color="auto" w:fill="FFFFFF"/>
        </w:rPr>
        <w:t>. Cambridge, Massachusetts: Harvard University Press.</w:t>
      </w:r>
    </w:p>
    <w:p w:rsidR="000803CF" w:rsidRPr="000803CF" w:rsidRDefault="000803CF" w:rsidP="000803CF">
      <w:pPr>
        <w:rPr>
          <w:sz w:val="24"/>
        </w:rPr>
      </w:pPr>
      <w:proofErr w:type="spellStart"/>
      <w:r w:rsidRPr="000803CF">
        <w:rPr>
          <w:sz w:val="24"/>
        </w:rPr>
        <w:t>McNicoll</w:t>
      </w:r>
      <w:proofErr w:type="spellEnd"/>
      <w:r w:rsidRPr="000803CF">
        <w:rPr>
          <w:sz w:val="24"/>
        </w:rPr>
        <w:t>, A. and Milner, N. (2007). </w:t>
      </w:r>
      <w:r w:rsidRPr="000803CF">
        <w:rPr>
          <w:i/>
          <w:sz w:val="24"/>
        </w:rPr>
        <w:t>Hellenistic fortifications from the Aegean to the Euphrates.</w:t>
      </w:r>
      <w:r w:rsidRPr="000803CF">
        <w:rPr>
          <w:sz w:val="24"/>
        </w:rPr>
        <w:t xml:space="preserve"> Oxford: Clarendon Press.</w:t>
      </w:r>
    </w:p>
    <w:p w:rsidR="000803CF" w:rsidRPr="000803CF" w:rsidRDefault="000803CF" w:rsidP="000803CF">
      <w:pPr>
        <w:rPr>
          <w:sz w:val="24"/>
          <w:szCs w:val="24"/>
        </w:rPr>
      </w:pPr>
      <w:r w:rsidRPr="000803CF">
        <w:rPr>
          <w:sz w:val="24"/>
          <w:szCs w:val="24"/>
        </w:rPr>
        <w:t xml:space="preserve">Plutarch. </w:t>
      </w:r>
      <w:proofErr w:type="gramStart"/>
      <w:r w:rsidRPr="000803CF">
        <w:rPr>
          <w:sz w:val="24"/>
          <w:szCs w:val="24"/>
        </w:rPr>
        <w:t>and</w:t>
      </w:r>
      <w:proofErr w:type="gramEnd"/>
      <w:r w:rsidRPr="000803CF">
        <w:rPr>
          <w:sz w:val="24"/>
          <w:szCs w:val="24"/>
        </w:rPr>
        <w:t xml:space="preserve"> Du </w:t>
      </w:r>
      <w:proofErr w:type="spellStart"/>
      <w:r w:rsidRPr="000803CF">
        <w:rPr>
          <w:sz w:val="24"/>
          <w:szCs w:val="24"/>
        </w:rPr>
        <w:t>Pontet</w:t>
      </w:r>
      <w:proofErr w:type="spellEnd"/>
      <w:r w:rsidRPr="000803CF">
        <w:rPr>
          <w:sz w:val="24"/>
          <w:szCs w:val="24"/>
        </w:rPr>
        <w:t>, R. (1906). </w:t>
      </w:r>
      <w:r w:rsidRPr="000803CF">
        <w:rPr>
          <w:i/>
          <w:sz w:val="24"/>
          <w:szCs w:val="24"/>
        </w:rPr>
        <w:t>Selections from Plutarch's Life of Caesar.</w:t>
      </w:r>
      <w:r w:rsidRPr="000803CF">
        <w:rPr>
          <w:sz w:val="24"/>
          <w:szCs w:val="24"/>
        </w:rPr>
        <w:t xml:space="preserve"> Oxford: Clarendon Press.</w:t>
      </w:r>
    </w:p>
    <w:p w:rsidR="000803CF" w:rsidRPr="000803CF" w:rsidRDefault="000803CF" w:rsidP="000803CF">
      <w:pPr>
        <w:rPr>
          <w:sz w:val="24"/>
          <w:szCs w:val="24"/>
        </w:rPr>
      </w:pPr>
      <w:r w:rsidRPr="000803CF">
        <w:rPr>
          <w:sz w:val="24"/>
          <w:szCs w:val="24"/>
        </w:rPr>
        <w:t>Scott-</w:t>
      </w:r>
      <w:proofErr w:type="spellStart"/>
      <w:r w:rsidRPr="000803CF">
        <w:rPr>
          <w:sz w:val="24"/>
          <w:szCs w:val="24"/>
        </w:rPr>
        <w:t>Kilvert</w:t>
      </w:r>
      <w:proofErr w:type="spellEnd"/>
      <w:r w:rsidRPr="000803CF">
        <w:rPr>
          <w:sz w:val="24"/>
          <w:szCs w:val="24"/>
        </w:rPr>
        <w:t xml:space="preserve">, I. and </w:t>
      </w:r>
      <w:proofErr w:type="spellStart"/>
      <w:r w:rsidRPr="000803CF">
        <w:rPr>
          <w:sz w:val="24"/>
          <w:szCs w:val="24"/>
        </w:rPr>
        <w:t>Walbank</w:t>
      </w:r>
      <w:proofErr w:type="spellEnd"/>
      <w:r w:rsidRPr="000803CF">
        <w:rPr>
          <w:sz w:val="24"/>
          <w:szCs w:val="24"/>
        </w:rPr>
        <w:t>, F. (1981). </w:t>
      </w:r>
      <w:r w:rsidRPr="000803CF">
        <w:rPr>
          <w:i/>
          <w:sz w:val="24"/>
          <w:szCs w:val="24"/>
        </w:rPr>
        <w:t>Polybius: The rise of the Roman Empire [</w:t>
      </w:r>
      <w:proofErr w:type="spellStart"/>
      <w:r w:rsidRPr="000803CF">
        <w:rPr>
          <w:i/>
          <w:sz w:val="24"/>
          <w:szCs w:val="24"/>
        </w:rPr>
        <w:t>Historiae</w:t>
      </w:r>
      <w:proofErr w:type="spellEnd"/>
      <w:r w:rsidRPr="000803CF">
        <w:rPr>
          <w:i/>
          <w:sz w:val="24"/>
          <w:szCs w:val="24"/>
        </w:rPr>
        <w:t xml:space="preserve">, </w:t>
      </w:r>
      <w:proofErr w:type="spellStart"/>
      <w:proofErr w:type="gramStart"/>
      <w:r w:rsidRPr="000803CF">
        <w:rPr>
          <w:i/>
          <w:sz w:val="24"/>
          <w:szCs w:val="24"/>
        </w:rPr>
        <w:t>engl.</w:t>
      </w:r>
      <w:proofErr w:type="spellEnd"/>
      <w:r w:rsidRPr="000803CF">
        <w:rPr>
          <w:i/>
          <w:sz w:val="24"/>
          <w:szCs w:val="24"/>
        </w:rPr>
        <w:t>,</w:t>
      </w:r>
      <w:proofErr w:type="gramEnd"/>
      <w:r w:rsidRPr="000803CF">
        <w:rPr>
          <w:i/>
          <w:sz w:val="24"/>
          <w:szCs w:val="24"/>
        </w:rPr>
        <w:t xml:space="preserve"> </w:t>
      </w:r>
      <w:proofErr w:type="spellStart"/>
      <w:r w:rsidRPr="000803CF">
        <w:rPr>
          <w:i/>
          <w:sz w:val="24"/>
          <w:szCs w:val="24"/>
        </w:rPr>
        <w:t>Ausz</w:t>
      </w:r>
      <w:proofErr w:type="spellEnd"/>
      <w:r w:rsidRPr="000803CF">
        <w:rPr>
          <w:i/>
          <w:sz w:val="24"/>
          <w:szCs w:val="24"/>
        </w:rPr>
        <w:t>.] Transl. by Ian Scott-</w:t>
      </w:r>
      <w:proofErr w:type="spellStart"/>
      <w:r w:rsidRPr="000803CF">
        <w:rPr>
          <w:i/>
          <w:sz w:val="24"/>
          <w:szCs w:val="24"/>
        </w:rPr>
        <w:t>Kilvert</w:t>
      </w:r>
      <w:proofErr w:type="spellEnd"/>
      <w:r w:rsidRPr="000803CF">
        <w:rPr>
          <w:sz w:val="24"/>
          <w:szCs w:val="24"/>
        </w:rPr>
        <w:t xml:space="preserve">. </w:t>
      </w:r>
      <w:proofErr w:type="spellStart"/>
      <w:r w:rsidRPr="000803CF">
        <w:rPr>
          <w:sz w:val="24"/>
          <w:szCs w:val="24"/>
        </w:rPr>
        <w:t>Bungay</w:t>
      </w:r>
      <w:proofErr w:type="spellEnd"/>
      <w:r w:rsidRPr="000803CF">
        <w:rPr>
          <w:sz w:val="24"/>
          <w:szCs w:val="24"/>
        </w:rPr>
        <w:t>: The Chaucer Press, p.319.</w:t>
      </w:r>
    </w:p>
    <w:p w:rsidR="000803CF" w:rsidRPr="000803CF" w:rsidRDefault="000803CF" w:rsidP="000803CF">
      <w:pPr>
        <w:rPr>
          <w:sz w:val="24"/>
          <w:szCs w:val="24"/>
        </w:rPr>
      </w:pPr>
      <w:r w:rsidRPr="000803CF">
        <w:rPr>
          <w:sz w:val="24"/>
          <w:szCs w:val="24"/>
        </w:rPr>
        <w:t>Talbert, R. (2000). </w:t>
      </w:r>
      <w:r w:rsidRPr="000803CF">
        <w:rPr>
          <w:i/>
          <w:sz w:val="24"/>
          <w:szCs w:val="24"/>
        </w:rPr>
        <w:t>Barrington atlas of the Greek and Roman world</w:t>
      </w:r>
      <w:r w:rsidRPr="000803CF">
        <w:rPr>
          <w:sz w:val="24"/>
          <w:szCs w:val="24"/>
        </w:rPr>
        <w:t>. Princeton, N.J., Oxford: Princeton University Press.</w:t>
      </w:r>
    </w:p>
    <w:p w:rsidR="000803CF" w:rsidRPr="000803CF" w:rsidRDefault="000803CF" w:rsidP="00390362">
      <w:pPr>
        <w:rPr>
          <w:sz w:val="24"/>
          <w:szCs w:val="24"/>
        </w:rPr>
      </w:pPr>
      <w:r w:rsidRPr="000803CF">
        <w:rPr>
          <w:sz w:val="24"/>
          <w:szCs w:val="24"/>
        </w:rPr>
        <w:t>Wiseman, D. (1956). </w:t>
      </w:r>
      <w:r w:rsidRPr="000803CF">
        <w:rPr>
          <w:i/>
          <w:sz w:val="24"/>
          <w:szCs w:val="24"/>
        </w:rPr>
        <w:t xml:space="preserve">Chronicles of </w:t>
      </w:r>
      <w:proofErr w:type="spellStart"/>
      <w:r w:rsidRPr="000803CF">
        <w:rPr>
          <w:i/>
          <w:sz w:val="24"/>
          <w:szCs w:val="24"/>
        </w:rPr>
        <w:t>Chaldaean</w:t>
      </w:r>
      <w:proofErr w:type="spellEnd"/>
      <w:r w:rsidRPr="000803CF">
        <w:rPr>
          <w:i/>
          <w:sz w:val="24"/>
          <w:szCs w:val="24"/>
        </w:rPr>
        <w:t xml:space="preserve"> kings (626-556 B.C.) in the British Museum</w:t>
      </w:r>
      <w:r w:rsidRPr="000803CF">
        <w:rPr>
          <w:sz w:val="24"/>
          <w:szCs w:val="24"/>
        </w:rPr>
        <w:t>. London: Trustees of the British Museum.</w:t>
      </w:r>
    </w:p>
    <w:p w:rsidR="000803CF" w:rsidRDefault="000803CF" w:rsidP="00390362">
      <w:pPr>
        <w:rPr>
          <w:b/>
          <w:sz w:val="24"/>
          <w:u w:val="single"/>
        </w:rPr>
      </w:pPr>
      <w:r>
        <w:rPr>
          <w:b/>
          <w:sz w:val="24"/>
          <w:u w:val="single"/>
        </w:rPr>
        <w:t>Websites</w:t>
      </w:r>
    </w:p>
    <w:p w:rsidR="000803CF" w:rsidRPr="000803CF" w:rsidRDefault="000803CF" w:rsidP="000803CF">
      <w:pPr>
        <w:rPr>
          <w:sz w:val="24"/>
          <w:szCs w:val="24"/>
        </w:rPr>
      </w:pPr>
      <w:r w:rsidRPr="000803CF">
        <w:rPr>
          <w:sz w:val="24"/>
          <w:szCs w:val="24"/>
        </w:rPr>
        <w:t>Collelo, T. (1988). Syria: a country study. [</w:t>
      </w:r>
      <w:proofErr w:type="gramStart"/>
      <w:r w:rsidRPr="000803CF">
        <w:rPr>
          <w:sz w:val="24"/>
          <w:szCs w:val="24"/>
        </w:rPr>
        <w:t>online</w:t>
      </w:r>
      <w:proofErr w:type="gramEnd"/>
      <w:r w:rsidRPr="000803CF">
        <w:rPr>
          <w:sz w:val="24"/>
          <w:szCs w:val="24"/>
        </w:rPr>
        <w:t>] Available at: https://www.loc.gov/item/87600488 [Accessed 27 Apr. 2018].</w:t>
      </w:r>
    </w:p>
    <w:p w:rsidR="000803CF" w:rsidRPr="000803CF" w:rsidRDefault="000803CF" w:rsidP="000803CF">
      <w:pPr>
        <w:rPr>
          <w:sz w:val="24"/>
          <w:szCs w:val="24"/>
        </w:rPr>
      </w:pPr>
      <w:r w:rsidRPr="000803CF">
        <w:rPr>
          <w:sz w:val="24"/>
          <w:szCs w:val="24"/>
        </w:rPr>
        <w:t>En.unesco.org. (n.d.). </w:t>
      </w:r>
      <w:r w:rsidRPr="000803CF">
        <w:rPr>
          <w:i/>
          <w:sz w:val="24"/>
          <w:szCs w:val="24"/>
        </w:rPr>
        <w:t>About the Silk Road</w:t>
      </w:r>
      <w:r w:rsidRPr="000803CF">
        <w:rPr>
          <w:sz w:val="24"/>
          <w:szCs w:val="24"/>
        </w:rPr>
        <w:t xml:space="preserve"> | </w:t>
      </w:r>
      <w:r w:rsidRPr="000803CF">
        <w:rPr>
          <w:i/>
          <w:sz w:val="24"/>
          <w:szCs w:val="24"/>
        </w:rPr>
        <w:t>SILK ROADS</w:t>
      </w:r>
      <w:r w:rsidRPr="000803CF">
        <w:rPr>
          <w:sz w:val="24"/>
          <w:szCs w:val="24"/>
        </w:rPr>
        <w:t>. [</w:t>
      </w:r>
      <w:proofErr w:type="gramStart"/>
      <w:r w:rsidRPr="000803CF">
        <w:rPr>
          <w:sz w:val="24"/>
          <w:szCs w:val="24"/>
        </w:rPr>
        <w:t>online</w:t>
      </w:r>
      <w:proofErr w:type="gramEnd"/>
      <w:r w:rsidRPr="000803CF">
        <w:rPr>
          <w:sz w:val="24"/>
          <w:szCs w:val="24"/>
        </w:rPr>
        <w:t>] Available at: https://en.unesco.org/silkroad/about-silk-road [Accessed 27 Apr. 2018].</w:t>
      </w:r>
    </w:p>
    <w:p w:rsidR="000803CF" w:rsidRPr="00FD28F6" w:rsidRDefault="000803CF" w:rsidP="00390362">
      <w:pPr>
        <w:rPr>
          <w:b/>
          <w:sz w:val="24"/>
          <w:u w:val="single"/>
        </w:rPr>
      </w:pPr>
    </w:p>
    <w:sectPr w:rsidR="000803CF" w:rsidRPr="00FD28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8AB" w:rsidRDefault="003178AB" w:rsidP="00FD28F6">
      <w:pPr>
        <w:spacing w:after="0" w:line="240" w:lineRule="auto"/>
      </w:pPr>
      <w:r>
        <w:separator/>
      </w:r>
    </w:p>
  </w:endnote>
  <w:endnote w:type="continuationSeparator" w:id="0">
    <w:p w:rsidR="003178AB" w:rsidRDefault="003178AB" w:rsidP="00FD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8AB" w:rsidRDefault="003178AB" w:rsidP="00FD28F6">
      <w:pPr>
        <w:spacing w:after="0" w:line="240" w:lineRule="auto"/>
      </w:pPr>
      <w:r>
        <w:separator/>
      </w:r>
    </w:p>
  </w:footnote>
  <w:footnote w:type="continuationSeparator" w:id="0">
    <w:p w:rsidR="003178AB" w:rsidRDefault="003178AB" w:rsidP="00FD28F6">
      <w:pPr>
        <w:spacing w:after="0" w:line="240" w:lineRule="auto"/>
      </w:pPr>
      <w:r>
        <w:continuationSeparator/>
      </w:r>
    </w:p>
  </w:footnote>
  <w:footnote w:id="1">
    <w:p w:rsidR="00FD28F6" w:rsidRDefault="00FD28F6">
      <w:pPr>
        <w:pStyle w:val="FootnoteText"/>
      </w:pPr>
      <w:r>
        <w:rPr>
          <w:rStyle w:val="FootnoteReference"/>
        </w:rPr>
        <w:footnoteRef/>
      </w:r>
      <w:r>
        <w:t xml:space="preserve"> </w:t>
      </w:r>
      <w:proofErr w:type="spellStart"/>
      <w:r w:rsidRPr="00FF6842">
        <w:rPr>
          <w:rFonts w:cs="Open Sans"/>
          <w:color w:val="000000" w:themeColor="text1"/>
          <w:shd w:val="clear" w:color="auto" w:fill="FFFFFF"/>
        </w:rPr>
        <w:t>Livius</w:t>
      </w:r>
      <w:proofErr w:type="spellEnd"/>
      <w:r w:rsidRPr="00FF6842">
        <w:rPr>
          <w:rFonts w:cs="Open Sans"/>
          <w:color w:val="000000" w:themeColor="text1"/>
          <w:shd w:val="clear" w:color="auto" w:fill="FFFFFF"/>
        </w:rPr>
        <w:t xml:space="preserve"> </w:t>
      </w:r>
      <w:proofErr w:type="spellStart"/>
      <w:r w:rsidRPr="00FF6842">
        <w:rPr>
          <w:rFonts w:cs="Open Sans"/>
          <w:color w:val="000000" w:themeColor="text1"/>
          <w:shd w:val="clear" w:color="auto" w:fill="FFFFFF"/>
        </w:rPr>
        <w:t>Patavinus</w:t>
      </w:r>
      <w:proofErr w:type="spellEnd"/>
      <w:r w:rsidRPr="00FF6842">
        <w:rPr>
          <w:rFonts w:cs="Open Sans"/>
          <w:color w:val="000000" w:themeColor="text1"/>
          <w:shd w:val="clear" w:color="auto" w:fill="FFFFFF"/>
        </w:rPr>
        <w:t xml:space="preserve"> and Yardley, 2017</w:t>
      </w:r>
    </w:p>
  </w:footnote>
  <w:footnote w:id="2">
    <w:p w:rsidR="00F24AB1" w:rsidRPr="00F24AB1" w:rsidRDefault="00F24AB1">
      <w:pPr>
        <w:pStyle w:val="FootnoteText"/>
      </w:pPr>
      <w:r>
        <w:rPr>
          <w:rStyle w:val="FootnoteReference"/>
        </w:rPr>
        <w:footnoteRef/>
      </w:r>
      <w:r>
        <w:t xml:space="preserve"> </w:t>
      </w:r>
      <w:r>
        <w:rPr>
          <w:i/>
        </w:rPr>
        <w:t>Ibid</w:t>
      </w:r>
    </w:p>
  </w:footnote>
  <w:footnote w:id="3">
    <w:p w:rsidR="008A1382" w:rsidRDefault="008A1382">
      <w:pPr>
        <w:pStyle w:val="FootnoteText"/>
      </w:pPr>
      <w:r>
        <w:rPr>
          <w:rStyle w:val="FootnoteReference"/>
        </w:rPr>
        <w:footnoteRef/>
      </w:r>
      <w:r>
        <w:t xml:space="preserve"> </w:t>
      </w:r>
      <w:r w:rsidRPr="008A1382">
        <w:t>Talbert, 2000</w:t>
      </w:r>
    </w:p>
  </w:footnote>
  <w:footnote w:id="4">
    <w:p w:rsidR="00DB6CC0" w:rsidRDefault="00DB6CC0">
      <w:pPr>
        <w:pStyle w:val="FootnoteText"/>
      </w:pPr>
      <w:r>
        <w:rPr>
          <w:rStyle w:val="FootnoteReference"/>
        </w:rPr>
        <w:footnoteRef/>
      </w:r>
      <w:r>
        <w:t xml:space="preserve"> </w:t>
      </w:r>
      <w:r w:rsidRPr="00DB6CC0">
        <w:t>Collelo, 1988</w:t>
      </w:r>
    </w:p>
  </w:footnote>
  <w:footnote w:id="5">
    <w:p w:rsidR="00F50D01" w:rsidRDefault="00F50D01">
      <w:pPr>
        <w:pStyle w:val="FootnoteText"/>
      </w:pPr>
      <w:r>
        <w:rPr>
          <w:rStyle w:val="FootnoteReference"/>
        </w:rPr>
        <w:footnoteRef/>
      </w:r>
      <w:r>
        <w:t xml:space="preserve"> En.unesco.org, n.d.</w:t>
      </w:r>
    </w:p>
  </w:footnote>
  <w:footnote w:id="6">
    <w:p w:rsidR="0023721D" w:rsidRDefault="0023721D">
      <w:pPr>
        <w:pStyle w:val="FootnoteText"/>
      </w:pPr>
      <w:r>
        <w:rPr>
          <w:rStyle w:val="FootnoteReference"/>
        </w:rPr>
        <w:footnoteRef/>
      </w:r>
      <w:r>
        <w:t xml:space="preserve"> </w:t>
      </w:r>
      <w:r>
        <w:rPr>
          <w:color w:val="000000" w:themeColor="text1"/>
        </w:rPr>
        <w:t>Lawrence, 1979</w:t>
      </w:r>
    </w:p>
  </w:footnote>
  <w:footnote w:id="7">
    <w:p w:rsidR="00D3302A" w:rsidRDefault="00D3302A">
      <w:pPr>
        <w:pStyle w:val="FootnoteText"/>
      </w:pPr>
      <w:r>
        <w:rPr>
          <w:rStyle w:val="FootnoteReference"/>
        </w:rPr>
        <w:footnoteRef/>
      </w:r>
      <w:r>
        <w:t xml:space="preserve"> </w:t>
      </w:r>
      <w:proofErr w:type="spellStart"/>
      <w:r w:rsidR="000803CF">
        <w:t>McNicoll</w:t>
      </w:r>
      <w:proofErr w:type="spellEnd"/>
      <w:r w:rsidR="000803CF">
        <w:t xml:space="preserve"> and Milner, 2007</w:t>
      </w:r>
    </w:p>
  </w:footnote>
  <w:footnote w:id="8">
    <w:p w:rsidR="00B65F3B" w:rsidRDefault="00B65F3B">
      <w:pPr>
        <w:pStyle w:val="FootnoteText"/>
      </w:pPr>
      <w:r>
        <w:rPr>
          <w:rStyle w:val="FootnoteReference"/>
        </w:rPr>
        <w:footnoteRef/>
      </w:r>
      <w:r>
        <w:t xml:space="preserve"> </w:t>
      </w:r>
      <w:r w:rsidRPr="00B65F3B">
        <w:t>Scott-</w:t>
      </w:r>
      <w:proofErr w:type="spellStart"/>
      <w:r w:rsidRPr="00B65F3B">
        <w:t>Kilvert</w:t>
      </w:r>
      <w:proofErr w:type="spellEnd"/>
      <w:r w:rsidRPr="00B65F3B">
        <w:t xml:space="preserve"> and </w:t>
      </w:r>
      <w:proofErr w:type="spellStart"/>
      <w:r w:rsidRPr="00B65F3B">
        <w:t>Walbank</w:t>
      </w:r>
      <w:proofErr w:type="spellEnd"/>
      <w:r w:rsidRPr="00B65F3B">
        <w:t>, 1981</w:t>
      </w:r>
    </w:p>
  </w:footnote>
  <w:footnote w:id="9">
    <w:p w:rsidR="00E714EE" w:rsidRDefault="00E714EE">
      <w:pPr>
        <w:pStyle w:val="FootnoteText"/>
      </w:pPr>
      <w:r>
        <w:rPr>
          <w:rStyle w:val="FootnoteReference"/>
        </w:rPr>
        <w:footnoteRef/>
      </w:r>
      <w:r>
        <w:t xml:space="preserve"> Plutarch. and Du </w:t>
      </w:r>
      <w:proofErr w:type="spellStart"/>
      <w:r>
        <w:t>Pontet</w:t>
      </w:r>
      <w:proofErr w:type="spellEnd"/>
      <w:r>
        <w:t>, 1906</w:t>
      </w:r>
    </w:p>
  </w:footnote>
  <w:footnote w:id="10">
    <w:p w:rsidR="00303478" w:rsidRDefault="00303478">
      <w:pPr>
        <w:pStyle w:val="FootnoteText"/>
      </w:pPr>
      <w:r>
        <w:rPr>
          <w:rStyle w:val="FootnoteReference"/>
        </w:rPr>
        <w:footnoteRef/>
      </w:r>
      <w:r>
        <w:t xml:space="preserve"> </w:t>
      </w:r>
      <w:r w:rsidRPr="00303478">
        <w:t xml:space="preserve">Berlin and </w:t>
      </w:r>
      <w:proofErr w:type="spellStart"/>
      <w:r w:rsidRPr="00303478">
        <w:t>Ov</w:t>
      </w:r>
      <w:r>
        <w:t>erman</w:t>
      </w:r>
      <w:proofErr w:type="spellEnd"/>
      <w:r>
        <w:t>, 2002</w:t>
      </w:r>
    </w:p>
  </w:footnote>
  <w:footnote w:id="11">
    <w:p w:rsidR="0070534C" w:rsidRDefault="0070534C">
      <w:pPr>
        <w:pStyle w:val="FootnoteText"/>
      </w:pPr>
      <w:r>
        <w:rPr>
          <w:rStyle w:val="FootnoteReference"/>
        </w:rPr>
        <w:footnoteRef/>
      </w:r>
      <w:r>
        <w:t xml:space="preserve"> Jones, 1983</w:t>
      </w:r>
    </w:p>
  </w:footnote>
  <w:footnote w:id="12">
    <w:p w:rsidR="00D70465" w:rsidRDefault="00D70465">
      <w:pPr>
        <w:pStyle w:val="FootnoteText"/>
      </w:pPr>
      <w:r>
        <w:rPr>
          <w:rStyle w:val="FootnoteReference"/>
        </w:rPr>
        <w:footnoteRef/>
      </w:r>
      <w:r>
        <w:t xml:space="preserve"> En.unesco.org, n.d.</w:t>
      </w:r>
    </w:p>
  </w:footnote>
  <w:footnote w:id="13">
    <w:p w:rsidR="00F55968" w:rsidRDefault="00F55968">
      <w:pPr>
        <w:pStyle w:val="FootnoteText"/>
      </w:pPr>
      <w:r>
        <w:rPr>
          <w:rStyle w:val="FootnoteReference"/>
        </w:rPr>
        <w:footnoteRef/>
      </w:r>
      <w:r>
        <w:t xml:space="preserve"> </w:t>
      </w:r>
      <w:proofErr w:type="spellStart"/>
      <w:r>
        <w:t>Budin</w:t>
      </w:r>
      <w:proofErr w:type="spellEnd"/>
      <w:r>
        <w:t>, 2004</w:t>
      </w:r>
    </w:p>
  </w:footnote>
  <w:footnote w:id="14">
    <w:p w:rsidR="0081096E" w:rsidRDefault="0081096E">
      <w:pPr>
        <w:pStyle w:val="FootnoteText"/>
      </w:pPr>
      <w:r>
        <w:rPr>
          <w:rStyle w:val="FootnoteReference"/>
        </w:rPr>
        <w:footnoteRef/>
      </w:r>
      <w:r>
        <w:t xml:space="preserve"> Wiseman, 1956</w:t>
      </w:r>
    </w:p>
  </w:footnote>
  <w:footnote w:id="15">
    <w:p w:rsidR="00FD1002" w:rsidRDefault="00FD1002">
      <w:pPr>
        <w:pStyle w:val="FootnoteText"/>
      </w:pPr>
      <w:r>
        <w:rPr>
          <w:rStyle w:val="FootnoteReference"/>
        </w:rPr>
        <w:footnoteRef/>
      </w:r>
      <w:r>
        <w:t xml:space="preserve"> Griffith, 1935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62"/>
    <w:rsid w:val="000070C2"/>
    <w:rsid w:val="000803CF"/>
    <w:rsid w:val="000B7E9E"/>
    <w:rsid w:val="0023721D"/>
    <w:rsid w:val="002E7952"/>
    <w:rsid w:val="00303478"/>
    <w:rsid w:val="003178AB"/>
    <w:rsid w:val="00360C35"/>
    <w:rsid w:val="00390362"/>
    <w:rsid w:val="003C3962"/>
    <w:rsid w:val="004316BE"/>
    <w:rsid w:val="00462F63"/>
    <w:rsid w:val="004A7517"/>
    <w:rsid w:val="004B3F9C"/>
    <w:rsid w:val="004C548A"/>
    <w:rsid w:val="004D16B4"/>
    <w:rsid w:val="004E0B8E"/>
    <w:rsid w:val="00507C82"/>
    <w:rsid w:val="005C3311"/>
    <w:rsid w:val="005E444A"/>
    <w:rsid w:val="00624842"/>
    <w:rsid w:val="00694237"/>
    <w:rsid w:val="006C65C8"/>
    <w:rsid w:val="0070534C"/>
    <w:rsid w:val="00766B42"/>
    <w:rsid w:val="0081096E"/>
    <w:rsid w:val="00811F7F"/>
    <w:rsid w:val="00884E13"/>
    <w:rsid w:val="008A1382"/>
    <w:rsid w:val="008B76FC"/>
    <w:rsid w:val="00977531"/>
    <w:rsid w:val="009A0F45"/>
    <w:rsid w:val="00A275C6"/>
    <w:rsid w:val="00B318CF"/>
    <w:rsid w:val="00B339FA"/>
    <w:rsid w:val="00B65F3B"/>
    <w:rsid w:val="00BD74DE"/>
    <w:rsid w:val="00BF2383"/>
    <w:rsid w:val="00C259F4"/>
    <w:rsid w:val="00D07407"/>
    <w:rsid w:val="00D3302A"/>
    <w:rsid w:val="00D70465"/>
    <w:rsid w:val="00D92E51"/>
    <w:rsid w:val="00D93951"/>
    <w:rsid w:val="00DB6CC0"/>
    <w:rsid w:val="00E714EE"/>
    <w:rsid w:val="00EA2C05"/>
    <w:rsid w:val="00EC35A7"/>
    <w:rsid w:val="00F24AB1"/>
    <w:rsid w:val="00F50D01"/>
    <w:rsid w:val="00F53C4B"/>
    <w:rsid w:val="00F55968"/>
    <w:rsid w:val="00FD1002"/>
    <w:rsid w:val="00FD28F6"/>
    <w:rsid w:val="00FF4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477D93-5713-40C2-9FD3-3FDF3C1DE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0803CF"/>
    <w:pPr>
      <w:keepNext/>
      <w:keepLines/>
      <w:spacing w:before="40" w:after="0" w:line="25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D28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28F6"/>
    <w:rPr>
      <w:sz w:val="20"/>
      <w:szCs w:val="20"/>
    </w:rPr>
  </w:style>
  <w:style w:type="character" w:styleId="FootnoteReference">
    <w:name w:val="footnote reference"/>
    <w:basedOn w:val="DefaultParagraphFont"/>
    <w:uiPriority w:val="99"/>
    <w:semiHidden/>
    <w:unhideWhenUsed/>
    <w:rsid w:val="00FD28F6"/>
    <w:rPr>
      <w:vertAlign w:val="superscript"/>
    </w:rPr>
  </w:style>
  <w:style w:type="character" w:customStyle="1" w:styleId="Heading3Char">
    <w:name w:val="Heading 3 Char"/>
    <w:basedOn w:val="DefaultParagraphFont"/>
    <w:link w:val="Heading3"/>
    <w:uiPriority w:val="9"/>
    <w:semiHidden/>
    <w:rsid w:val="000803CF"/>
    <w:rPr>
      <w:rFonts w:asciiTheme="majorHAnsi" w:eastAsiaTheme="majorEastAsia" w:hAnsiTheme="majorHAnsi" w:cstheme="majorBidi"/>
      <w:color w:val="1F4D78" w:themeColor="accent1" w:themeShade="7F"/>
      <w:sz w:val="24"/>
      <w:szCs w:val="24"/>
    </w:rPr>
  </w:style>
  <w:style w:type="paragraph" w:styleId="NormalWeb">
    <w:name w:val="Normal (Web)"/>
    <w:basedOn w:val="Normal"/>
    <w:semiHidden/>
    <w:unhideWhenUsed/>
    <w:rsid w:val="000803CF"/>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F57AE9-5B04-4A6C-8CB4-9E40E5561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8</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44</cp:revision>
  <dcterms:created xsi:type="dcterms:W3CDTF">2018-04-26T12:12:00Z</dcterms:created>
  <dcterms:modified xsi:type="dcterms:W3CDTF">2018-04-27T22:43:00Z</dcterms:modified>
</cp:coreProperties>
</file>