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E3CB9" w14:textId="7A470CFD" w:rsidR="004146F5" w:rsidRDefault="004146F5" w:rsidP="004146F5"/>
    <w:p w14:paraId="683EC3D8" w14:textId="4D0AEF44" w:rsidR="007D55A7" w:rsidRDefault="007D55A7" w:rsidP="007D55A7">
      <w:pPr>
        <w:pStyle w:val="Heading1"/>
        <w:jc w:val="center"/>
        <w:rPr>
          <w:lang w:val="en-US"/>
        </w:rPr>
      </w:pPr>
      <w:bookmarkStart w:id="0" w:name="_Toc182839144"/>
      <w:r>
        <w:rPr>
          <w:rFonts w:ascii="Arial" w:hAnsi="Arial" w:cs="Arial"/>
          <w:noProof/>
          <w:sz w:val="28"/>
          <w:szCs w:val="28"/>
          <w:lang w:eastAsia="en-GB"/>
        </w:rPr>
        <w:drawing>
          <wp:inline distT="0" distB="0" distL="0" distR="0" wp14:anchorId="3789ED5A" wp14:editId="416373E1">
            <wp:extent cx="1816665" cy="600075"/>
            <wp:effectExtent l="0" t="0" r="0" b="9525"/>
            <wp:docPr id="4"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816665" cy="600075"/>
                    </a:xfrm>
                    <a:prstGeom prst="rect">
                      <a:avLst/>
                    </a:prstGeom>
                    <a:noFill/>
                    <a:ln>
                      <a:noFill/>
                      <a:prstDash/>
                    </a:ln>
                  </pic:spPr>
                </pic:pic>
              </a:graphicData>
            </a:graphic>
          </wp:inline>
        </w:drawing>
      </w:r>
    </w:p>
    <w:p w14:paraId="5F6A0BEF" w14:textId="77777777" w:rsidR="007D55A7" w:rsidRDefault="007D55A7" w:rsidP="004146F5">
      <w:pPr>
        <w:pStyle w:val="Heading1"/>
        <w:rPr>
          <w:lang w:val="en-US"/>
        </w:rPr>
      </w:pPr>
    </w:p>
    <w:p w14:paraId="661240B6" w14:textId="77777777" w:rsidR="001D3AF9" w:rsidRDefault="001D3AF9" w:rsidP="001D3AF9">
      <w:pPr>
        <w:jc w:val="center"/>
        <w:rPr>
          <w:rFonts w:ascii="Arial" w:eastAsia="Calibri" w:hAnsi="Arial" w:cs="Arial"/>
          <w:b/>
          <w:kern w:val="3"/>
          <w:sz w:val="28"/>
          <w:szCs w:val="28"/>
        </w:rPr>
      </w:pPr>
    </w:p>
    <w:p w14:paraId="409C5BC7" w14:textId="368D4EBC" w:rsidR="001D3AF9" w:rsidRDefault="001D3AF9" w:rsidP="001D3AF9">
      <w:pPr>
        <w:jc w:val="center"/>
        <w:rPr>
          <w:rFonts w:ascii="Arial" w:hAnsi="Arial" w:cs="Arial"/>
          <w:b/>
          <w:kern w:val="3"/>
          <w:sz w:val="28"/>
          <w:szCs w:val="28"/>
        </w:rPr>
      </w:pPr>
      <w:r>
        <w:rPr>
          <w:rFonts w:ascii="Arial" w:eastAsia="Calibri" w:hAnsi="Arial" w:cs="Arial"/>
          <w:b/>
          <w:kern w:val="3"/>
          <w:sz w:val="28"/>
          <w:szCs w:val="28"/>
        </w:rPr>
        <w:t>CERTIFICATE OF HIGHER EDUCATION IN</w:t>
      </w:r>
    </w:p>
    <w:p w14:paraId="4979B224" w14:textId="77777777" w:rsidR="001D3AF9" w:rsidRDefault="001D3AF9" w:rsidP="001D3AF9">
      <w:pPr>
        <w:jc w:val="center"/>
        <w:rPr>
          <w:rFonts w:ascii="Arial" w:hAnsi="Arial" w:cs="Arial"/>
          <w:b/>
          <w:kern w:val="3"/>
          <w:sz w:val="28"/>
          <w:szCs w:val="28"/>
        </w:rPr>
      </w:pPr>
      <w:r>
        <w:rPr>
          <w:rFonts w:ascii="Arial" w:eastAsia="Calibri" w:hAnsi="Arial" w:cs="Arial"/>
          <w:b/>
          <w:kern w:val="3"/>
          <w:sz w:val="28"/>
          <w:szCs w:val="28"/>
        </w:rPr>
        <w:t>EMPLOYABILITY SKILLS</w:t>
      </w:r>
    </w:p>
    <w:p w14:paraId="5CB3E88B" w14:textId="77777777" w:rsidR="001D3AF9" w:rsidRDefault="001D3AF9" w:rsidP="001D3AF9">
      <w:pPr>
        <w:jc w:val="center"/>
        <w:rPr>
          <w:rFonts w:ascii="Arial" w:eastAsia="Calibri" w:hAnsi="Arial" w:cs="Arial"/>
          <w:b/>
          <w:kern w:val="3"/>
          <w:sz w:val="28"/>
          <w:szCs w:val="28"/>
        </w:rPr>
      </w:pPr>
      <w:r>
        <w:rPr>
          <w:rFonts w:ascii="Arial" w:eastAsia="Calibri" w:hAnsi="Arial" w:cs="Arial"/>
          <w:b/>
          <w:kern w:val="3"/>
          <w:sz w:val="28"/>
          <w:szCs w:val="28"/>
        </w:rPr>
        <w:t>LEVEL 4</w:t>
      </w:r>
    </w:p>
    <w:p w14:paraId="7CECF1B0" w14:textId="77777777" w:rsidR="001D3AF9" w:rsidRDefault="001D3AF9" w:rsidP="001D3AF9">
      <w:pPr>
        <w:jc w:val="center"/>
      </w:pPr>
    </w:p>
    <w:p w14:paraId="4CB6575F" w14:textId="77777777" w:rsidR="001D3AF9" w:rsidRDefault="001D3AF9" w:rsidP="001D3AF9">
      <w:pPr>
        <w:jc w:val="center"/>
        <w:rPr>
          <w:rFonts w:ascii="Arial Black" w:hAnsi="Arial Black" w:cs="Arial"/>
          <w:sz w:val="28"/>
          <w:szCs w:val="28"/>
        </w:rPr>
      </w:pPr>
    </w:p>
    <w:p w14:paraId="2900DAEF" w14:textId="65496BB8" w:rsidR="001D3AF9" w:rsidRPr="00971BB6" w:rsidRDefault="001D3AF9" w:rsidP="001D3AF9">
      <w:pPr>
        <w:jc w:val="center"/>
        <w:rPr>
          <w:rFonts w:ascii="Arial Black" w:hAnsi="Arial Black" w:cs="Arial"/>
          <w:sz w:val="28"/>
          <w:szCs w:val="28"/>
        </w:rPr>
      </w:pPr>
      <w:r w:rsidRPr="00971BB6">
        <w:rPr>
          <w:rFonts w:ascii="Arial Black" w:hAnsi="Arial Black" w:cs="Arial"/>
          <w:sz w:val="28"/>
          <w:szCs w:val="28"/>
        </w:rPr>
        <w:t xml:space="preserve">Effective Teamworking and Communication </w:t>
      </w:r>
    </w:p>
    <w:p w14:paraId="20DBCF2E" w14:textId="77777777" w:rsidR="001D3AF9" w:rsidRPr="00971BB6" w:rsidRDefault="001D3AF9" w:rsidP="001D3AF9">
      <w:pPr>
        <w:jc w:val="center"/>
        <w:rPr>
          <w:rFonts w:ascii="Arial Black" w:hAnsi="Arial Black" w:cs="Arial"/>
          <w:sz w:val="28"/>
          <w:szCs w:val="28"/>
        </w:rPr>
      </w:pPr>
      <w:r w:rsidRPr="00971BB6">
        <w:rPr>
          <w:rFonts w:ascii="Arial Black" w:hAnsi="Arial Black" w:cs="Arial"/>
          <w:sz w:val="28"/>
          <w:szCs w:val="28"/>
        </w:rPr>
        <w:t>BMSW4009</w:t>
      </w:r>
    </w:p>
    <w:p w14:paraId="2BA7CEB6" w14:textId="77777777" w:rsidR="001D3AF9" w:rsidRDefault="001D3AF9" w:rsidP="001D3AF9">
      <w:pPr>
        <w:jc w:val="center"/>
        <w:rPr>
          <w:rFonts w:ascii="Arial" w:hAnsi="Arial" w:cs="Arial"/>
          <w:sz w:val="28"/>
          <w:szCs w:val="28"/>
        </w:rPr>
      </w:pPr>
    </w:p>
    <w:p w14:paraId="3C4FB338" w14:textId="77777777" w:rsidR="001D3AF9" w:rsidRDefault="001D3AF9" w:rsidP="001D3AF9">
      <w:pPr>
        <w:jc w:val="center"/>
        <w:rPr>
          <w:rFonts w:ascii="Arial" w:eastAsia="Calibri" w:hAnsi="Arial" w:cs="Arial"/>
          <w:b/>
          <w:kern w:val="3"/>
          <w:sz w:val="28"/>
          <w:szCs w:val="28"/>
        </w:rPr>
      </w:pPr>
    </w:p>
    <w:p w14:paraId="5FB1DC08" w14:textId="0A42B613" w:rsidR="001D3AF9" w:rsidRDefault="001D3AF9" w:rsidP="001D3AF9">
      <w:pPr>
        <w:jc w:val="center"/>
        <w:rPr>
          <w:rFonts w:ascii="Arial" w:hAnsi="Arial" w:cs="Arial"/>
          <w:b/>
          <w:kern w:val="3"/>
          <w:sz w:val="28"/>
          <w:szCs w:val="28"/>
        </w:rPr>
      </w:pPr>
      <w:r>
        <w:rPr>
          <w:rFonts w:ascii="Arial" w:eastAsia="Calibri" w:hAnsi="Arial" w:cs="Arial"/>
          <w:b/>
          <w:kern w:val="3"/>
          <w:sz w:val="28"/>
          <w:szCs w:val="28"/>
        </w:rPr>
        <w:t>MODULE LEAD: Melanie Squire</w:t>
      </w:r>
    </w:p>
    <w:p w14:paraId="58FEBF22" w14:textId="77777777" w:rsidR="001D3AF9" w:rsidRDefault="001D3AF9" w:rsidP="001D3AF9">
      <w:pPr>
        <w:jc w:val="center"/>
        <w:rPr>
          <w:rFonts w:ascii="Arial" w:eastAsia="Calibri" w:hAnsi="Arial" w:cs="Arial"/>
          <w:b/>
          <w:kern w:val="3"/>
          <w:sz w:val="28"/>
          <w:szCs w:val="28"/>
        </w:rPr>
      </w:pPr>
    </w:p>
    <w:p w14:paraId="4552F66C" w14:textId="589B4DA6" w:rsidR="001D3AF9" w:rsidRDefault="001D3AF9" w:rsidP="001D3AF9">
      <w:pPr>
        <w:jc w:val="center"/>
      </w:pPr>
      <w:r>
        <w:rPr>
          <w:rFonts w:ascii="Arial" w:eastAsia="Calibri" w:hAnsi="Arial" w:cs="Arial"/>
          <w:b/>
          <w:kern w:val="3"/>
          <w:sz w:val="28"/>
          <w:szCs w:val="28"/>
        </w:rPr>
        <w:t>EMAIL:m.squire@uwtsd.ac.uk</w:t>
      </w:r>
    </w:p>
    <w:p w14:paraId="1AC46D12" w14:textId="77777777" w:rsidR="001D3AF9" w:rsidRDefault="001D3AF9" w:rsidP="001D3AF9">
      <w:pPr>
        <w:jc w:val="center"/>
        <w:rPr>
          <w:rFonts w:ascii="Arial" w:hAnsi="Arial" w:cs="Arial"/>
          <w:b/>
          <w:kern w:val="3"/>
          <w:sz w:val="28"/>
          <w:szCs w:val="28"/>
        </w:rPr>
      </w:pPr>
    </w:p>
    <w:p w14:paraId="0DAEB46F" w14:textId="77777777" w:rsidR="001D3AF9" w:rsidRDefault="001D3AF9" w:rsidP="001D3AF9">
      <w:pPr>
        <w:jc w:val="center"/>
        <w:rPr>
          <w:rFonts w:ascii="Arial" w:eastAsia="Calibri" w:hAnsi="Arial" w:cs="Arial"/>
          <w:b/>
          <w:kern w:val="2"/>
          <w:sz w:val="28"/>
          <w:szCs w:val="28"/>
          <w14:ligatures w14:val="standardContextual"/>
        </w:rPr>
      </w:pPr>
    </w:p>
    <w:p w14:paraId="7C990B3A" w14:textId="5D39FA19" w:rsidR="001D3AF9" w:rsidRDefault="001D3AF9" w:rsidP="001D3AF9">
      <w:pPr>
        <w:jc w:val="center"/>
        <w:rPr>
          <w:rFonts w:ascii="Arial" w:eastAsia="Calibri" w:hAnsi="Arial" w:cs="Arial"/>
          <w:b/>
          <w:kern w:val="2"/>
          <w:sz w:val="28"/>
          <w:szCs w:val="28"/>
          <w14:ligatures w14:val="standardContextual"/>
        </w:rPr>
      </w:pPr>
      <w:r>
        <w:rPr>
          <w:rFonts w:ascii="Arial" w:eastAsia="Calibri" w:hAnsi="Arial" w:cs="Arial"/>
          <w:b/>
          <w:kern w:val="2"/>
          <w:sz w:val="28"/>
          <w:szCs w:val="28"/>
          <w14:ligatures w14:val="standardContextual"/>
        </w:rPr>
        <w:t xml:space="preserve">Submission Date: </w:t>
      </w:r>
      <w:r w:rsidR="008C487A">
        <w:rPr>
          <w:rFonts w:ascii="Arial" w:eastAsia="Calibri" w:hAnsi="Arial" w:cs="Arial"/>
          <w:b/>
          <w:kern w:val="2"/>
          <w:sz w:val="28"/>
          <w:szCs w:val="28"/>
          <w14:ligatures w14:val="standardContextual"/>
        </w:rPr>
        <w:t>26/11/2024</w:t>
      </w:r>
    </w:p>
    <w:p w14:paraId="66648820" w14:textId="39C71EEC" w:rsidR="001D3AF9" w:rsidRDefault="001D3AF9" w:rsidP="001D3AF9">
      <w:pPr>
        <w:jc w:val="center"/>
        <w:rPr>
          <w:rFonts w:ascii="Arial" w:eastAsia="Calibri" w:hAnsi="Arial" w:cs="Arial"/>
          <w:b/>
          <w:kern w:val="2"/>
          <w:sz w:val="28"/>
          <w:szCs w:val="28"/>
          <w14:ligatures w14:val="standardContextual"/>
        </w:rPr>
      </w:pPr>
    </w:p>
    <w:p w14:paraId="26FA21C5" w14:textId="64EE5AD4" w:rsidR="001D3AF9" w:rsidRDefault="001D3AF9" w:rsidP="001D3AF9">
      <w:pPr>
        <w:jc w:val="center"/>
        <w:rPr>
          <w:rFonts w:ascii="Arial" w:eastAsia="Calibri" w:hAnsi="Arial" w:cs="Arial"/>
          <w:b/>
          <w:kern w:val="2"/>
          <w:sz w:val="28"/>
          <w:szCs w:val="28"/>
          <w14:ligatures w14:val="standardContextual"/>
        </w:rPr>
      </w:pPr>
    </w:p>
    <w:p w14:paraId="271F762C" w14:textId="7D0532D3" w:rsidR="001D3AF9" w:rsidRDefault="001D3AF9" w:rsidP="001D3AF9">
      <w:pPr>
        <w:jc w:val="center"/>
        <w:rPr>
          <w:rFonts w:ascii="Arial" w:eastAsia="Calibri" w:hAnsi="Arial" w:cs="Arial"/>
          <w:b/>
          <w:kern w:val="2"/>
          <w:sz w:val="28"/>
          <w:szCs w:val="28"/>
          <w14:ligatures w14:val="standardContextual"/>
        </w:rPr>
      </w:pPr>
    </w:p>
    <w:p w14:paraId="4B7BB55F" w14:textId="63E9ECEE" w:rsidR="001D3AF9" w:rsidRDefault="001D3AF9" w:rsidP="001D3AF9">
      <w:pPr>
        <w:jc w:val="center"/>
        <w:rPr>
          <w:rFonts w:ascii="Arial" w:eastAsia="Calibri" w:hAnsi="Arial" w:cs="Arial"/>
          <w:b/>
          <w:kern w:val="2"/>
          <w:sz w:val="28"/>
          <w:szCs w:val="28"/>
          <w14:ligatures w14:val="standardContextual"/>
        </w:rPr>
      </w:pPr>
    </w:p>
    <w:p w14:paraId="20334420" w14:textId="69C9350C" w:rsidR="001D3AF9" w:rsidRDefault="001D3AF9" w:rsidP="001D3AF9">
      <w:pPr>
        <w:jc w:val="center"/>
        <w:rPr>
          <w:rFonts w:ascii="Arial" w:eastAsia="Calibri" w:hAnsi="Arial" w:cs="Arial"/>
          <w:b/>
          <w:kern w:val="2"/>
          <w:sz w:val="28"/>
          <w:szCs w:val="28"/>
          <w14:ligatures w14:val="standardContextual"/>
        </w:rPr>
      </w:pPr>
    </w:p>
    <w:p w14:paraId="6704FAC1" w14:textId="45149F72" w:rsidR="001D3AF9" w:rsidRDefault="001D3AF9" w:rsidP="001D3AF9">
      <w:pPr>
        <w:jc w:val="center"/>
        <w:rPr>
          <w:rFonts w:ascii="Arial" w:eastAsia="Calibri" w:hAnsi="Arial" w:cs="Arial"/>
          <w:b/>
          <w:kern w:val="2"/>
          <w:sz w:val="28"/>
          <w:szCs w:val="28"/>
          <w14:ligatures w14:val="standardContextual"/>
        </w:rPr>
      </w:pPr>
    </w:p>
    <w:p w14:paraId="4335B061" w14:textId="7DBC5C84" w:rsidR="001D3AF9" w:rsidRDefault="001D3AF9" w:rsidP="001D3AF9">
      <w:pPr>
        <w:jc w:val="center"/>
        <w:rPr>
          <w:rFonts w:ascii="Arial" w:eastAsia="Calibri" w:hAnsi="Arial" w:cs="Arial"/>
          <w:b/>
          <w:kern w:val="2"/>
          <w:sz w:val="28"/>
          <w:szCs w:val="28"/>
          <w14:ligatures w14:val="standardContextual"/>
        </w:rPr>
      </w:pPr>
    </w:p>
    <w:p w14:paraId="41305294" w14:textId="77777777" w:rsidR="001D3AF9" w:rsidRDefault="001D3AF9" w:rsidP="001D3AF9">
      <w:pPr>
        <w:pStyle w:val="TOCHeading"/>
        <w:spacing w:line="480" w:lineRule="auto"/>
        <w:jc w:val="center"/>
      </w:pPr>
      <w:r>
        <w:rPr>
          <w:rFonts w:ascii="Arial Black" w:hAnsi="Arial Black" w:cs="Arial"/>
          <w:b/>
          <w:bCs/>
          <w:color w:val="000000"/>
          <w:sz w:val="28"/>
          <w:szCs w:val="28"/>
        </w:rPr>
        <w:lastRenderedPageBreak/>
        <w:t>Table of Contents</w:t>
      </w:r>
    </w:p>
    <w:p w14:paraId="3E3627A5" w14:textId="3E9BA9CD" w:rsidR="001D3AF9" w:rsidRDefault="001D3AF9" w:rsidP="001D3AF9">
      <w:pPr>
        <w:jc w:val="center"/>
        <w:rPr>
          <w:rFonts w:ascii="Arial" w:eastAsia="Calibri" w:hAnsi="Arial" w:cs="Arial"/>
          <w:b/>
          <w:kern w:val="2"/>
          <w:sz w:val="28"/>
          <w:szCs w:val="28"/>
          <w14:ligatures w14:val="standardContextual"/>
        </w:rPr>
      </w:pPr>
    </w:p>
    <w:p w14:paraId="74CDF489" w14:textId="1C2B2E86" w:rsidR="001D3AF9" w:rsidRDefault="001D3AF9" w:rsidP="001D3AF9">
      <w:pPr>
        <w:jc w:val="center"/>
        <w:rPr>
          <w:rFonts w:ascii="Arial" w:eastAsia="Calibri" w:hAnsi="Arial" w:cs="Arial"/>
          <w:b/>
          <w:kern w:val="2"/>
          <w:sz w:val="28"/>
          <w:szCs w:val="28"/>
          <w14:ligatures w14:val="standardContextual"/>
        </w:rPr>
      </w:pPr>
    </w:p>
    <w:p w14:paraId="3FA47CCF" w14:textId="2454D888" w:rsidR="001D3AF9" w:rsidRDefault="001D3AF9" w:rsidP="001D3AF9">
      <w:pPr>
        <w:jc w:val="center"/>
        <w:rPr>
          <w:rFonts w:ascii="Arial" w:eastAsia="Calibri" w:hAnsi="Arial" w:cs="Arial"/>
          <w:b/>
          <w:kern w:val="2"/>
          <w:sz w:val="28"/>
          <w:szCs w:val="28"/>
          <w14:ligatures w14:val="standardContextual"/>
        </w:rPr>
      </w:pPr>
    </w:p>
    <w:p w14:paraId="6603B03F" w14:textId="77777777" w:rsidR="001D3AF9" w:rsidRDefault="001D3AF9" w:rsidP="001D3AF9">
      <w:pPr>
        <w:jc w:val="center"/>
        <w:rPr>
          <w:rFonts w:ascii="Arial" w:hAnsi="Arial" w:cs="Arial"/>
          <w:b/>
          <w:kern w:val="3"/>
          <w:sz w:val="28"/>
          <w:szCs w:val="28"/>
        </w:rPr>
      </w:pPr>
    </w:p>
    <w:sdt>
      <w:sdtPr>
        <w:rPr>
          <w:rFonts w:asciiTheme="minorHAnsi" w:eastAsiaTheme="minorHAnsi" w:hAnsiTheme="minorHAnsi" w:cstheme="minorBidi"/>
          <w:color w:val="auto"/>
          <w:sz w:val="22"/>
          <w:szCs w:val="22"/>
          <w:lang w:val="en-GB"/>
        </w:rPr>
        <w:id w:val="11575108"/>
        <w:docPartObj>
          <w:docPartGallery w:val="Table of Contents"/>
          <w:docPartUnique/>
        </w:docPartObj>
      </w:sdtPr>
      <w:sdtEndPr>
        <w:rPr>
          <w:b/>
          <w:bCs/>
          <w:noProof/>
        </w:rPr>
      </w:sdtEndPr>
      <w:sdtContent>
        <w:p w14:paraId="6A8F2853" w14:textId="6CC06374" w:rsidR="001D3AF9" w:rsidRDefault="001D3AF9" w:rsidP="001D3AF9">
          <w:pPr>
            <w:pStyle w:val="TOCHeading"/>
          </w:pPr>
        </w:p>
        <w:p w14:paraId="110AF044" w14:textId="055D6E41" w:rsidR="001D3AF9" w:rsidRDefault="001D3AF9" w:rsidP="001D3AF9">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82839144" w:history="1">
            <w:r w:rsidRPr="008D248C">
              <w:rPr>
                <w:rStyle w:val="Hyperlink"/>
                <w:noProof/>
                <w:lang w:val="en-US"/>
              </w:rPr>
              <w:t>Introduction</w:t>
            </w:r>
            <w:r>
              <w:rPr>
                <w:noProof/>
                <w:webHidden/>
              </w:rPr>
              <w:tab/>
            </w:r>
            <w:r>
              <w:rPr>
                <w:noProof/>
                <w:webHidden/>
              </w:rPr>
              <w:t>3</w:t>
            </w:r>
          </w:hyperlink>
        </w:p>
        <w:p w14:paraId="5DFD0F21" w14:textId="2F5DFF06" w:rsidR="001D3AF9" w:rsidRDefault="001D3AF9" w:rsidP="001D3AF9">
          <w:pPr>
            <w:pStyle w:val="TOC1"/>
            <w:tabs>
              <w:tab w:val="right" w:leader="dot" w:pos="9016"/>
            </w:tabs>
            <w:rPr>
              <w:rFonts w:eastAsiaTheme="minorEastAsia"/>
              <w:noProof/>
              <w:lang w:val="en-US"/>
            </w:rPr>
          </w:pPr>
          <w:hyperlink w:anchor="_Toc182839146" w:history="1">
            <w:r w:rsidRPr="008D248C">
              <w:rPr>
                <w:rStyle w:val="Hyperlink"/>
                <w:noProof/>
              </w:rPr>
              <w:t>Findings</w:t>
            </w:r>
            <w:r>
              <w:rPr>
                <w:noProof/>
                <w:webHidden/>
              </w:rPr>
              <w:tab/>
            </w:r>
            <w:r w:rsidR="00400B0F">
              <w:rPr>
                <w:noProof/>
                <w:webHidden/>
              </w:rPr>
              <w:t>4</w:t>
            </w:r>
          </w:hyperlink>
        </w:p>
        <w:p w14:paraId="503A578E" w14:textId="4E3B23E8" w:rsidR="001D3AF9" w:rsidRDefault="001D3AF9" w:rsidP="001D3AF9">
          <w:pPr>
            <w:pStyle w:val="TOC2"/>
            <w:tabs>
              <w:tab w:val="right" w:leader="dot" w:pos="9016"/>
            </w:tabs>
            <w:ind w:left="0"/>
            <w:rPr>
              <w:rFonts w:eastAsiaTheme="minorEastAsia"/>
              <w:noProof/>
              <w:lang w:val="en-US"/>
            </w:rPr>
          </w:pPr>
          <w:hyperlink w:anchor="_Toc182839147" w:history="1">
            <w:r w:rsidRPr="008D248C">
              <w:rPr>
                <w:rStyle w:val="Hyperlink"/>
                <w:noProof/>
              </w:rPr>
              <w:t>Belbin's Team Roles</w:t>
            </w:r>
            <w:r>
              <w:rPr>
                <w:noProof/>
                <w:webHidden/>
              </w:rPr>
              <w:tab/>
            </w:r>
            <w:r w:rsidR="00400B0F">
              <w:rPr>
                <w:noProof/>
                <w:webHidden/>
              </w:rPr>
              <w:t>4</w:t>
            </w:r>
          </w:hyperlink>
        </w:p>
        <w:p w14:paraId="693DB202" w14:textId="3DB8A7B6" w:rsidR="001D3AF9" w:rsidRDefault="001D3AF9" w:rsidP="001D3AF9">
          <w:pPr>
            <w:pStyle w:val="TOC2"/>
            <w:tabs>
              <w:tab w:val="right" w:leader="dot" w:pos="9016"/>
            </w:tabs>
            <w:ind w:left="0"/>
            <w:rPr>
              <w:rFonts w:eastAsiaTheme="minorEastAsia"/>
              <w:noProof/>
              <w:lang w:val="en-US"/>
            </w:rPr>
          </w:pPr>
          <w:hyperlink w:anchor="_Toc182839148" w:history="1">
            <w:r w:rsidRPr="008D248C">
              <w:rPr>
                <w:rStyle w:val="Hyperlink"/>
                <w:noProof/>
              </w:rPr>
              <w:t>Herzberg’s Motivation Theory</w:t>
            </w:r>
            <w:r>
              <w:rPr>
                <w:noProof/>
                <w:webHidden/>
              </w:rPr>
              <w:tab/>
            </w:r>
            <w:r w:rsidR="00400B0F">
              <w:rPr>
                <w:noProof/>
                <w:webHidden/>
              </w:rPr>
              <w:t>4</w:t>
            </w:r>
          </w:hyperlink>
        </w:p>
        <w:p w14:paraId="7EE2E53E" w14:textId="502EE478" w:rsidR="001D3AF9" w:rsidRDefault="001D3AF9" w:rsidP="001D3AF9">
          <w:pPr>
            <w:pStyle w:val="TOC2"/>
            <w:tabs>
              <w:tab w:val="right" w:leader="dot" w:pos="9016"/>
            </w:tabs>
            <w:ind w:left="0"/>
            <w:rPr>
              <w:rFonts w:eastAsiaTheme="minorEastAsia"/>
              <w:noProof/>
              <w:lang w:val="en-US"/>
            </w:rPr>
          </w:pPr>
          <w:hyperlink w:anchor="_Toc182839149" w:history="1">
            <w:r w:rsidRPr="008D248C">
              <w:rPr>
                <w:rStyle w:val="Hyperlink"/>
                <w:noProof/>
              </w:rPr>
              <w:t>Thomas-Kilmann Conflict Model</w:t>
            </w:r>
            <w:r>
              <w:rPr>
                <w:noProof/>
                <w:webHidden/>
              </w:rPr>
              <w:tab/>
            </w:r>
            <w:r w:rsidR="00400B0F">
              <w:rPr>
                <w:noProof/>
                <w:webHidden/>
              </w:rPr>
              <w:t>4</w:t>
            </w:r>
          </w:hyperlink>
        </w:p>
        <w:p w14:paraId="618178A7" w14:textId="372263DC" w:rsidR="001D3AF9" w:rsidRDefault="001D3AF9" w:rsidP="001D3AF9">
          <w:pPr>
            <w:pStyle w:val="TOC2"/>
            <w:tabs>
              <w:tab w:val="right" w:leader="dot" w:pos="9016"/>
            </w:tabs>
            <w:ind w:left="0"/>
            <w:rPr>
              <w:rFonts w:eastAsiaTheme="minorEastAsia"/>
              <w:noProof/>
              <w:lang w:val="en-US"/>
            </w:rPr>
          </w:pPr>
          <w:hyperlink w:anchor="_Toc182839150" w:history="1">
            <w:r w:rsidRPr="008D248C">
              <w:rPr>
                <w:rStyle w:val="Hyperlink"/>
                <w:noProof/>
                <w:lang w:val="en-US"/>
              </w:rPr>
              <w:t>Communication Models</w:t>
            </w:r>
            <w:r>
              <w:rPr>
                <w:noProof/>
                <w:webHidden/>
              </w:rPr>
              <w:tab/>
            </w:r>
            <w:r w:rsidR="00400B0F">
              <w:rPr>
                <w:noProof/>
                <w:webHidden/>
              </w:rPr>
              <w:t>4</w:t>
            </w:r>
          </w:hyperlink>
        </w:p>
        <w:p w14:paraId="3EFE85B2" w14:textId="51FCF1BC" w:rsidR="001D3AF9" w:rsidRDefault="001D3AF9" w:rsidP="001D3AF9">
          <w:pPr>
            <w:pStyle w:val="TOC2"/>
            <w:tabs>
              <w:tab w:val="right" w:leader="dot" w:pos="9016"/>
            </w:tabs>
            <w:ind w:left="0"/>
            <w:rPr>
              <w:rFonts w:eastAsiaTheme="minorEastAsia"/>
              <w:noProof/>
              <w:lang w:val="en-US"/>
            </w:rPr>
          </w:pPr>
          <w:hyperlink w:anchor="_Toc182839151" w:history="1">
            <w:r w:rsidRPr="008D248C">
              <w:rPr>
                <w:rStyle w:val="Hyperlink"/>
                <w:noProof/>
              </w:rPr>
              <w:t>Betari’s Box</w:t>
            </w:r>
            <w:r>
              <w:rPr>
                <w:noProof/>
                <w:webHidden/>
              </w:rPr>
              <w:tab/>
            </w:r>
            <w:r w:rsidR="00400B0F">
              <w:rPr>
                <w:noProof/>
                <w:webHidden/>
              </w:rPr>
              <w:t>5</w:t>
            </w:r>
          </w:hyperlink>
        </w:p>
        <w:p w14:paraId="455BCE23" w14:textId="2752EA3D" w:rsidR="001D3AF9" w:rsidRDefault="001D3AF9" w:rsidP="001D3AF9">
          <w:pPr>
            <w:pStyle w:val="TOC2"/>
            <w:tabs>
              <w:tab w:val="right" w:leader="dot" w:pos="9016"/>
            </w:tabs>
            <w:ind w:left="0"/>
            <w:rPr>
              <w:rFonts w:eastAsiaTheme="minorEastAsia"/>
              <w:noProof/>
              <w:lang w:val="en-US"/>
            </w:rPr>
          </w:pPr>
          <w:hyperlink w:anchor="_Toc182839152" w:history="1">
            <w:r w:rsidRPr="008D248C">
              <w:rPr>
                <w:rStyle w:val="Hyperlink"/>
                <w:noProof/>
              </w:rPr>
              <w:t>Drama Triangle</w:t>
            </w:r>
            <w:r>
              <w:rPr>
                <w:noProof/>
                <w:webHidden/>
              </w:rPr>
              <w:tab/>
            </w:r>
            <w:r w:rsidR="00400B0F">
              <w:rPr>
                <w:noProof/>
                <w:webHidden/>
              </w:rPr>
              <w:t>6</w:t>
            </w:r>
          </w:hyperlink>
        </w:p>
        <w:p w14:paraId="6DFFF1B3" w14:textId="60524BEC" w:rsidR="001D3AF9" w:rsidRDefault="001D3AF9" w:rsidP="001D3AF9">
          <w:pPr>
            <w:pStyle w:val="TOC1"/>
            <w:tabs>
              <w:tab w:val="right" w:leader="dot" w:pos="9016"/>
            </w:tabs>
            <w:rPr>
              <w:rFonts w:eastAsiaTheme="minorEastAsia"/>
              <w:noProof/>
              <w:lang w:val="en-US"/>
            </w:rPr>
          </w:pPr>
          <w:hyperlink w:anchor="_Toc182839153" w:history="1">
            <w:r w:rsidRPr="008D248C">
              <w:rPr>
                <w:rStyle w:val="Hyperlink"/>
                <w:noProof/>
              </w:rPr>
              <w:t>Conclusion</w:t>
            </w:r>
            <w:r>
              <w:rPr>
                <w:noProof/>
                <w:webHidden/>
              </w:rPr>
              <w:tab/>
            </w:r>
            <w:r w:rsidR="00400B0F">
              <w:rPr>
                <w:noProof/>
                <w:webHidden/>
              </w:rPr>
              <w:t>6</w:t>
            </w:r>
          </w:hyperlink>
        </w:p>
        <w:p w14:paraId="0EE849D4" w14:textId="7F5EA26F" w:rsidR="001D3AF9" w:rsidRDefault="001D3AF9" w:rsidP="001D3AF9">
          <w:pPr>
            <w:pStyle w:val="TOC1"/>
            <w:tabs>
              <w:tab w:val="right" w:leader="dot" w:pos="9016"/>
            </w:tabs>
            <w:rPr>
              <w:rFonts w:eastAsiaTheme="minorEastAsia"/>
              <w:noProof/>
              <w:lang w:val="en-US"/>
            </w:rPr>
          </w:pPr>
          <w:hyperlink w:anchor="_Toc182839154" w:history="1">
            <w:r w:rsidRPr="008D248C">
              <w:rPr>
                <w:rStyle w:val="Hyperlink"/>
                <w:noProof/>
              </w:rPr>
              <w:t>References</w:t>
            </w:r>
            <w:r>
              <w:rPr>
                <w:noProof/>
                <w:webHidden/>
              </w:rPr>
              <w:tab/>
            </w:r>
            <w:r w:rsidR="00400B0F">
              <w:rPr>
                <w:noProof/>
                <w:webHidden/>
              </w:rPr>
              <w:t>7</w:t>
            </w:r>
          </w:hyperlink>
        </w:p>
        <w:p w14:paraId="00650FC7" w14:textId="77777777" w:rsidR="001D3AF9" w:rsidRDefault="001D3AF9" w:rsidP="001D3AF9">
          <w:pPr>
            <w:rPr>
              <w:b/>
              <w:bCs/>
              <w:noProof/>
            </w:rPr>
          </w:pPr>
          <w:r>
            <w:rPr>
              <w:b/>
              <w:bCs/>
              <w:noProof/>
            </w:rPr>
            <w:fldChar w:fldCharType="end"/>
          </w:r>
        </w:p>
      </w:sdtContent>
    </w:sdt>
    <w:p w14:paraId="6B86A042" w14:textId="58389C11" w:rsidR="007D55A7" w:rsidRDefault="007D55A7" w:rsidP="004146F5">
      <w:pPr>
        <w:pStyle w:val="Heading1"/>
        <w:rPr>
          <w:lang w:val="en-US"/>
        </w:rPr>
      </w:pPr>
    </w:p>
    <w:p w14:paraId="0EC82666" w14:textId="2F75D1F3" w:rsidR="001D3AF9" w:rsidRDefault="001D3AF9" w:rsidP="001D3AF9">
      <w:pPr>
        <w:rPr>
          <w:lang w:val="en-US"/>
        </w:rPr>
      </w:pPr>
    </w:p>
    <w:p w14:paraId="56042846" w14:textId="7889ECD4" w:rsidR="001D3AF9" w:rsidRDefault="001D3AF9" w:rsidP="001D3AF9">
      <w:pPr>
        <w:rPr>
          <w:lang w:val="en-US"/>
        </w:rPr>
      </w:pPr>
    </w:p>
    <w:p w14:paraId="5E4F7454" w14:textId="292EA956" w:rsidR="001D3AF9" w:rsidRDefault="001D3AF9" w:rsidP="001D3AF9">
      <w:pPr>
        <w:rPr>
          <w:lang w:val="en-US"/>
        </w:rPr>
      </w:pPr>
    </w:p>
    <w:p w14:paraId="7E231484" w14:textId="22D708B6" w:rsidR="001D3AF9" w:rsidRDefault="001D3AF9" w:rsidP="001D3AF9">
      <w:pPr>
        <w:rPr>
          <w:lang w:val="en-US"/>
        </w:rPr>
      </w:pPr>
    </w:p>
    <w:p w14:paraId="2E75F23A" w14:textId="7DDA792D" w:rsidR="001D3AF9" w:rsidRDefault="001D3AF9" w:rsidP="001D3AF9">
      <w:pPr>
        <w:rPr>
          <w:lang w:val="en-US"/>
        </w:rPr>
      </w:pPr>
    </w:p>
    <w:p w14:paraId="4167B8F2" w14:textId="432EF0A8" w:rsidR="001D3AF9" w:rsidRDefault="001D3AF9" w:rsidP="001D3AF9">
      <w:pPr>
        <w:rPr>
          <w:lang w:val="en-US"/>
        </w:rPr>
      </w:pPr>
    </w:p>
    <w:p w14:paraId="7AD34793" w14:textId="166DDDD9" w:rsidR="001D3AF9" w:rsidRDefault="001D3AF9" w:rsidP="001D3AF9">
      <w:pPr>
        <w:rPr>
          <w:lang w:val="en-US"/>
        </w:rPr>
      </w:pPr>
    </w:p>
    <w:p w14:paraId="0FE482A9" w14:textId="4C75430B" w:rsidR="001D3AF9" w:rsidRDefault="001D3AF9" w:rsidP="001D3AF9">
      <w:pPr>
        <w:rPr>
          <w:lang w:val="en-US"/>
        </w:rPr>
      </w:pPr>
    </w:p>
    <w:p w14:paraId="4999D8EF" w14:textId="2E241DCB" w:rsidR="001D3AF9" w:rsidRDefault="001D3AF9" w:rsidP="001D3AF9">
      <w:pPr>
        <w:rPr>
          <w:lang w:val="en-US"/>
        </w:rPr>
      </w:pPr>
    </w:p>
    <w:p w14:paraId="3A97CDD6" w14:textId="77777777" w:rsidR="001D3AF9" w:rsidRPr="001D3AF9" w:rsidRDefault="001D3AF9" w:rsidP="001D3AF9">
      <w:pPr>
        <w:rPr>
          <w:lang w:val="en-US"/>
        </w:rPr>
      </w:pPr>
    </w:p>
    <w:p w14:paraId="55FF0DF1" w14:textId="77777777" w:rsidR="001D3AF9" w:rsidRDefault="001D3AF9" w:rsidP="004146F5">
      <w:pPr>
        <w:pStyle w:val="Heading1"/>
        <w:rPr>
          <w:lang w:val="en-US"/>
        </w:rPr>
      </w:pPr>
    </w:p>
    <w:p w14:paraId="0BFC414E" w14:textId="024CC3C5" w:rsidR="004146F5" w:rsidRDefault="004146F5" w:rsidP="004146F5">
      <w:pPr>
        <w:pStyle w:val="Heading1"/>
        <w:rPr>
          <w:lang w:val="en-US"/>
        </w:rPr>
      </w:pPr>
      <w:r>
        <w:rPr>
          <w:lang w:val="en-US"/>
        </w:rPr>
        <w:t>Introduction</w:t>
      </w:r>
      <w:bookmarkEnd w:id="0"/>
    </w:p>
    <w:p w14:paraId="6761F45F" w14:textId="77777777" w:rsidR="004146F5" w:rsidRPr="001E1065" w:rsidRDefault="004146F5" w:rsidP="004146F5">
      <w:pPr>
        <w:keepNext/>
        <w:rPr>
          <w:lang w:val="en-US"/>
        </w:rPr>
      </w:pPr>
      <w:r w:rsidRPr="001E1065">
        <w:rPr>
          <w:lang w:val="en-US"/>
        </w:rPr>
        <w:t>Whenever we brainstorm ideas, share perspectives, or discuss results within a team, we are engaging in teamwork. Teamwork is a valuable soft skill that has become essential in both daily life and organizational settings. It enhances talent development and maximizes team performance by fostering trust and strategically assigning roles to leverage each member's strengths (Bellomo, 2021).</w:t>
      </w:r>
    </w:p>
    <w:p w14:paraId="33E8D2B4" w14:textId="77777777" w:rsidR="004146F5" w:rsidRPr="001E1065" w:rsidRDefault="004146F5" w:rsidP="004146F5">
      <w:pPr>
        <w:keepNext/>
        <w:rPr>
          <w:lang w:val="en-US"/>
        </w:rPr>
      </w:pPr>
      <w:r w:rsidRPr="001E1065">
        <w:rPr>
          <w:lang w:val="en-US"/>
        </w:rPr>
        <w:t>In every team, individuals naturally take on different roles. Traditionally, role assignments were often based on seniority or, in some cases, biased factors like gender or race (Belbin &amp; Brown, 2022, pp. 2-6). However, more modern approaches, such as Belbin’s Team Roles model, offer a way to assign roles based on individuals’ natural abilities. Through extensive analysis of successful and unsuccessful teams, Dr. Belbin identified nine distinct team roles</w:t>
      </w:r>
      <w:r>
        <w:rPr>
          <w:lang w:val="en-US"/>
        </w:rPr>
        <w:t xml:space="preserve"> (Illustrated in figure 1)</w:t>
      </w:r>
      <w:r w:rsidRPr="001E1065">
        <w:rPr>
          <w:lang w:val="en-US"/>
        </w:rPr>
        <w:t>, each with unique behaviors that contribute to a well-functioning team (Bitesize Learning, 2024).</w:t>
      </w:r>
    </w:p>
    <w:p w14:paraId="05E81657" w14:textId="77777777" w:rsidR="004146F5" w:rsidRDefault="004146F5" w:rsidP="004146F5">
      <w:pPr>
        <w:keepNext/>
      </w:pPr>
      <w:r>
        <w:rPr>
          <w:noProof/>
        </w:rPr>
        <w:drawing>
          <wp:inline distT="0" distB="0" distL="0" distR="0" wp14:anchorId="6E2F2858" wp14:editId="222BACEF">
            <wp:extent cx="5194300" cy="51943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194300" cy="5194300"/>
                    </a:xfrm>
                    <a:prstGeom prst="rect">
                      <a:avLst/>
                    </a:prstGeom>
                  </pic:spPr>
                </pic:pic>
              </a:graphicData>
            </a:graphic>
          </wp:inline>
        </w:drawing>
      </w:r>
    </w:p>
    <w:p w14:paraId="33ADBE01" w14:textId="77777777" w:rsidR="004146F5" w:rsidRDefault="004146F5" w:rsidP="004146F5">
      <w:pPr>
        <w:pStyle w:val="Caption"/>
      </w:pPr>
      <w:r>
        <w:t xml:space="preserve">Figure </w:t>
      </w:r>
      <w:fldSimple w:instr=" SEQ Figure \* ARABIC ">
        <w:r>
          <w:rPr>
            <w:noProof/>
          </w:rPr>
          <w:t>1</w:t>
        </w:r>
      </w:fldSimple>
    </w:p>
    <w:p w14:paraId="2B5F0142" w14:textId="76B15A6B" w:rsidR="004146F5" w:rsidRDefault="004146F5" w:rsidP="004146F5">
      <w:r w:rsidRPr="0013204D">
        <w:t xml:space="preserve">Based on my past experiences, I believe my strengths align with the roles of Resource Investigator and Team Worker, roles I find I can execute effectively in a work environment. I am outgoing and </w:t>
      </w:r>
      <w:r w:rsidRPr="0013204D">
        <w:lastRenderedPageBreak/>
        <w:t xml:space="preserve">social, which enables me to connect with others easily, offer support, and lift spirits with a brief conversation—all traits indicative of a Team Worker. Additionally, as an owner and manager in my current business, I actively seek ways to improve processes, identify potential errors, and ensure tasks are completed with sufficient resources and quality—characteristics that align with the Resource Investigator </w:t>
      </w:r>
      <w:r w:rsidR="00696C51" w:rsidRPr="0013204D">
        <w:t>role.</w:t>
      </w:r>
      <w:r w:rsidR="00696C51">
        <w:t xml:space="preserve"> The primary objective of this report is to examine my role within a team, focusing on communication and conflict resolution, and to propose strategies for future enhancement.</w:t>
      </w:r>
    </w:p>
    <w:p w14:paraId="4F72A4AB" w14:textId="77777777" w:rsidR="004146F5" w:rsidRDefault="004146F5" w:rsidP="004146F5">
      <w:pPr>
        <w:pStyle w:val="Heading1"/>
      </w:pPr>
      <w:bookmarkStart w:id="1" w:name="_Toc182839146"/>
      <w:r>
        <w:t>Findings</w:t>
      </w:r>
      <w:bookmarkEnd w:id="1"/>
    </w:p>
    <w:p w14:paraId="7C240D35" w14:textId="77777777" w:rsidR="004146F5" w:rsidRDefault="004146F5" w:rsidP="004146F5">
      <w:pPr>
        <w:pStyle w:val="Heading2"/>
      </w:pPr>
      <w:bookmarkStart w:id="2" w:name="_Toc182839147"/>
      <w:r w:rsidRPr="00FB1A18">
        <w:t>Belbin's Team Roles</w:t>
      </w:r>
      <w:bookmarkEnd w:id="2"/>
    </w:p>
    <w:p w14:paraId="0E1BA956" w14:textId="77777777" w:rsidR="004146F5" w:rsidRDefault="004146F5" w:rsidP="004146F5">
      <w:r w:rsidRPr="00FB1A18">
        <w:t>Research suggests that understanding behavioral roles can improve teamwork by fostering more cooperative and effective groups (Monsalves, Cornide-Reyes, &amp; Riquelme, 2023</w:t>
      </w:r>
      <w:r>
        <w:t>). I experienced it myself; w</w:t>
      </w:r>
      <w:r w:rsidRPr="00FB1A18">
        <w:t xml:space="preserve">hile I naturally tend to work as a </w:t>
      </w:r>
      <w:r w:rsidRPr="0002519D">
        <w:t>Team Worker</w:t>
      </w:r>
      <w:r w:rsidRPr="00FB1A18">
        <w:t xml:space="preserve"> and </w:t>
      </w:r>
      <w:r w:rsidRPr="0002519D">
        <w:t>Resource Investigator</w:t>
      </w:r>
      <w:r w:rsidRPr="00FB1A18">
        <w:t xml:space="preserve"> in my current role, understanding Belbin’s model helped me recognize</w:t>
      </w:r>
      <w:r>
        <w:t xml:space="preserve"> </w:t>
      </w:r>
      <w:r w:rsidRPr="00FB1A18">
        <w:t xml:space="preserve">the roles of my colleagues, leading to a more strategically arranged team. For example, one of my colleagues fits the </w:t>
      </w:r>
      <w:r w:rsidRPr="0002519D">
        <w:t>Completer</w:t>
      </w:r>
      <w:r>
        <w:t xml:space="preserve"> </w:t>
      </w:r>
      <w:r w:rsidRPr="0002519D">
        <w:t>Finisher</w:t>
      </w:r>
      <w:r w:rsidRPr="00FB1A18">
        <w:t xml:space="preserve"> role, and he previously worked across various kitchen tasks. Recently, we adjusted his responsibilities to focus on packaging and final touches, tasks more aligned with his attention to detail</w:t>
      </w:r>
      <w:r>
        <w:t xml:space="preserve"> and Belbin roles</w:t>
      </w:r>
      <w:r w:rsidRPr="00FB1A18">
        <w:t>. This change not only made his work easier but also improved our overall pace and efficiency.</w:t>
      </w:r>
    </w:p>
    <w:p w14:paraId="563BFE1D" w14:textId="77777777" w:rsidR="004146F5" w:rsidRPr="00CC3DDF" w:rsidRDefault="004146F5" w:rsidP="004146F5">
      <w:pPr>
        <w:pStyle w:val="Heading2"/>
      </w:pPr>
      <w:bookmarkStart w:id="3" w:name="_Toc182839148"/>
      <w:r w:rsidRPr="00CC3DDF">
        <w:t>Herzberg’s Motivation Theory</w:t>
      </w:r>
      <w:bookmarkEnd w:id="3"/>
    </w:p>
    <w:p w14:paraId="56908F60" w14:textId="77777777" w:rsidR="004146F5" w:rsidRDefault="004146F5" w:rsidP="004146F5">
      <w:r w:rsidRPr="00CC3DDF">
        <w:t xml:space="preserve">I also learned about Herzberg’s </w:t>
      </w:r>
      <w:r>
        <w:t>t</w:t>
      </w:r>
      <w:r w:rsidRPr="00CC3DDF">
        <w:t>heory, which posits that motivation is a critical factor in organizational performance and that there is a link between employee motivation and productivity. According to the theory, certain factors contribute to job satisfaction, while a different set of factors causes dissatisfaction (Galanakis &amp; Peramatzis, 2022). I applied this understanding in my workplace by adjusting motivational factors, although I am still assessing its impact on team efficiency. I hope that offering specific bonuses, such as</w:t>
      </w:r>
      <w:r>
        <w:t xml:space="preserve"> rewarding the most hardworking with more holiday</w:t>
      </w:r>
      <w:r w:rsidRPr="00CC3DDF">
        <w:t>, and allocating rest time will act as positive motivators for my colleagues.</w:t>
      </w:r>
    </w:p>
    <w:p w14:paraId="02D944D9" w14:textId="77777777" w:rsidR="004146F5" w:rsidRDefault="004146F5" w:rsidP="004146F5">
      <w:pPr>
        <w:pStyle w:val="Heading2"/>
      </w:pPr>
      <w:bookmarkStart w:id="4" w:name="_Toc182839149"/>
      <w:r>
        <w:t>Thomas-Kilmann Conflict Model</w:t>
      </w:r>
      <w:bookmarkEnd w:id="4"/>
    </w:p>
    <w:p w14:paraId="6432ECAE" w14:textId="77777777" w:rsidR="004146F5" w:rsidRPr="00FD12A8" w:rsidRDefault="004146F5" w:rsidP="004146F5">
      <w:r w:rsidRPr="00FE312B">
        <w:t xml:space="preserve">The Thomas-Kilmann Conflict Model </w:t>
      </w:r>
      <w:r w:rsidRPr="00B34D6E">
        <w:t>was a transformative learning experience for me. As a tool for managing workplace conflicts, research suggests it can reduce conflicts and enhance long-term collaboration in organizations</w:t>
      </w:r>
      <w:r w:rsidRPr="00FE312B">
        <w:t xml:space="preserve">(Benke, 2023). </w:t>
      </w:r>
      <w:r w:rsidRPr="00F85A97">
        <w:t>Although I usually avoid blaming others, I have faced conflicts, particularly with one colleague. Previously, I took a competitive stance, often escalating tensions. Recently, I shifted to avoidance but now understand that each situation requires a tailored approach. By choosing suitable conflict strategies, I’ve noticed fewer conflicts and a more harmonious work environment in recent weeks.</w:t>
      </w:r>
    </w:p>
    <w:p w14:paraId="10AEC3BB" w14:textId="77777777" w:rsidR="004146F5" w:rsidRPr="00FD12A8" w:rsidRDefault="004146F5" w:rsidP="004146F5">
      <w:pPr>
        <w:pStyle w:val="Heading2"/>
      </w:pPr>
      <w:bookmarkStart w:id="5" w:name="_Toc182839150"/>
      <w:r w:rsidRPr="00FD12A8">
        <w:rPr>
          <w:lang w:val="en-US"/>
        </w:rPr>
        <w:t>Communication Models</w:t>
      </w:r>
      <w:bookmarkEnd w:id="5"/>
    </w:p>
    <w:p w14:paraId="1B97925C" w14:textId="77777777" w:rsidR="004146F5" w:rsidRPr="00FD12A8" w:rsidRDefault="004146F5" w:rsidP="004146F5">
      <w:pPr>
        <w:rPr>
          <w:lang w:val="en-US"/>
        </w:rPr>
      </w:pPr>
      <w:r w:rsidRPr="00FD12A8">
        <w:rPr>
          <w:lang w:val="en-US"/>
        </w:rPr>
        <w:t xml:space="preserve">Learning about the Shannon-Weaver Model, Berlo’s Model of Communication, and Schramm’s Model of Communication </w:t>
      </w:r>
      <w:r w:rsidRPr="009A1A74">
        <w:t>has greatly improved my communication effectiveness. The Shannon-Weaver Model clarified core components—sender, message, and receiver—emphasizing clarity and precision. Building on this, Berlo’s and Schramm’s models highlighted how the sender’s skills, attitudes, and knowledge impact communication. For example, I realized that presenting ideas clearly in group discussions relied on these factors.</w:t>
      </w:r>
    </w:p>
    <w:p w14:paraId="20D69A75" w14:textId="77777777" w:rsidR="004146F5" w:rsidRPr="00FD12A8" w:rsidRDefault="004146F5" w:rsidP="004146F5">
      <w:pPr>
        <w:rPr>
          <w:lang w:val="en-US"/>
        </w:rPr>
      </w:pPr>
      <w:r w:rsidRPr="00FD12A8">
        <w:rPr>
          <w:lang w:val="en-US"/>
        </w:rPr>
        <w:t xml:space="preserve">These models also highlighted the importance of finding common ground for effective interaction, </w:t>
      </w:r>
      <w:r>
        <w:t xml:space="preserve">These models also underscored the need for common ground in diverse settings, where cultural </w:t>
      </w:r>
      <w:r>
        <w:lastRenderedPageBreak/>
        <w:t xml:space="preserve">differences can lead to misunderstandings (Muyanga, 2021). </w:t>
      </w:r>
      <w:r w:rsidRPr="00FD12A8">
        <w:rPr>
          <w:lang w:val="en-US"/>
        </w:rPr>
        <w:t>I recall a specific instance during a group project where we faced recurring miscommunications. Drawing on these models, I suggested we dedicate time to clarify our interpretations and establish mutual understanding. We implemented brief, hourly check-ins to ensure that everyone remained on the same page, which significantly improved our collaboration and the overall quality of our project.</w:t>
      </w:r>
    </w:p>
    <w:p w14:paraId="63F03578" w14:textId="77777777" w:rsidR="004146F5" w:rsidRDefault="004146F5" w:rsidP="004146F5">
      <w:pPr>
        <w:pStyle w:val="Heading2"/>
      </w:pPr>
      <w:bookmarkStart w:id="6" w:name="_Toc182839151"/>
      <w:r w:rsidRPr="00106A36">
        <w:t>Betari’s Box</w:t>
      </w:r>
      <w:bookmarkEnd w:id="6"/>
    </w:p>
    <w:p w14:paraId="11403AED" w14:textId="77777777" w:rsidR="004146F5" w:rsidRDefault="004146F5" w:rsidP="004146F5">
      <w:pPr>
        <w:keepNext/>
      </w:pPr>
      <w:r w:rsidRPr="00106A36">
        <w:t>Understanding Betari’s Box has been crucial for improving my interactions within teams. As illustrated in Graph 2, this model shows how our attitudes and behaviours continuously influence each other (Mulder, 2022). Recognizing this cycle has made me more mindful of how my mindset impacts my interactions. Personally, I’ve found that maintaining a positive attitude during team projects encourages more cooperative responses from my peers. Although straightforward, Betari’s Box is a powerful tool for breaking negative cycles and promoting smoother, more productive communication.</w:t>
      </w:r>
      <w:r>
        <w:rPr>
          <w:noProof/>
        </w:rPr>
        <w:drawing>
          <wp:inline distT="0" distB="0" distL="0" distR="0" wp14:anchorId="00961522" wp14:editId="18B577B2">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8215303" w14:textId="77777777" w:rsidR="004146F5" w:rsidRDefault="004146F5" w:rsidP="004146F5">
      <w:pPr>
        <w:pStyle w:val="Caption"/>
      </w:pPr>
      <w:r>
        <w:t xml:space="preserve">Figure 2 </w:t>
      </w:r>
      <w:r w:rsidRPr="00FA1FC7">
        <w:t>(Mulder, 2022)</w:t>
      </w:r>
    </w:p>
    <w:p w14:paraId="617A8DC7" w14:textId="77777777" w:rsidR="004146F5" w:rsidRPr="009E30D8" w:rsidRDefault="004146F5" w:rsidP="004146F5"/>
    <w:p w14:paraId="359DF684" w14:textId="77777777" w:rsidR="004146F5" w:rsidRDefault="004146F5" w:rsidP="004146F5">
      <w:pPr>
        <w:pStyle w:val="Heading2"/>
      </w:pPr>
      <w:bookmarkStart w:id="7" w:name="_Toc182839152"/>
      <w:r w:rsidRPr="001C22A9">
        <w:rPr>
          <w:rStyle w:val="Strong"/>
        </w:rPr>
        <w:t>Drama Triangle</w:t>
      </w:r>
      <w:bookmarkEnd w:id="7"/>
    </w:p>
    <w:p w14:paraId="0806FD06" w14:textId="77777777" w:rsidR="004146F5" w:rsidRDefault="004146F5" w:rsidP="004146F5">
      <w:pPr>
        <w:keepNext/>
      </w:pPr>
      <w:r>
        <w:t xml:space="preserve">The </w:t>
      </w:r>
      <w:r w:rsidRPr="001C22A9">
        <w:rPr>
          <w:rStyle w:val="Strong"/>
        </w:rPr>
        <w:t>Drama Triangle</w:t>
      </w:r>
      <w:r>
        <w:t xml:space="preserve">, shown in Figure 3, is rooted in </w:t>
      </w:r>
      <w:r w:rsidRPr="001C22A9">
        <w:rPr>
          <w:rStyle w:val="Strong"/>
        </w:rPr>
        <w:t>Transactional Analysis (TA)</w:t>
      </w:r>
      <w:r w:rsidRPr="001C22A9">
        <w:rPr>
          <w:b/>
          <w:bCs/>
        </w:rPr>
        <w:t>,</w:t>
      </w:r>
      <w:r>
        <w:t xml:space="preserve"> a theory developed by Eric Berne in the 1950s. Berne suggested that by the age of four or five, individuals form a ‘life </w:t>
      </w:r>
      <w:r>
        <w:lastRenderedPageBreak/>
        <w:t>script’ based on early experiences, shaping their beliefs and interactions.</w:t>
      </w:r>
      <w:r>
        <w:rPr>
          <w:noProof/>
        </w:rPr>
        <w:drawing>
          <wp:inline distT="0" distB="0" distL="0" distR="0" wp14:anchorId="04BD9FF1" wp14:editId="79AD88F9">
            <wp:extent cx="5731510" cy="43046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4304665"/>
                    </a:xfrm>
                    <a:prstGeom prst="rect">
                      <a:avLst/>
                    </a:prstGeom>
                  </pic:spPr>
                </pic:pic>
              </a:graphicData>
            </a:graphic>
          </wp:inline>
        </w:drawing>
      </w:r>
    </w:p>
    <w:p w14:paraId="0F258535" w14:textId="77777777" w:rsidR="004146F5" w:rsidRPr="00714D0B" w:rsidRDefault="004146F5" w:rsidP="004146F5">
      <w:pPr>
        <w:pStyle w:val="Caption"/>
      </w:pPr>
      <w:r>
        <w:t xml:space="preserve">Figure 3 </w:t>
      </w:r>
      <w:r w:rsidRPr="00714D0B">
        <w:t>(PerformanceHQ, 2020)</w:t>
      </w:r>
    </w:p>
    <w:p w14:paraId="2D73F44F" w14:textId="77777777" w:rsidR="004146F5" w:rsidRPr="00F42C82" w:rsidRDefault="004146F5" w:rsidP="004146F5">
      <w:r>
        <w:t>The Drama Triangle identifies three roles’ people adopt in conflicts: Victim, Persecutor, and Rescuer. These roles, often adopted unconsciously, can perpetuate negative dynamics. I have observed that many people are unaware of the theory behind these roles or how these patterns impact interactions. However, recognizing these roles has helped me avoid falling into them, which has fostered healthier interactions and contributed to my personal growth (Redfern, 2021).</w:t>
      </w:r>
    </w:p>
    <w:p w14:paraId="54703B10" w14:textId="77777777" w:rsidR="004146F5" w:rsidRDefault="004146F5" w:rsidP="004146F5">
      <w:pPr>
        <w:pStyle w:val="Heading1"/>
      </w:pPr>
      <w:bookmarkStart w:id="8" w:name="_Toc182839153"/>
      <w:r>
        <w:t>Conclusion</w:t>
      </w:r>
      <w:bookmarkEnd w:id="8"/>
    </w:p>
    <w:p w14:paraId="7096AFC6" w14:textId="77777777" w:rsidR="004146F5" w:rsidRPr="00B17906" w:rsidRDefault="004146F5" w:rsidP="004146F5">
      <w:r w:rsidRPr="00B17906">
        <w:t>Reflecting on this module, I’ve gained valuable insights into my roles as a Resource Investigator and Team Worker, which have enhanced my contributions to team goals. Models like Shannon-Weaver, Thomas-Kilmann, and Betari’s Box have improved my communication, conflict resolution, and mindset, while understanding the Drama Triangle has helped me navigate conflicts more effectively. Moving forward, I aim to strengthen my teamwork skills by fostering open communication, adopting conflict strategies based on context, and actively promoting trust and collaboration within my teams.</w:t>
      </w:r>
    </w:p>
    <w:p w14:paraId="5FE22C66" w14:textId="77777777" w:rsidR="004146F5" w:rsidRPr="008D02BF" w:rsidRDefault="004146F5" w:rsidP="004146F5">
      <w:pPr>
        <w:pStyle w:val="Heading1"/>
      </w:pPr>
      <w:bookmarkStart w:id="9" w:name="_Toc182839154"/>
      <w:r>
        <w:t>References</w:t>
      </w:r>
      <w:bookmarkEnd w:id="9"/>
    </w:p>
    <w:p w14:paraId="02CE2D6F"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Belbin, R.M. and Brown, V., 2022. </w:t>
      </w:r>
      <w:r w:rsidRPr="002C0324">
        <w:rPr>
          <w:rStyle w:val="Emphasis"/>
          <w:rFonts w:asciiTheme="minorHAnsi" w:hAnsiTheme="minorHAnsi" w:cstheme="minorHAnsi"/>
          <w:sz w:val="22"/>
          <w:szCs w:val="22"/>
        </w:rPr>
        <w:t>Team Roles at Work</w:t>
      </w:r>
      <w:r w:rsidRPr="002C0324">
        <w:rPr>
          <w:rFonts w:asciiTheme="minorHAnsi" w:hAnsiTheme="minorHAnsi" w:cstheme="minorHAnsi"/>
          <w:sz w:val="22"/>
          <w:szCs w:val="22"/>
        </w:rPr>
        <w:t>. Taylor &amp; Francis Group, Oxford. Available from: ProQuest Ebook Central [Accessed 25 October 2024].</w:t>
      </w:r>
    </w:p>
    <w:p w14:paraId="3AB1AFC6"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lastRenderedPageBreak/>
        <w:t xml:space="preserve">Bellomo, T., 2021. </w:t>
      </w:r>
      <w:r w:rsidRPr="002C0324">
        <w:rPr>
          <w:rStyle w:val="Emphasis"/>
          <w:rFonts w:asciiTheme="minorHAnsi" w:hAnsiTheme="minorHAnsi" w:cstheme="minorHAnsi"/>
          <w:sz w:val="22"/>
          <w:szCs w:val="22"/>
        </w:rPr>
        <w:t>Teamwork in Talent Development</w:t>
      </w:r>
      <w:r w:rsidRPr="002C0324">
        <w:rPr>
          <w:rFonts w:asciiTheme="minorHAnsi" w:hAnsiTheme="minorHAnsi" w:cstheme="minorHAnsi"/>
          <w:sz w:val="22"/>
          <w:szCs w:val="22"/>
        </w:rPr>
        <w:t>. S.L.: Amer Soc for Training, Introduction</w:t>
      </w:r>
      <w:r>
        <w:rPr>
          <w:rFonts w:asciiTheme="minorHAnsi" w:hAnsiTheme="minorHAnsi" w:cstheme="minorHAnsi"/>
          <w:sz w:val="22"/>
          <w:szCs w:val="22"/>
        </w:rPr>
        <w:t xml:space="preserve"> </w:t>
      </w:r>
      <w:r w:rsidRPr="002C0324">
        <w:rPr>
          <w:rFonts w:asciiTheme="minorHAnsi" w:hAnsiTheme="minorHAnsi" w:cstheme="minorHAnsi"/>
          <w:sz w:val="22"/>
          <w:szCs w:val="22"/>
        </w:rPr>
        <w:t>[Accessed 2</w:t>
      </w:r>
      <w:r>
        <w:rPr>
          <w:rFonts w:asciiTheme="minorHAnsi" w:hAnsiTheme="minorHAnsi" w:cstheme="minorHAnsi"/>
          <w:sz w:val="22"/>
          <w:szCs w:val="22"/>
        </w:rPr>
        <w:t>3</w:t>
      </w:r>
      <w:r w:rsidRPr="002C0324">
        <w:rPr>
          <w:rFonts w:asciiTheme="minorHAnsi" w:hAnsiTheme="minorHAnsi" w:cstheme="minorHAnsi"/>
          <w:sz w:val="22"/>
          <w:szCs w:val="22"/>
        </w:rPr>
        <w:t xml:space="preserve"> October 2024].</w:t>
      </w:r>
    </w:p>
    <w:p w14:paraId="4DB11E77"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Benke, M., 2023. How to solve conflict situations better with the model of Thomas and Kilmann. </w:t>
      </w:r>
      <w:r w:rsidRPr="002C0324">
        <w:rPr>
          <w:rStyle w:val="Emphasis"/>
          <w:rFonts w:asciiTheme="minorHAnsi" w:hAnsiTheme="minorHAnsi" w:cstheme="minorHAnsi"/>
          <w:sz w:val="22"/>
          <w:szCs w:val="22"/>
        </w:rPr>
        <w:t>Economic and Social Development: Book of Proceedings</w:t>
      </w:r>
      <w:r w:rsidRPr="002C0324">
        <w:rPr>
          <w:rFonts w:asciiTheme="minorHAnsi" w:hAnsiTheme="minorHAnsi" w:cstheme="minorHAnsi"/>
          <w:sz w:val="22"/>
          <w:szCs w:val="22"/>
        </w:rPr>
        <w:t>, pp.229-238</w:t>
      </w:r>
      <w:r>
        <w:rPr>
          <w:rFonts w:asciiTheme="minorHAnsi" w:hAnsiTheme="minorHAnsi" w:cstheme="minorHAnsi"/>
          <w:sz w:val="22"/>
          <w:szCs w:val="22"/>
        </w:rPr>
        <w:t xml:space="preserve"> </w:t>
      </w:r>
      <w:r w:rsidRPr="002C0324">
        <w:rPr>
          <w:rFonts w:asciiTheme="minorHAnsi" w:hAnsiTheme="minorHAnsi" w:cstheme="minorHAnsi"/>
          <w:sz w:val="22"/>
          <w:szCs w:val="22"/>
        </w:rPr>
        <w:t>[Accessed 2</w:t>
      </w:r>
      <w:r>
        <w:rPr>
          <w:rFonts w:asciiTheme="minorHAnsi" w:hAnsiTheme="minorHAnsi" w:cstheme="minorHAnsi"/>
          <w:sz w:val="22"/>
          <w:szCs w:val="22"/>
        </w:rPr>
        <w:t>8</w:t>
      </w:r>
      <w:r w:rsidRPr="002C0324">
        <w:rPr>
          <w:rFonts w:asciiTheme="minorHAnsi" w:hAnsiTheme="minorHAnsi" w:cstheme="minorHAnsi"/>
          <w:sz w:val="22"/>
          <w:szCs w:val="22"/>
        </w:rPr>
        <w:t xml:space="preserve"> October 2024].</w:t>
      </w:r>
    </w:p>
    <w:p w14:paraId="1EEA9C6A"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Bitesize Learning, 2024. The 9 Belbin team roles, explained: Models for managers. [online] Available at: </w:t>
      </w:r>
      <w:hyperlink r:id="rId10" w:tgtFrame="_new" w:history="1">
        <w:r w:rsidRPr="002C0324">
          <w:rPr>
            <w:rStyle w:val="Hyperlink"/>
            <w:rFonts w:asciiTheme="minorHAnsi" w:eastAsiaTheme="majorEastAsia" w:hAnsiTheme="minorHAnsi" w:cstheme="minorHAnsi"/>
            <w:sz w:val="22"/>
            <w:szCs w:val="22"/>
          </w:rPr>
          <w:t>https://www.bitesizelearning.co.uk/resources/belbin-team-roles-explained</w:t>
        </w:r>
      </w:hyperlink>
      <w:r w:rsidRPr="002C0324">
        <w:rPr>
          <w:rFonts w:asciiTheme="minorHAnsi" w:hAnsiTheme="minorHAnsi" w:cstheme="minorHAnsi"/>
          <w:sz w:val="22"/>
          <w:szCs w:val="22"/>
        </w:rPr>
        <w:t xml:space="preserve"> [Accessed 25 October 2024].</w:t>
      </w:r>
    </w:p>
    <w:p w14:paraId="297F588A"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Galanakis, M. and Peramatzis, G., 2022. Herzberg’s motivation theory in the workplace. </w:t>
      </w:r>
      <w:r w:rsidRPr="002C0324">
        <w:rPr>
          <w:rStyle w:val="Emphasis"/>
          <w:rFonts w:asciiTheme="minorHAnsi" w:hAnsiTheme="minorHAnsi" w:cstheme="minorHAnsi"/>
          <w:sz w:val="22"/>
          <w:szCs w:val="22"/>
        </w:rPr>
        <w:t>Journal of Psychology Research</w:t>
      </w:r>
      <w:r w:rsidRPr="002C0324">
        <w:rPr>
          <w:rFonts w:asciiTheme="minorHAnsi" w:hAnsiTheme="minorHAnsi" w:cstheme="minorHAnsi"/>
          <w:sz w:val="22"/>
          <w:szCs w:val="22"/>
        </w:rPr>
        <w:t xml:space="preserve">, [online] 12(12), pp.971–978. Available at: </w:t>
      </w:r>
      <w:hyperlink r:id="rId11" w:tgtFrame="_new" w:history="1">
        <w:r w:rsidRPr="002C0324">
          <w:rPr>
            <w:rStyle w:val="Hyperlink"/>
            <w:rFonts w:asciiTheme="minorHAnsi" w:eastAsiaTheme="majorEastAsia" w:hAnsiTheme="minorHAnsi" w:cstheme="minorHAnsi"/>
            <w:sz w:val="22"/>
            <w:szCs w:val="22"/>
          </w:rPr>
          <w:t>https://doi.org/10.17265/2159-5542/2022.12.009</w:t>
        </w:r>
      </w:hyperlink>
      <w:r w:rsidRPr="002C0324">
        <w:rPr>
          <w:rFonts w:asciiTheme="minorHAnsi" w:hAnsiTheme="minorHAnsi" w:cstheme="minorHAnsi"/>
          <w:sz w:val="22"/>
          <w:szCs w:val="22"/>
        </w:rPr>
        <w:t xml:space="preserve"> [Accessed 25 October 2024].</w:t>
      </w:r>
    </w:p>
    <w:p w14:paraId="15746B4B"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Monsalves, D., Cornide-Reyes, H. and Riquelme, F., 2023. Relationships between social interactions and Belbin role types in collaborative agile teams. </w:t>
      </w:r>
      <w:r w:rsidRPr="002C0324">
        <w:rPr>
          <w:rStyle w:val="Emphasis"/>
          <w:rFonts w:asciiTheme="minorHAnsi" w:hAnsiTheme="minorHAnsi" w:cstheme="minorHAnsi"/>
          <w:sz w:val="22"/>
          <w:szCs w:val="22"/>
        </w:rPr>
        <w:t>IEEE Access</w:t>
      </w:r>
      <w:r w:rsidRPr="002C0324">
        <w:rPr>
          <w:rFonts w:asciiTheme="minorHAnsi" w:hAnsiTheme="minorHAnsi" w:cstheme="minorHAnsi"/>
          <w:sz w:val="22"/>
          <w:szCs w:val="22"/>
        </w:rPr>
        <w:t xml:space="preserve">, 11, pp.17002–17020. Available at: </w:t>
      </w:r>
      <w:hyperlink r:id="rId12" w:tgtFrame="_new" w:history="1">
        <w:r w:rsidRPr="002C0324">
          <w:rPr>
            <w:rStyle w:val="Hyperlink"/>
            <w:rFonts w:asciiTheme="minorHAnsi" w:eastAsiaTheme="majorEastAsia" w:hAnsiTheme="minorHAnsi" w:cstheme="minorHAnsi"/>
            <w:sz w:val="22"/>
            <w:szCs w:val="22"/>
          </w:rPr>
          <w:t>https://doi.org/10.1109/access.2023.3245325</w:t>
        </w:r>
      </w:hyperlink>
      <w:r w:rsidRPr="002C0324">
        <w:rPr>
          <w:rFonts w:asciiTheme="minorHAnsi" w:hAnsiTheme="minorHAnsi" w:cstheme="minorHAnsi"/>
          <w:sz w:val="22"/>
          <w:szCs w:val="22"/>
        </w:rPr>
        <w:t xml:space="preserve"> [Accessed 25 October 2024].</w:t>
      </w:r>
    </w:p>
    <w:p w14:paraId="2E44E8D3"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Mulder, P., 2022. Betari Box theory. [online] Toolshero. Available at: </w:t>
      </w:r>
      <w:hyperlink r:id="rId13" w:tgtFrame="_new" w:history="1">
        <w:r w:rsidRPr="002C0324">
          <w:rPr>
            <w:rStyle w:val="Hyperlink"/>
            <w:rFonts w:asciiTheme="minorHAnsi" w:eastAsiaTheme="majorEastAsia" w:hAnsiTheme="minorHAnsi" w:cstheme="minorHAnsi"/>
            <w:sz w:val="22"/>
            <w:szCs w:val="22"/>
          </w:rPr>
          <w:t>https://www.toolshero.com/communication-methods/betari-box-theory/</w:t>
        </w:r>
      </w:hyperlink>
      <w:r w:rsidRPr="002C0324">
        <w:rPr>
          <w:rFonts w:asciiTheme="minorHAnsi" w:hAnsiTheme="minorHAnsi" w:cstheme="minorHAnsi"/>
          <w:sz w:val="22"/>
          <w:szCs w:val="22"/>
        </w:rPr>
        <w:t xml:space="preserve"> [Accessed 25 October 2024].</w:t>
      </w:r>
    </w:p>
    <w:p w14:paraId="24A4B28F"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Muyanga, C.C., 2021. Assessment of effective communication in international schools in Lusaka based on Berlo’s SMCR model. Doctoral dissertation, The University of Zambia</w:t>
      </w:r>
      <w:r>
        <w:rPr>
          <w:rFonts w:asciiTheme="minorHAnsi" w:hAnsiTheme="minorHAnsi" w:cstheme="minorHAnsi"/>
          <w:sz w:val="22"/>
          <w:szCs w:val="22"/>
        </w:rPr>
        <w:t xml:space="preserve"> </w:t>
      </w:r>
      <w:r w:rsidRPr="002C0324">
        <w:rPr>
          <w:rFonts w:asciiTheme="minorHAnsi" w:hAnsiTheme="minorHAnsi" w:cstheme="minorHAnsi"/>
          <w:sz w:val="22"/>
          <w:szCs w:val="22"/>
        </w:rPr>
        <w:t>[Accessed 2</w:t>
      </w:r>
      <w:r>
        <w:rPr>
          <w:rFonts w:asciiTheme="minorHAnsi" w:hAnsiTheme="minorHAnsi" w:cstheme="minorHAnsi"/>
          <w:sz w:val="22"/>
          <w:szCs w:val="22"/>
        </w:rPr>
        <w:t>8</w:t>
      </w:r>
      <w:r w:rsidRPr="002C0324">
        <w:rPr>
          <w:rFonts w:asciiTheme="minorHAnsi" w:hAnsiTheme="minorHAnsi" w:cstheme="minorHAnsi"/>
          <w:sz w:val="22"/>
          <w:szCs w:val="22"/>
        </w:rPr>
        <w:t xml:space="preserve"> October 2024].</w:t>
      </w:r>
    </w:p>
    <w:p w14:paraId="5D62CB80" w14:textId="77777777" w:rsidR="004146F5" w:rsidRPr="002C0324"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PerformanceHQ, 2020. What Uber’s CEO can teach us about leadership - The Drama Triangle in action. [online] Available at: </w:t>
      </w:r>
      <w:hyperlink r:id="rId14" w:tgtFrame="_new" w:history="1">
        <w:r w:rsidRPr="002C0324">
          <w:rPr>
            <w:rStyle w:val="Hyperlink"/>
            <w:rFonts w:asciiTheme="minorHAnsi" w:eastAsiaTheme="majorEastAsia" w:hAnsiTheme="minorHAnsi" w:cstheme="minorHAnsi"/>
            <w:sz w:val="22"/>
            <w:szCs w:val="22"/>
          </w:rPr>
          <w:t>https://www.performancehq.com.au/blog/2020/9/14/the-drama-triangle</w:t>
        </w:r>
      </w:hyperlink>
      <w:r w:rsidRPr="002C0324">
        <w:rPr>
          <w:rFonts w:asciiTheme="minorHAnsi" w:hAnsiTheme="minorHAnsi" w:cstheme="minorHAnsi"/>
          <w:sz w:val="22"/>
          <w:szCs w:val="22"/>
        </w:rPr>
        <w:t xml:space="preserve"> [Accessed 25 October 2024].</w:t>
      </w:r>
    </w:p>
    <w:p w14:paraId="3225C624" w14:textId="77777777" w:rsidR="004146F5" w:rsidRPr="00E46756" w:rsidRDefault="004146F5" w:rsidP="004146F5">
      <w:pPr>
        <w:pStyle w:val="NormalWeb"/>
        <w:rPr>
          <w:rFonts w:asciiTheme="minorHAnsi" w:hAnsiTheme="minorHAnsi" w:cstheme="minorHAnsi"/>
          <w:sz w:val="22"/>
          <w:szCs w:val="22"/>
        </w:rPr>
      </w:pPr>
      <w:r w:rsidRPr="002C0324">
        <w:rPr>
          <w:rFonts w:asciiTheme="minorHAnsi" w:hAnsiTheme="minorHAnsi" w:cstheme="minorHAnsi"/>
          <w:sz w:val="22"/>
          <w:szCs w:val="22"/>
        </w:rPr>
        <w:t xml:space="preserve">Redfern, E., 2021. The drama triangle and healthy triangle in supervision. </w:t>
      </w:r>
      <w:r w:rsidRPr="002C0324">
        <w:rPr>
          <w:rStyle w:val="Emphasis"/>
          <w:rFonts w:asciiTheme="minorHAnsi" w:hAnsiTheme="minorHAnsi" w:cstheme="minorHAnsi"/>
          <w:sz w:val="22"/>
          <w:szCs w:val="22"/>
        </w:rPr>
        <w:t>The Irish Journal of Counselling and Psychotherapy</w:t>
      </w:r>
      <w:r w:rsidRPr="002C0324">
        <w:rPr>
          <w:rFonts w:asciiTheme="minorHAnsi" w:hAnsiTheme="minorHAnsi" w:cstheme="minorHAnsi"/>
          <w:sz w:val="22"/>
          <w:szCs w:val="22"/>
        </w:rPr>
        <w:t>, 21(1), pp.4-8</w:t>
      </w:r>
      <w:r>
        <w:rPr>
          <w:rFonts w:asciiTheme="minorHAnsi" w:hAnsiTheme="minorHAnsi" w:cstheme="minorHAnsi"/>
          <w:sz w:val="22"/>
          <w:szCs w:val="22"/>
        </w:rPr>
        <w:t xml:space="preserve"> </w:t>
      </w:r>
      <w:r w:rsidRPr="002C0324">
        <w:rPr>
          <w:rFonts w:asciiTheme="minorHAnsi" w:hAnsiTheme="minorHAnsi" w:cstheme="minorHAnsi"/>
          <w:sz w:val="22"/>
          <w:szCs w:val="22"/>
        </w:rPr>
        <w:t>[Accessed 2</w:t>
      </w:r>
      <w:r>
        <w:rPr>
          <w:rFonts w:asciiTheme="minorHAnsi" w:hAnsiTheme="minorHAnsi" w:cstheme="minorHAnsi"/>
          <w:sz w:val="22"/>
          <w:szCs w:val="22"/>
        </w:rPr>
        <w:t>8</w:t>
      </w:r>
      <w:r w:rsidRPr="002C0324">
        <w:rPr>
          <w:rFonts w:asciiTheme="minorHAnsi" w:hAnsiTheme="minorHAnsi" w:cstheme="minorHAnsi"/>
          <w:sz w:val="22"/>
          <w:szCs w:val="22"/>
        </w:rPr>
        <w:t xml:space="preserve"> October 2024].</w:t>
      </w:r>
    </w:p>
    <w:p w14:paraId="3018C17C" w14:textId="77777777" w:rsidR="00972F0B" w:rsidRDefault="00972F0B"/>
    <w:sectPr w:rsidR="00972F0B">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7314B" w14:textId="77777777" w:rsidR="00DB6E2A" w:rsidRDefault="00DB6E2A">
      <w:pPr>
        <w:spacing w:after="0" w:line="240" w:lineRule="auto"/>
      </w:pPr>
      <w:r>
        <w:separator/>
      </w:r>
    </w:p>
  </w:endnote>
  <w:endnote w:type="continuationSeparator" w:id="0">
    <w:p w14:paraId="3BDF65B6" w14:textId="77777777" w:rsidR="00DB6E2A" w:rsidRDefault="00DB6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13461"/>
      <w:docPartObj>
        <w:docPartGallery w:val="Page Numbers (Bottom of Page)"/>
        <w:docPartUnique/>
      </w:docPartObj>
    </w:sdtPr>
    <w:sdtEndPr>
      <w:rPr>
        <w:noProof/>
      </w:rPr>
    </w:sdtEndPr>
    <w:sdtContent>
      <w:p w14:paraId="116CA54B" w14:textId="77777777" w:rsidR="004F419B" w:rsidRDefault="004146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DEE9D" w14:textId="77777777" w:rsidR="004F419B" w:rsidRDefault="00DB6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887F8" w14:textId="77777777" w:rsidR="00DB6E2A" w:rsidRDefault="00DB6E2A">
      <w:pPr>
        <w:spacing w:after="0" w:line="240" w:lineRule="auto"/>
      </w:pPr>
      <w:r>
        <w:separator/>
      </w:r>
    </w:p>
  </w:footnote>
  <w:footnote w:type="continuationSeparator" w:id="0">
    <w:p w14:paraId="6CC669A3" w14:textId="77777777" w:rsidR="00DB6E2A" w:rsidRDefault="00DB6E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6F5"/>
    <w:rsid w:val="00014028"/>
    <w:rsid w:val="00025285"/>
    <w:rsid w:val="001D3AF9"/>
    <w:rsid w:val="00400B0F"/>
    <w:rsid w:val="004146F5"/>
    <w:rsid w:val="00696C51"/>
    <w:rsid w:val="00782695"/>
    <w:rsid w:val="007D55A7"/>
    <w:rsid w:val="008C487A"/>
    <w:rsid w:val="00972F0B"/>
    <w:rsid w:val="009B7298"/>
    <w:rsid w:val="00B56603"/>
    <w:rsid w:val="00DB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812C1"/>
  <w15:chartTrackingRefBased/>
  <w15:docId w15:val="{D2F97451-E888-41CC-881A-EE720F76C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6F5"/>
    <w:rPr>
      <w:kern w:val="0"/>
      <w14:ligatures w14:val="none"/>
    </w:rPr>
  </w:style>
  <w:style w:type="paragraph" w:styleId="Heading1">
    <w:name w:val="heading 1"/>
    <w:basedOn w:val="Normal"/>
    <w:next w:val="Normal"/>
    <w:link w:val="Heading1Char"/>
    <w:uiPriority w:val="9"/>
    <w:qFormat/>
    <w:rsid w:val="00414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46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6F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4146F5"/>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4146F5"/>
    <w:rPr>
      <w:color w:val="0000FF"/>
      <w:u w:val="single"/>
    </w:rPr>
  </w:style>
  <w:style w:type="paragraph" w:styleId="Caption">
    <w:name w:val="caption"/>
    <w:basedOn w:val="Normal"/>
    <w:next w:val="Normal"/>
    <w:uiPriority w:val="35"/>
    <w:unhideWhenUsed/>
    <w:qFormat/>
    <w:rsid w:val="004146F5"/>
    <w:pPr>
      <w:spacing w:after="200" w:line="240" w:lineRule="auto"/>
    </w:pPr>
    <w:rPr>
      <w:i/>
      <w:iCs/>
      <w:color w:val="44546A" w:themeColor="text2"/>
      <w:sz w:val="18"/>
      <w:szCs w:val="18"/>
    </w:rPr>
  </w:style>
  <w:style w:type="character" w:styleId="Strong">
    <w:name w:val="Strong"/>
    <w:basedOn w:val="DefaultParagraphFont"/>
    <w:uiPriority w:val="22"/>
    <w:qFormat/>
    <w:rsid w:val="004146F5"/>
    <w:rPr>
      <w:b/>
      <w:bCs/>
    </w:rPr>
  </w:style>
  <w:style w:type="paragraph" w:styleId="Footer">
    <w:name w:val="footer"/>
    <w:basedOn w:val="Normal"/>
    <w:link w:val="FooterChar"/>
    <w:uiPriority w:val="99"/>
    <w:unhideWhenUsed/>
    <w:rsid w:val="004146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6F5"/>
    <w:rPr>
      <w:kern w:val="0"/>
      <w14:ligatures w14:val="none"/>
    </w:rPr>
  </w:style>
  <w:style w:type="paragraph" w:styleId="TOCHeading">
    <w:name w:val="TOC Heading"/>
    <w:basedOn w:val="Heading1"/>
    <w:next w:val="Normal"/>
    <w:uiPriority w:val="39"/>
    <w:unhideWhenUsed/>
    <w:qFormat/>
    <w:rsid w:val="004146F5"/>
    <w:pPr>
      <w:outlineLvl w:val="9"/>
    </w:pPr>
    <w:rPr>
      <w:lang w:val="en-US"/>
    </w:rPr>
  </w:style>
  <w:style w:type="paragraph" w:styleId="TOC1">
    <w:name w:val="toc 1"/>
    <w:basedOn w:val="Normal"/>
    <w:next w:val="Normal"/>
    <w:autoRedefine/>
    <w:uiPriority w:val="39"/>
    <w:unhideWhenUsed/>
    <w:rsid w:val="004146F5"/>
    <w:pPr>
      <w:spacing w:after="100"/>
    </w:pPr>
  </w:style>
  <w:style w:type="paragraph" w:styleId="TOC2">
    <w:name w:val="toc 2"/>
    <w:basedOn w:val="Normal"/>
    <w:next w:val="Normal"/>
    <w:autoRedefine/>
    <w:uiPriority w:val="39"/>
    <w:unhideWhenUsed/>
    <w:rsid w:val="004146F5"/>
    <w:pPr>
      <w:spacing w:after="100"/>
      <w:ind w:left="220"/>
    </w:pPr>
  </w:style>
  <w:style w:type="paragraph" w:styleId="NormalWeb">
    <w:name w:val="Normal (Web)"/>
    <w:basedOn w:val="Normal"/>
    <w:uiPriority w:val="99"/>
    <w:unhideWhenUsed/>
    <w:rsid w:val="00414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146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toolshero.com/communication-methods/betari-box-theory/"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109/access.2023.324532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7265/2159-5542/2022.12.00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bitesizelearning.co.uk/resources/belbin-team-roles-explained"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performancehq.com.au/blog/2020/9/14/the-drama-trian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7</Pages>
  <Words>1444</Words>
  <Characters>8885</Characters>
  <Application>Microsoft Office Word</Application>
  <DocSecurity>0</DocSecurity>
  <Lines>193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Asadi</dc:creator>
  <cp:keywords/>
  <dc:description/>
  <cp:lastModifiedBy>Mohammad Asadi</cp:lastModifiedBy>
  <cp:revision>9</cp:revision>
  <dcterms:created xsi:type="dcterms:W3CDTF">2024-11-26T22:05:00Z</dcterms:created>
  <dcterms:modified xsi:type="dcterms:W3CDTF">2024-11-26T23:26:00Z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eb44ac66-81f9-422a-a8e1-4ae4d6b6e530</vt:lpwstr>
  </property>
</Properties>
</file>