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BD86A" w14:textId="77777777" w:rsidR="00692385" w:rsidRPr="00E74B3B" w:rsidRDefault="00692385" w:rsidP="00E74B3B">
      <w:pPr>
        <w:spacing w:line="360" w:lineRule="auto"/>
        <w:rPr>
          <w:rFonts w:ascii="Arial" w:hAnsi="Arial" w:cs="Arial"/>
          <w:b/>
          <w:bCs/>
          <w:sz w:val="22"/>
          <w:szCs w:val="22"/>
        </w:rPr>
      </w:pPr>
      <w:r w:rsidRPr="00E74B3B">
        <w:rPr>
          <w:rFonts w:ascii="Arial" w:hAnsi="Arial" w:cs="Arial"/>
          <w:b/>
          <w:bCs/>
          <w:sz w:val="22"/>
          <w:szCs w:val="22"/>
        </w:rPr>
        <w:t xml:space="preserve">Emotional Intelligence and Mindfulness: </w:t>
      </w:r>
      <w:r w:rsidRPr="008B497B">
        <w:rPr>
          <w:rFonts w:ascii="Arial" w:hAnsi="Arial" w:cs="Arial"/>
          <w:sz w:val="22"/>
          <w:szCs w:val="22"/>
        </w:rPr>
        <w:t>Their Contribution to Workplace Performance</w:t>
      </w:r>
    </w:p>
    <w:p w14:paraId="11525843" w14:textId="77777777" w:rsidR="00465C4D" w:rsidRDefault="00692385" w:rsidP="00E74B3B">
      <w:pPr>
        <w:spacing w:line="360" w:lineRule="auto"/>
        <w:rPr>
          <w:rFonts w:ascii="Arial" w:hAnsi="Arial" w:cs="Arial"/>
          <w:sz w:val="22"/>
          <w:szCs w:val="22"/>
        </w:rPr>
      </w:pPr>
      <w:r w:rsidRPr="00E74B3B">
        <w:rPr>
          <w:rFonts w:ascii="Arial" w:hAnsi="Arial" w:cs="Arial"/>
          <w:b/>
          <w:bCs/>
          <w:sz w:val="22"/>
          <w:szCs w:val="22"/>
        </w:rPr>
        <w:t>Student Name:</w:t>
      </w:r>
      <w:r w:rsidRPr="00E74B3B">
        <w:rPr>
          <w:rFonts w:ascii="Arial" w:hAnsi="Arial" w:cs="Arial"/>
          <w:b/>
          <w:bCs/>
          <w:sz w:val="22"/>
          <w:szCs w:val="22"/>
        </w:rPr>
        <w:t xml:space="preserve"> </w:t>
      </w:r>
      <w:r w:rsidRPr="00E74B3B">
        <w:rPr>
          <w:rFonts w:ascii="Arial" w:hAnsi="Arial" w:cs="Arial"/>
          <w:b/>
          <w:bCs/>
          <w:sz w:val="22"/>
          <w:szCs w:val="22"/>
        </w:rPr>
        <w:tab/>
      </w:r>
      <w:r w:rsidRPr="00E74B3B">
        <w:rPr>
          <w:rFonts w:ascii="Arial" w:hAnsi="Arial" w:cs="Arial"/>
          <w:sz w:val="22"/>
          <w:szCs w:val="22"/>
        </w:rPr>
        <w:t>Abdul Bashar</w:t>
      </w:r>
      <w:r w:rsidRPr="00E74B3B">
        <w:rPr>
          <w:rFonts w:ascii="Arial" w:hAnsi="Arial" w:cs="Arial"/>
          <w:b/>
          <w:bCs/>
          <w:sz w:val="22"/>
          <w:szCs w:val="22"/>
        </w:rPr>
        <w:br/>
        <w:t>Student ID:</w:t>
      </w:r>
      <w:r w:rsidRPr="00E74B3B">
        <w:rPr>
          <w:rFonts w:ascii="Arial" w:hAnsi="Arial" w:cs="Arial"/>
          <w:b/>
          <w:bCs/>
          <w:sz w:val="22"/>
          <w:szCs w:val="22"/>
        </w:rPr>
        <w:tab/>
      </w:r>
      <w:r w:rsidRPr="00E74B3B">
        <w:rPr>
          <w:rFonts w:ascii="Arial" w:hAnsi="Arial" w:cs="Arial"/>
          <w:b/>
          <w:bCs/>
          <w:sz w:val="22"/>
          <w:szCs w:val="22"/>
        </w:rPr>
        <w:tab/>
      </w:r>
      <w:r w:rsidRPr="00E74B3B">
        <w:rPr>
          <w:rFonts w:ascii="Arial" w:hAnsi="Arial" w:cs="Arial"/>
          <w:sz w:val="22"/>
          <w:szCs w:val="22"/>
        </w:rPr>
        <w:t>2407308</w:t>
      </w:r>
      <w:r w:rsidRPr="00E74B3B">
        <w:rPr>
          <w:rFonts w:ascii="Arial" w:hAnsi="Arial" w:cs="Arial"/>
          <w:sz w:val="22"/>
          <w:szCs w:val="22"/>
        </w:rPr>
        <w:br/>
      </w:r>
      <w:r w:rsidRPr="00E74B3B">
        <w:rPr>
          <w:rFonts w:ascii="Arial" w:hAnsi="Arial" w:cs="Arial"/>
          <w:b/>
          <w:bCs/>
          <w:sz w:val="22"/>
          <w:szCs w:val="22"/>
        </w:rPr>
        <w:t>Module:</w:t>
      </w:r>
      <w:r w:rsidRPr="00E74B3B">
        <w:rPr>
          <w:rFonts w:ascii="Arial" w:hAnsi="Arial" w:cs="Arial"/>
          <w:sz w:val="22"/>
          <w:szCs w:val="22"/>
        </w:rPr>
        <w:t xml:space="preserve"> </w:t>
      </w:r>
      <w:r w:rsidRPr="00E74B3B">
        <w:rPr>
          <w:rFonts w:ascii="Arial" w:hAnsi="Arial" w:cs="Arial"/>
          <w:sz w:val="22"/>
          <w:szCs w:val="22"/>
        </w:rPr>
        <w:tab/>
      </w:r>
      <w:r w:rsidRPr="00E74B3B">
        <w:rPr>
          <w:rFonts w:ascii="Arial" w:hAnsi="Arial" w:cs="Arial"/>
          <w:sz w:val="22"/>
          <w:szCs w:val="22"/>
        </w:rPr>
        <w:tab/>
      </w:r>
      <w:r w:rsidRPr="00E74B3B">
        <w:rPr>
          <w:rFonts w:ascii="Arial" w:hAnsi="Arial" w:cs="Arial"/>
          <w:sz w:val="22"/>
          <w:szCs w:val="22"/>
        </w:rPr>
        <w:t>Developing Emotional Intelligence Skills (LCLM5006)</w:t>
      </w:r>
      <w:r w:rsidRPr="00E74B3B">
        <w:rPr>
          <w:rFonts w:ascii="Arial" w:hAnsi="Arial" w:cs="Arial"/>
          <w:sz w:val="22"/>
          <w:szCs w:val="22"/>
        </w:rPr>
        <w:t xml:space="preserve"> C2</w:t>
      </w:r>
    </w:p>
    <w:p w14:paraId="688D3FB0" w14:textId="45E585FF" w:rsidR="00692385" w:rsidRPr="00E74B3B" w:rsidRDefault="00692385" w:rsidP="00E74B3B">
      <w:pPr>
        <w:spacing w:line="360" w:lineRule="auto"/>
        <w:rPr>
          <w:rFonts w:ascii="Arial" w:hAnsi="Arial" w:cs="Arial"/>
          <w:sz w:val="22"/>
          <w:szCs w:val="22"/>
        </w:rPr>
      </w:pPr>
      <w:r w:rsidRPr="00E74B3B">
        <w:rPr>
          <w:rFonts w:ascii="Arial" w:hAnsi="Arial" w:cs="Arial"/>
          <w:b/>
          <w:bCs/>
          <w:sz w:val="22"/>
          <w:szCs w:val="22"/>
        </w:rPr>
        <w:t>Lecturer:</w:t>
      </w:r>
      <w:r w:rsidRPr="00E74B3B">
        <w:rPr>
          <w:rFonts w:ascii="Arial" w:hAnsi="Arial" w:cs="Arial"/>
          <w:sz w:val="22"/>
          <w:szCs w:val="22"/>
        </w:rPr>
        <w:t xml:space="preserve"> </w:t>
      </w:r>
      <w:r w:rsidRPr="00E74B3B">
        <w:rPr>
          <w:rFonts w:ascii="Arial" w:hAnsi="Arial" w:cs="Arial"/>
          <w:sz w:val="22"/>
          <w:szCs w:val="22"/>
        </w:rPr>
        <w:tab/>
      </w:r>
      <w:r w:rsidRPr="00E74B3B">
        <w:rPr>
          <w:rFonts w:ascii="Arial" w:hAnsi="Arial" w:cs="Arial"/>
          <w:sz w:val="22"/>
          <w:szCs w:val="22"/>
        </w:rPr>
        <w:tab/>
        <w:t>Sujeew</w:t>
      </w:r>
      <w:r w:rsidR="00652772" w:rsidRPr="00E74B3B">
        <w:rPr>
          <w:rFonts w:ascii="Arial" w:hAnsi="Arial" w:cs="Arial"/>
          <w:sz w:val="22"/>
          <w:szCs w:val="22"/>
        </w:rPr>
        <w:t>a Herath Mudiyanselage</w:t>
      </w:r>
    </w:p>
    <w:p w14:paraId="6B461965" w14:textId="77777777" w:rsidR="00692385" w:rsidRPr="00E74B3B" w:rsidRDefault="00692385" w:rsidP="00E74B3B">
      <w:pPr>
        <w:spacing w:line="360" w:lineRule="auto"/>
        <w:rPr>
          <w:rFonts w:ascii="Arial" w:hAnsi="Arial" w:cs="Arial"/>
          <w:sz w:val="22"/>
          <w:szCs w:val="22"/>
        </w:rPr>
      </w:pPr>
      <w:r w:rsidRPr="00E74B3B">
        <w:rPr>
          <w:rFonts w:ascii="Arial" w:hAnsi="Arial" w:cs="Arial"/>
          <w:sz w:val="22"/>
          <w:szCs w:val="22"/>
        </w:rPr>
        <w:pict w14:anchorId="10F76934">
          <v:rect id="_x0000_i1254" style="width:0;height:1.5pt"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82"/>
        <w:gridCol w:w="428"/>
      </w:tblGrid>
      <w:tr w:rsidR="00CC5018" w:rsidRPr="00CC5018" w14:paraId="2F00F30C" w14:textId="77777777" w:rsidTr="00092049">
        <w:trPr>
          <w:tblHeader/>
          <w:tblCellSpacing w:w="15" w:type="dxa"/>
        </w:trPr>
        <w:tc>
          <w:tcPr>
            <w:tcW w:w="0" w:type="auto"/>
            <w:vAlign w:val="center"/>
            <w:hideMark/>
          </w:tcPr>
          <w:p w14:paraId="4DCF4C6F" w14:textId="77777777" w:rsidR="00CC5018" w:rsidRPr="00CC5018" w:rsidRDefault="00CC5018" w:rsidP="00CC5018">
            <w:pPr>
              <w:spacing w:after="0" w:line="360" w:lineRule="auto"/>
              <w:rPr>
                <w:rFonts w:ascii="Arial" w:eastAsia="Times New Roman" w:hAnsi="Arial" w:cs="Arial"/>
                <w:b/>
                <w:bCs/>
                <w:kern w:val="0"/>
                <w:sz w:val="22"/>
                <w:szCs w:val="22"/>
                <w:lang w:eastAsia="en-GB"/>
                <w14:ligatures w14:val="none"/>
              </w:rPr>
            </w:pPr>
            <w:r w:rsidRPr="00CC5018">
              <w:rPr>
                <w:rFonts w:ascii="Arial" w:eastAsia="Times New Roman" w:hAnsi="Arial" w:cs="Arial"/>
                <w:b/>
                <w:bCs/>
                <w:kern w:val="0"/>
                <w:sz w:val="22"/>
                <w:szCs w:val="22"/>
                <w:lang w:eastAsia="en-GB"/>
                <w14:ligatures w14:val="none"/>
              </w:rPr>
              <w:t>Table of Contents</w:t>
            </w:r>
          </w:p>
        </w:tc>
        <w:tc>
          <w:tcPr>
            <w:tcW w:w="383" w:type="dxa"/>
            <w:vAlign w:val="center"/>
            <w:hideMark/>
          </w:tcPr>
          <w:p w14:paraId="24B42BCC" w14:textId="4AA2DB99" w:rsidR="00CC5018" w:rsidRPr="00CC5018" w:rsidRDefault="00CC5018" w:rsidP="00CC5018">
            <w:pPr>
              <w:spacing w:after="0" w:line="360" w:lineRule="auto"/>
              <w:jc w:val="center"/>
              <w:rPr>
                <w:rFonts w:ascii="Arial" w:eastAsia="Times New Roman" w:hAnsi="Arial" w:cs="Arial"/>
                <w:b/>
                <w:bCs/>
                <w:kern w:val="0"/>
                <w:sz w:val="22"/>
                <w:szCs w:val="22"/>
                <w:lang w:eastAsia="en-GB"/>
                <w14:ligatures w14:val="none"/>
              </w:rPr>
            </w:pPr>
          </w:p>
        </w:tc>
      </w:tr>
      <w:tr w:rsidR="00CC5018" w:rsidRPr="00CC5018" w14:paraId="5FF159AA" w14:textId="77777777" w:rsidTr="00092049">
        <w:trPr>
          <w:tblCellSpacing w:w="15" w:type="dxa"/>
        </w:trPr>
        <w:tc>
          <w:tcPr>
            <w:tcW w:w="0" w:type="auto"/>
            <w:vAlign w:val="center"/>
            <w:hideMark/>
          </w:tcPr>
          <w:p w14:paraId="5278E734" w14:textId="77777777" w:rsidR="00CC5018" w:rsidRPr="00D64604" w:rsidRDefault="00CC5018" w:rsidP="00CC5018">
            <w:pPr>
              <w:spacing w:after="0" w:line="360" w:lineRule="auto"/>
              <w:rPr>
                <w:rFonts w:ascii="Arial" w:eastAsia="Times New Roman" w:hAnsi="Arial" w:cs="Arial"/>
                <w:b/>
                <w:bCs/>
                <w:kern w:val="0"/>
                <w:sz w:val="22"/>
                <w:szCs w:val="22"/>
                <w:lang w:eastAsia="en-GB"/>
                <w14:ligatures w14:val="none"/>
              </w:rPr>
            </w:pPr>
            <w:r w:rsidRPr="00D64604">
              <w:rPr>
                <w:rFonts w:ascii="Arial" w:eastAsia="Times New Roman" w:hAnsi="Arial" w:cs="Arial"/>
                <w:b/>
                <w:bCs/>
                <w:kern w:val="0"/>
                <w:sz w:val="22"/>
                <w:szCs w:val="22"/>
                <w:lang w:eastAsia="en-GB"/>
                <w14:ligatures w14:val="none"/>
              </w:rPr>
              <w:t>Task 1: Emotional Intelligence in the Workplace</w:t>
            </w:r>
          </w:p>
        </w:tc>
        <w:tc>
          <w:tcPr>
            <w:tcW w:w="383" w:type="dxa"/>
            <w:vAlign w:val="center"/>
            <w:hideMark/>
          </w:tcPr>
          <w:p w14:paraId="034A998D" w14:textId="51DBB11C"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14A89101" w14:textId="77777777" w:rsidTr="00092049">
        <w:trPr>
          <w:tblCellSpacing w:w="15" w:type="dxa"/>
        </w:trPr>
        <w:tc>
          <w:tcPr>
            <w:tcW w:w="0" w:type="auto"/>
            <w:vAlign w:val="center"/>
            <w:hideMark/>
          </w:tcPr>
          <w:p w14:paraId="4909A561"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1.1 Introduction</w:t>
            </w:r>
          </w:p>
        </w:tc>
        <w:tc>
          <w:tcPr>
            <w:tcW w:w="383" w:type="dxa"/>
            <w:vAlign w:val="center"/>
            <w:hideMark/>
          </w:tcPr>
          <w:p w14:paraId="121A43D2" w14:textId="74265051"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4DD06FF4" w14:textId="77777777" w:rsidTr="00092049">
        <w:trPr>
          <w:tblCellSpacing w:w="15" w:type="dxa"/>
        </w:trPr>
        <w:tc>
          <w:tcPr>
            <w:tcW w:w="0" w:type="auto"/>
            <w:vAlign w:val="center"/>
            <w:hideMark/>
          </w:tcPr>
          <w:p w14:paraId="21CF924E"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1.2 Critical Perspectives on Emotional Intelligence</w:t>
            </w:r>
          </w:p>
        </w:tc>
        <w:tc>
          <w:tcPr>
            <w:tcW w:w="383" w:type="dxa"/>
            <w:vAlign w:val="center"/>
            <w:hideMark/>
          </w:tcPr>
          <w:p w14:paraId="332C83FE" w14:textId="7CE428C3"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13C1AABC" w14:textId="77777777" w:rsidTr="00092049">
        <w:trPr>
          <w:tblCellSpacing w:w="15" w:type="dxa"/>
        </w:trPr>
        <w:tc>
          <w:tcPr>
            <w:tcW w:w="0" w:type="auto"/>
            <w:vAlign w:val="center"/>
            <w:hideMark/>
          </w:tcPr>
          <w:p w14:paraId="5063C4D2"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1.3 Applying Emotional Intelligence to Employee Performance and Wellbeing</w:t>
            </w:r>
          </w:p>
        </w:tc>
        <w:tc>
          <w:tcPr>
            <w:tcW w:w="383" w:type="dxa"/>
            <w:vAlign w:val="center"/>
            <w:hideMark/>
          </w:tcPr>
          <w:p w14:paraId="1E829CAF" w14:textId="57FCAC10"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449850B5" w14:textId="77777777" w:rsidTr="00092049">
        <w:trPr>
          <w:tblCellSpacing w:w="15" w:type="dxa"/>
        </w:trPr>
        <w:tc>
          <w:tcPr>
            <w:tcW w:w="0" w:type="auto"/>
            <w:vAlign w:val="center"/>
            <w:hideMark/>
          </w:tcPr>
          <w:p w14:paraId="07BFBAE1"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1.4 Emotional Intelligence and Communication</w:t>
            </w:r>
          </w:p>
        </w:tc>
        <w:tc>
          <w:tcPr>
            <w:tcW w:w="383" w:type="dxa"/>
            <w:vAlign w:val="center"/>
            <w:hideMark/>
          </w:tcPr>
          <w:p w14:paraId="6170EF47" w14:textId="1361B8F5"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3CF7AEF8" w14:textId="77777777" w:rsidTr="00092049">
        <w:trPr>
          <w:tblCellSpacing w:w="15" w:type="dxa"/>
        </w:trPr>
        <w:tc>
          <w:tcPr>
            <w:tcW w:w="0" w:type="auto"/>
            <w:vAlign w:val="center"/>
            <w:hideMark/>
          </w:tcPr>
          <w:p w14:paraId="225D0865"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1.5 Conflict Management and Collaboration</w:t>
            </w:r>
          </w:p>
        </w:tc>
        <w:tc>
          <w:tcPr>
            <w:tcW w:w="383" w:type="dxa"/>
            <w:vAlign w:val="center"/>
            <w:hideMark/>
          </w:tcPr>
          <w:p w14:paraId="6617DFF5" w14:textId="27014BFF"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17754839" w14:textId="77777777" w:rsidTr="00092049">
        <w:trPr>
          <w:tblCellSpacing w:w="15" w:type="dxa"/>
        </w:trPr>
        <w:tc>
          <w:tcPr>
            <w:tcW w:w="0" w:type="auto"/>
            <w:vAlign w:val="center"/>
            <w:hideMark/>
          </w:tcPr>
          <w:p w14:paraId="05002854"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1.6 Leadership and Decision-Making</w:t>
            </w:r>
          </w:p>
        </w:tc>
        <w:tc>
          <w:tcPr>
            <w:tcW w:w="383" w:type="dxa"/>
            <w:vAlign w:val="center"/>
            <w:hideMark/>
          </w:tcPr>
          <w:p w14:paraId="7217D5E3" w14:textId="77CD49EE"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1F3C8409" w14:textId="77777777" w:rsidTr="00092049">
        <w:trPr>
          <w:tblCellSpacing w:w="15" w:type="dxa"/>
        </w:trPr>
        <w:tc>
          <w:tcPr>
            <w:tcW w:w="0" w:type="auto"/>
            <w:vAlign w:val="center"/>
            <w:hideMark/>
          </w:tcPr>
          <w:p w14:paraId="096075C6"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1.7 Conclusion</w:t>
            </w:r>
          </w:p>
        </w:tc>
        <w:tc>
          <w:tcPr>
            <w:tcW w:w="383" w:type="dxa"/>
            <w:vAlign w:val="center"/>
            <w:hideMark/>
          </w:tcPr>
          <w:p w14:paraId="5492CFD8" w14:textId="199A1691"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0CAD6F22" w14:textId="77777777" w:rsidTr="00092049">
        <w:trPr>
          <w:tblCellSpacing w:w="15" w:type="dxa"/>
        </w:trPr>
        <w:tc>
          <w:tcPr>
            <w:tcW w:w="0" w:type="auto"/>
            <w:vAlign w:val="center"/>
            <w:hideMark/>
          </w:tcPr>
          <w:p w14:paraId="6FA21CB1" w14:textId="77777777" w:rsidR="00CC5018" w:rsidRPr="00D64604" w:rsidRDefault="00CC5018" w:rsidP="00CC5018">
            <w:pPr>
              <w:spacing w:after="0" w:line="360" w:lineRule="auto"/>
              <w:rPr>
                <w:rFonts w:ascii="Arial" w:eastAsia="Times New Roman" w:hAnsi="Arial" w:cs="Arial"/>
                <w:b/>
                <w:bCs/>
                <w:kern w:val="0"/>
                <w:sz w:val="22"/>
                <w:szCs w:val="22"/>
                <w:lang w:eastAsia="en-GB"/>
                <w14:ligatures w14:val="none"/>
              </w:rPr>
            </w:pPr>
            <w:r w:rsidRPr="00D64604">
              <w:rPr>
                <w:rFonts w:ascii="Arial" w:eastAsia="Times New Roman" w:hAnsi="Arial" w:cs="Arial"/>
                <w:b/>
                <w:bCs/>
                <w:kern w:val="0"/>
                <w:sz w:val="22"/>
                <w:szCs w:val="22"/>
                <w:lang w:eastAsia="en-GB"/>
                <w14:ligatures w14:val="none"/>
              </w:rPr>
              <w:t>Task 2: Managing a Multigenerational Workforce</w:t>
            </w:r>
          </w:p>
        </w:tc>
        <w:tc>
          <w:tcPr>
            <w:tcW w:w="383" w:type="dxa"/>
            <w:vAlign w:val="center"/>
            <w:hideMark/>
          </w:tcPr>
          <w:p w14:paraId="3933A0D2" w14:textId="58C5E9FA"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3000B636" w14:textId="77777777" w:rsidTr="00092049">
        <w:trPr>
          <w:tblCellSpacing w:w="15" w:type="dxa"/>
        </w:trPr>
        <w:tc>
          <w:tcPr>
            <w:tcW w:w="0" w:type="auto"/>
            <w:vAlign w:val="center"/>
            <w:hideMark/>
          </w:tcPr>
          <w:p w14:paraId="748D32D5"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2.1 Introduction</w:t>
            </w:r>
          </w:p>
        </w:tc>
        <w:tc>
          <w:tcPr>
            <w:tcW w:w="383" w:type="dxa"/>
            <w:vAlign w:val="center"/>
            <w:hideMark/>
          </w:tcPr>
          <w:p w14:paraId="67E3FA28" w14:textId="1E28C9E0"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34B1477E" w14:textId="77777777" w:rsidTr="00092049">
        <w:trPr>
          <w:tblCellSpacing w:w="15" w:type="dxa"/>
        </w:trPr>
        <w:tc>
          <w:tcPr>
            <w:tcW w:w="0" w:type="auto"/>
            <w:vAlign w:val="center"/>
            <w:hideMark/>
          </w:tcPr>
          <w:p w14:paraId="265AFBC1"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2.2 Generational Characteristics and Workplace Expectations</w:t>
            </w:r>
          </w:p>
        </w:tc>
        <w:tc>
          <w:tcPr>
            <w:tcW w:w="383" w:type="dxa"/>
            <w:vAlign w:val="center"/>
            <w:hideMark/>
          </w:tcPr>
          <w:p w14:paraId="0B78CF31" w14:textId="1DC65C1B"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147A73EE" w14:textId="77777777" w:rsidTr="00092049">
        <w:trPr>
          <w:tblCellSpacing w:w="15" w:type="dxa"/>
        </w:trPr>
        <w:tc>
          <w:tcPr>
            <w:tcW w:w="0" w:type="auto"/>
            <w:vAlign w:val="center"/>
            <w:hideMark/>
          </w:tcPr>
          <w:p w14:paraId="10108B90"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2.3 Impact on Organisational Effectiveness</w:t>
            </w:r>
          </w:p>
        </w:tc>
        <w:tc>
          <w:tcPr>
            <w:tcW w:w="383" w:type="dxa"/>
            <w:vAlign w:val="center"/>
            <w:hideMark/>
          </w:tcPr>
          <w:p w14:paraId="65C6BE2B" w14:textId="66C37810"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6597202D" w14:textId="77777777" w:rsidTr="00092049">
        <w:trPr>
          <w:tblCellSpacing w:w="15" w:type="dxa"/>
        </w:trPr>
        <w:tc>
          <w:tcPr>
            <w:tcW w:w="0" w:type="auto"/>
            <w:vAlign w:val="center"/>
            <w:hideMark/>
          </w:tcPr>
          <w:p w14:paraId="38BE320D"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2.4 Emotional Intelligence and Mindful Management</w:t>
            </w:r>
          </w:p>
        </w:tc>
        <w:tc>
          <w:tcPr>
            <w:tcW w:w="383" w:type="dxa"/>
            <w:vAlign w:val="center"/>
            <w:hideMark/>
          </w:tcPr>
          <w:p w14:paraId="7392E639" w14:textId="0606D824"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118C23F9" w14:textId="77777777" w:rsidTr="00092049">
        <w:trPr>
          <w:tblCellSpacing w:w="15" w:type="dxa"/>
        </w:trPr>
        <w:tc>
          <w:tcPr>
            <w:tcW w:w="0" w:type="auto"/>
            <w:vAlign w:val="center"/>
            <w:hideMark/>
          </w:tcPr>
          <w:p w14:paraId="71BA47C5" w14:textId="77777777"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  2.5 Conclusion</w:t>
            </w:r>
          </w:p>
        </w:tc>
        <w:tc>
          <w:tcPr>
            <w:tcW w:w="383" w:type="dxa"/>
            <w:vAlign w:val="center"/>
            <w:hideMark/>
          </w:tcPr>
          <w:p w14:paraId="12604036" w14:textId="133BB0D1"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r w:rsidR="00CC5018" w:rsidRPr="00CC5018" w14:paraId="22543664" w14:textId="77777777" w:rsidTr="00092049">
        <w:trPr>
          <w:tblCellSpacing w:w="15" w:type="dxa"/>
        </w:trPr>
        <w:tc>
          <w:tcPr>
            <w:tcW w:w="0" w:type="auto"/>
            <w:vAlign w:val="center"/>
            <w:hideMark/>
          </w:tcPr>
          <w:p w14:paraId="484CBE74" w14:textId="1266F1E0" w:rsidR="00CC5018" w:rsidRPr="00CC5018" w:rsidRDefault="00CC5018" w:rsidP="00CC5018">
            <w:pPr>
              <w:spacing w:after="0" w:line="360" w:lineRule="auto"/>
              <w:rPr>
                <w:rFonts w:ascii="Arial" w:eastAsia="Times New Roman" w:hAnsi="Arial" w:cs="Arial"/>
                <w:kern w:val="0"/>
                <w:sz w:val="22"/>
                <w:szCs w:val="22"/>
                <w:lang w:eastAsia="en-GB"/>
                <w14:ligatures w14:val="none"/>
              </w:rPr>
            </w:pPr>
            <w:r w:rsidRPr="00CC5018">
              <w:rPr>
                <w:rFonts w:ascii="Arial" w:eastAsia="Times New Roman" w:hAnsi="Arial" w:cs="Arial"/>
                <w:kern w:val="0"/>
                <w:sz w:val="22"/>
                <w:szCs w:val="22"/>
                <w:lang w:eastAsia="en-GB"/>
                <w14:ligatures w14:val="none"/>
              </w:rPr>
              <w:t>References</w:t>
            </w:r>
          </w:p>
        </w:tc>
        <w:tc>
          <w:tcPr>
            <w:tcW w:w="383" w:type="dxa"/>
            <w:vAlign w:val="center"/>
            <w:hideMark/>
          </w:tcPr>
          <w:p w14:paraId="43334E6B" w14:textId="019634B3" w:rsidR="00CC5018" w:rsidRPr="00CC5018" w:rsidRDefault="00CC5018" w:rsidP="00CC5018">
            <w:pPr>
              <w:spacing w:after="0" w:line="360" w:lineRule="auto"/>
              <w:jc w:val="center"/>
              <w:rPr>
                <w:rFonts w:ascii="Arial" w:eastAsia="Times New Roman" w:hAnsi="Arial" w:cs="Arial"/>
                <w:kern w:val="0"/>
                <w:sz w:val="22"/>
                <w:szCs w:val="22"/>
                <w:lang w:eastAsia="en-GB"/>
                <w14:ligatures w14:val="none"/>
              </w:rPr>
            </w:pPr>
          </w:p>
        </w:tc>
      </w:tr>
    </w:tbl>
    <w:p w14:paraId="763C7891" w14:textId="77777777" w:rsidR="00CC5018" w:rsidRDefault="00CC5018" w:rsidP="00CC5018">
      <w:pPr>
        <w:pBdr>
          <w:bottom w:val="single" w:sz="4" w:space="1" w:color="auto"/>
        </w:pBdr>
        <w:spacing w:line="360" w:lineRule="auto"/>
        <w:rPr>
          <w:rFonts w:ascii="Arial" w:hAnsi="Arial" w:cs="Arial"/>
          <w:b/>
          <w:bCs/>
          <w:sz w:val="22"/>
          <w:szCs w:val="22"/>
        </w:rPr>
      </w:pPr>
    </w:p>
    <w:p w14:paraId="7E9561D2" w14:textId="77777777" w:rsidR="005A15C1" w:rsidRDefault="005A15C1" w:rsidP="00E74B3B">
      <w:pPr>
        <w:spacing w:line="360" w:lineRule="auto"/>
        <w:rPr>
          <w:rFonts w:ascii="Arial" w:hAnsi="Arial" w:cs="Arial"/>
          <w:b/>
          <w:bCs/>
          <w:sz w:val="22"/>
          <w:szCs w:val="22"/>
        </w:rPr>
      </w:pPr>
    </w:p>
    <w:p w14:paraId="4ED2551F" w14:textId="5D0E09A8" w:rsidR="006737D1" w:rsidRPr="00E74B3B" w:rsidRDefault="006737D1" w:rsidP="00E74B3B">
      <w:pPr>
        <w:spacing w:line="360" w:lineRule="auto"/>
        <w:rPr>
          <w:rFonts w:ascii="Arial" w:hAnsi="Arial" w:cs="Arial"/>
          <w:b/>
          <w:bCs/>
          <w:sz w:val="22"/>
          <w:szCs w:val="22"/>
        </w:rPr>
      </w:pPr>
      <w:r w:rsidRPr="00E74B3B">
        <w:rPr>
          <w:rFonts w:ascii="Arial" w:hAnsi="Arial" w:cs="Arial"/>
          <w:b/>
          <w:bCs/>
          <w:sz w:val="22"/>
          <w:szCs w:val="22"/>
        </w:rPr>
        <w:t>Task 1: Emotional Intelligence in the Workplace</w:t>
      </w:r>
    </w:p>
    <w:p w14:paraId="76185B87" w14:textId="0559F1DA" w:rsidR="006737D1" w:rsidRPr="00465C4D" w:rsidRDefault="00CC5018" w:rsidP="00E74B3B">
      <w:pPr>
        <w:spacing w:line="360" w:lineRule="auto"/>
        <w:jc w:val="both"/>
        <w:rPr>
          <w:rFonts w:ascii="Arial" w:hAnsi="Arial" w:cs="Arial"/>
          <w:b/>
          <w:bCs/>
          <w:sz w:val="22"/>
          <w:szCs w:val="22"/>
        </w:rPr>
      </w:pPr>
      <w:r>
        <w:rPr>
          <w:rFonts w:ascii="Arial" w:hAnsi="Arial" w:cs="Arial"/>
          <w:b/>
          <w:bCs/>
          <w:sz w:val="22"/>
          <w:szCs w:val="22"/>
        </w:rPr>
        <w:t xml:space="preserve">1.1 </w:t>
      </w:r>
      <w:r w:rsidR="006737D1" w:rsidRPr="00465C4D">
        <w:rPr>
          <w:rFonts w:ascii="Arial" w:hAnsi="Arial" w:cs="Arial"/>
          <w:b/>
          <w:bCs/>
          <w:sz w:val="22"/>
          <w:szCs w:val="22"/>
        </w:rPr>
        <w:t>Introduction</w:t>
      </w:r>
    </w:p>
    <w:p w14:paraId="1F7C3F02"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 xml:space="preserve">Emotional intelligence (EI) has become increasingly significant in contemporary organisations because employees are expected to manage complex relationships, respond constructively to change and perform effectively under pressure. Salovey and Mayer (1990) originally defined EI as the ability to monitor one’s own and others’ emotions, distinguish between different emotional states and use emotional information to guide thinking and behaviour. This definition </w:t>
      </w:r>
      <w:r w:rsidRPr="00E74B3B">
        <w:rPr>
          <w:rFonts w:ascii="Arial" w:hAnsi="Arial" w:cs="Arial"/>
          <w:sz w:val="22"/>
          <w:szCs w:val="22"/>
        </w:rPr>
        <w:lastRenderedPageBreak/>
        <w:t>positions emotion not as an obstacle to rational performance, but as an important source of information. Goleman (1998) later popularised EI within organisational settings by connecting emotional competencies with leadership, motivation, communication and workplace effectiveness. However, the rapid popularity of EI has also generated criticism because some claims about its influence have exceeded the available scientific evidence. Fernández-Berrocal and Extremera (2006), for example, argue that the concept has sometimes been oversimplified in applied and commercial settings.</w:t>
      </w:r>
    </w:p>
    <w:p w14:paraId="7C89F807"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A balanced assessment must therefore recognise both the practical importance of emotional capabilities and the conceptual limitations of EI models. This section critically evaluates how employees can apply core EI components to improve performance, collaboration and wellbeing. It compares Goleman’s competency framework, Mayer and Salovey’s Ability Model and Bar-On’s Emotional-Social Intelligence Model before examining the contribution of EI to communication, conflict management, leadership and decision-making.</w:t>
      </w:r>
    </w:p>
    <w:p w14:paraId="53FD2F9C" w14:textId="74227784" w:rsidR="006737D1" w:rsidRPr="00E74B3B" w:rsidRDefault="00CC5018" w:rsidP="00E74B3B">
      <w:pPr>
        <w:spacing w:line="360" w:lineRule="auto"/>
        <w:jc w:val="both"/>
        <w:rPr>
          <w:rFonts w:ascii="Arial" w:hAnsi="Arial" w:cs="Arial"/>
          <w:sz w:val="22"/>
          <w:szCs w:val="22"/>
        </w:rPr>
      </w:pPr>
      <w:r>
        <w:rPr>
          <w:rFonts w:ascii="Arial" w:hAnsi="Arial" w:cs="Arial"/>
          <w:b/>
          <w:bCs/>
          <w:sz w:val="22"/>
          <w:szCs w:val="22"/>
        </w:rPr>
        <w:t xml:space="preserve">1.2 </w:t>
      </w:r>
      <w:r w:rsidR="006737D1" w:rsidRPr="00D61549">
        <w:rPr>
          <w:rFonts w:ascii="Arial" w:hAnsi="Arial" w:cs="Arial"/>
          <w:b/>
          <w:bCs/>
          <w:sz w:val="22"/>
          <w:szCs w:val="22"/>
        </w:rPr>
        <w:t xml:space="preserve">Critical </w:t>
      </w:r>
      <w:r w:rsidR="00D64604">
        <w:rPr>
          <w:rFonts w:ascii="Arial" w:hAnsi="Arial" w:cs="Arial"/>
          <w:b/>
          <w:bCs/>
          <w:sz w:val="22"/>
          <w:szCs w:val="22"/>
        </w:rPr>
        <w:t>P</w:t>
      </w:r>
      <w:r w:rsidR="006737D1" w:rsidRPr="00D61549">
        <w:rPr>
          <w:rFonts w:ascii="Arial" w:hAnsi="Arial" w:cs="Arial"/>
          <w:b/>
          <w:bCs/>
          <w:sz w:val="22"/>
          <w:szCs w:val="22"/>
        </w:rPr>
        <w:t xml:space="preserve">erspectives on </w:t>
      </w:r>
      <w:r w:rsidR="00D64604">
        <w:rPr>
          <w:rFonts w:ascii="Arial" w:hAnsi="Arial" w:cs="Arial"/>
          <w:b/>
          <w:bCs/>
          <w:sz w:val="22"/>
          <w:szCs w:val="22"/>
        </w:rPr>
        <w:t>E</w:t>
      </w:r>
      <w:r w:rsidR="006737D1" w:rsidRPr="00D61549">
        <w:rPr>
          <w:rFonts w:ascii="Arial" w:hAnsi="Arial" w:cs="Arial"/>
          <w:b/>
          <w:bCs/>
          <w:sz w:val="22"/>
          <w:szCs w:val="22"/>
        </w:rPr>
        <w:t xml:space="preserve">motional </w:t>
      </w:r>
      <w:r w:rsidR="00D64604">
        <w:rPr>
          <w:rFonts w:ascii="Arial" w:hAnsi="Arial" w:cs="Arial"/>
          <w:b/>
          <w:bCs/>
          <w:sz w:val="22"/>
          <w:szCs w:val="22"/>
        </w:rPr>
        <w:t>I</w:t>
      </w:r>
      <w:r w:rsidR="006737D1" w:rsidRPr="00D61549">
        <w:rPr>
          <w:rFonts w:ascii="Arial" w:hAnsi="Arial" w:cs="Arial"/>
          <w:b/>
          <w:bCs/>
          <w:sz w:val="22"/>
          <w:szCs w:val="22"/>
        </w:rPr>
        <w:t>ntelligence</w:t>
      </w:r>
    </w:p>
    <w:p w14:paraId="3318524F" w14:textId="2D545BB5"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 xml:space="preserve">The Mayer and Salovey Ability Model </w:t>
      </w:r>
      <w:r w:rsidR="00644A02" w:rsidRPr="00E74B3B">
        <w:rPr>
          <w:rFonts w:ascii="Arial" w:hAnsi="Arial" w:cs="Arial"/>
          <w:sz w:val="22"/>
          <w:szCs w:val="22"/>
        </w:rPr>
        <w:t>conceptualise</w:t>
      </w:r>
      <w:r w:rsidRPr="00E74B3B">
        <w:rPr>
          <w:rFonts w:ascii="Arial" w:hAnsi="Arial" w:cs="Arial"/>
          <w:sz w:val="22"/>
          <w:szCs w:val="22"/>
        </w:rPr>
        <w:t xml:space="preserve"> EI as a form of mental ability involving four related branches: perceiving emotions, using emotions to support thought, understanding emotional information and regulating emotions. Emotional perception represents the ability to identify emotions accurately in oneself and others. Using emotion involves drawing upon feelings to guide attention and thinking. Emotional understanding concerns the ability to recognise emotional causes, combinations and transitions. Emotional regulation refers to managing emotions constructively to support personal and intellectual development (Mayer and Salovey, 1997). The model is hierarchical because effective emotional regulation depends partly upon the more basic abilities of perception and understanding.</w:t>
      </w:r>
    </w:p>
    <w:p w14:paraId="471A63FC"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A major strength of the Ability Model is its relatively clear theoretical foundation. It treats EI as a set of abilities rather than as a broad collection of positive personality characteristics. This allows it to be measured through performance-based instruments such as the Mayer-Salovey-Caruso Emotional Intelligence Test. However, ability measures are not free from criticism. Some tests use abstract tasks, such as identifying emotions in images or artistic material, which may not closely represent real workplace situations. Krishnakumar et al. (2016) argue that EI assessments may predict workplace outcomes more effectively when they use realistic employment scenarios. Their workplace-focused ability measure predicted job satisfaction, job stress and performance, suggesting that context is important when evaluating emotional competence.</w:t>
      </w:r>
    </w:p>
    <w:p w14:paraId="5A7A98BB"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 xml:space="preserve">Goleman’s model adopts a broader workplace-focused approach. It originally included five components: self-awareness, self-regulation, motivation, empathy and social skills. Later </w:t>
      </w:r>
      <w:r w:rsidRPr="00E74B3B">
        <w:rPr>
          <w:rFonts w:ascii="Arial" w:hAnsi="Arial" w:cs="Arial"/>
          <w:sz w:val="22"/>
          <w:szCs w:val="22"/>
        </w:rPr>
        <w:lastRenderedPageBreak/>
        <w:t>versions grouped emotional competencies into self-awareness, self-management, social awareness and relationship management. Goleman’s framework is attractive to organisations because it translates EI into observable behaviours, including adaptability, communication, conflict management, influence, teamwork and leadership. Within this model, emotional competencies are learned capabilities that allow employees to use their emotional potential effectively at work.</w:t>
      </w:r>
    </w:p>
    <w:p w14:paraId="2C422423"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Nevertheless, Goleman’s model has been criticised for combining EI with motivation, personality, leadership and social competence. This creates uncertainty about whether it measures a distinct intelligence or a wide range of desirable workplace behaviours. Claims that EI is more important than cognitive intelligence have also been questioned. Krishnakumar et al. (2016) note that relationships between ability EI and job performance are generally positive but modest after personality and cognitive ability are considered. Therefore, EI should not be presented as a replacement for technical expertise, professional knowledge or cognitive intelligence. Its value is better understood as complementary: employees may possess excellent technical knowledge but still perform poorly when they cannot manage pressure, communicate constructively or maintain effective working relationships.</w:t>
      </w:r>
    </w:p>
    <w:p w14:paraId="00712344"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Bar-On’s Emotional-Social Intelligence Model is broader still. It defines emotional-social intelligence as a combination of competencies, skills and facilitators that influence how effectively people understand themselves, relate to others and manage environmental demands. The model includes intrapersonal skills, interpersonal skills, adaptability, stress management and general mood. Its specific dimensions include emotional self-awareness, assertiveness, empathy, social responsibility, flexibility, problem-solving, stress tolerance, impulse control, optimism and happiness.</w:t>
      </w:r>
    </w:p>
    <w:p w14:paraId="0F62A54C"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The Bar-On model is particularly useful in contemporary organisations because it recognises that performance depends upon resilience, flexibility and stress tolerance, as well as interpersonal competence. These capabilities are increasingly relevant in hybrid work, organisational restructuring and technologically disrupted environments. However, because the model incorporates mood and personality characteristics, it may overlap with established personality constructs. Its broad scope makes it practically comprehensive but theoretically less precise than Mayer and Salovey’s model.</w:t>
      </w:r>
    </w:p>
    <w:p w14:paraId="566C13ED"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 xml:space="preserve">Together, the three frameworks offer complementary perspectives. Mayer and Salovey explain emotional information-processing abilities; Goleman identifies workplace competencies; and Bar-On highlights emotional-social functioning, stress management and adaptability. Rather than selecting one model as universally superior, organisations should match the framework to the purpose. Ability models may be more suitable for research and carefully designed </w:t>
      </w:r>
      <w:r w:rsidRPr="00E74B3B">
        <w:rPr>
          <w:rFonts w:ascii="Arial" w:hAnsi="Arial" w:cs="Arial"/>
          <w:sz w:val="22"/>
          <w:szCs w:val="22"/>
        </w:rPr>
        <w:lastRenderedPageBreak/>
        <w:t>assessments, whereas competency and emotional-social models may be more accessible for coaching, development and performance conversations.</w:t>
      </w:r>
    </w:p>
    <w:p w14:paraId="0B453CBC" w14:textId="77248FB8" w:rsidR="006737D1" w:rsidRPr="00E74B3B" w:rsidRDefault="00CC5018" w:rsidP="00E74B3B">
      <w:pPr>
        <w:spacing w:line="360" w:lineRule="auto"/>
        <w:jc w:val="both"/>
        <w:rPr>
          <w:rFonts w:ascii="Arial" w:hAnsi="Arial" w:cs="Arial"/>
          <w:sz w:val="22"/>
          <w:szCs w:val="22"/>
        </w:rPr>
      </w:pPr>
      <w:r>
        <w:rPr>
          <w:rFonts w:ascii="Arial" w:hAnsi="Arial" w:cs="Arial"/>
          <w:b/>
          <w:bCs/>
          <w:sz w:val="22"/>
          <w:szCs w:val="22"/>
        </w:rPr>
        <w:t xml:space="preserve">1.3 </w:t>
      </w:r>
      <w:r w:rsidR="006737D1" w:rsidRPr="00D61549">
        <w:rPr>
          <w:rFonts w:ascii="Arial" w:hAnsi="Arial" w:cs="Arial"/>
          <w:b/>
          <w:bCs/>
          <w:sz w:val="22"/>
          <w:szCs w:val="22"/>
        </w:rPr>
        <w:t xml:space="preserve">Applying EI to </w:t>
      </w:r>
      <w:r w:rsidR="00783A0B">
        <w:rPr>
          <w:rFonts w:ascii="Arial" w:hAnsi="Arial" w:cs="Arial"/>
          <w:b/>
          <w:bCs/>
          <w:sz w:val="22"/>
          <w:szCs w:val="22"/>
        </w:rPr>
        <w:t>E</w:t>
      </w:r>
      <w:r w:rsidR="006737D1" w:rsidRPr="00D61549">
        <w:rPr>
          <w:rFonts w:ascii="Arial" w:hAnsi="Arial" w:cs="Arial"/>
          <w:b/>
          <w:bCs/>
          <w:sz w:val="22"/>
          <w:szCs w:val="22"/>
        </w:rPr>
        <w:t xml:space="preserve">mployee </w:t>
      </w:r>
      <w:r w:rsidR="00783A0B">
        <w:rPr>
          <w:rFonts w:ascii="Arial" w:hAnsi="Arial" w:cs="Arial"/>
          <w:b/>
          <w:bCs/>
          <w:sz w:val="22"/>
          <w:szCs w:val="22"/>
        </w:rPr>
        <w:t>P</w:t>
      </w:r>
      <w:r w:rsidR="006737D1" w:rsidRPr="00D61549">
        <w:rPr>
          <w:rFonts w:ascii="Arial" w:hAnsi="Arial" w:cs="Arial"/>
          <w:b/>
          <w:bCs/>
          <w:sz w:val="22"/>
          <w:szCs w:val="22"/>
        </w:rPr>
        <w:t xml:space="preserve">erformance and </w:t>
      </w:r>
      <w:r w:rsidR="00783A0B">
        <w:rPr>
          <w:rFonts w:ascii="Arial" w:hAnsi="Arial" w:cs="Arial"/>
          <w:b/>
          <w:bCs/>
          <w:sz w:val="22"/>
          <w:szCs w:val="22"/>
        </w:rPr>
        <w:t>W</w:t>
      </w:r>
      <w:r w:rsidR="006737D1" w:rsidRPr="00D61549">
        <w:rPr>
          <w:rFonts w:ascii="Arial" w:hAnsi="Arial" w:cs="Arial"/>
          <w:b/>
          <w:bCs/>
          <w:sz w:val="22"/>
          <w:szCs w:val="22"/>
        </w:rPr>
        <w:t>ellbeing</w:t>
      </w:r>
    </w:p>
    <w:p w14:paraId="7A37BAFB"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Self-awareness is the foundation of emotionally intelligent performance. Employees who recognise their emotions, triggers, strengths and limitations are better positioned to understand how these factors influence their behaviour. For example, an employee who identifies anxiety before a presentation can prepare coping strategies rather than interpreting the feeling as evidence of incompetence. Similarly, a manager who recognises personal frustration during a performance discussion can prevent it from becoming criticism or aggression. Tools such as reflective journals, emotion diaries, feedback, the Johari Window and mindfulness practices can strengthen self-awareness. The module materials identify intentional reflection and journalling as practical methods for developing this capability.</w:t>
      </w:r>
    </w:p>
    <w:p w14:paraId="470D2259"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However, self-awareness alone does not guarantee constructive behaviour. Individuals may correctly identify anger but still express it inappropriately. Self-management is therefore essential. It involves controlling disruptive impulses, remaining calm under pressure, adapting to change and thinking before acting. In the workplace, self-management enables employees to pause before responding to a provocative email, recover from setbacks and focus on long-term goals. This is closely connected to Bar-On’s stress tolerance and impulse control dimensions. The workplace materials similarly emphasise emotional resilience, adaptability and the capacity to maintain performance under pressure.</w:t>
      </w:r>
    </w:p>
    <w:p w14:paraId="5DEB9136"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Effective self-management can improve wellbeing by reducing prolonged emotional reactivity. It does not mean suppressing all negative emotions. Suppression may hide legitimate concerns, contribute to stress or prevent employees from challenging poor practice. Emotionally intelligent regulation instead involves acknowledging feelings, evaluating their meaning and choosing a proportionate response. Employees should therefore be encouraged to express disagreement respectfully rather than being expected to remain permanently positive.</w:t>
      </w:r>
    </w:p>
    <w:p w14:paraId="312EBF80"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Motivation is another important element of Goleman’s framework. Emotionally intelligent employees can use emotional energy to maintain commitment, recover after failure and pursue meaningful goals. Positive emotions can support creativity and persistence, while anxiety can sometimes signal the need for preparation. Nevertheless, organisations should not use EI discourse to place complete responsibility for motivation on employees. Poor job design, excessive workloads, unfair treatment and inadequate resources cannot be corrected solely through emotional self-management. EI development should complement, rather than replace, organisational responsibility for healthy working conditions.</w:t>
      </w:r>
    </w:p>
    <w:p w14:paraId="69756724"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lastRenderedPageBreak/>
        <w:t>Empathy and social awareness support collaboration by enabling employees to interpret colleagues’ feelings, needs and perspectives. Empathy may be demonstrated through active listening, checking assumptions and adjusting communication. For example, when a colleague becomes unusually quiet during a meeting, an emotionally intelligent employee avoids immediately interpreting the behaviour as disengagement. Instead, they may ask a respectful question or create an opportunity for the colleague to contribute. Empathy is especially valuable in culturally and generationally diverse teams because identical behaviours may have different meanings across individuals.</w:t>
      </w:r>
    </w:p>
    <w:p w14:paraId="5802C185"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However, empathy can be misused or become emotionally demanding. Understanding another person’s feelings does not automatically produce ethical behaviour; an individual could use emotional knowledge to manipulate. In addition, employees in caring or customer-facing roles may experience emotional exhaustion if empathy is not supported by boundaries and organisational resources. EI must therefore be combined with ethical standards, fairness and psychological safety.</w:t>
      </w:r>
    </w:p>
    <w:p w14:paraId="7CC6E54D" w14:textId="358FA95E" w:rsidR="006737D1" w:rsidRPr="00D61549" w:rsidRDefault="004A6B50" w:rsidP="00E74B3B">
      <w:pPr>
        <w:spacing w:line="360" w:lineRule="auto"/>
        <w:jc w:val="both"/>
        <w:rPr>
          <w:rFonts w:ascii="Arial" w:hAnsi="Arial" w:cs="Arial"/>
          <w:b/>
          <w:bCs/>
          <w:sz w:val="22"/>
          <w:szCs w:val="22"/>
        </w:rPr>
      </w:pPr>
      <w:r>
        <w:rPr>
          <w:rFonts w:ascii="Arial" w:hAnsi="Arial" w:cs="Arial"/>
          <w:b/>
          <w:bCs/>
          <w:sz w:val="22"/>
          <w:szCs w:val="22"/>
        </w:rPr>
        <w:t xml:space="preserve">1.4 </w:t>
      </w:r>
      <w:r w:rsidR="006737D1" w:rsidRPr="00D61549">
        <w:rPr>
          <w:rFonts w:ascii="Arial" w:hAnsi="Arial" w:cs="Arial"/>
          <w:b/>
          <w:bCs/>
          <w:sz w:val="22"/>
          <w:szCs w:val="22"/>
        </w:rPr>
        <w:t xml:space="preserve">Emotional </w:t>
      </w:r>
      <w:r w:rsidR="00783A0B">
        <w:rPr>
          <w:rFonts w:ascii="Arial" w:hAnsi="Arial" w:cs="Arial"/>
          <w:b/>
          <w:bCs/>
          <w:sz w:val="22"/>
          <w:szCs w:val="22"/>
        </w:rPr>
        <w:t>I</w:t>
      </w:r>
      <w:r w:rsidR="006737D1" w:rsidRPr="00D61549">
        <w:rPr>
          <w:rFonts w:ascii="Arial" w:hAnsi="Arial" w:cs="Arial"/>
          <w:b/>
          <w:bCs/>
          <w:sz w:val="22"/>
          <w:szCs w:val="22"/>
        </w:rPr>
        <w:t xml:space="preserve">ntelligence and </w:t>
      </w:r>
      <w:r w:rsidR="00783A0B">
        <w:rPr>
          <w:rFonts w:ascii="Arial" w:hAnsi="Arial" w:cs="Arial"/>
          <w:b/>
          <w:bCs/>
          <w:sz w:val="22"/>
          <w:szCs w:val="22"/>
        </w:rPr>
        <w:t>C</w:t>
      </w:r>
      <w:r w:rsidR="006737D1" w:rsidRPr="00D61549">
        <w:rPr>
          <w:rFonts w:ascii="Arial" w:hAnsi="Arial" w:cs="Arial"/>
          <w:b/>
          <w:bCs/>
          <w:sz w:val="22"/>
          <w:szCs w:val="22"/>
        </w:rPr>
        <w:t>ommunication</w:t>
      </w:r>
    </w:p>
    <w:p w14:paraId="7557C0F1"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EI contributes to effective communication because employees must recognise both the content and emotional impact of messages. Self-awareness helps speakers understand how tone, timing and body language influence others. Social awareness helps listeners identify emotional cues and adapt their response. Relationship management then enables individuals to communicate difficult information while protecting dignity and maintaining trust.</w:t>
      </w:r>
    </w:p>
    <w:p w14:paraId="4291D510"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Active listening is a central application. Employees who listen without interrupting, reflect back key points and check understanding are less likely to misinterpret colleagues. The stress management materials recommend silencing internal dialogue, avoiding premature answers, summarising what has been heard and asking questions to clarify meaning. These behaviours are particularly important in hybrid or digital communication, where emotional cues may be reduced and brief written messages can be misunderstood.</w:t>
      </w:r>
    </w:p>
    <w:p w14:paraId="6FA795DC"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Nevertheless, emotionally intelligent communication is not simply politeness. In some situations, effective communication requires direct challenge, constructive feedback or the escalation of serious concerns. Excessive concern about maintaining harmony may lead to avoidance. EI should enable employees to communicate honestly and respectfully, rather than suppressing disagreement.</w:t>
      </w:r>
    </w:p>
    <w:p w14:paraId="5E88F1AE" w14:textId="77777777" w:rsidR="00D64604" w:rsidRDefault="00D64604" w:rsidP="00E74B3B">
      <w:pPr>
        <w:spacing w:line="360" w:lineRule="auto"/>
        <w:jc w:val="both"/>
        <w:rPr>
          <w:rFonts w:ascii="Arial" w:hAnsi="Arial" w:cs="Arial"/>
          <w:b/>
          <w:bCs/>
          <w:sz w:val="22"/>
          <w:szCs w:val="22"/>
        </w:rPr>
      </w:pPr>
    </w:p>
    <w:p w14:paraId="6698BF6E" w14:textId="77777777" w:rsidR="00D64604" w:rsidRDefault="00D64604" w:rsidP="00E74B3B">
      <w:pPr>
        <w:spacing w:line="360" w:lineRule="auto"/>
        <w:jc w:val="both"/>
        <w:rPr>
          <w:rFonts w:ascii="Arial" w:hAnsi="Arial" w:cs="Arial"/>
          <w:b/>
          <w:bCs/>
          <w:sz w:val="22"/>
          <w:szCs w:val="22"/>
        </w:rPr>
      </w:pPr>
    </w:p>
    <w:p w14:paraId="0B2D0AF7" w14:textId="46AC99E5" w:rsidR="006737D1" w:rsidRPr="00D61549" w:rsidRDefault="004A6B50" w:rsidP="00E74B3B">
      <w:pPr>
        <w:spacing w:line="360" w:lineRule="auto"/>
        <w:jc w:val="both"/>
        <w:rPr>
          <w:rFonts w:ascii="Arial" w:hAnsi="Arial" w:cs="Arial"/>
          <w:b/>
          <w:bCs/>
          <w:sz w:val="22"/>
          <w:szCs w:val="22"/>
        </w:rPr>
      </w:pPr>
      <w:r>
        <w:rPr>
          <w:rFonts w:ascii="Arial" w:hAnsi="Arial" w:cs="Arial"/>
          <w:b/>
          <w:bCs/>
          <w:sz w:val="22"/>
          <w:szCs w:val="22"/>
        </w:rPr>
        <w:lastRenderedPageBreak/>
        <w:t xml:space="preserve">1.5 </w:t>
      </w:r>
      <w:r w:rsidR="006737D1" w:rsidRPr="00D61549">
        <w:rPr>
          <w:rFonts w:ascii="Arial" w:hAnsi="Arial" w:cs="Arial"/>
          <w:b/>
          <w:bCs/>
          <w:sz w:val="22"/>
          <w:szCs w:val="22"/>
        </w:rPr>
        <w:t xml:space="preserve">Conflict </w:t>
      </w:r>
      <w:r w:rsidR="004C365F">
        <w:rPr>
          <w:rFonts w:ascii="Arial" w:hAnsi="Arial" w:cs="Arial"/>
          <w:b/>
          <w:bCs/>
          <w:sz w:val="22"/>
          <w:szCs w:val="22"/>
        </w:rPr>
        <w:t>M</w:t>
      </w:r>
      <w:r w:rsidR="006737D1" w:rsidRPr="00D61549">
        <w:rPr>
          <w:rFonts w:ascii="Arial" w:hAnsi="Arial" w:cs="Arial"/>
          <w:b/>
          <w:bCs/>
          <w:sz w:val="22"/>
          <w:szCs w:val="22"/>
        </w:rPr>
        <w:t xml:space="preserve">anagement and </w:t>
      </w:r>
      <w:r w:rsidR="004C365F">
        <w:rPr>
          <w:rFonts w:ascii="Arial" w:hAnsi="Arial" w:cs="Arial"/>
          <w:b/>
          <w:bCs/>
          <w:sz w:val="22"/>
          <w:szCs w:val="22"/>
        </w:rPr>
        <w:t>C</w:t>
      </w:r>
      <w:r w:rsidR="006737D1" w:rsidRPr="00D61549">
        <w:rPr>
          <w:rFonts w:ascii="Arial" w:hAnsi="Arial" w:cs="Arial"/>
          <w:b/>
          <w:bCs/>
          <w:sz w:val="22"/>
          <w:szCs w:val="22"/>
        </w:rPr>
        <w:t>ollaboration</w:t>
      </w:r>
    </w:p>
    <w:p w14:paraId="5A0A6AE3"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Conflict often arises from differences in priorities, values, communication styles and perceptions of fairness. EI assists conflict management by helping employees recognise escalating emotions before they become counterproductive. Self-regulation reduces impulsive responses, empathy supports perspective-taking and relationship management allows parties to seek common ground.</w:t>
      </w:r>
    </w:p>
    <w:p w14:paraId="5CB37967"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For example, during disagreement over workload distribution, an emotionally intelligent team member would separate the issue from personal identity, describe the impact of the current arrangement and invite alternative solutions. They would avoid blame, listen to the concerns of others and focus upon evidence. Such an approach can convert conflict from a personal struggle into a problem-solving discussion.</w:t>
      </w:r>
    </w:p>
    <w:p w14:paraId="6C4556AE"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Research supports the relationship between EI and constructive discretionary behaviour. Dirican and Erdil (2020) found that the ability to understand others’ emotions predicted interpersonal organisational citizenship behaviour, while emotional regulation was associated with lower interpersonal counterproductive behaviour. Self-emotion appraisal was positively associated with citizenship behaviour and negatively associated with harmful workplace behaviour. These findings suggest that EI may enhance cooperation and reduce aggression, withdrawal or hostility.</w:t>
      </w:r>
    </w:p>
    <w:p w14:paraId="3B1B517D"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However, EI cannot eliminate structural conflict caused by unequal power, discrimination, unclear roles or limited resources. Treating every conflict as an emotional misunderstanding risks ignoring legitimate organisational problems. Emotionally intelligent conflict management should therefore combine relational competence with fair procedures and accountability.</w:t>
      </w:r>
    </w:p>
    <w:p w14:paraId="2212010D" w14:textId="6D0F68AB" w:rsidR="006737D1" w:rsidRPr="00D61549" w:rsidRDefault="004A6B50" w:rsidP="00E74B3B">
      <w:pPr>
        <w:spacing w:line="360" w:lineRule="auto"/>
        <w:jc w:val="both"/>
        <w:rPr>
          <w:rFonts w:ascii="Arial" w:hAnsi="Arial" w:cs="Arial"/>
          <w:b/>
          <w:bCs/>
          <w:sz w:val="22"/>
          <w:szCs w:val="22"/>
        </w:rPr>
      </w:pPr>
      <w:r>
        <w:rPr>
          <w:rFonts w:ascii="Arial" w:hAnsi="Arial" w:cs="Arial"/>
          <w:b/>
          <w:bCs/>
          <w:sz w:val="22"/>
          <w:szCs w:val="22"/>
        </w:rPr>
        <w:t xml:space="preserve">1.6 </w:t>
      </w:r>
      <w:r w:rsidR="006737D1" w:rsidRPr="00D61549">
        <w:rPr>
          <w:rFonts w:ascii="Arial" w:hAnsi="Arial" w:cs="Arial"/>
          <w:b/>
          <w:bCs/>
          <w:sz w:val="22"/>
          <w:szCs w:val="22"/>
        </w:rPr>
        <w:t xml:space="preserve">Leadership and </w:t>
      </w:r>
      <w:r w:rsidR="004C365F">
        <w:rPr>
          <w:rFonts w:ascii="Arial" w:hAnsi="Arial" w:cs="Arial"/>
          <w:b/>
          <w:bCs/>
          <w:sz w:val="22"/>
          <w:szCs w:val="22"/>
        </w:rPr>
        <w:t>D</w:t>
      </w:r>
      <w:r w:rsidR="006737D1" w:rsidRPr="00D61549">
        <w:rPr>
          <w:rFonts w:ascii="Arial" w:hAnsi="Arial" w:cs="Arial"/>
          <w:b/>
          <w:bCs/>
          <w:sz w:val="22"/>
          <w:szCs w:val="22"/>
        </w:rPr>
        <w:t>ecision-</w:t>
      </w:r>
      <w:r w:rsidR="004C365F">
        <w:rPr>
          <w:rFonts w:ascii="Arial" w:hAnsi="Arial" w:cs="Arial"/>
          <w:b/>
          <w:bCs/>
          <w:sz w:val="22"/>
          <w:szCs w:val="22"/>
        </w:rPr>
        <w:t>M</w:t>
      </w:r>
      <w:r w:rsidR="006737D1" w:rsidRPr="00D61549">
        <w:rPr>
          <w:rFonts w:ascii="Arial" w:hAnsi="Arial" w:cs="Arial"/>
          <w:b/>
          <w:bCs/>
          <w:sz w:val="22"/>
          <w:szCs w:val="22"/>
        </w:rPr>
        <w:t>aking</w:t>
      </w:r>
    </w:p>
    <w:p w14:paraId="27BF24FE"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Emotionally intelligent leadership involves recognising the emotional climate of a team and responding in ways that support performance and trust. Leaders with self-awareness are more likely to recognise how their mood affects employees. Self-regulation allows them to respond calmly during uncertainty. Empathy helps them understand employee concerns, while relationship management supports motivation, feedback and change leadership.</w:t>
      </w:r>
    </w:p>
    <w:p w14:paraId="6AFAF2DF"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The contrast between resonant and dissonant leadership illustrates this point. Resonant leaders are emotionally attuned, communicate shared values and create a sense of connection. Dissonant leaders fail to interpret emotional signals and may create anxiety or disengagement. Nevertheless, effective leadership also requires strategic judgement, competence and moral responsibility. Empathy without accountability may result in avoided decisions, while confidence without empathy may produce fear.</w:t>
      </w:r>
    </w:p>
    <w:p w14:paraId="3844439B" w14:textId="392785E3"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lastRenderedPageBreak/>
        <w:t xml:space="preserve">EI also contributes to decision-making by helping employees recognise when emotions provide relevant information. Fear may signal risk, frustration may indicate an </w:t>
      </w:r>
      <w:r w:rsidR="00B37C66" w:rsidRPr="00E74B3B">
        <w:rPr>
          <w:rFonts w:ascii="Arial" w:hAnsi="Arial" w:cs="Arial"/>
          <w:sz w:val="22"/>
          <w:szCs w:val="22"/>
        </w:rPr>
        <w:t>obstacle,</w:t>
      </w:r>
      <w:r w:rsidRPr="00E74B3B">
        <w:rPr>
          <w:rFonts w:ascii="Arial" w:hAnsi="Arial" w:cs="Arial"/>
          <w:sz w:val="22"/>
          <w:szCs w:val="22"/>
        </w:rPr>
        <w:t xml:space="preserve"> and enthusiasm may support creative thinking. Mayer and Salovey’s model </w:t>
      </w:r>
      <w:r w:rsidR="00B37C66" w:rsidRPr="00E74B3B">
        <w:rPr>
          <w:rFonts w:ascii="Arial" w:hAnsi="Arial" w:cs="Arial"/>
          <w:sz w:val="22"/>
          <w:szCs w:val="22"/>
        </w:rPr>
        <w:t>propose</w:t>
      </w:r>
      <w:r w:rsidRPr="00E74B3B">
        <w:rPr>
          <w:rFonts w:ascii="Arial" w:hAnsi="Arial" w:cs="Arial"/>
          <w:sz w:val="22"/>
          <w:szCs w:val="22"/>
        </w:rPr>
        <w:t xml:space="preserve"> that emotions can facilitate cognition when used appropriately. Yet emotions can also distort judgement through bias, overconfidence or impulsivity. Emotionally intelligent decision-making therefore requires integration rather than domination: feelings should be acknowledged and examined alongside evidence, organisational values and long-term consequences.</w:t>
      </w:r>
    </w:p>
    <w:p w14:paraId="2DE26F0C" w14:textId="585B5122" w:rsidR="006737D1" w:rsidRPr="00D61549" w:rsidRDefault="004A6B50" w:rsidP="00E74B3B">
      <w:pPr>
        <w:spacing w:line="360" w:lineRule="auto"/>
        <w:jc w:val="both"/>
        <w:rPr>
          <w:rFonts w:ascii="Arial" w:hAnsi="Arial" w:cs="Arial"/>
          <w:b/>
          <w:bCs/>
          <w:sz w:val="22"/>
          <w:szCs w:val="22"/>
        </w:rPr>
      </w:pPr>
      <w:r>
        <w:rPr>
          <w:rFonts w:ascii="Arial" w:hAnsi="Arial" w:cs="Arial"/>
          <w:b/>
          <w:bCs/>
          <w:sz w:val="22"/>
          <w:szCs w:val="22"/>
        </w:rPr>
        <w:t xml:space="preserve">1.7 </w:t>
      </w:r>
      <w:r w:rsidR="006737D1" w:rsidRPr="00D61549">
        <w:rPr>
          <w:rFonts w:ascii="Arial" w:hAnsi="Arial" w:cs="Arial"/>
          <w:b/>
          <w:bCs/>
          <w:sz w:val="22"/>
          <w:szCs w:val="22"/>
        </w:rPr>
        <w:t>Conclusion</w:t>
      </w:r>
    </w:p>
    <w:p w14:paraId="62CADBC0" w14:textId="77777777" w:rsidR="006737D1" w:rsidRPr="00E74B3B" w:rsidRDefault="006737D1" w:rsidP="00E74B3B">
      <w:pPr>
        <w:spacing w:line="360" w:lineRule="auto"/>
        <w:jc w:val="both"/>
        <w:rPr>
          <w:rFonts w:ascii="Arial" w:hAnsi="Arial" w:cs="Arial"/>
          <w:sz w:val="22"/>
          <w:szCs w:val="22"/>
        </w:rPr>
      </w:pPr>
      <w:r w:rsidRPr="00E74B3B">
        <w:rPr>
          <w:rFonts w:ascii="Arial" w:hAnsi="Arial" w:cs="Arial"/>
          <w:sz w:val="22"/>
          <w:szCs w:val="22"/>
        </w:rPr>
        <w:t>Emotional intelligence can improve workplace performance, collaboration and wellbeing by strengthening self-awareness, emotional regulation, empathy, adaptability and relationship management. Mayer and Salovey provide the strongest ability-based explanation of emotional processing, Goleman offers an accessible workplace competency framework, and Bar-On highlights adaptability, stress management and emotional-social functioning. Each model contributes valuable insights, although all have conceptual and measurement limitations.</w:t>
      </w:r>
    </w:p>
    <w:p w14:paraId="2973BBE6" w14:textId="08D5AAF7" w:rsidR="00E74B3B" w:rsidRPr="00E74B3B" w:rsidRDefault="006737D1" w:rsidP="00D61549">
      <w:pPr>
        <w:pBdr>
          <w:bottom w:val="single" w:sz="4" w:space="1" w:color="auto"/>
        </w:pBdr>
        <w:spacing w:line="360" w:lineRule="auto"/>
        <w:jc w:val="both"/>
        <w:rPr>
          <w:rFonts w:ascii="Arial" w:hAnsi="Arial" w:cs="Arial"/>
          <w:sz w:val="22"/>
          <w:szCs w:val="22"/>
        </w:rPr>
      </w:pPr>
      <w:r w:rsidRPr="00E74B3B">
        <w:rPr>
          <w:rFonts w:ascii="Arial" w:hAnsi="Arial" w:cs="Arial"/>
          <w:sz w:val="22"/>
          <w:szCs w:val="22"/>
        </w:rPr>
        <w:t>EI supports communication by improving listening and awareness of emotional cues; it supports conflict management by reducing impulsivity and encouraging perspective-taking; and it supports leadership and decision-making by helping employees integrate emotional and rational information. However, EI is not a universal solution. Its effectiveness depends on organisational culture, ethical leadership, fair systems, manageable workloads and appropriate technical competence. Contemporary organisations should therefore treat EI as a developable and complementary capability rather than as a substitute for structural improvement or professional expertise.</w:t>
      </w:r>
    </w:p>
    <w:p w14:paraId="68459246" w14:textId="77777777" w:rsidR="00D64604" w:rsidRDefault="00D64604" w:rsidP="00E74B3B">
      <w:pPr>
        <w:spacing w:line="360" w:lineRule="auto"/>
        <w:jc w:val="both"/>
        <w:rPr>
          <w:rFonts w:ascii="Arial" w:hAnsi="Arial" w:cs="Arial"/>
          <w:b/>
          <w:bCs/>
          <w:sz w:val="22"/>
          <w:szCs w:val="22"/>
        </w:rPr>
      </w:pPr>
    </w:p>
    <w:p w14:paraId="38651422" w14:textId="3964BA23" w:rsidR="00E74B3B" w:rsidRPr="00D61549" w:rsidRDefault="00E74B3B" w:rsidP="00E74B3B">
      <w:pPr>
        <w:spacing w:line="360" w:lineRule="auto"/>
        <w:jc w:val="both"/>
        <w:rPr>
          <w:rFonts w:ascii="Arial" w:hAnsi="Arial" w:cs="Arial"/>
          <w:b/>
          <w:bCs/>
          <w:sz w:val="22"/>
          <w:szCs w:val="22"/>
        </w:rPr>
      </w:pPr>
      <w:r w:rsidRPr="00D61549">
        <w:rPr>
          <w:rFonts w:ascii="Arial" w:hAnsi="Arial" w:cs="Arial"/>
          <w:b/>
          <w:bCs/>
          <w:sz w:val="22"/>
          <w:szCs w:val="22"/>
        </w:rPr>
        <w:t>Task 2: Managing a Multigenerational Workforce</w:t>
      </w:r>
    </w:p>
    <w:p w14:paraId="18C21EF7" w14:textId="32167C76" w:rsidR="00E74B3B" w:rsidRPr="00D61549" w:rsidRDefault="00823707" w:rsidP="00E74B3B">
      <w:pPr>
        <w:spacing w:line="360" w:lineRule="auto"/>
        <w:jc w:val="both"/>
        <w:rPr>
          <w:rFonts w:ascii="Arial" w:hAnsi="Arial" w:cs="Arial"/>
          <w:b/>
          <w:bCs/>
          <w:sz w:val="22"/>
          <w:szCs w:val="22"/>
        </w:rPr>
      </w:pPr>
      <w:r>
        <w:rPr>
          <w:rFonts w:ascii="Arial" w:hAnsi="Arial" w:cs="Arial"/>
          <w:b/>
          <w:bCs/>
          <w:sz w:val="22"/>
          <w:szCs w:val="22"/>
        </w:rPr>
        <w:t xml:space="preserve">2.1 </w:t>
      </w:r>
      <w:r w:rsidR="00E74B3B" w:rsidRPr="00D61549">
        <w:rPr>
          <w:rFonts w:ascii="Arial" w:hAnsi="Arial" w:cs="Arial"/>
          <w:b/>
          <w:bCs/>
          <w:sz w:val="22"/>
          <w:szCs w:val="22"/>
        </w:rPr>
        <w:t>Introduction</w:t>
      </w:r>
    </w:p>
    <w:p w14:paraId="6A2AAF90"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Contemporary organisations increasingly employ people from several generations, each shaped by different economic conditions, technologies, educational experiences and social expectations. Generation X, Generation Y, commonly known as Millennials, and Generation Z may therefore bring different approaches to communication, motivation, career development and technology. These differences can provide valuable diversity of experience, but they can also create misunderstanding when managers rely on assumptions rather than understanding individual employees.</w:t>
      </w:r>
    </w:p>
    <w:p w14:paraId="029E0C3F"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lastRenderedPageBreak/>
        <w:t>Generational categories should be applied cautiously. Birth-year boundaries vary between researchers, and employees within the same generation are not identical. Personality, culture, occupation, education and life stage may explain behaviour more accurately than age alone. Consequently, generational analysis should guide managerial curiosity rather than justify stereotypes. This section evaluates the characteristics commonly associated with Generation X, Millennials and Generation Z and examines how emotional intelligence and mindfulness can support inclusive recruitment, management and retention.</w:t>
      </w:r>
    </w:p>
    <w:p w14:paraId="044873B4" w14:textId="4AE8C865" w:rsidR="00E74B3B" w:rsidRPr="00A060DD" w:rsidRDefault="00823707" w:rsidP="00E74B3B">
      <w:pPr>
        <w:spacing w:line="360" w:lineRule="auto"/>
        <w:jc w:val="both"/>
        <w:rPr>
          <w:rFonts w:ascii="Arial" w:hAnsi="Arial" w:cs="Arial"/>
          <w:b/>
          <w:bCs/>
          <w:sz w:val="22"/>
          <w:szCs w:val="22"/>
        </w:rPr>
      </w:pPr>
      <w:r>
        <w:rPr>
          <w:rFonts w:ascii="Arial" w:hAnsi="Arial" w:cs="Arial"/>
          <w:b/>
          <w:bCs/>
          <w:sz w:val="22"/>
          <w:szCs w:val="22"/>
        </w:rPr>
        <w:t xml:space="preserve">2.2 </w:t>
      </w:r>
      <w:r w:rsidR="00E74B3B" w:rsidRPr="00A060DD">
        <w:rPr>
          <w:rFonts w:ascii="Arial" w:hAnsi="Arial" w:cs="Arial"/>
          <w:b/>
          <w:bCs/>
          <w:sz w:val="22"/>
          <w:szCs w:val="22"/>
        </w:rPr>
        <w:t xml:space="preserve">Generational </w:t>
      </w:r>
      <w:r>
        <w:rPr>
          <w:rFonts w:ascii="Arial" w:hAnsi="Arial" w:cs="Arial"/>
          <w:b/>
          <w:bCs/>
          <w:sz w:val="22"/>
          <w:szCs w:val="22"/>
        </w:rPr>
        <w:t>C</w:t>
      </w:r>
      <w:r w:rsidR="00E74B3B" w:rsidRPr="00A060DD">
        <w:rPr>
          <w:rFonts w:ascii="Arial" w:hAnsi="Arial" w:cs="Arial"/>
          <w:b/>
          <w:bCs/>
          <w:sz w:val="22"/>
          <w:szCs w:val="22"/>
        </w:rPr>
        <w:t xml:space="preserve">haracteristics and </w:t>
      </w:r>
      <w:r>
        <w:rPr>
          <w:rFonts w:ascii="Arial" w:hAnsi="Arial" w:cs="Arial"/>
          <w:b/>
          <w:bCs/>
          <w:sz w:val="22"/>
          <w:szCs w:val="22"/>
        </w:rPr>
        <w:t>W</w:t>
      </w:r>
      <w:r w:rsidR="00E74B3B" w:rsidRPr="00A060DD">
        <w:rPr>
          <w:rFonts w:ascii="Arial" w:hAnsi="Arial" w:cs="Arial"/>
          <w:b/>
          <w:bCs/>
          <w:sz w:val="22"/>
          <w:szCs w:val="22"/>
        </w:rPr>
        <w:t xml:space="preserve">orkplace </w:t>
      </w:r>
      <w:r>
        <w:rPr>
          <w:rFonts w:ascii="Arial" w:hAnsi="Arial" w:cs="Arial"/>
          <w:b/>
          <w:bCs/>
          <w:sz w:val="22"/>
          <w:szCs w:val="22"/>
        </w:rPr>
        <w:t>E</w:t>
      </w:r>
      <w:r w:rsidR="00E74B3B" w:rsidRPr="00A060DD">
        <w:rPr>
          <w:rFonts w:ascii="Arial" w:hAnsi="Arial" w:cs="Arial"/>
          <w:b/>
          <w:bCs/>
          <w:sz w:val="22"/>
          <w:szCs w:val="22"/>
        </w:rPr>
        <w:t>xpectations</w:t>
      </w:r>
    </w:p>
    <w:p w14:paraId="6A8B7750"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Generation X is generally defined as employees born between approximately 1965 and 1980. Members of this generation entered employment before digital technology became central to everyday working life. They are frequently described as independent, pragmatic, adaptable and self-reliant. Their workplace expectations may include autonomy, stability, work–life balance and clear communication. The assignment guidance similarly identifies Generation X as independent and adaptable, with a preference for autonomy and straightforward communication.</w:t>
      </w:r>
    </w:p>
    <w:p w14:paraId="036D2E5E"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These characteristics can benefit organisations because experienced Generation X employees may combine institutional knowledge with an ability to work independently. They can provide continuity during change and may be effective mentors. However, a strong preference for autonomy may be interpreted by younger colleagues as limited collaboration, while their tendency towards emotional restraint may appear distant. Conversely, Generation X employees may view frequent requests for feedback from younger colleagues as dependence. Emotionally intelligent managers must distinguish between genuine performance issues and differences in preferred working styles.</w:t>
      </w:r>
    </w:p>
    <w:p w14:paraId="0E988F70"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Generation Y, or Millennials, commonly includes employees born between approximately 1981 and 1996, although boundaries differ. Millennials entered employment during rapid internet expansion, globalisation and changing expectations of organisational careers. They are often characterised as technologically confident, collaborative and motivated by meaningful work, learning opportunities, recognition and regular feedback. The module guidance describes Millennials as technology-oriented employees who value teamwork, purpose, development and acknowledgement.</w:t>
      </w:r>
    </w:p>
    <w:p w14:paraId="0DC37383"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 xml:space="preserve">Millennials may strengthen organisational effectiveness through collaborative working, openness to innovation and willingness to use digital platforms. Their desire for regular feedback can support continuous improvement when performance management is constructive. Nevertheless, this preference may create tension with managers who are accustomed to annual appraisal systems or limited supervision. Organisations may also </w:t>
      </w:r>
      <w:r w:rsidRPr="00E74B3B">
        <w:rPr>
          <w:rFonts w:ascii="Arial" w:hAnsi="Arial" w:cs="Arial"/>
          <w:sz w:val="22"/>
          <w:szCs w:val="22"/>
        </w:rPr>
        <w:lastRenderedPageBreak/>
        <w:t>struggle to retain Millennials when development opportunities, flexibility or organisational purpose are unclear. However, claims that all Millennials lack loyalty are simplistic. Employees may leave because of limited progression, poor management or unfair employment conditions rather than because of generational identity.</w:t>
      </w:r>
    </w:p>
    <w:p w14:paraId="1E33286E"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Generation Z generally refers to those born from the mid-to-late 1990s onwards. As digital natives, many have grown up with smartphones, social media, instant access to information and online learning. They are often associated with technological adaptability, entrepreneurship, diversity, flexibility, authenticity and concern for mental wellbeing. They may expect inclusive leadership, rapid communication, ethical organisational behaviour and opportunities to contribute directly. The assignment guidance similarly notes that Generation Z values diversity, flexibility, psychological wellbeing and emotionally intelligent leadership.</w:t>
      </w:r>
    </w:p>
    <w:p w14:paraId="2BA2D483"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Generation Z’s technological confidence can help organisations adopt new systems and respond quickly to changing customer expectations. Their awareness of inclusion and wellbeing may also challenge organisations to improve outdated practices. However, technological fluency should not be assumed in every individual, and strong digital communication does not necessarily equal effective interpersonal communication. Some younger employees may require support in managing face-to-face conflict, ambiguous workplace situations and professional boundaries.</w:t>
      </w:r>
    </w:p>
    <w:p w14:paraId="20BF632F" w14:textId="656C0394"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 xml:space="preserve">Recent emotional-intelligence data also indicates that Generation Z may face </w:t>
      </w:r>
      <w:r w:rsidR="00823707" w:rsidRPr="00E74B3B">
        <w:rPr>
          <w:rFonts w:ascii="Arial" w:hAnsi="Arial" w:cs="Arial"/>
          <w:sz w:val="22"/>
          <w:szCs w:val="22"/>
        </w:rPr>
        <w:t>wellbeing</w:t>
      </w:r>
      <w:r w:rsidRPr="00E74B3B">
        <w:rPr>
          <w:rFonts w:ascii="Arial" w:hAnsi="Arial" w:cs="Arial"/>
          <w:sz w:val="22"/>
          <w:szCs w:val="22"/>
        </w:rPr>
        <w:t xml:space="preserve"> risks. The </w:t>
      </w:r>
      <w:r w:rsidRPr="00E74B3B">
        <w:rPr>
          <w:rFonts w:ascii="Arial" w:hAnsi="Arial" w:cs="Arial"/>
          <w:i/>
          <w:iCs/>
          <w:sz w:val="22"/>
          <w:szCs w:val="22"/>
        </w:rPr>
        <w:t>State of the Heart 2024</w:t>
      </w:r>
      <w:r w:rsidRPr="00E74B3B">
        <w:rPr>
          <w:rFonts w:ascii="Arial" w:hAnsi="Arial" w:cs="Arial"/>
          <w:sz w:val="22"/>
          <w:szCs w:val="22"/>
        </w:rPr>
        <w:t xml:space="preserve"> report found lower emotional-intelligence-related “Drive” scores and higher burnout among Generation Z than older groups. It identified declines in navigating emotions, intrinsic motivation and connection to wider purpose. These findings are important for retention, but they should not be used to label younger employees as emotionally weak. The differences may reflect social isolation, insecure employment, pandemic disruption and wider economic pressures rather than fixed generational limitations.</w:t>
      </w:r>
    </w:p>
    <w:p w14:paraId="694CC163" w14:textId="5E84EC1C" w:rsidR="00E74B3B" w:rsidRPr="00A060DD" w:rsidRDefault="00823707" w:rsidP="00E74B3B">
      <w:pPr>
        <w:spacing w:line="360" w:lineRule="auto"/>
        <w:jc w:val="both"/>
        <w:rPr>
          <w:rFonts w:ascii="Arial" w:hAnsi="Arial" w:cs="Arial"/>
          <w:b/>
          <w:bCs/>
          <w:sz w:val="22"/>
          <w:szCs w:val="22"/>
        </w:rPr>
      </w:pPr>
      <w:r>
        <w:rPr>
          <w:rFonts w:ascii="Arial" w:hAnsi="Arial" w:cs="Arial"/>
          <w:b/>
          <w:bCs/>
          <w:sz w:val="22"/>
          <w:szCs w:val="22"/>
        </w:rPr>
        <w:t xml:space="preserve">2.3 </w:t>
      </w:r>
      <w:r w:rsidR="00E74B3B" w:rsidRPr="00A060DD">
        <w:rPr>
          <w:rFonts w:ascii="Arial" w:hAnsi="Arial" w:cs="Arial"/>
          <w:b/>
          <w:bCs/>
          <w:sz w:val="22"/>
          <w:szCs w:val="22"/>
        </w:rPr>
        <w:t xml:space="preserve">Impact on </w:t>
      </w:r>
      <w:r>
        <w:rPr>
          <w:rFonts w:ascii="Arial" w:hAnsi="Arial" w:cs="Arial"/>
          <w:b/>
          <w:bCs/>
          <w:sz w:val="22"/>
          <w:szCs w:val="22"/>
        </w:rPr>
        <w:t>O</w:t>
      </w:r>
      <w:r w:rsidR="00E74B3B" w:rsidRPr="00A060DD">
        <w:rPr>
          <w:rFonts w:ascii="Arial" w:hAnsi="Arial" w:cs="Arial"/>
          <w:b/>
          <w:bCs/>
          <w:sz w:val="22"/>
          <w:szCs w:val="22"/>
        </w:rPr>
        <w:t xml:space="preserve">rganisational </w:t>
      </w:r>
      <w:r>
        <w:rPr>
          <w:rFonts w:ascii="Arial" w:hAnsi="Arial" w:cs="Arial"/>
          <w:b/>
          <w:bCs/>
          <w:sz w:val="22"/>
          <w:szCs w:val="22"/>
        </w:rPr>
        <w:t>E</w:t>
      </w:r>
      <w:r w:rsidR="00E74B3B" w:rsidRPr="00A060DD">
        <w:rPr>
          <w:rFonts w:ascii="Arial" w:hAnsi="Arial" w:cs="Arial"/>
          <w:b/>
          <w:bCs/>
          <w:sz w:val="22"/>
          <w:szCs w:val="22"/>
        </w:rPr>
        <w:t>ffectiveness</w:t>
      </w:r>
    </w:p>
    <w:p w14:paraId="40A3DF76"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Generational diversity can improve organisational effectiveness by combining experience, innovation, technological capability and varied perspectives. Generation X may contribute organisational knowledge, realism and independent judgement. Millennials may strengthen teamwork, digital collaboration and continuous learning. Generation Z may offer current technological insight, direct action and sensitivity to inclusion.</w:t>
      </w:r>
    </w:p>
    <w:p w14:paraId="69C08C4E"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 xml:space="preserve">However, differences in communication can create friction. Generation X employees may prefer concise emails, direct conversations and greater independence, while Millennials may prefer collaborative platforms and regular developmental feedback. Generation Z may favour </w:t>
      </w:r>
      <w:r w:rsidRPr="00E74B3B">
        <w:rPr>
          <w:rFonts w:ascii="Arial" w:hAnsi="Arial" w:cs="Arial"/>
          <w:sz w:val="22"/>
          <w:szCs w:val="22"/>
        </w:rPr>
        <w:lastRenderedPageBreak/>
        <w:t>rapid messaging, visual communication and immediate access to information. Problems arise when one style is considered more professional than another. For example, a brief message from a Generation X manager may be interpreted as unfriendly, while frequent digital communication from a younger employee may be viewed as intrusive.</w:t>
      </w:r>
    </w:p>
    <w:p w14:paraId="1AD36F65"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Motivational differences can also affect retention. Generation X may place greater emphasis on autonomy, security and work–life balance. Millennials may prioritise progression, recognition and purpose, while Generation Z may expect flexibility, inclusion and wellbeing support. A standardised reward system may therefore fail to engage all employees. Nevertheless, managers should ask employees what motivates them rather than assuming preferences solely from age.</w:t>
      </w:r>
    </w:p>
    <w:p w14:paraId="3C652E1D"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Technology can either strengthen or divide multigenerational teams. Younger employees may adopt new platforms quickly, while more experienced colleagues may understand operational risks and organisational context. Reverse mentoring can combine these strengths: younger employees share digital expertise while experienced employees provide professional judgement and institutional knowledge. Without mutual respect, however, technological change may produce embarrassment, resistance or age-based prejudice.</w:t>
      </w:r>
    </w:p>
    <w:p w14:paraId="10A6DFC3" w14:textId="79440A39" w:rsidR="00E74B3B" w:rsidRPr="00A060DD" w:rsidRDefault="00823707" w:rsidP="00E74B3B">
      <w:pPr>
        <w:spacing w:line="360" w:lineRule="auto"/>
        <w:jc w:val="both"/>
        <w:rPr>
          <w:rFonts w:ascii="Arial" w:hAnsi="Arial" w:cs="Arial"/>
          <w:b/>
          <w:bCs/>
          <w:sz w:val="22"/>
          <w:szCs w:val="22"/>
        </w:rPr>
      </w:pPr>
      <w:r>
        <w:rPr>
          <w:rFonts w:ascii="Arial" w:hAnsi="Arial" w:cs="Arial"/>
          <w:b/>
          <w:bCs/>
          <w:sz w:val="22"/>
          <w:szCs w:val="22"/>
        </w:rPr>
        <w:t xml:space="preserve">2.4 </w:t>
      </w:r>
      <w:r w:rsidR="00E74B3B" w:rsidRPr="00A060DD">
        <w:rPr>
          <w:rFonts w:ascii="Arial" w:hAnsi="Arial" w:cs="Arial"/>
          <w:b/>
          <w:bCs/>
          <w:sz w:val="22"/>
          <w:szCs w:val="22"/>
        </w:rPr>
        <w:t xml:space="preserve">Emotional </w:t>
      </w:r>
      <w:r>
        <w:rPr>
          <w:rFonts w:ascii="Arial" w:hAnsi="Arial" w:cs="Arial"/>
          <w:b/>
          <w:bCs/>
          <w:sz w:val="22"/>
          <w:szCs w:val="22"/>
        </w:rPr>
        <w:t>I</w:t>
      </w:r>
      <w:r w:rsidR="00E74B3B" w:rsidRPr="00A060DD">
        <w:rPr>
          <w:rFonts w:ascii="Arial" w:hAnsi="Arial" w:cs="Arial"/>
          <w:b/>
          <w:bCs/>
          <w:sz w:val="22"/>
          <w:szCs w:val="22"/>
        </w:rPr>
        <w:t xml:space="preserve">ntelligence and </w:t>
      </w:r>
      <w:r>
        <w:rPr>
          <w:rFonts w:ascii="Arial" w:hAnsi="Arial" w:cs="Arial"/>
          <w:b/>
          <w:bCs/>
          <w:sz w:val="22"/>
          <w:szCs w:val="22"/>
        </w:rPr>
        <w:t>M</w:t>
      </w:r>
      <w:r w:rsidR="00E74B3B" w:rsidRPr="00A060DD">
        <w:rPr>
          <w:rFonts w:ascii="Arial" w:hAnsi="Arial" w:cs="Arial"/>
          <w:b/>
          <w:bCs/>
          <w:sz w:val="22"/>
          <w:szCs w:val="22"/>
        </w:rPr>
        <w:t xml:space="preserve">indful </w:t>
      </w:r>
      <w:r>
        <w:rPr>
          <w:rFonts w:ascii="Arial" w:hAnsi="Arial" w:cs="Arial"/>
          <w:b/>
          <w:bCs/>
          <w:sz w:val="22"/>
          <w:szCs w:val="22"/>
        </w:rPr>
        <w:t>M</w:t>
      </w:r>
      <w:r w:rsidR="00E74B3B" w:rsidRPr="00A060DD">
        <w:rPr>
          <w:rFonts w:ascii="Arial" w:hAnsi="Arial" w:cs="Arial"/>
          <w:b/>
          <w:bCs/>
          <w:sz w:val="22"/>
          <w:szCs w:val="22"/>
        </w:rPr>
        <w:t>anagement</w:t>
      </w:r>
    </w:p>
    <w:p w14:paraId="6CE2EB6B"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Emotional intelligence enables managers to respond to generational diversity without stereotyping. Self-awareness helps managers recognise their own age-related assumptions. A manager might, for example, assume that an older applicant resists technology or that a younger employee lacks resilience. Recognising such assumptions creates the opportunity to replace bias with evidence.</w:t>
      </w:r>
    </w:p>
    <w:p w14:paraId="586E4ED2"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Social awareness and empathy help managers understand employees’ expectations and emotional responses. This includes listening carefully, checking understanding and adapting communication while maintaining consistent standards. Emotional regulation is equally important when differences become frustrating. Workplace EI helps managers monitor habitual reactions before anger or defensiveness interferes with rational problem-solving.</w:t>
      </w:r>
    </w:p>
    <w:p w14:paraId="1AD2BE4F"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Mindfulness strengthens this process by encouraging present-moment, non-judgemental awareness. Rather than reacting automatically to a communication style, managers can pause, observe their assumptions and consider the employee’s intention. Mindful leadership may therefore reduce intergenerational conflict and improve psychological safety. Short breathing pauses before difficult conversations, attentive listening and reflection before responding to messages can support calmer and more proportionate management.</w:t>
      </w:r>
    </w:p>
    <w:p w14:paraId="21DBA562"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lastRenderedPageBreak/>
        <w:t>During recruitment, organisations should use inclusive language and communicate a broad employee value proposition. Vacancies can refer to autonomy, career development, flexibility, meaningful work and wellbeing without assigning these benefits to a particular generation. Structured behavioural interviews should assess adaptability, empathy, communication and emotional regulation through relevant workplace examples. EI measures may provide supplementary information, but they should not replace technical assessment or structured interviews. Workplace-contextualised EI tests may be more relevant than abstract measures, particularly in emotionally demanding roles.</w:t>
      </w:r>
    </w:p>
    <w:p w14:paraId="02645B6D"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During employment, managers should provide flexible communication options, including face-to-face meetings, email and collaborative platforms. Feedback should be regular but adapted to individual needs. Cross-generational mentoring can improve knowledge exchange and reduce stereotypes. Development programmes should include emotional literacy, active listening, conflict management, mindfulness and digital inclusion.</w:t>
      </w:r>
    </w:p>
    <w:p w14:paraId="5F140843"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Retention requires more than generationally tailored benefits. Employees across age groups are more likely to remain where they experience fairness, respect, development, manageable workloads and meaningful relationships. Research indicates that EI is associated with stronger workplace relationships, job satisfaction and performance. Managers should therefore hold individual career conversations, recognise contributions fairly and create psychologically safe opportunities for employees to raise concerns.</w:t>
      </w:r>
    </w:p>
    <w:p w14:paraId="1E8DDDDE" w14:textId="382C17BA" w:rsidR="00E74B3B" w:rsidRPr="00A060DD" w:rsidRDefault="00823707" w:rsidP="00E74B3B">
      <w:pPr>
        <w:spacing w:line="360" w:lineRule="auto"/>
        <w:jc w:val="both"/>
        <w:rPr>
          <w:rFonts w:ascii="Arial" w:hAnsi="Arial" w:cs="Arial"/>
          <w:b/>
          <w:bCs/>
          <w:sz w:val="22"/>
          <w:szCs w:val="22"/>
        </w:rPr>
      </w:pPr>
      <w:r>
        <w:rPr>
          <w:rFonts w:ascii="Arial" w:hAnsi="Arial" w:cs="Arial"/>
          <w:b/>
          <w:bCs/>
          <w:sz w:val="22"/>
          <w:szCs w:val="22"/>
        </w:rPr>
        <w:t xml:space="preserve">2.5 </w:t>
      </w:r>
      <w:r w:rsidR="00E74B3B" w:rsidRPr="00A060DD">
        <w:rPr>
          <w:rFonts w:ascii="Arial" w:hAnsi="Arial" w:cs="Arial"/>
          <w:b/>
          <w:bCs/>
          <w:sz w:val="22"/>
          <w:szCs w:val="22"/>
        </w:rPr>
        <w:t>Conclusion</w:t>
      </w:r>
    </w:p>
    <w:p w14:paraId="43854ADD"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A multigenerational workforce can strengthen organisational performance by combining experience, technological adaptability, collaboration and diverse perspectives. Generation X is commonly associated with autonomy and pragmatism, Millennials with collaboration and development, and Generation Z with digital fluency, inclusion and wellbeing awareness. However, these categories describe tendencies rather than fixed identities.</w:t>
      </w:r>
    </w:p>
    <w:p w14:paraId="6B95E97B" w14:textId="77777777" w:rsidR="00E74B3B" w:rsidRPr="00E74B3B" w:rsidRDefault="00E74B3B" w:rsidP="00E74B3B">
      <w:pPr>
        <w:spacing w:line="360" w:lineRule="auto"/>
        <w:jc w:val="both"/>
        <w:rPr>
          <w:rFonts w:ascii="Arial" w:hAnsi="Arial" w:cs="Arial"/>
          <w:sz w:val="22"/>
          <w:szCs w:val="22"/>
        </w:rPr>
      </w:pPr>
      <w:r w:rsidRPr="00E74B3B">
        <w:rPr>
          <w:rFonts w:ascii="Arial" w:hAnsi="Arial" w:cs="Arial"/>
          <w:sz w:val="22"/>
          <w:szCs w:val="22"/>
        </w:rPr>
        <w:t>Differences in communication, motivation and technology may create conflict when managers rely on stereotypes or impose one preferred working style. Emotional intelligence helps managers recognise bias, regulate reactions, empathise with different perspectives and adapt communication. Mindfulness strengthens these capabilities by promoting attention, non-judgement and thoughtful responses. Inclusive recruitment, flexible management, cross-generational mentoring and meaningful development opportunities can therefore help organisations recruit, engage and retain employees from diverse age groups while maintaining consistent standards of fairness and performance.</w:t>
      </w:r>
    </w:p>
    <w:p w14:paraId="1924ED66" w14:textId="77777777" w:rsidR="00823707" w:rsidRDefault="00823707" w:rsidP="00E74B3B">
      <w:pPr>
        <w:spacing w:line="360" w:lineRule="auto"/>
        <w:rPr>
          <w:rFonts w:ascii="Arial" w:hAnsi="Arial" w:cs="Arial"/>
          <w:b/>
          <w:bCs/>
          <w:sz w:val="22"/>
          <w:szCs w:val="22"/>
        </w:rPr>
      </w:pPr>
    </w:p>
    <w:p w14:paraId="712B14C8" w14:textId="7F8B2C06" w:rsidR="00E74B3B" w:rsidRPr="00E74B3B" w:rsidRDefault="00E74B3B" w:rsidP="00E74B3B">
      <w:pPr>
        <w:spacing w:line="360" w:lineRule="auto"/>
        <w:rPr>
          <w:rFonts w:ascii="Arial" w:hAnsi="Arial" w:cs="Arial"/>
          <w:b/>
          <w:bCs/>
          <w:sz w:val="22"/>
          <w:szCs w:val="22"/>
        </w:rPr>
      </w:pPr>
      <w:r w:rsidRPr="00E74B3B">
        <w:rPr>
          <w:rFonts w:ascii="Arial" w:hAnsi="Arial" w:cs="Arial"/>
          <w:b/>
          <w:bCs/>
          <w:sz w:val="22"/>
          <w:szCs w:val="22"/>
        </w:rPr>
        <w:lastRenderedPageBreak/>
        <w:t>References</w:t>
      </w:r>
    </w:p>
    <w:p w14:paraId="1CC93BAA" w14:textId="77777777" w:rsidR="00E74B3B" w:rsidRPr="00E74B3B" w:rsidRDefault="00E74B3B" w:rsidP="00E74B3B">
      <w:pPr>
        <w:spacing w:line="360" w:lineRule="auto"/>
        <w:rPr>
          <w:rFonts w:ascii="Arial" w:hAnsi="Arial" w:cs="Arial"/>
          <w:sz w:val="22"/>
          <w:szCs w:val="22"/>
        </w:rPr>
      </w:pPr>
      <w:r w:rsidRPr="00E74B3B">
        <w:rPr>
          <w:rFonts w:ascii="Arial" w:hAnsi="Arial" w:cs="Arial"/>
          <w:sz w:val="22"/>
          <w:szCs w:val="22"/>
        </w:rPr>
        <w:t xml:space="preserve">Goleman, D. (1998) </w:t>
      </w:r>
      <w:r w:rsidRPr="00E74B3B">
        <w:rPr>
          <w:rFonts w:ascii="Arial" w:hAnsi="Arial" w:cs="Arial"/>
          <w:i/>
          <w:iCs/>
          <w:sz w:val="22"/>
          <w:szCs w:val="22"/>
        </w:rPr>
        <w:t>Working with Emotional Intelligence</w:t>
      </w:r>
      <w:r w:rsidRPr="00E74B3B">
        <w:rPr>
          <w:rFonts w:ascii="Arial" w:hAnsi="Arial" w:cs="Arial"/>
          <w:sz w:val="22"/>
          <w:szCs w:val="22"/>
        </w:rPr>
        <w:t>. New York: Bantam Books.</w:t>
      </w:r>
    </w:p>
    <w:p w14:paraId="6F0297BC" w14:textId="77777777" w:rsidR="00E74B3B" w:rsidRPr="00E74B3B" w:rsidRDefault="00E74B3B" w:rsidP="00E74B3B">
      <w:pPr>
        <w:spacing w:line="360" w:lineRule="auto"/>
        <w:rPr>
          <w:rFonts w:ascii="Arial" w:hAnsi="Arial" w:cs="Arial"/>
          <w:sz w:val="22"/>
          <w:szCs w:val="22"/>
        </w:rPr>
      </w:pPr>
      <w:r w:rsidRPr="00E74B3B">
        <w:rPr>
          <w:rFonts w:ascii="Arial" w:hAnsi="Arial" w:cs="Arial"/>
          <w:sz w:val="22"/>
          <w:szCs w:val="22"/>
        </w:rPr>
        <w:t xml:space="preserve">Huang, S.P. (2016) ‘A study on the effects of emotional intelligence and workplace friendship on job satisfaction and performance of employees in micro-enterprises’, </w:t>
      </w:r>
      <w:r w:rsidRPr="00E74B3B">
        <w:rPr>
          <w:rFonts w:ascii="Arial" w:hAnsi="Arial" w:cs="Arial"/>
          <w:i/>
          <w:iCs/>
          <w:sz w:val="22"/>
          <w:szCs w:val="22"/>
        </w:rPr>
        <w:t>Journal of Interdisciplinary Mathematics</w:t>
      </w:r>
      <w:r w:rsidRPr="00E74B3B">
        <w:rPr>
          <w:rFonts w:ascii="Arial" w:hAnsi="Arial" w:cs="Arial"/>
          <w:sz w:val="22"/>
          <w:szCs w:val="22"/>
        </w:rPr>
        <w:t>, 19(3), pp. 567–583.</w:t>
      </w:r>
    </w:p>
    <w:p w14:paraId="5184033A" w14:textId="77777777" w:rsidR="00E74B3B" w:rsidRPr="00E74B3B" w:rsidRDefault="00E74B3B" w:rsidP="00E74B3B">
      <w:pPr>
        <w:spacing w:line="360" w:lineRule="auto"/>
        <w:rPr>
          <w:rFonts w:ascii="Arial" w:hAnsi="Arial" w:cs="Arial"/>
          <w:sz w:val="22"/>
          <w:szCs w:val="22"/>
        </w:rPr>
      </w:pPr>
      <w:r w:rsidRPr="00E74B3B">
        <w:rPr>
          <w:rFonts w:ascii="Arial" w:hAnsi="Arial" w:cs="Arial"/>
          <w:sz w:val="22"/>
          <w:szCs w:val="22"/>
        </w:rPr>
        <w:t xml:space="preserve">Krishnakumar, S., Hopkins, K., Szmerekovsky, J.G. and Robinson, M.D. (2016) ‘Assessing workplace emotional intelligence: Development and validation of an ability-based measure’, </w:t>
      </w:r>
      <w:r w:rsidRPr="00E74B3B">
        <w:rPr>
          <w:rFonts w:ascii="Arial" w:hAnsi="Arial" w:cs="Arial"/>
          <w:i/>
          <w:iCs/>
          <w:sz w:val="22"/>
          <w:szCs w:val="22"/>
        </w:rPr>
        <w:t>The Journal of Psychology</w:t>
      </w:r>
      <w:r w:rsidRPr="00E74B3B">
        <w:rPr>
          <w:rFonts w:ascii="Arial" w:hAnsi="Arial" w:cs="Arial"/>
          <w:sz w:val="22"/>
          <w:szCs w:val="22"/>
        </w:rPr>
        <w:t>, 150(3), pp. 371–404.</w:t>
      </w:r>
    </w:p>
    <w:p w14:paraId="507CB2B1" w14:textId="77777777" w:rsidR="00E74B3B" w:rsidRPr="00E74B3B" w:rsidRDefault="00E74B3B" w:rsidP="00E74B3B">
      <w:pPr>
        <w:spacing w:line="360" w:lineRule="auto"/>
        <w:rPr>
          <w:rFonts w:ascii="Arial" w:hAnsi="Arial" w:cs="Arial"/>
          <w:sz w:val="22"/>
          <w:szCs w:val="22"/>
        </w:rPr>
      </w:pPr>
      <w:r w:rsidRPr="00E74B3B">
        <w:rPr>
          <w:rFonts w:ascii="Arial" w:hAnsi="Arial" w:cs="Arial"/>
          <w:sz w:val="22"/>
          <w:szCs w:val="22"/>
        </w:rPr>
        <w:t xml:space="preserve">Rosenstein, L.L. (2000) ‘Emotional intelligence in the workplace’, </w:t>
      </w:r>
      <w:r w:rsidRPr="00E74B3B">
        <w:rPr>
          <w:rFonts w:ascii="Arial" w:hAnsi="Arial" w:cs="Arial"/>
          <w:i/>
          <w:iCs/>
          <w:sz w:val="22"/>
          <w:szCs w:val="22"/>
        </w:rPr>
        <w:t>Library Collections, Acquisitions, and Technical Services</w:t>
      </w:r>
      <w:r w:rsidRPr="00E74B3B">
        <w:rPr>
          <w:rFonts w:ascii="Arial" w:hAnsi="Arial" w:cs="Arial"/>
          <w:sz w:val="22"/>
          <w:szCs w:val="22"/>
        </w:rPr>
        <w:t>, 24(4), pp. 502–503.</w:t>
      </w:r>
    </w:p>
    <w:p w14:paraId="5AE01C59" w14:textId="77777777" w:rsidR="00E74B3B" w:rsidRPr="00E74B3B" w:rsidRDefault="00E74B3B" w:rsidP="00E74B3B">
      <w:pPr>
        <w:spacing w:line="360" w:lineRule="auto"/>
        <w:rPr>
          <w:rFonts w:ascii="Arial" w:hAnsi="Arial" w:cs="Arial"/>
          <w:sz w:val="22"/>
          <w:szCs w:val="22"/>
        </w:rPr>
      </w:pPr>
      <w:r w:rsidRPr="00E74B3B">
        <w:rPr>
          <w:rFonts w:ascii="Arial" w:hAnsi="Arial" w:cs="Arial"/>
          <w:sz w:val="22"/>
          <w:szCs w:val="22"/>
        </w:rPr>
        <w:t xml:space="preserve">Six Seconds (2024) </w:t>
      </w:r>
      <w:r w:rsidRPr="00E74B3B">
        <w:rPr>
          <w:rFonts w:ascii="Arial" w:hAnsi="Arial" w:cs="Arial"/>
          <w:i/>
          <w:iCs/>
          <w:sz w:val="22"/>
          <w:szCs w:val="22"/>
        </w:rPr>
        <w:t>State of the Heart 2024: New Data on Emotional Intelligence, Wellbeing, and the Emotional Recession</w:t>
      </w:r>
      <w:r w:rsidRPr="00E74B3B">
        <w:rPr>
          <w:rFonts w:ascii="Arial" w:hAnsi="Arial" w:cs="Arial"/>
          <w:sz w:val="22"/>
          <w:szCs w:val="22"/>
        </w:rPr>
        <w:t>. California: Six Seconds.</w:t>
      </w:r>
    </w:p>
    <w:p w14:paraId="0FB5D1EA" w14:textId="77777777" w:rsidR="006737D1" w:rsidRPr="00E74B3B" w:rsidRDefault="006737D1" w:rsidP="00E74B3B">
      <w:pPr>
        <w:spacing w:line="360" w:lineRule="auto"/>
        <w:rPr>
          <w:rFonts w:ascii="Arial" w:hAnsi="Arial" w:cs="Arial"/>
          <w:sz w:val="22"/>
          <w:szCs w:val="22"/>
        </w:rPr>
      </w:pPr>
      <w:r w:rsidRPr="00E74B3B">
        <w:rPr>
          <w:rFonts w:ascii="Arial" w:hAnsi="Arial" w:cs="Arial"/>
          <w:sz w:val="22"/>
          <w:szCs w:val="22"/>
        </w:rPr>
        <w:t xml:space="preserve">Bar-On, R. (1997) </w:t>
      </w:r>
      <w:r w:rsidRPr="00E74B3B">
        <w:rPr>
          <w:rFonts w:ascii="Arial" w:hAnsi="Arial" w:cs="Arial"/>
          <w:i/>
          <w:iCs/>
          <w:sz w:val="22"/>
          <w:szCs w:val="22"/>
        </w:rPr>
        <w:t>Bar-On Emotional Quotient Inventory: Technical Manual</w:t>
      </w:r>
      <w:r w:rsidRPr="00E74B3B">
        <w:rPr>
          <w:rFonts w:ascii="Arial" w:hAnsi="Arial" w:cs="Arial"/>
          <w:sz w:val="22"/>
          <w:szCs w:val="22"/>
        </w:rPr>
        <w:t>. Toronto: Multi-Health Systems.</w:t>
      </w:r>
    </w:p>
    <w:p w14:paraId="4D42A652" w14:textId="77777777" w:rsidR="006737D1" w:rsidRPr="00E74B3B" w:rsidRDefault="006737D1" w:rsidP="00E74B3B">
      <w:pPr>
        <w:spacing w:line="360" w:lineRule="auto"/>
        <w:rPr>
          <w:rFonts w:ascii="Arial" w:hAnsi="Arial" w:cs="Arial"/>
          <w:sz w:val="22"/>
          <w:szCs w:val="22"/>
        </w:rPr>
      </w:pPr>
      <w:r w:rsidRPr="00E74B3B">
        <w:rPr>
          <w:rFonts w:ascii="Arial" w:hAnsi="Arial" w:cs="Arial"/>
          <w:sz w:val="22"/>
          <w:szCs w:val="22"/>
        </w:rPr>
        <w:t xml:space="preserve">Dirican, A.H. and Erdil, O. (2020) ‘The influence of ability-based emotional intelligence on discretionary workplace behaviours’, </w:t>
      </w:r>
      <w:r w:rsidRPr="00E74B3B">
        <w:rPr>
          <w:rFonts w:ascii="Arial" w:hAnsi="Arial" w:cs="Arial"/>
          <w:i/>
          <w:iCs/>
          <w:sz w:val="22"/>
          <w:szCs w:val="22"/>
        </w:rPr>
        <w:t>Journal of Human Behavior in the Social Environment</w:t>
      </w:r>
      <w:r w:rsidRPr="00E74B3B">
        <w:rPr>
          <w:rFonts w:ascii="Arial" w:hAnsi="Arial" w:cs="Arial"/>
          <w:sz w:val="22"/>
          <w:szCs w:val="22"/>
        </w:rPr>
        <w:t>, 30(3), pp. 369–382.</w:t>
      </w:r>
    </w:p>
    <w:p w14:paraId="10F366FE" w14:textId="77777777" w:rsidR="006737D1" w:rsidRPr="00E74B3B" w:rsidRDefault="006737D1" w:rsidP="00E74B3B">
      <w:pPr>
        <w:spacing w:line="360" w:lineRule="auto"/>
        <w:rPr>
          <w:rFonts w:ascii="Arial" w:hAnsi="Arial" w:cs="Arial"/>
          <w:sz w:val="22"/>
          <w:szCs w:val="22"/>
        </w:rPr>
      </w:pPr>
      <w:r w:rsidRPr="00E74B3B">
        <w:rPr>
          <w:rFonts w:ascii="Arial" w:hAnsi="Arial" w:cs="Arial"/>
          <w:sz w:val="22"/>
          <w:szCs w:val="22"/>
        </w:rPr>
        <w:t xml:space="preserve">Fernández-Berrocal, P. and Extremera, N. (2006) ‘Emotional intelligence: A theoretical and empirical review of its first 15 years of history’, </w:t>
      </w:r>
      <w:r w:rsidRPr="00E74B3B">
        <w:rPr>
          <w:rFonts w:ascii="Arial" w:hAnsi="Arial" w:cs="Arial"/>
          <w:i/>
          <w:iCs/>
          <w:sz w:val="22"/>
          <w:szCs w:val="22"/>
        </w:rPr>
        <w:t>Psicothema</w:t>
      </w:r>
      <w:r w:rsidRPr="00E74B3B">
        <w:rPr>
          <w:rFonts w:ascii="Arial" w:hAnsi="Arial" w:cs="Arial"/>
          <w:sz w:val="22"/>
          <w:szCs w:val="22"/>
        </w:rPr>
        <w:t>, 18(Suppl.), pp. 7–12.</w:t>
      </w:r>
    </w:p>
    <w:p w14:paraId="64C2D186" w14:textId="77777777" w:rsidR="006737D1" w:rsidRPr="00E74B3B" w:rsidRDefault="006737D1" w:rsidP="00E74B3B">
      <w:pPr>
        <w:spacing w:line="360" w:lineRule="auto"/>
        <w:rPr>
          <w:rFonts w:ascii="Arial" w:hAnsi="Arial" w:cs="Arial"/>
          <w:sz w:val="22"/>
          <w:szCs w:val="22"/>
        </w:rPr>
      </w:pPr>
      <w:r w:rsidRPr="00E74B3B">
        <w:rPr>
          <w:rFonts w:ascii="Arial" w:hAnsi="Arial" w:cs="Arial"/>
          <w:sz w:val="22"/>
          <w:szCs w:val="22"/>
        </w:rPr>
        <w:t xml:space="preserve">Goleman, D. (1995) </w:t>
      </w:r>
      <w:r w:rsidRPr="00E74B3B">
        <w:rPr>
          <w:rFonts w:ascii="Arial" w:hAnsi="Arial" w:cs="Arial"/>
          <w:i/>
          <w:iCs/>
          <w:sz w:val="22"/>
          <w:szCs w:val="22"/>
        </w:rPr>
        <w:t>Emotional Intelligence: Why It Can Matter More Than IQ</w:t>
      </w:r>
      <w:r w:rsidRPr="00E74B3B">
        <w:rPr>
          <w:rFonts w:ascii="Arial" w:hAnsi="Arial" w:cs="Arial"/>
          <w:sz w:val="22"/>
          <w:szCs w:val="22"/>
        </w:rPr>
        <w:t>. New York: Bantam Books.</w:t>
      </w:r>
    </w:p>
    <w:p w14:paraId="20ECE4D0" w14:textId="77777777" w:rsidR="006737D1" w:rsidRPr="00E74B3B" w:rsidRDefault="006737D1" w:rsidP="00E74B3B">
      <w:pPr>
        <w:spacing w:line="360" w:lineRule="auto"/>
        <w:rPr>
          <w:rFonts w:ascii="Arial" w:hAnsi="Arial" w:cs="Arial"/>
          <w:sz w:val="22"/>
          <w:szCs w:val="22"/>
        </w:rPr>
      </w:pPr>
      <w:r w:rsidRPr="00E74B3B">
        <w:rPr>
          <w:rFonts w:ascii="Arial" w:hAnsi="Arial" w:cs="Arial"/>
          <w:sz w:val="22"/>
          <w:szCs w:val="22"/>
        </w:rPr>
        <w:t xml:space="preserve">Goleman, D. (1998) </w:t>
      </w:r>
      <w:r w:rsidRPr="00E74B3B">
        <w:rPr>
          <w:rFonts w:ascii="Arial" w:hAnsi="Arial" w:cs="Arial"/>
          <w:i/>
          <w:iCs/>
          <w:sz w:val="22"/>
          <w:szCs w:val="22"/>
        </w:rPr>
        <w:t>Working with Emotional Intelligence</w:t>
      </w:r>
      <w:r w:rsidRPr="00E74B3B">
        <w:rPr>
          <w:rFonts w:ascii="Arial" w:hAnsi="Arial" w:cs="Arial"/>
          <w:sz w:val="22"/>
          <w:szCs w:val="22"/>
        </w:rPr>
        <w:t>. New York: Bantam Books.</w:t>
      </w:r>
    </w:p>
    <w:p w14:paraId="3B12BEF4" w14:textId="77777777" w:rsidR="006737D1" w:rsidRPr="00E74B3B" w:rsidRDefault="006737D1" w:rsidP="00E74B3B">
      <w:pPr>
        <w:spacing w:line="360" w:lineRule="auto"/>
        <w:rPr>
          <w:rFonts w:ascii="Arial" w:hAnsi="Arial" w:cs="Arial"/>
          <w:sz w:val="22"/>
          <w:szCs w:val="22"/>
        </w:rPr>
      </w:pPr>
      <w:r w:rsidRPr="00E74B3B">
        <w:rPr>
          <w:rFonts w:ascii="Arial" w:hAnsi="Arial" w:cs="Arial"/>
          <w:sz w:val="22"/>
          <w:szCs w:val="22"/>
        </w:rPr>
        <w:t xml:space="preserve">Krishnakumar, S., Hopkins, K., Szmerekovsky, J.G. and Robinson, M.D. (2016) ‘Assessing workplace emotional intelligence: Development and validation of an ability-based measure’, </w:t>
      </w:r>
      <w:r w:rsidRPr="00E74B3B">
        <w:rPr>
          <w:rFonts w:ascii="Arial" w:hAnsi="Arial" w:cs="Arial"/>
          <w:i/>
          <w:iCs/>
          <w:sz w:val="22"/>
          <w:szCs w:val="22"/>
        </w:rPr>
        <w:t>The Journal of Psychology</w:t>
      </w:r>
      <w:r w:rsidRPr="00E74B3B">
        <w:rPr>
          <w:rFonts w:ascii="Arial" w:hAnsi="Arial" w:cs="Arial"/>
          <w:sz w:val="22"/>
          <w:szCs w:val="22"/>
        </w:rPr>
        <w:t>, 150(3), pp. 371–404.</w:t>
      </w:r>
    </w:p>
    <w:p w14:paraId="593463BE" w14:textId="77777777" w:rsidR="006737D1" w:rsidRPr="00E74B3B" w:rsidRDefault="006737D1" w:rsidP="00E74B3B">
      <w:pPr>
        <w:spacing w:line="360" w:lineRule="auto"/>
        <w:rPr>
          <w:rFonts w:ascii="Arial" w:hAnsi="Arial" w:cs="Arial"/>
          <w:sz w:val="22"/>
          <w:szCs w:val="22"/>
        </w:rPr>
      </w:pPr>
      <w:r w:rsidRPr="00E74B3B">
        <w:rPr>
          <w:rFonts w:ascii="Arial" w:hAnsi="Arial" w:cs="Arial"/>
          <w:sz w:val="22"/>
          <w:szCs w:val="22"/>
        </w:rPr>
        <w:t xml:space="preserve">Mayer, J.D. and Salovey, P. (1997) ‘What is emotional intelligence?’, in Salovey, P. and Sluyter, D.J. (eds.) </w:t>
      </w:r>
      <w:r w:rsidRPr="00E74B3B">
        <w:rPr>
          <w:rFonts w:ascii="Arial" w:hAnsi="Arial" w:cs="Arial"/>
          <w:i/>
          <w:iCs/>
          <w:sz w:val="22"/>
          <w:szCs w:val="22"/>
        </w:rPr>
        <w:t>Emotional Development and Emotional Intelligence: Educational Implications</w:t>
      </w:r>
      <w:r w:rsidRPr="00E74B3B">
        <w:rPr>
          <w:rFonts w:ascii="Arial" w:hAnsi="Arial" w:cs="Arial"/>
          <w:sz w:val="22"/>
          <w:szCs w:val="22"/>
        </w:rPr>
        <w:t>. New York: Basic Books, pp. 3–31.</w:t>
      </w:r>
    </w:p>
    <w:p w14:paraId="49E34657" w14:textId="77777777" w:rsidR="006737D1" w:rsidRPr="00E74B3B" w:rsidRDefault="006737D1" w:rsidP="00E74B3B">
      <w:pPr>
        <w:spacing w:line="360" w:lineRule="auto"/>
        <w:rPr>
          <w:rFonts w:ascii="Arial" w:hAnsi="Arial" w:cs="Arial"/>
          <w:sz w:val="22"/>
          <w:szCs w:val="22"/>
        </w:rPr>
      </w:pPr>
      <w:r w:rsidRPr="00E74B3B">
        <w:rPr>
          <w:rFonts w:ascii="Arial" w:hAnsi="Arial" w:cs="Arial"/>
          <w:sz w:val="22"/>
          <w:szCs w:val="22"/>
        </w:rPr>
        <w:t xml:space="preserve">Salovey, P. and Mayer, J.D. (1990) ‘Emotional intelligence’, </w:t>
      </w:r>
      <w:r w:rsidRPr="00E74B3B">
        <w:rPr>
          <w:rFonts w:ascii="Arial" w:hAnsi="Arial" w:cs="Arial"/>
          <w:i/>
          <w:iCs/>
          <w:sz w:val="22"/>
          <w:szCs w:val="22"/>
        </w:rPr>
        <w:t>Imagination, Cognition and Personality</w:t>
      </w:r>
      <w:r w:rsidRPr="00E74B3B">
        <w:rPr>
          <w:rFonts w:ascii="Arial" w:hAnsi="Arial" w:cs="Arial"/>
          <w:sz w:val="22"/>
          <w:szCs w:val="22"/>
        </w:rPr>
        <w:t>, 9(3), pp. 185–211.</w:t>
      </w:r>
    </w:p>
    <w:p w14:paraId="7BFD9845" w14:textId="77777777" w:rsidR="004E54D0" w:rsidRPr="00E74B3B" w:rsidRDefault="004E54D0" w:rsidP="00E74B3B">
      <w:pPr>
        <w:spacing w:line="360" w:lineRule="auto"/>
        <w:rPr>
          <w:rFonts w:ascii="Arial" w:hAnsi="Arial" w:cs="Arial"/>
          <w:sz w:val="22"/>
          <w:szCs w:val="22"/>
        </w:rPr>
      </w:pPr>
    </w:p>
    <w:sectPr w:rsidR="004E54D0" w:rsidRPr="00E74B3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B2376" w14:textId="77777777" w:rsidR="007D04E7" w:rsidRDefault="007D04E7" w:rsidP="00644A02">
      <w:pPr>
        <w:spacing w:after="0" w:line="240" w:lineRule="auto"/>
      </w:pPr>
      <w:r>
        <w:separator/>
      </w:r>
    </w:p>
  </w:endnote>
  <w:endnote w:type="continuationSeparator" w:id="0">
    <w:p w14:paraId="242DCF50" w14:textId="77777777" w:rsidR="007D04E7" w:rsidRDefault="007D04E7" w:rsidP="00644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40257"/>
      <w:docPartObj>
        <w:docPartGallery w:val="Page Numbers (Bottom of Page)"/>
        <w:docPartUnique/>
      </w:docPartObj>
    </w:sdtPr>
    <w:sdtEndPr>
      <w:rPr>
        <w:color w:val="7F7F7F" w:themeColor="background1" w:themeShade="7F"/>
        <w:spacing w:val="60"/>
      </w:rPr>
    </w:sdtEndPr>
    <w:sdtContent>
      <w:p w14:paraId="4F8946C8" w14:textId="6A0FC49B" w:rsidR="00644A02" w:rsidRDefault="00644A0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A879180" w14:textId="77777777" w:rsidR="00644A02" w:rsidRDefault="00644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87B2C" w14:textId="77777777" w:rsidR="007D04E7" w:rsidRDefault="007D04E7" w:rsidP="00644A02">
      <w:pPr>
        <w:spacing w:after="0" w:line="240" w:lineRule="auto"/>
      </w:pPr>
      <w:r>
        <w:separator/>
      </w:r>
    </w:p>
  </w:footnote>
  <w:footnote w:type="continuationSeparator" w:id="0">
    <w:p w14:paraId="69ADB30A" w14:textId="77777777" w:rsidR="007D04E7" w:rsidRDefault="007D04E7" w:rsidP="00644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B7CCA" w14:textId="2A4B7792" w:rsidR="006A74F8" w:rsidRDefault="006A74F8" w:rsidP="006A74F8">
    <w:pPr>
      <w:pStyle w:val="Header"/>
      <w:jc w:val="right"/>
    </w:pPr>
    <w:r>
      <w:rPr>
        <w:noProof/>
      </w:rPr>
      <w:drawing>
        <wp:inline distT="0" distB="0" distL="0" distR="0" wp14:anchorId="71DEE494" wp14:editId="3AD2B3F9">
          <wp:extent cx="352425" cy="352425"/>
          <wp:effectExtent l="0" t="0" r="9525" b="9525"/>
          <wp:docPr id="492716632" name="Picture 1" descr="UWTSD Birmingham |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UWTSD Birmingham | Birmingh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77D99"/>
    <w:multiLevelType w:val="multilevel"/>
    <w:tmpl w:val="4AE0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022D7"/>
    <w:multiLevelType w:val="multilevel"/>
    <w:tmpl w:val="752C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55A63"/>
    <w:multiLevelType w:val="multilevel"/>
    <w:tmpl w:val="C4B4B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5139AE"/>
    <w:multiLevelType w:val="multilevel"/>
    <w:tmpl w:val="EE46B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A24984"/>
    <w:multiLevelType w:val="multilevel"/>
    <w:tmpl w:val="FEEC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E7ED2"/>
    <w:multiLevelType w:val="multilevel"/>
    <w:tmpl w:val="08D8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0301FA"/>
    <w:multiLevelType w:val="multilevel"/>
    <w:tmpl w:val="1CE2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E77932"/>
    <w:multiLevelType w:val="multilevel"/>
    <w:tmpl w:val="9054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007F55"/>
    <w:multiLevelType w:val="multilevel"/>
    <w:tmpl w:val="8D466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646C7D"/>
    <w:multiLevelType w:val="multilevel"/>
    <w:tmpl w:val="8F60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3434801">
    <w:abstractNumId w:val="5"/>
  </w:num>
  <w:num w:numId="2" w16cid:durableId="974985719">
    <w:abstractNumId w:val="6"/>
  </w:num>
  <w:num w:numId="3" w16cid:durableId="1213928726">
    <w:abstractNumId w:val="1"/>
  </w:num>
  <w:num w:numId="4" w16cid:durableId="326710765">
    <w:abstractNumId w:val="2"/>
  </w:num>
  <w:num w:numId="5" w16cid:durableId="933978557">
    <w:abstractNumId w:val="8"/>
  </w:num>
  <w:num w:numId="6" w16cid:durableId="1299988890">
    <w:abstractNumId w:val="3"/>
  </w:num>
  <w:num w:numId="7" w16cid:durableId="532381529">
    <w:abstractNumId w:val="7"/>
  </w:num>
  <w:num w:numId="8" w16cid:durableId="1365211271">
    <w:abstractNumId w:val="9"/>
  </w:num>
  <w:num w:numId="9" w16cid:durableId="1642080912">
    <w:abstractNumId w:val="4"/>
  </w:num>
  <w:num w:numId="10" w16cid:durableId="796722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D0"/>
    <w:rsid w:val="00092049"/>
    <w:rsid w:val="003712CA"/>
    <w:rsid w:val="00465C4D"/>
    <w:rsid w:val="004A6B50"/>
    <w:rsid w:val="004C365F"/>
    <w:rsid w:val="004E54D0"/>
    <w:rsid w:val="005A15C1"/>
    <w:rsid w:val="005D56B6"/>
    <w:rsid w:val="00644A02"/>
    <w:rsid w:val="00652772"/>
    <w:rsid w:val="006737D1"/>
    <w:rsid w:val="00692385"/>
    <w:rsid w:val="006A74F8"/>
    <w:rsid w:val="007576EB"/>
    <w:rsid w:val="00783A0B"/>
    <w:rsid w:val="007D04E7"/>
    <w:rsid w:val="00823707"/>
    <w:rsid w:val="008B497B"/>
    <w:rsid w:val="00A060DD"/>
    <w:rsid w:val="00B37C66"/>
    <w:rsid w:val="00CC5018"/>
    <w:rsid w:val="00D61549"/>
    <w:rsid w:val="00D64604"/>
    <w:rsid w:val="00E74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8BD13"/>
  <w15:chartTrackingRefBased/>
  <w15:docId w15:val="{EBF95EE6-0205-46A5-968D-916E35A32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4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54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54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4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4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4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54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54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4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4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4D0"/>
    <w:rPr>
      <w:rFonts w:eastAsiaTheme="majorEastAsia" w:cstheme="majorBidi"/>
      <w:color w:val="272727" w:themeColor="text1" w:themeTint="D8"/>
    </w:rPr>
  </w:style>
  <w:style w:type="paragraph" w:styleId="Title">
    <w:name w:val="Title"/>
    <w:basedOn w:val="Normal"/>
    <w:next w:val="Normal"/>
    <w:link w:val="TitleChar"/>
    <w:uiPriority w:val="10"/>
    <w:qFormat/>
    <w:rsid w:val="004E5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4D0"/>
    <w:pPr>
      <w:spacing w:before="160"/>
      <w:jc w:val="center"/>
    </w:pPr>
    <w:rPr>
      <w:i/>
      <w:iCs/>
      <w:color w:val="404040" w:themeColor="text1" w:themeTint="BF"/>
    </w:rPr>
  </w:style>
  <w:style w:type="character" w:customStyle="1" w:styleId="QuoteChar">
    <w:name w:val="Quote Char"/>
    <w:basedOn w:val="DefaultParagraphFont"/>
    <w:link w:val="Quote"/>
    <w:uiPriority w:val="29"/>
    <w:rsid w:val="004E54D0"/>
    <w:rPr>
      <w:i/>
      <w:iCs/>
      <w:color w:val="404040" w:themeColor="text1" w:themeTint="BF"/>
    </w:rPr>
  </w:style>
  <w:style w:type="paragraph" w:styleId="ListParagraph">
    <w:name w:val="List Paragraph"/>
    <w:basedOn w:val="Normal"/>
    <w:uiPriority w:val="34"/>
    <w:qFormat/>
    <w:rsid w:val="004E54D0"/>
    <w:pPr>
      <w:ind w:left="720"/>
      <w:contextualSpacing/>
    </w:pPr>
  </w:style>
  <w:style w:type="character" w:styleId="IntenseEmphasis">
    <w:name w:val="Intense Emphasis"/>
    <w:basedOn w:val="DefaultParagraphFont"/>
    <w:uiPriority w:val="21"/>
    <w:qFormat/>
    <w:rsid w:val="004E54D0"/>
    <w:rPr>
      <w:i/>
      <w:iCs/>
      <w:color w:val="0F4761" w:themeColor="accent1" w:themeShade="BF"/>
    </w:rPr>
  </w:style>
  <w:style w:type="paragraph" w:styleId="IntenseQuote">
    <w:name w:val="Intense Quote"/>
    <w:basedOn w:val="Normal"/>
    <w:next w:val="Normal"/>
    <w:link w:val="IntenseQuoteChar"/>
    <w:uiPriority w:val="30"/>
    <w:qFormat/>
    <w:rsid w:val="004E54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4D0"/>
    <w:rPr>
      <w:i/>
      <w:iCs/>
      <w:color w:val="0F4761" w:themeColor="accent1" w:themeShade="BF"/>
    </w:rPr>
  </w:style>
  <w:style w:type="character" w:styleId="IntenseReference">
    <w:name w:val="Intense Reference"/>
    <w:basedOn w:val="DefaultParagraphFont"/>
    <w:uiPriority w:val="32"/>
    <w:qFormat/>
    <w:rsid w:val="004E54D0"/>
    <w:rPr>
      <w:b/>
      <w:bCs/>
      <w:smallCaps/>
      <w:color w:val="0F4761" w:themeColor="accent1" w:themeShade="BF"/>
      <w:spacing w:val="5"/>
    </w:rPr>
  </w:style>
  <w:style w:type="paragraph" w:styleId="Header">
    <w:name w:val="header"/>
    <w:basedOn w:val="Normal"/>
    <w:link w:val="HeaderChar"/>
    <w:uiPriority w:val="99"/>
    <w:unhideWhenUsed/>
    <w:rsid w:val="00644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A02"/>
  </w:style>
  <w:style w:type="paragraph" w:styleId="Footer">
    <w:name w:val="footer"/>
    <w:basedOn w:val="Normal"/>
    <w:link w:val="FooterChar"/>
    <w:uiPriority w:val="99"/>
    <w:unhideWhenUsed/>
    <w:rsid w:val="00644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TotalTime>
  <Pages>12</Pages>
  <Words>4651</Words>
  <Characters>26512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Abs Bashar</dc:creator>
  <cp:keywords/>
  <dc:description/>
  <cp:lastModifiedBy>Abs Bashar</cp:lastModifiedBy>
  <cp:revision>19</cp:revision>
  <dcterms:created xsi:type="dcterms:W3CDTF">2026-07-18T08:28:00Z</dcterms:created>
  <dcterms:modified xsi:type="dcterms:W3CDTF">2026-07-18T10:03:00Z</dcterms:modified>
</cp:coreProperties>
</file>