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88724" w14:textId="4DA952C7" w:rsidR="00A07F87" w:rsidRDefault="00A07F87" w:rsidP="00A504D2">
      <w:pPr>
        <w:spacing w:line="360" w:lineRule="auto"/>
        <w:rPr>
          <w:rFonts w:ascii="Arial" w:hAnsi="Arial" w:cs="Arial"/>
          <w:b/>
          <w:bCs/>
          <w:sz w:val="26"/>
          <w:szCs w:val="26"/>
        </w:rPr>
      </w:pPr>
      <w:r>
        <w:rPr>
          <w:noProof/>
        </w:rPr>
        <w:drawing>
          <wp:inline distT="0" distB="0" distL="0" distR="0" wp14:anchorId="73D98D35" wp14:editId="7C0B2030">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4"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206C595" w14:textId="77777777" w:rsidR="00A07F87" w:rsidRDefault="00A07F87" w:rsidP="00A504D2">
      <w:pPr>
        <w:spacing w:line="360" w:lineRule="auto"/>
        <w:rPr>
          <w:rFonts w:ascii="Arial" w:hAnsi="Arial" w:cs="Arial"/>
          <w:b/>
          <w:bCs/>
          <w:sz w:val="26"/>
          <w:szCs w:val="26"/>
        </w:rPr>
      </w:pPr>
    </w:p>
    <w:p w14:paraId="4B2F7504" w14:textId="63FE38BD" w:rsidR="00A07F87" w:rsidRPr="00A07F87" w:rsidRDefault="00A07F87" w:rsidP="00A07F87">
      <w:pPr>
        <w:spacing w:line="360" w:lineRule="auto"/>
        <w:rPr>
          <w:rFonts w:ascii="Arial" w:hAnsi="Arial" w:cs="Arial"/>
          <w:b/>
          <w:bCs/>
          <w:sz w:val="26"/>
          <w:szCs w:val="26"/>
          <w:lang w:val="nl-NL"/>
        </w:rPr>
      </w:pPr>
      <w:r w:rsidRPr="00A07F87">
        <w:rPr>
          <w:rFonts w:ascii="Arial" w:hAnsi="Arial" w:cs="Arial"/>
          <w:b/>
          <w:bCs/>
          <w:sz w:val="26"/>
          <w:szCs w:val="26"/>
          <w:lang w:val="nl-NL"/>
        </w:rPr>
        <w:t>Student name:</w:t>
      </w:r>
      <w:r w:rsidR="001E0812">
        <w:rPr>
          <w:rFonts w:ascii="Arial" w:hAnsi="Arial" w:cs="Arial"/>
          <w:b/>
          <w:bCs/>
          <w:sz w:val="26"/>
          <w:szCs w:val="26"/>
          <w:lang w:val="nl-NL"/>
        </w:rPr>
        <w:t>Margarida Ferreira</w:t>
      </w:r>
    </w:p>
    <w:p w14:paraId="76A8F3EA" w14:textId="1C704668" w:rsidR="00A07F87" w:rsidRPr="00A07F87" w:rsidRDefault="00A07F87" w:rsidP="00A07F87">
      <w:pPr>
        <w:spacing w:line="360" w:lineRule="auto"/>
        <w:rPr>
          <w:rFonts w:ascii="Arial" w:hAnsi="Arial" w:cs="Arial"/>
          <w:b/>
          <w:bCs/>
          <w:sz w:val="26"/>
          <w:szCs w:val="26"/>
          <w:lang w:val="nl-NL"/>
        </w:rPr>
      </w:pPr>
      <w:r w:rsidRPr="00A07F87">
        <w:rPr>
          <w:rFonts w:ascii="Arial" w:hAnsi="Arial" w:cs="Arial"/>
          <w:b/>
          <w:bCs/>
          <w:sz w:val="26"/>
          <w:szCs w:val="26"/>
          <w:lang w:val="nl-NL"/>
        </w:rPr>
        <w:t>Student ID:</w:t>
      </w:r>
      <w:r w:rsidR="001E0812">
        <w:rPr>
          <w:rFonts w:ascii="Arial" w:hAnsi="Arial" w:cs="Arial"/>
          <w:b/>
          <w:bCs/>
          <w:sz w:val="26"/>
          <w:szCs w:val="26"/>
          <w:lang w:val="nl-NL"/>
        </w:rPr>
        <w:t>2415797</w:t>
      </w:r>
    </w:p>
    <w:p w14:paraId="4AA25390" w14:textId="77777777" w:rsidR="00A07F87" w:rsidRPr="00A07F87" w:rsidRDefault="00A07F87" w:rsidP="00A07F87">
      <w:pPr>
        <w:spacing w:line="360" w:lineRule="auto"/>
        <w:rPr>
          <w:rFonts w:ascii="Arial" w:hAnsi="Arial" w:cs="Arial"/>
          <w:b/>
          <w:bCs/>
          <w:sz w:val="26"/>
          <w:szCs w:val="26"/>
          <w:lang w:val="nl-NL"/>
        </w:rPr>
      </w:pPr>
    </w:p>
    <w:p w14:paraId="506CA962" w14:textId="2DA66030" w:rsidR="00A07F87" w:rsidRPr="00A07F87" w:rsidRDefault="00A07F87" w:rsidP="00A07F87">
      <w:pPr>
        <w:spacing w:line="360" w:lineRule="auto"/>
        <w:rPr>
          <w:rFonts w:ascii="Arial" w:hAnsi="Arial" w:cs="Arial"/>
          <w:b/>
          <w:bCs/>
          <w:sz w:val="26"/>
          <w:szCs w:val="26"/>
          <w:lang w:val="nl-NL"/>
        </w:rPr>
      </w:pPr>
      <w:r w:rsidRPr="00A07F87">
        <w:rPr>
          <w:rFonts w:ascii="Arial" w:hAnsi="Arial" w:cs="Arial"/>
          <w:b/>
          <w:bCs/>
          <w:sz w:val="26"/>
          <w:szCs w:val="26"/>
          <w:lang w:val="nl-NL"/>
        </w:rPr>
        <w:t xml:space="preserve">Module name: </w:t>
      </w:r>
      <w:r w:rsidR="001E0812">
        <w:rPr>
          <w:rFonts w:ascii="Arial" w:hAnsi="Arial" w:cs="Arial"/>
          <w:b/>
          <w:bCs/>
          <w:sz w:val="26"/>
          <w:szCs w:val="26"/>
          <w:lang w:val="nl-NL"/>
        </w:rPr>
        <w:t>Protecting and Supporting Families in Health and Care</w:t>
      </w:r>
    </w:p>
    <w:p w14:paraId="73AAE7EB" w14:textId="2251911F" w:rsidR="00A07F87" w:rsidRPr="00A07F87" w:rsidRDefault="00A07F87" w:rsidP="00A07F87">
      <w:pPr>
        <w:spacing w:line="360" w:lineRule="auto"/>
        <w:rPr>
          <w:rFonts w:ascii="Arial" w:hAnsi="Arial" w:cs="Arial"/>
          <w:b/>
          <w:bCs/>
          <w:sz w:val="26"/>
          <w:szCs w:val="26"/>
        </w:rPr>
      </w:pPr>
      <w:r w:rsidRPr="00A07F87">
        <w:rPr>
          <w:rFonts w:ascii="Arial" w:hAnsi="Arial" w:cs="Arial"/>
          <w:b/>
          <w:bCs/>
          <w:sz w:val="26"/>
          <w:szCs w:val="26"/>
        </w:rPr>
        <w:t>Module code:</w:t>
      </w:r>
      <w:r w:rsidR="001E0812">
        <w:rPr>
          <w:rFonts w:ascii="Arial" w:hAnsi="Arial" w:cs="Arial"/>
          <w:b/>
          <w:bCs/>
          <w:sz w:val="26"/>
          <w:szCs w:val="26"/>
        </w:rPr>
        <w:t>BMHP5021</w:t>
      </w:r>
    </w:p>
    <w:p w14:paraId="7E9021F8" w14:textId="548020AB" w:rsidR="00A07F87" w:rsidRPr="00A07F87" w:rsidRDefault="00A07F87" w:rsidP="00A07F87">
      <w:pPr>
        <w:spacing w:line="360" w:lineRule="auto"/>
        <w:rPr>
          <w:rFonts w:ascii="Arial" w:hAnsi="Arial" w:cs="Arial"/>
          <w:b/>
          <w:bCs/>
          <w:sz w:val="26"/>
          <w:szCs w:val="26"/>
        </w:rPr>
      </w:pPr>
      <w:r w:rsidRPr="00A07F87">
        <w:rPr>
          <w:rFonts w:ascii="Arial" w:hAnsi="Arial" w:cs="Arial"/>
          <w:b/>
          <w:bCs/>
          <w:sz w:val="26"/>
          <w:szCs w:val="26"/>
        </w:rPr>
        <w:t>Lecturer name:</w:t>
      </w:r>
      <w:r w:rsidR="000F1299">
        <w:rPr>
          <w:rFonts w:ascii="Arial" w:hAnsi="Arial" w:cs="Arial"/>
          <w:b/>
          <w:bCs/>
          <w:sz w:val="26"/>
          <w:szCs w:val="26"/>
        </w:rPr>
        <w:t>Shaila Hussain</w:t>
      </w:r>
    </w:p>
    <w:p w14:paraId="7A74342E" w14:textId="77777777" w:rsidR="00A07F87" w:rsidRPr="00A07F87" w:rsidRDefault="00A07F87" w:rsidP="00A07F87">
      <w:pPr>
        <w:spacing w:line="360" w:lineRule="auto"/>
        <w:rPr>
          <w:rFonts w:ascii="Arial" w:hAnsi="Arial" w:cs="Arial"/>
          <w:b/>
          <w:bCs/>
          <w:sz w:val="26"/>
          <w:szCs w:val="26"/>
        </w:rPr>
      </w:pPr>
    </w:p>
    <w:p w14:paraId="5702CA1C" w14:textId="77777777" w:rsidR="00A07F87" w:rsidRPr="00A07F87" w:rsidRDefault="00A07F87" w:rsidP="00A07F87">
      <w:pPr>
        <w:spacing w:line="360" w:lineRule="auto"/>
        <w:rPr>
          <w:rFonts w:ascii="Arial" w:hAnsi="Arial" w:cs="Arial"/>
          <w:b/>
          <w:bCs/>
          <w:sz w:val="26"/>
          <w:szCs w:val="26"/>
        </w:rPr>
      </w:pPr>
      <w:r w:rsidRPr="00A07F87">
        <w:rPr>
          <w:rFonts w:ascii="Arial" w:hAnsi="Arial" w:cs="Arial"/>
          <w:b/>
          <w:bCs/>
          <w:sz w:val="26"/>
          <w:szCs w:val="26"/>
        </w:rPr>
        <w:t>Assessment (REPORT): An examination and analysis of how the ‘Early Help’ system is signposted to UK families by their local authority website.</w:t>
      </w:r>
    </w:p>
    <w:p w14:paraId="211088B0" w14:textId="77777777" w:rsidR="00A07F87" w:rsidRPr="00A07F87" w:rsidRDefault="00A07F87" w:rsidP="00A07F87">
      <w:pPr>
        <w:spacing w:line="360" w:lineRule="auto"/>
        <w:rPr>
          <w:rFonts w:ascii="Arial" w:hAnsi="Arial" w:cs="Arial"/>
          <w:b/>
          <w:bCs/>
          <w:sz w:val="26"/>
          <w:szCs w:val="26"/>
        </w:rPr>
      </w:pPr>
    </w:p>
    <w:p w14:paraId="3389EB85" w14:textId="77777777" w:rsidR="00A07F87" w:rsidRDefault="00A07F87" w:rsidP="00A504D2">
      <w:pPr>
        <w:spacing w:line="360" w:lineRule="auto"/>
        <w:rPr>
          <w:rFonts w:ascii="Arial" w:hAnsi="Arial" w:cs="Arial"/>
          <w:b/>
          <w:bCs/>
          <w:sz w:val="26"/>
          <w:szCs w:val="26"/>
        </w:rPr>
      </w:pPr>
    </w:p>
    <w:p w14:paraId="72AD789D" w14:textId="77777777" w:rsidR="00A07F87" w:rsidRDefault="00A07F87" w:rsidP="00A504D2">
      <w:pPr>
        <w:spacing w:line="360" w:lineRule="auto"/>
        <w:rPr>
          <w:rFonts w:ascii="Arial" w:hAnsi="Arial" w:cs="Arial"/>
          <w:b/>
          <w:bCs/>
          <w:sz w:val="26"/>
          <w:szCs w:val="26"/>
        </w:rPr>
      </w:pPr>
    </w:p>
    <w:p w14:paraId="06448384" w14:textId="77777777" w:rsidR="00A07F87" w:rsidRDefault="00A07F87" w:rsidP="00A504D2">
      <w:pPr>
        <w:spacing w:line="360" w:lineRule="auto"/>
        <w:rPr>
          <w:rFonts w:ascii="Arial" w:hAnsi="Arial" w:cs="Arial"/>
          <w:b/>
          <w:bCs/>
          <w:sz w:val="26"/>
          <w:szCs w:val="26"/>
        </w:rPr>
      </w:pPr>
    </w:p>
    <w:p w14:paraId="058E390F" w14:textId="77777777" w:rsidR="00A07F87" w:rsidRDefault="00A07F87" w:rsidP="00A504D2">
      <w:pPr>
        <w:spacing w:line="360" w:lineRule="auto"/>
        <w:rPr>
          <w:rFonts w:ascii="Arial" w:hAnsi="Arial" w:cs="Arial"/>
          <w:b/>
          <w:bCs/>
          <w:sz w:val="26"/>
          <w:szCs w:val="26"/>
        </w:rPr>
      </w:pPr>
    </w:p>
    <w:p w14:paraId="0C441586" w14:textId="77777777" w:rsidR="00A07F87" w:rsidRDefault="00A07F87" w:rsidP="00A504D2">
      <w:pPr>
        <w:spacing w:line="360" w:lineRule="auto"/>
        <w:rPr>
          <w:rFonts w:ascii="Arial" w:hAnsi="Arial" w:cs="Arial"/>
          <w:b/>
          <w:bCs/>
          <w:sz w:val="26"/>
          <w:szCs w:val="26"/>
        </w:rPr>
      </w:pPr>
    </w:p>
    <w:p w14:paraId="6192ECDE" w14:textId="77777777" w:rsidR="00A07F87" w:rsidRDefault="00A07F87" w:rsidP="00A504D2">
      <w:pPr>
        <w:spacing w:line="360" w:lineRule="auto"/>
        <w:rPr>
          <w:rFonts w:ascii="Arial" w:hAnsi="Arial" w:cs="Arial"/>
          <w:b/>
          <w:bCs/>
          <w:sz w:val="26"/>
          <w:szCs w:val="26"/>
        </w:rPr>
      </w:pPr>
    </w:p>
    <w:p w14:paraId="7FA33446" w14:textId="77777777" w:rsidR="00A07F87" w:rsidRDefault="00A07F87" w:rsidP="00A504D2">
      <w:pPr>
        <w:spacing w:line="360" w:lineRule="auto"/>
        <w:rPr>
          <w:rFonts w:ascii="Arial" w:hAnsi="Arial" w:cs="Arial"/>
          <w:b/>
          <w:bCs/>
          <w:sz w:val="26"/>
          <w:szCs w:val="26"/>
        </w:rPr>
      </w:pPr>
    </w:p>
    <w:p w14:paraId="6C7EDB28" w14:textId="77777777" w:rsidR="00A07F87" w:rsidRDefault="00A07F87" w:rsidP="00A504D2">
      <w:pPr>
        <w:spacing w:line="360" w:lineRule="auto"/>
        <w:rPr>
          <w:rFonts w:ascii="Arial" w:hAnsi="Arial" w:cs="Arial"/>
          <w:b/>
          <w:bCs/>
          <w:sz w:val="26"/>
          <w:szCs w:val="26"/>
        </w:rPr>
      </w:pPr>
    </w:p>
    <w:p w14:paraId="7AB988E8" w14:textId="77777777" w:rsidR="00A07F87" w:rsidRDefault="00A07F87" w:rsidP="00A504D2">
      <w:pPr>
        <w:spacing w:line="360" w:lineRule="auto"/>
        <w:rPr>
          <w:rFonts w:ascii="Arial" w:hAnsi="Arial" w:cs="Arial"/>
          <w:b/>
          <w:bCs/>
          <w:sz w:val="26"/>
          <w:szCs w:val="26"/>
        </w:rPr>
      </w:pPr>
    </w:p>
    <w:p w14:paraId="4CEE2214" w14:textId="59AA70E3" w:rsidR="00A504D2" w:rsidRPr="00670A9D" w:rsidRDefault="00A504D2" w:rsidP="00A504D2">
      <w:pPr>
        <w:spacing w:line="360" w:lineRule="auto"/>
        <w:rPr>
          <w:rFonts w:ascii="Arial" w:hAnsi="Arial" w:cs="Arial"/>
          <w:b/>
          <w:bCs/>
          <w:sz w:val="26"/>
          <w:szCs w:val="26"/>
        </w:rPr>
      </w:pPr>
      <w:r w:rsidRPr="00670A9D">
        <w:rPr>
          <w:rFonts w:ascii="Arial" w:hAnsi="Arial" w:cs="Arial"/>
          <w:b/>
          <w:bCs/>
          <w:sz w:val="26"/>
          <w:szCs w:val="26"/>
        </w:rPr>
        <w:lastRenderedPageBreak/>
        <w:t>1. Introduction</w:t>
      </w:r>
    </w:p>
    <w:p w14:paraId="669E2DDC"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Early Help refers to the provision of support to children, young people and families at the earliest possible stage of need, with the aim of preventing problems from escalating into more serious concerns that require statutory intervention. It is a key element of safeguarding practice in the United Kingdom, promoting early identification of needs and timely, coordinated intervention. According to the Department for Education (DfE, 2022), Early Help plays a crucial role in improving outcomes for families by addressing issues before they become entrenched.</w:t>
      </w:r>
    </w:p>
    <w:p w14:paraId="5D522D88" w14:textId="13F9F699"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 xml:space="preserve">The Early Help system operates within the wider safeguarding framework, working alongside statutory services such as social care, health services, education and the police. The statutory guidance </w:t>
      </w:r>
      <w:r w:rsidRPr="00670A9D">
        <w:rPr>
          <w:rFonts w:ascii="Arial" w:hAnsi="Arial" w:cs="Arial"/>
          <w:i/>
          <w:iCs/>
          <w:sz w:val="26"/>
          <w:szCs w:val="26"/>
        </w:rPr>
        <w:t>Working Together to Safeguard Children</w:t>
      </w:r>
      <w:r w:rsidRPr="00670A9D">
        <w:rPr>
          <w:rFonts w:ascii="Arial" w:hAnsi="Arial" w:cs="Arial"/>
          <w:sz w:val="26"/>
          <w:szCs w:val="26"/>
        </w:rPr>
        <w:t xml:space="preserve"> (DfE, 2023) highlights that safeguarding is most effective when agencies work collaboratively, sharing information and responsibilities to protect children and support families. This emphasises the importance of both early intervention and multi-agency working in promoting child welfare</w:t>
      </w:r>
      <w:r w:rsidR="00333BE1" w:rsidRPr="00670A9D">
        <w:rPr>
          <w:rFonts w:ascii="Arial" w:hAnsi="Arial" w:cs="Arial"/>
          <w:sz w:val="26"/>
          <w:szCs w:val="26"/>
        </w:rPr>
        <w:t xml:space="preserve"> (DfE, 2023)</w:t>
      </w:r>
      <w:r w:rsidRPr="00670A9D">
        <w:rPr>
          <w:rFonts w:ascii="Arial" w:hAnsi="Arial" w:cs="Arial"/>
          <w:sz w:val="26"/>
          <w:szCs w:val="26"/>
        </w:rPr>
        <w:t>.</w:t>
      </w:r>
    </w:p>
    <w:p w14:paraId="34A9A7BA"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This report examines how Early Help is communicated to families through three local authority websites: Leeds City Council, Norfolk County Council and Tower Hamlets Council. It will explore the principles of the Early Help system and the role of multi-agency working, evaluate how each local authority presents information, and provide a comparative analysis of their strengths and weaknesses. The report will conclude by identifying the most effective approach and offering recommendations for improvement.</w:t>
      </w:r>
    </w:p>
    <w:p w14:paraId="36F100E9" w14:textId="77777777" w:rsidR="00A504D2" w:rsidRPr="00670A9D" w:rsidRDefault="00A504D2" w:rsidP="00A504D2">
      <w:pPr>
        <w:spacing w:line="360" w:lineRule="auto"/>
        <w:rPr>
          <w:rFonts w:ascii="Arial" w:hAnsi="Arial" w:cs="Arial"/>
          <w:b/>
          <w:bCs/>
          <w:sz w:val="26"/>
          <w:szCs w:val="26"/>
        </w:rPr>
      </w:pPr>
      <w:r w:rsidRPr="00670A9D">
        <w:rPr>
          <w:rFonts w:ascii="Arial" w:hAnsi="Arial" w:cs="Arial"/>
          <w:b/>
          <w:bCs/>
          <w:sz w:val="26"/>
          <w:szCs w:val="26"/>
        </w:rPr>
        <w:t>2. Main Body</w:t>
      </w:r>
    </w:p>
    <w:p w14:paraId="24294AF1" w14:textId="24D0BD59"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 xml:space="preserve">The Early Help system is designed to provide support as soon as difficulties are identified, rather than waiting for problems to escalate into safeguarding concerns. It reflects a preventative approach to social care, focusing on early intervention to reduce risks and improve long-term outcomes for children and </w:t>
      </w:r>
      <w:r w:rsidRPr="00670A9D">
        <w:rPr>
          <w:rFonts w:ascii="Arial" w:hAnsi="Arial" w:cs="Arial"/>
          <w:sz w:val="26"/>
          <w:szCs w:val="26"/>
        </w:rPr>
        <w:lastRenderedPageBreak/>
        <w:t>families (DfE, 2022). This approach is particularly important in addressing complex issues such as poverty, mental health difficulties, domestic abuse and educational challenges</w:t>
      </w:r>
      <w:r w:rsidR="00D5049D" w:rsidRPr="00670A9D">
        <w:rPr>
          <w:rFonts w:ascii="Arial" w:hAnsi="Arial" w:cs="Arial"/>
          <w:sz w:val="26"/>
          <w:szCs w:val="26"/>
        </w:rPr>
        <w:t xml:space="preserve"> (Parton, 2014)</w:t>
      </w:r>
      <w:r w:rsidRPr="00670A9D">
        <w:rPr>
          <w:rFonts w:ascii="Arial" w:hAnsi="Arial" w:cs="Arial"/>
          <w:sz w:val="26"/>
          <w:szCs w:val="26"/>
        </w:rPr>
        <w:t>.</w:t>
      </w:r>
    </w:p>
    <w:p w14:paraId="5F2CD4E4"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Early Help services may include parenting support programmes, mental health services, youth support, educational assistance and family intervention services. A key principle of the system is that support is voluntary and delivered with the consent of families, which helps to build trust and encourage engagement. The Early Help Assessment (EHA) is commonly used as a tool to identify needs and coordinate support across different services, ensuring a holistic understanding of the family’s situation.</w:t>
      </w:r>
    </w:p>
    <w:p w14:paraId="55F02AC2" w14:textId="520CED21" w:rsidR="00A504D2" w:rsidRPr="00670A9D" w:rsidRDefault="00670A9D" w:rsidP="00A504D2">
      <w:pPr>
        <w:spacing w:line="360" w:lineRule="auto"/>
        <w:rPr>
          <w:rFonts w:ascii="Arial" w:hAnsi="Arial" w:cs="Arial"/>
          <w:sz w:val="26"/>
          <w:szCs w:val="26"/>
        </w:rPr>
      </w:pPr>
      <w:r w:rsidRPr="00670A9D">
        <w:rPr>
          <w:rFonts w:ascii="Arial" w:hAnsi="Arial" w:cs="Arial"/>
          <w:sz w:val="26"/>
          <w:szCs w:val="26"/>
        </w:rPr>
        <w:t>A significant feature of Early Help is its focus on the whole family rather than just the individual child (Frost, 2017; Featherstone, White and Morris, 2014). This</w:t>
      </w:r>
      <w:r w:rsidR="00A504D2" w:rsidRPr="00670A9D">
        <w:rPr>
          <w:rFonts w:ascii="Arial" w:hAnsi="Arial" w:cs="Arial"/>
          <w:sz w:val="26"/>
          <w:szCs w:val="26"/>
        </w:rPr>
        <w:t xml:space="preserve"> recognises that children’s wellbeing is closely linked to family circumstances</w:t>
      </w:r>
      <w:r w:rsidR="00B8107C" w:rsidRPr="00670A9D">
        <w:rPr>
          <w:rFonts w:ascii="Arial" w:hAnsi="Arial" w:cs="Arial"/>
          <w:sz w:val="26"/>
          <w:szCs w:val="26"/>
        </w:rPr>
        <w:t xml:space="preserve"> (Frost, 2017)</w:t>
      </w:r>
      <w:r w:rsidR="00A504D2" w:rsidRPr="00670A9D">
        <w:rPr>
          <w:rFonts w:ascii="Arial" w:hAnsi="Arial" w:cs="Arial"/>
          <w:sz w:val="26"/>
          <w:szCs w:val="26"/>
        </w:rPr>
        <w:t>. Research suggests that early intervention can reduce the need for more intensive and costly interventions later in life (Allen, 2011), highlighting the importance of investing in preventative services.</w:t>
      </w:r>
      <w:r w:rsidR="00333BE1" w:rsidRPr="00670A9D">
        <w:rPr>
          <w:rFonts w:ascii="Arial" w:hAnsi="Arial" w:cs="Arial"/>
          <w:sz w:val="26"/>
          <w:szCs w:val="26"/>
        </w:rPr>
        <w:t xml:space="preserve"> </w:t>
      </w:r>
      <w:r w:rsidR="00D5049D" w:rsidRPr="00670A9D">
        <w:rPr>
          <w:rFonts w:ascii="Arial" w:hAnsi="Arial" w:cs="Arial"/>
          <w:sz w:val="26"/>
          <w:szCs w:val="26"/>
        </w:rPr>
        <w:t>This reflects broader safeguarding approaches that prioritise early intervention and prevention in reducing long-term harm to children and families (Parton, 2014).</w:t>
      </w:r>
    </w:p>
    <w:p w14:paraId="3FB5D8D5" w14:textId="48D45B78" w:rsidR="00333BE1" w:rsidRPr="00670A9D" w:rsidRDefault="00333BE1" w:rsidP="00A504D2">
      <w:pPr>
        <w:spacing w:line="360" w:lineRule="auto"/>
        <w:rPr>
          <w:rFonts w:ascii="Arial" w:hAnsi="Arial" w:cs="Arial"/>
          <w:sz w:val="26"/>
          <w:szCs w:val="26"/>
        </w:rPr>
      </w:pPr>
      <w:r w:rsidRPr="00670A9D">
        <w:rPr>
          <w:rFonts w:ascii="Arial" w:hAnsi="Arial" w:cs="Arial"/>
          <w:sz w:val="26"/>
          <w:szCs w:val="26"/>
        </w:rPr>
        <w:t>This preventative approach is closely linked to safeguarding responsibilities, as it aims to reduce the likelihood of issues escalating to the point where statutory intervention is required. The Early Help System Guide (DfE, 2022) emphasises that early identification and timely support are essential in improving outcomes for children and families. In this context, effective communication of Early Help services is critical, as families must be able to recognise their needs and access support independently.</w:t>
      </w:r>
    </w:p>
    <w:p w14:paraId="4B5B2341" w14:textId="7864F6F3" w:rsidR="00333BE1" w:rsidRPr="00670A9D" w:rsidRDefault="00333BE1" w:rsidP="00A504D2">
      <w:pPr>
        <w:spacing w:line="360" w:lineRule="auto"/>
        <w:rPr>
          <w:rFonts w:ascii="Arial" w:hAnsi="Arial" w:cs="Arial"/>
          <w:sz w:val="26"/>
          <w:szCs w:val="26"/>
        </w:rPr>
      </w:pPr>
      <w:r w:rsidRPr="00670A9D">
        <w:rPr>
          <w:rFonts w:ascii="Arial" w:hAnsi="Arial" w:cs="Arial"/>
          <w:sz w:val="26"/>
          <w:szCs w:val="26"/>
        </w:rPr>
        <w:t>This highlights the importance of how information about Early Help is communicated to families, particularly through local authority websites, which often act as the first point of access to support services (DfE, 2022).</w:t>
      </w:r>
    </w:p>
    <w:p w14:paraId="79A53EF2"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lastRenderedPageBreak/>
        <w:t>However, the effectiveness of Early Help depends not only on the availability of services but also on how easily families can access information about them. Therefore, local authority websites play a crucial role in ensuring that families are aware of the support available and understand how to access it.</w:t>
      </w:r>
    </w:p>
    <w:p w14:paraId="1786F833" w14:textId="6BC0D044"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 xml:space="preserve">Multi-agency working refers to collaboration between professionals from different sectors, including health, education, social care, police and voluntary organisations, to support children and families. It is a central component of safeguarding practice in the UK. According to </w:t>
      </w:r>
      <w:r w:rsidRPr="00670A9D">
        <w:rPr>
          <w:rFonts w:ascii="Arial" w:hAnsi="Arial" w:cs="Arial"/>
          <w:i/>
          <w:iCs/>
          <w:sz w:val="26"/>
          <w:szCs w:val="26"/>
        </w:rPr>
        <w:t>Working Together to Safeguard Children</w:t>
      </w:r>
      <w:r w:rsidRPr="00670A9D">
        <w:rPr>
          <w:rFonts w:ascii="Arial" w:hAnsi="Arial" w:cs="Arial"/>
          <w:sz w:val="26"/>
          <w:szCs w:val="26"/>
        </w:rPr>
        <w:t xml:space="preserve"> (DfE, 2023), effective safeguarding relies on coordinated action, clear communication and shared responsibility between agencies</w:t>
      </w:r>
      <w:r w:rsidR="00333BE1" w:rsidRPr="00670A9D">
        <w:rPr>
          <w:rFonts w:ascii="Arial" w:hAnsi="Arial" w:cs="Arial"/>
          <w:sz w:val="26"/>
          <w:szCs w:val="26"/>
        </w:rPr>
        <w:t xml:space="preserve"> (HM Government 2018)</w:t>
      </w:r>
      <w:r w:rsidRPr="00670A9D">
        <w:rPr>
          <w:rFonts w:ascii="Arial" w:hAnsi="Arial" w:cs="Arial"/>
          <w:sz w:val="26"/>
          <w:szCs w:val="26"/>
        </w:rPr>
        <w:t>.</w:t>
      </w:r>
    </w:p>
    <w:p w14:paraId="2FEC79BF"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The main benefit of multi-agency working is that it enables a more comprehensive understanding of the needs of children and families. Different professionals contribute their expertise, allowing for more accurate identification of risks and more appropriate interventions. This collaborative approach also reduces duplication of services and ensures that support is consistent and well-coordinated.</w:t>
      </w:r>
    </w:p>
    <w:p w14:paraId="1E07573A"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In the context of Early Help, multi-agency working is particularly important, as families often experience multiple and interconnected challenges. By working together, professionals can address these issues more effectively and provide tailored support that meets the needs of the whole family.</w:t>
      </w:r>
    </w:p>
    <w:p w14:paraId="1AAA0073"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Despite its advantages, multi-agency working can present challenges. Barriers such as poor communication, unclear roles and responsibilities, and difficulties in information sharing can reduce its effectiveness (Munro, 2011). As a result, clear protocols and strong leadership are essential to ensure that collaboration is effective and focused on achieving positive outcomes for families.</w:t>
      </w:r>
    </w:p>
    <w:p w14:paraId="3DF2150A" w14:textId="77777777" w:rsidR="00977BB0" w:rsidRPr="00977BB0" w:rsidRDefault="00977BB0" w:rsidP="00977BB0">
      <w:pPr>
        <w:spacing w:line="360" w:lineRule="auto"/>
        <w:rPr>
          <w:rFonts w:ascii="Arial" w:hAnsi="Arial" w:cs="Arial"/>
          <w:sz w:val="26"/>
          <w:szCs w:val="26"/>
        </w:rPr>
      </w:pPr>
      <w:r w:rsidRPr="00977BB0">
        <w:rPr>
          <w:rFonts w:ascii="Arial" w:hAnsi="Arial" w:cs="Arial"/>
          <w:sz w:val="26"/>
          <w:szCs w:val="26"/>
        </w:rPr>
        <w:t xml:space="preserve">The Leeds City Council website provides a well-structured and comprehensive section on Early Help. Information is clearly organised into sections that explain what Early Help is, who it is for, and how families can access support, </w:t>
      </w:r>
      <w:r w:rsidRPr="00977BB0">
        <w:rPr>
          <w:rFonts w:ascii="Arial" w:hAnsi="Arial" w:cs="Arial"/>
          <w:sz w:val="26"/>
          <w:szCs w:val="26"/>
        </w:rPr>
        <w:lastRenderedPageBreak/>
        <w:t>which supports ease of navigation. From an Early Help perspective, accessible information is essential, as families must be able to recognise their needs and seek support at an early stage (DfE, 2022). The use of clear headings and structured content therefore enhances accessibility and encourages engagement.</w:t>
      </w:r>
    </w:p>
    <w:p w14:paraId="0B1DFEAC" w14:textId="77777777" w:rsidR="00977BB0" w:rsidRPr="00977BB0" w:rsidRDefault="00977BB0" w:rsidP="00977BB0">
      <w:pPr>
        <w:spacing w:line="360" w:lineRule="auto"/>
        <w:rPr>
          <w:rFonts w:ascii="Arial" w:hAnsi="Arial" w:cs="Arial"/>
          <w:sz w:val="26"/>
          <w:szCs w:val="26"/>
        </w:rPr>
      </w:pPr>
      <w:r w:rsidRPr="00977BB0">
        <w:rPr>
          <w:rFonts w:ascii="Arial" w:hAnsi="Arial" w:cs="Arial"/>
          <w:sz w:val="26"/>
          <w:szCs w:val="26"/>
        </w:rPr>
        <w:t>One of the key strengths of the Leeds website is its balance between accessibility and detail. The language used is generally clear and understandable, while still providing sufficient information about available services and referral processes. This balance is important, as overly complex information may discourage families from engaging with support, whereas insufficient detail may limit understanding. By providing both clarity and depth, the website aligns with the principles of early intervention and supports effective safeguarding practice.</w:t>
      </w:r>
    </w:p>
    <w:p w14:paraId="5DA8F3F7" w14:textId="77777777" w:rsidR="002820EC" w:rsidRDefault="00977BB0" w:rsidP="00A504D2">
      <w:pPr>
        <w:spacing w:line="360" w:lineRule="auto"/>
        <w:rPr>
          <w:rFonts w:ascii="Arial" w:hAnsi="Arial" w:cs="Arial"/>
          <w:sz w:val="26"/>
          <w:szCs w:val="26"/>
        </w:rPr>
      </w:pPr>
      <w:r w:rsidRPr="00977BB0">
        <w:rPr>
          <w:rFonts w:ascii="Arial" w:hAnsi="Arial" w:cs="Arial"/>
          <w:sz w:val="26"/>
          <w:szCs w:val="26"/>
        </w:rPr>
        <w:t xml:space="preserve">However, a limitation is that some sections appear to be more tailored towards professionals, which may make it more difficult for families with limited knowledge of safeguarding terminology to fully understand the information. This may create a barrier to access, particularly for individuals with lower levels of literacy or unfamiliarity with professional language. </w:t>
      </w:r>
      <w:r w:rsidR="002820EC" w:rsidRPr="002820EC">
        <w:rPr>
          <w:rFonts w:ascii="Arial" w:hAnsi="Arial" w:cs="Arial"/>
          <w:sz w:val="26"/>
          <w:szCs w:val="26"/>
        </w:rPr>
        <w:t>Additionally, the lack of visual aids such as diagrams or videos may reduce accessibility for some users, as different formats of communication can support better understanding for diverse audiences (Frost, 2017; Ofcom, 2021).</w:t>
      </w:r>
    </w:p>
    <w:p w14:paraId="18FD5032" w14:textId="1B6A7220"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The Norfolk County Council website provides detailed information about Early Help services, including specific programmes, referral pathways and available resources. This level of detail is beneficial for professionals and families who require in-depth information about the support available.</w:t>
      </w:r>
    </w:p>
    <w:p w14:paraId="48FA48FC"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A key strength of the Norfolk website is the clarity of its referral processes, which helps users understand how to access services. The inclusion of downloadable resources also adds value, providing additional guidance and support.</w:t>
      </w:r>
    </w:p>
    <w:p w14:paraId="44CEB593" w14:textId="492D124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lastRenderedPageBreak/>
        <w:t>However, the main weakness of the website is that the amount of information can feel overwhelming, particularly for families who may already be experiencing stress or crisis</w:t>
      </w:r>
      <w:r w:rsidR="00D5049D" w:rsidRPr="00670A9D">
        <w:rPr>
          <w:rFonts w:ascii="Arial" w:hAnsi="Arial" w:cs="Arial"/>
          <w:sz w:val="26"/>
          <w:szCs w:val="26"/>
        </w:rPr>
        <w:t xml:space="preserve"> (Frost, 2017)</w:t>
      </w:r>
      <w:r w:rsidRPr="00670A9D">
        <w:rPr>
          <w:rFonts w:ascii="Arial" w:hAnsi="Arial" w:cs="Arial"/>
          <w:sz w:val="26"/>
          <w:szCs w:val="26"/>
        </w:rPr>
        <w:t>. The navigation is less intuitive compared to Leeds, and the use of more complex terminology may make it less accessible to non-professional users. This suggests that while the website is informative, it may not fully meet the needs of all users.</w:t>
      </w:r>
    </w:p>
    <w:p w14:paraId="551F53C0"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The Tower Hamlets Council website adopts a more simplified and user-friendly approach. The information is presented in clear and accessible language, with a strong focus on families. This makes it easier for users to quickly understand what Early Help is and how to access support.</w:t>
      </w:r>
    </w:p>
    <w:p w14:paraId="2DDCC6AA"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A key strength of this website is its accessibility. The use of simple language and clear contact details ensures that families can easily navigate the site and find the information they need. This is particularly important in ensuring that support is accessible to a diverse population.</w:t>
      </w:r>
    </w:p>
    <w:p w14:paraId="09BE4067"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However, the website provides less detailed information compared to Leeds and Norfolk. There is limited explanation of processes such as referrals and assessments, which may leave some users without a full understanding of how the system works. Additionally, fewer resources are available, which may limit the support provided.</w:t>
      </w:r>
    </w:p>
    <w:p w14:paraId="327A0858"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A comparison of the three local authority websites highlights significant differences in how Early Help is communicated to families. Each website demonstrates strengths, but also limitations that affect accessibility and effectiveness.</w:t>
      </w:r>
    </w:p>
    <w:p w14:paraId="0E9EF5B5"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Tower Hamlets stands out in terms of accessibility, as its use of simple language and clear structure makes it easy for families to understand. However, this simplicity comes at the expense of depth, as less detailed information is provided.</w:t>
      </w:r>
    </w:p>
    <w:p w14:paraId="0344DD26"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 xml:space="preserve">In contrast, Norfolk offers the most comprehensive information, including detailed descriptions of services and referral processes. While this is </w:t>
      </w:r>
      <w:r w:rsidRPr="00670A9D">
        <w:rPr>
          <w:rFonts w:ascii="Arial" w:hAnsi="Arial" w:cs="Arial"/>
          <w:sz w:val="26"/>
          <w:szCs w:val="26"/>
        </w:rPr>
        <w:lastRenderedPageBreak/>
        <w:t>beneficial for professionals, it may be overwhelming for families and reduce accessibility.</w:t>
      </w:r>
    </w:p>
    <w:p w14:paraId="0242F2F7" w14:textId="23B314E7" w:rsidR="00977BB0" w:rsidRPr="00670A9D" w:rsidRDefault="00977BB0" w:rsidP="00A504D2">
      <w:pPr>
        <w:spacing w:line="360" w:lineRule="auto"/>
        <w:rPr>
          <w:rFonts w:ascii="Arial" w:hAnsi="Arial" w:cs="Arial"/>
          <w:sz w:val="26"/>
          <w:szCs w:val="26"/>
        </w:rPr>
      </w:pPr>
      <w:r w:rsidRPr="00670A9D">
        <w:rPr>
          <w:rFonts w:ascii="Arial" w:hAnsi="Arial" w:cs="Arial"/>
          <w:sz w:val="26"/>
          <w:szCs w:val="26"/>
        </w:rPr>
        <w:t>From a safeguarding perspective, effective communication of Early Help services requires both accessibility and sufficient detail to enable informed decision-making by families (DfE, 2022). Where information is too complex, families may disengage, while overly simplified information may limit understanding of available support. Therefore, achieving a balance between clarity and depth is essential in supporting early intervention and positive outcomes.</w:t>
      </w:r>
      <w:r w:rsidR="00D5049D" w:rsidRPr="00670A9D">
        <w:rPr>
          <w:rFonts w:ascii="Arial" w:hAnsi="Arial" w:cs="Arial"/>
          <w:sz w:val="26"/>
          <w:szCs w:val="26"/>
        </w:rPr>
        <w:t xml:space="preserve"> </w:t>
      </w:r>
    </w:p>
    <w:p w14:paraId="03E4BDB8"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Leeds City Council provides the most balanced approach, combining clear organisation, accessible language and sufficient detail. This balance is important in ensuring that information is both understandable and informative. From a safeguarding perspective, accessibility is essential, as families must be able to recognise their needs and seek support early.</w:t>
      </w:r>
    </w:p>
    <w:p w14:paraId="794EF730"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Overall, Leeds appears to be the most effective in communicating Early Help services, as it meets the needs of both professionals and families while maintaining clarity and usability.</w:t>
      </w:r>
    </w:p>
    <w:p w14:paraId="41FF8936" w14:textId="77777777" w:rsidR="00A504D2" w:rsidRPr="00670A9D" w:rsidRDefault="00A504D2" w:rsidP="00A504D2">
      <w:pPr>
        <w:spacing w:line="360" w:lineRule="auto"/>
        <w:rPr>
          <w:rFonts w:ascii="Arial" w:hAnsi="Arial" w:cs="Arial"/>
          <w:b/>
          <w:bCs/>
          <w:sz w:val="26"/>
          <w:szCs w:val="26"/>
        </w:rPr>
      </w:pPr>
      <w:r w:rsidRPr="00670A9D">
        <w:rPr>
          <w:rFonts w:ascii="Arial" w:hAnsi="Arial" w:cs="Arial"/>
          <w:b/>
          <w:bCs/>
          <w:sz w:val="26"/>
          <w:szCs w:val="26"/>
        </w:rPr>
        <w:t>3. Conclusion</w:t>
      </w:r>
    </w:p>
    <w:p w14:paraId="033FB87C"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This report has examined how Early Help is communicated through three local authority websites, highlighting the importance of clear and accessible information in supporting families. The findings demonstrate that while all three councils provide relevant information, their effectiveness varies depending on how the information is presented.</w:t>
      </w:r>
    </w:p>
    <w:p w14:paraId="3E9514AF"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Leeds City Council provides the most effective approach, as it successfully balances accessibility and detail. Norfolk County Council offers valuable and comprehensive information but may be less accessible to non-professionals, while Tower Hamlets Council is highly accessible but lacks depth.</w:t>
      </w:r>
    </w:p>
    <w:p w14:paraId="78475AC9"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lastRenderedPageBreak/>
        <w:t>Effective communication of Early Help services is essential in ensuring that families can access support at an early stage. Therefore, local authorities must consider both the clarity and completeness of the information they provide.</w:t>
      </w:r>
    </w:p>
    <w:p w14:paraId="49E76C9C" w14:textId="0B364CB5" w:rsidR="00977BB0" w:rsidRPr="00670A9D" w:rsidRDefault="00977BB0" w:rsidP="00A504D2">
      <w:pPr>
        <w:spacing w:line="360" w:lineRule="auto"/>
        <w:rPr>
          <w:rFonts w:ascii="Arial" w:hAnsi="Arial" w:cs="Arial"/>
          <w:sz w:val="26"/>
          <w:szCs w:val="26"/>
        </w:rPr>
      </w:pPr>
      <w:r w:rsidRPr="00670A9D">
        <w:rPr>
          <w:rFonts w:ascii="Arial" w:hAnsi="Arial" w:cs="Arial"/>
          <w:sz w:val="26"/>
          <w:szCs w:val="26"/>
        </w:rPr>
        <w:t>This reinforces the importance of clear and accessible communication as part of wider safeguarding responsibilities, ensuring that families are able to access appropriate support at the earliest opportunity (DfE, 2023).</w:t>
      </w:r>
    </w:p>
    <w:p w14:paraId="214A86A1" w14:textId="77777777" w:rsidR="00A504D2" w:rsidRPr="00670A9D" w:rsidRDefault="00A504D2" w:rsidP="00A504D2">
      <w:pPr>
        <w:spacing w:line="360" w:lineRule="auto"/>
        <w:rPr>
          <w:rFonts w:ascii="Arial" w:hAnsi="Arial" w:cs="Arial"/>
          <w:b/>
          <w:bCs/>
          <w:sz w:val="26"/>
          <w:szCs w:val="26"/>
        </w:rPr>
      </w:pPr>
      <w:r w:rsidRPr="00670A9D">
        <w:rPr>
          <w:rFonts w:ascii="Arial" w:hAnsi="Arial" w:cs="Arial"/>
          <w:b/>
          <w:bCs/>
          <w:sz w:val="26"/>
          <w:szCs w:val="26"/>
        </w:rPr>
        <w:t>4. Recommendations</w:t>
      </w:r>
    </w:p>
    <w:p w14:paraId="431B95F8"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Based on the analysis, several recommendations can be made to improve how Early Help information is communicated:</w:t>
      </w:r>
    </w:p>
    <w:p w14:paraId="14552FE0" w14:textId="77777777" w:rsidR="00A504D2" w:rsidRPr="00670A9D" w:rsidRDefault="00A504D2" w:rsidP="00A504D2">
      <w:pPr>
        <w:numPr>
          <w:ilvl w:val="0"/>
          <w:numId w:val="11"/>
        </w:numPr>
        <w:spacing w:line="360" w:lineRule="auto"/>
        <w:rPr>
          <w:rFonts w:ascii="Arial" w:hAnsi="Arial" w:cs="Arial"/>
          <w:sz w:val="26"/>
          <w:szCs w:val="26"/>
        </w:rPr>
      </w:pPr>
      <w:r w:rsidRPr="00670A9D">
        <w:rPr>
          <w:rFonts w:ascii="Arial" w:hAnsi="Arial" w:cs="Arial"/>
          <w:sz w:val="26"/>
          <w:szCs w:val="26"/>
        </w:rPr>
        <w:t xml:space="preserve">Local authorities should use clear and simple language to ensure information is accessible to all users, including those with limited literacy or understanding of professional terminology. </w:t>
      </w:r>
    </w:p>
    <w:p w14:paraId="231A639E" w14:textId="77777777" w:rsidR="00A504D2" w:rsidRPr="00670A9D" w:rsidRDefault="00A504D2" w:rsidP="00A504D2">
      <w:pPr>
        <w:numPr>
          <w:ilvl w:val="0"/>
          <w:numId w:val="11"/>
        </w:numPr>
        <w:spacing w:line="360" w:lineRule="auto"/>
        <w:rPr>
          <w:rFonts w:ascii="Arial" w:hAnsi="Arial" w:cs="Arial"/>
          <w:sz w:val="26"/>
          <w:szCs w:val="26"/>
        </w:rPr>
      </w:pPr>
      <w:r w:rsidRPr="00670A9D">
        <w:rPr>
          <w:rFonts w:ascii="Arial" w:hAnsi="Arial" w:cs="Arial"/>
          <w:sz w:val="26"/>
          <w:szCs w:val="26"/>
        </w:rPr>
        <w:t xml:space="preserve">Websites should balance detail with accessibility, providing sufficient information without overwhelming users. </w:t>
      </w:r>
    </w:p>
    <w:p w14:paraId="466C6390" w14:textId="77777777" w:rsidR="00A504D2" w:rsidRPr="00670A9D" w:rsidRDefault="00A504D2" w:rsidP="00A504D2">
      <w:pPr>
        <w:numPr>
          <w:ilvl w:val="0"/>
          <w:numId w:val="11"/>
        </w:numPr>
        <w:spacing w:line="360" w:lineRule="auto"/>
        <w:rPr>
          <w:rFonts w:ascii="Arial" w:hAnsi="Arial" w:cs="Arial"/>
          <w:sz w:val="26"/>
          <w:szCs w:val="26"/>
        </w:rPr>
      </w:pPr>
      <w:r w:rsidRPr="00670A9D">
        <w:rPr>
          <w:rFonts w:ascii="Arial" w:hAnsi="Arial" w:cs="Arial"/>
          <w:sz w:val="26"/>
          <w:szCs w:val="26"/>
        </w:rPr>
        <w:t xml:space="preserve">The use of visual aids, such as diagrams and videos, should be increased to support understanding. </w:t>
      </w:r>
    </w:p>
    <w:p w14:paraId="473469DF" w14:textId="77777777" w:rsidR="00A504D2" w:rsidRPr="00670A9D" w:rsidRDefault="00A504D2" w:rsidP="00A504D2">
      <w:pPr>
        <w:numPr>
          <w:ilvl w:val="0"/>
          <w:numId w:val="11"/>
        </w:numPr>
        <w:spacing w:line="360" w:lineRule="auto"/>
        <w:rPr>
          <w:rFonts w:ascii="Arial" w:hAnsi="Arial" w:cs="Arial"/>
          <w:sz w:val="26"/>
          <w:szCs w:val="26"/>
        </w:rPr>
      </w:pPr>
      <w:r w:rsidRPr="00670A9D">
        <w:rPr>
          <w:rFonts w:ascii="Arial" w:hAnsi="Arial" w:cs="Arial"/>
          <w:sz w:val="26"/>
          <w:szCs w:val="26"/>
        </w:rPr>
        <w:t xml:space="preserve">Clear step-by-step guidance should be provided to help families understand how to access services. </w:t>
      </w:r>
    </w:p>
    <w:p w14:paraId="40CE72B1" w14:textId="77777777" w:rsidR="00A504D2" w:rsidRPr="00670A9D" w:rsidRDefault="00A504D2" w:rsidP="00A504D2">
      <w:pPr>
        <w:numPr>
          <w:ilvl w:val="0"/>
          <w:numId w:val="11"/>
        </w:numPr>
        <w:spacing w:line="360" w:lineRule="auto"/>
        <w:rPr>
          <w:rFonts w:ascii="Arial" w:hAnsi="Arial" w:cs="Arial"/>
          <w:sz w:val="26"/>
          <w:szCs w:val="26"/>
        </w:rPr>
      </w:pPr>
      <w:r w:rsidRPr="00670A9D">
        <w:rPr>
          <w:rFonts w:ascii="Arial" w:hAnsi="Arial" w:cs="Arial"/>
          <w:sz w:val="26"/>
          <w:szCs w:val="26"/>
        </w:rPr>
        <w:t xml:space="preserve">Navigation and website structure should be improved to ensure users can easily find relevant information. </w:t>
      </w:r>
    </w:p>
    <w:p w14:paraId="4B12D29B" w14:textId="77777777" w:rsidR="00A504D2" w:rsidRPr="00670A9D" w:rsidRDefault="00A504D2" w:rsidP="00A504D2">
      <w:pPr>
        <w:numPr>
          <w:ilvl w:val="0"/>
          <w:numId w:val="11"/>
        </w:numPr>
        <w:spacing w:line="360" w:lineRule="auto"/>
        <w:rPr>
          <w:rFonts w:ascii="Arial" w:hAnsi="Arial" w:cs="Arial"/>
          <w:sz w:val="26"/>
          <w:szCs w:val="26"/>
        </w:rPr>
      </w:pPr>
      <w:r w:rsidRPr="00670A9D">
        <w:rPr>
          <w:rFonts w:ascii="Arial" w:hAnsi="Arial" w:cs="Arial"/>
          <w:sz w:val="26"/>
          <w:szCs w:val="26"/>
        </w:rPr>
        <w:t xml:space="preserve">Information should be tailored to both professionals and families, ensuring that the needs of different users are met. </w:t>
      </w:r>
    </w:p>
    <w:p w14:paraId="3FFB7102" w14:textId="77777777" w:rsidR="00977BB0" w:rsidRPr="00670A9D" w:rsidRDefault="00977BB0" w:rsidP="00977BB0">
      <w:pPr>
        <w:spacing w:line="360" w:lineRule="auto"/>
        <w:rPr>
          <w:rFonts w:ascii="Arial" w:hAnsi="Arial" w:cs="Arial"/>
          <w:sz w:val="26"/>
          <w:szCs w:val="26"/>
        </w:rPr>
      </w:pPr>
      <w:r w:rsidRPr="00670A9D">
        <w:rPr>
          <w:rFonts w:ascii="Arial" w:hAnsi="Arial" w:cs="Arial"/>
          <w:sz w:val="26"/>
          <w:szCs w:val="26"/>
        </w:rPr>
        <w:t>Local authorities should regularly review and evaluate the effectiveness of their website content to ensure that information remains accessible, up to date and aligned with the principles of the Early Help system (DfE, 2022).</w:t>
      </w:r>
    </w:p>
    <w:p w14:paraId="3B991B90" w14:textId="77777777" w:rsidR="00670A9D" w:rsidRDefault="00670A9D" w:rsidP="00977BB0">
      <w:pPr>
        <w:spacing w:line="360" w:lineRule="auto"/>
        <w:jc w:val="center"/>
        <w:rPr>
          <w:rFonts w:ascii="Arial" w:hAnsi="Arial" w:cs="Arial"/>
          <w:b/>
          <w:bCs/>
          <w:sz w:val="26"/>
          <w:szCs w:val="26"/>
        </w:rPr>
      </w:pPr>
    </w:p>
    <w:p w14:paraId="58C294C8" w14:textId="12E02286" w:rsidR="00A504D2" w:rsidRPr="00670A9D" w:rsidRDefault="00A504D2" w:rsidP="00977BB0">
      <w:pPr>
        <w:spacing w:line="360" w:lineRule="auto"/>
        <w:jc w:val="center"/>
        <w:rPr>
          <w:rFonts w:ascii="Arial" w:hAnsi="Arial" w:cs="Arial"/>
          <w:sz w:val="26"/>
          <w:szCs w:val="26"/>
        </w:rPr>
      </w:pPr>
      <w:r w:rsidRPr="00670A9D">
        <w:rPr>
          <w:rFonts w:ascii="Arial" w:hAnsi="Arial" w:cs="Arial"/>
          <w:b/>
          <w:bCs/>
          <w:sz w:val="26"/>
          <w:szCs w:val="26"/>
        </w:rPr>
        <w:lastRenderedPageBreak/>
        <w:t xml:space="preserve">References </w:t>
      </w:r>
      <w:r w:rsidR="0000458F" w:rsidRPr="00670A9D">
        <w:rPr>
          <w:rFonts w:ascii="Arial" w:hAnsi="Arial" w:cs="Arial"/>
          <w:b/>
          <w:bCs/>
          <w:sz w:val="26"/>
          <w:szCs w:val="26"/>
        </w:rPr>
        <w:t>List</w:t>
      </w:r>
    </w:p>
    <w:p w14:paraId="3BD2B537"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 xml:space="preserve">Allen, G. (2011) </w:t>
      </w:r>
      <w:r w:rsidRPr="00670A9D">
        <w:rPr>
          <w:rFonts w:ascii="Arial" w:hAnsi="Arial" w:cs="Arial"/>
          <w:i/>
          <w:iCs/>
          <w:sz w:val="26"/>
          <w:szCs w:val="26"/>
        </w:rPr>
        <w:t>Early Intervention: The Next Steps</w:t>
      </w:r>
      <w:r w:rsidRPr="00670A9D">
        <w:rPr>
          <w:rFonts w:ascii="Arial" w:hAnsi="Arial" w:cs="Arial"/>
          <w:sz w:val="26"/>
          <w:szCs w:val="26"/>
        </w:rPr>
        <w:t>. London: HM Government.</w:t>
      </w:r>
    </w:p>
    <w:p w14:paraId="1D7EE2CA" w14:textId="5866EFF9"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 xml:space="preserve">Department for Education (2022) </w:t>
      </w:r>
      <w:r w:rsidRPr="00670A9D">
        <w:rPr>
          <w:rFonts w:ascii="Arial" w:hAnsi="Arial" w:cs="Arial"/>
          <w:i/>
          <w:iCs/>
          <w:sz w:val="26"/>
          <w:szCs w:val="26"/>
        </w:rPr>
        <w:t>Early Help System Guide</w:t>
      </w:r>
      <w:r w:rsidRPr="00670A9D">
        <w:rPr>
          <w:rFonts w:ascii="Arial" w:hAnsi="Arial" w:cs="Arial"/>
          <w:sz w:val="26"/>
          <w:szCs w:val="26"/>
        </w:rPr>
        <w:t xml:space="preserve">. Available at: </w:t>
      </w:r>
      <w:hyperlink r:id="rId7" w:tgtFrame="_new" w:history="1">
        <w:r w:rsidRPr="00670A9D">
          <w:rPr>
            <w:rStyle w:val="Hyperlink"/>
            <w:rFonts w:ascii="Arial" w:hAnsi="Arial" w:cs="Arial"/>
            <w:sz w:val="26"/>
            <w:szCs w:val="26"/>
          </w:rPr>
          <w:t>https://www.gov.uk</w:t>
        </w:r>
      </w:hyperlink>
      <w:r w:rsidRPr="00670A9D">
        <w:rPr>
          <w:rFonts w:ascii="Arial" w:hAnsi="Arial" w:cs="Arial"/>
          <w:sz w:val="26"/>
          <w:szCs w:val="26"/>
        </w:rPr>
        <w:t xml:space="preserve"> (Accessed: 13 April 2026).</w:t>
      </w:r>
    </w:p>
    <w:p w14:paraId="27CF10C3" w14:textId="50811690" w:rsidR="00A504D2" w:rsidRDefault="00A504D2" w:rsidP="00A504D2">
      <w:pPr>
        <w:spacing w:line="360" w:lineRule="auto"/>
        <w:rPr>
          <w:rFonts w:ascii="Arial" w:hAnsi="Arial" w:cs="Arial"/>
          <w:sz w:val="26"/>
          <w:szCs w:val="26"/>
        </w:rPr>
      </w:pPr>
      <w:r w:rsidRPr="00670A9D">
        <w:rPr>
          <w:rFonts w:ascii="Arial" w:hAnsi="Arial" w:cs="Arial"/>
          <w:sz w:val="26"/>
          <w:szCs w:val="26"/>
        </w:rPr>
        <w:t xml:space="preserve">Department for Education (2023) </w:t>
      </w:r>
      <w:r w:rsidRPr="00670A9D">
        <w:rPr>
          <w:rFonts w:ascii="Arial" w:hAnsi="Arial" w:cs="Arial"/>
          <w:i/>
          <w:iCs/>
          <w:sz w:val="26"/>
          <w:szCs w:val="26"/>
        </w:rPr>
        <w:t>Working Together to Safeguard Children</w:t>
      </w:r>
      <w:r w:rsidRPr="00670A9D">
        <w:rPr>
          <w:rFonts w:ascii="Arial" w:hAnsi="Arial" w:cs="Arial"/>
          <w:sz w:val="26"/>
          <w:szCs w:val="26"/>
        </w:rPr>
        <w:t xml:space="preserve">. Available at: </w:t>
      </w:r>
      <w:hyperlink r:id="rId8" w:tgtFrame="_new" w:history="1">
        <w:r w:rsidRPr="00670A9D">
          <w:rPr>
            <w:rStyle w:val="Hyperlink"/>
            <w:rFonts w:ascii="Arial" w:hAnsi="Arial" w:cs="Arial"/>
            <w:sz w:val="26"/>
            <w:szCs w:val="26"/>
          </w:rPr>
          <w:t>https://www.gov.uk</w:t>
        </w:r>
      </w:hyperlink>
      <w:r w:rsidRPr="00670A9D">
        <w:rPr>
          <w:rFonts w:ascii="Arial" w:hAnsi="Arial" w:cs="Arial"/>
          <w:sz w:val="26"/>
          <w:szCs w:val="26"/>
        </w:rPr>
        <w:t xml:space="preserve"> (Accessed: </w:t>
      </w:r>
      <w:r w:rsidR="00A07F87">
        <w:rPr>
          <w:rFonts w:ascii="Arial" w:hAnsi="Arial" w:cs="Arial"/>
          <w:sz w:val="26"/>
          <w:szCs w:val="26"/>
        </w:rPr>
        <w:t>20</w:t>
      </w:r>
      <w:r w:rsidRPr="00670A9D">
        <w:rPr>
          <w:rFonts w:ascii="Arial" w:hAnsi="Arial" w:cs="Arial"/>
          <w:sz w:val="26"/>
          <w:szCs w:val="26"/>
        </w:rPr>
        <w:t xml:space="preserve"> April 2026).</w:t>
      </w:r>
    </w:p>
    <w:p w14:paraId="319F225D" w14:textId="70DA19E0" w:rsidR="00670A9D" w:rsidRPr="00670A9D" w:rsidRDefault="00670A9D" w:rsidP="00A504D2">
      <w:pPr>
        <w:spacing w:line="360" w:lineRule="auto"/>
        <w:rPr>
          <w:rFonts w:ascii="Arial" w:hAnsi="Arial" w:cs="Arial"/>
          <w:sz w:val="26"/>
          <w:szCs w:val="26"/>
        </w:rPr>
      </w:pPr>
      <w:r w:rsidRPr="00670A9D">
        <w:rPr>
          <w:rFonts w:ascii="Arial" w:hAnsi="Arial" w:cs="Arial"/>
          <w:sz w:val="26"/>
          <w:szCs w:val="26"/>
        </w:rPr>
        <w:t xml:space="preserve">Featherstone, B., White, S. and Morris, K. (2014) </w:t>
      </w:r>
      <w:r w:rsidRPr="00670A9D">
        <w:rPr>
          <w:rFonts w:ascii="Arial" w:hAnsi="Arial" w:cs="Arial"/>
          <w:i/>
          <w:iCs/>
          <w:sz w:val="26"/>
          <w:szCs w:val="26"/>
        </w:rPr>
        <w:t>Re-imagining Child Protection: Towards Humane Social Work with Families</w:t>
      </w:r>
      <w:r w:rsidRPr="00670A9D">
        <w:rPr>
          <w:rFonts w:ascii="Arial" w:hAnsi="Arial" w:cs="Arial"/>
          <w:sz w:val="26"/>
          <w:szCs w:val="26"/>
        </w:rPr>
        <w:t>. Bristol: Policy Press.</w:t>
      </w:r>
    </w:p>
    <w:p w14:paraId="0B44C617" w14:textId="3150860C" w:rsidR="00D5049D" w:rsidRPr="00670A9D" w:rsidRDefault="00D5049D" w:rsidP="00A504D2">
      <w:pPr>
        <w:spacing w:line="360" w:lineRule="auto"/>
        <w:rPr>
          <w:rFonts w:ascii="Arial" w:hAnsi="Arial" w:cs="Arial"/>
          <w:sz w:val="26"/>
          <w:szCs w:val="26"/>
        </w:rPr>
      </w:pPr>
      <w:r w:rsidRPr="00D5049D">
        <w:rPr>
          <w:rFonts w:ascii="Arial" w:hAnsi="Arial" w:cs="Arial"/>
          <w:sz w:val="26"/>
          <w:szCs w:val="26"/>
        </w:rPr>
        <w:t xml:space="preserve">Frost, N. (2017) </w:t>
      </w:r>
      <w:r w:rsidRPr="00D5049D">
        <w:rPr>
          <w:rFonts w:ascii="Arial" w:hAnsi="Arial" w:cs="Arial"/>
          <w:i/>
          <w:iCs/>
          <w:sz w:val="26"/>
          <w:szCs w:val="26"/>
        </w:rPr>
        <w:t>Understanding Children and Families: A Guide for Social Workers and Other Professionals</w:t>
      </w:r>
      <w:r w:rsidRPr="00D5049D">
        <w:rPr>
          <w:rFonts w:ascii="Arial" w:hAnsi="Arial" w:cs="Arial"/>
          <w:sz w:val="26"/>
          <w:szCs w:val="26"/>
        </w:rPr>
        <w:t>. 2nd edn. Bristol: Policy Press.</w:t>
      </w:r>
    </w:p>
    <w:p w14:paraId="4DC2D737" w14:textId="10F8DD5E"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 xml:space="preserve">Leeds City Council (2026) </w:t>
      </w:r>
      <w:r w:rsidRPr="00670A9D">
        <w:rPr>
          <w:rFonts w:ascii="Arial" w:hAnsi="Arial" w:cs="Arial"/>
          <w:i/>
          <w:iCs/>
          <w:sz w:val="26"/>
          <w:szCs w:val="26"/>
        </w:rPr>
        <w:t>Early Help Services</w:t>
      </w:r>
      <w:r w:rsidRPr="00670A9D">
        <w:rPr>
          <w:rFonts w:ascii="Arial" w:hAnsi="Arial" w:cs="Arial"/>
          <w:sz w:val="26"/>
          <w:szCs w:val="26"/>
        </w:rPr>
        <w:t xml:space="preserve">. Available at: </w:t>
      </w:r>
      <w:hyperlink r:id="rId9" w:tgtFrame="_new" w:history="1">
        <w:r w:rsidRPr="00670A9D">
          <w:rPr>
            <w:rStyle w:val="Hyperlink"/>
            <w:rFonts w:ascii="Arial" w:hAnsi="Arial" w:cs="Arial"/>
            <w:sz w:val="26"/>
            <w:szCs w:val="26"/>
          </w:rPr>
          <w:t>https://www.leeds.gov.uk</w:t>
        </w:r>
      </w:hyperlink>
      <w:r w:rsidRPr="00670A9D">
        <w:rPr>
          <w:rFonts w:ascii="Arial" w:hAnsi="Arial" w:cs="Arial"/>
          <w:sz w:val="26"/>
          <w:szCs w:val="26"/>
        </w:rPr>
        <w:t xml:space="preserve"> (Accessed: 15 April 2026).</w:t>
      </w:r>
    </w:p>
    <w:p w14:paraId="46C732AB" w14:textId="77777777"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 xml:space="preserve">Munro, E. (2011) </w:t>
      </w:r>
      <w:r w:rsidRPr="00670A9D">
        <w:rPr>
          <w:rFonts w:ascii="Arial" w:hAnsi="Arial" w:cs="Arial"/>
          <w:i/>
          <w:iCs/>
          <w:sz w:val="26"/>
          <w:szCs w:val="26"/>
        </w:rPr>
        <w:t>The Munro Review of Child Protection</w:t>
      </w:r>
      <w:r w:rsidRPr="00670A9D">
        <w:rPr>
          <w:rFonts w:ascii="Arial" w:hAnsi="Arial" w:cs="Arial"/>
          <w:sz w:val="26"/>
          <w:szCs w:val="26"/>
        </w:rPr>
        <w:t>. London: Department for Education.</w:t>
      </w:r>
    </w:p>
    <w:p w14:paraId="62EFB438" w14:textId="77777777" w:rsidR="00A504D2" w:rsidRDefault="00A504D2" w:rsidP="00A504D2">
      <w:pPr>
        <w:spacing w:line="360" w:lineRule="auto"/>
        <w:rPr>
          <w:rFonts w:ascii="Arial" w:hAnsi="Arial" w:cs="Arial"/>
          <w:sz w:val="26"/>
          <w:szCs w:val="26"/>
        </w:rPr>
      </w:pPr>
      <w:r w:rsidRPr="00670A9D">
        <w:rPr>
          <w:rFonts w:ascii="Arial" w:hAnsi="Arial" w:cs="Arial"/>
          <w:sz w:val="26"/>
          <w:szCs w:val="26"/>
        </w:rPr>
        <w:t xml:space="preserve">Norfolk County Council (2026) </w:t>
      </w:r>
      <w:r w:rsidRPr="00670A9D">
        <w:rPr>
          <w:rFonts w:ascii="Arial" w:hAnsi="Arial" w:cs="Arial"/>
          <w:i/>
          <w:iCs/>
          <w:sz w:val="26"/>
          <w:szCs w:val="26"/>
        </w:rPr>
        <w:t>Early Help Information</w:t>
      </w:r>
      <w:r w:rsidRPr="00670A9D">
        <w:rPr>
          <w:rFonts w:ascii="Arial" w:hAnsi="Arial" w:cs="Arial"/>
          <w:sz w:val="26"/>
          <w:szCs w:val="26"/>
        </w:rPr>
        <w:t xml:space="preserve">. Available at: </w:t>
      </w:r>
      <w:hyperlink r:id="rId10" w:tgtFrame="_new" w:history="1">
        <w:r w:rsidRPr="00670A9D">
          <w:rPr>
            <w:rStyle w:val="Hyperlink"/>
            <w:rFonts w:ascii="Arial" w:hAnsi="Arial" w:cs="Arial"/>
            <w:sz w:val="26"/>
            <w:szCs w:val="26"/>
          </w:rPr>
          <w:t>https://www.norfolk.gov.uk</w:t>
        </w:r>
      </w:hyperlink>
      <w:r w:rsidRPr="00670A9D">
        <w:rPr>
          <w:rFonts w:ascii="Arial" w:hAnsi="Arial" w:cs="Arial"/>
          <w:sz w:val="26"/>
          <w:szCs w:val="26"/>
        </w:rPr>
        <w:t xml:space="preserve"> (Accessed: 20 April 2026).</w:t>
      </w:r>
    </w:p>
    <w:p w14:paraId="75D3BE6E" w14:textId="59282D75" w:rsidR="002820EC" w:rsidRPr="00670A9D" w:rsidRDefault="002820EC" w:rsidP="00A504D2">
      <w:pPr>
        <w:spacing w:line="360" w:lineRule="auto"/>
        <w:rPr>
          <w:rFonts w:ascii="Arial" w:hAnsi="Arial" w:cs="Arial"/>
          <w:sz w:val="26"/>
          <w:szCs w:val="26"/>
        </w:rPr>
      </w:pPr>
      <w:r w:rsidRPr="002820EC">
        <w:rPr>
          <w:rFonts w:ascii="Arial" w:hAnsi="Arial" w:cs="Arial"/>
          <w:sz w:val="26"/>
          <w:szCs w:val="26"/>
        </w:rPr>
        <w:t xml:space="preserve">Ofcom (2021) </w:t>
      </w:r>
      <w:r w:rsidRPr="002820EC">
        <w:rPr>
          <w:rFonts w:ascii="Arial" w:hAnsi="Arial" w:cs="Arial"/>
          <w:i/>
          <w:iCs/>
          <w:sz w:val="26"/>
          <w:szCs w:val="26"/>
        </w:rPr>
        <w:t>Adults’ Media Use and Attitudes Report 2021</w:t>
      </w:r>
      <w:r w:rsidRPr="002820EC">
        <w:rPr>
          <w:rFonts w:ascii="Arial" w:hAnsi="Arial" w:cs="Arial"/>
          <w:sz w:val="26"/>
          <w:szCs w:val="26"/>
        </w:rPr>
        <w:t xml:space="preserve">. London: Ofcom. Available at: </w:t>
      </w:r>
      <w:hyperlink r:id="rId11" w:tgtFrame="_new" w:history="1">
        <w:r w:rsidRPr="002820EC">
          <w:rPr>
            <w:rStyle w:val="Hyperlink"/>
            <w:rFonts w:ascii="Arial" w:hAnsi="Arial" w:cs="Arial"/>
            <w:sz w:val="26"/>
            <w:szCs w:val="26"/>
          </w:rPr>
          <w:t>https://www.ofcom.org.uk</w:t>
        </w:r>
      </w:hyperlink>
      <w:r w:rsidRPr="002820EC">
        <w:rPr>
          <w:rFonts w:ascii="Arial" w:hAnsi="Arial" w:cs="Arial"/>
          <w:sz w:val="26"/>
          <w:szCs w:val="26"/>
        </w:rPr>
        <w:t xml:space="preserve"> (Accessed: 21 April 2026).</w:t>
      </w:r>
    </w:p>
    <w:p w14:paraId="20E1A9FA" w14:textId="334281F4" w:rsidR="00A504D2" w:rsidRPr="00670A9D" w:rsidRDefault="00A504D2" w:rsidP="00A504D2">
      <w:pPr>
        <w:spacing w:line="360" w:lineRule="auto"/>
        <w:rPr>
          <w:rFonts w:ascii="Arial" w:hAnsi="Arial" w:cs="Arial"/>
          <w:sz w:val="26"/>
          <w:szCs w:val="26"/>
        </w:rPr>
      </w:pPr>
      <w:r w:rsidRPr="00670A9D">
        <w:rPr>
          <w:rFonts w:ascii="Arial" w:hAnsi="Arial" w:cs="Arial"/>
          <w:sz w:val="26"/>
          <w:szCs w:val="26"/>
        </w:rPr>
        <w:t xml:space="preserve">Tower Hamlets Council (2026) </w:t>
      </w:r>
      <w:r w:rsidRPr="00670A9D">
        <w:rPr>
          <w:rFonts w:ascii="Arial" w:hAnsi="Arial" w:cs="Arial"/>
          <w:i/>
          <w:iCs/>
          <w:sz w:val="26"/>
          <w:szCs w:val="26"/>
        </w:rPr>
        <w:t>Early Help Services</w:t>
      </w:r>
      <w:r w:rsidRPr="00670A9D">
        <w:rPr>
          <w:rFonts w:ascii="Arial" w:hAnsi="Arial" w:cs="Arial"/>
          <w:sz w:val="26"/>
          <w:szCs w:val="26"/>
        </w:rPr>
        <w:t xml:space="preserve">. Available at: </w:t>
      </w:r>
      <w:hyperlink r:id="rId12" w:tgtFrame="_new" w:history="1">
        <w:r w:rsidRPr="00670A9D">
          <w:rPr>
            <w:rStyle w:val="Hyperlink"/>
            <w:rFonts w:ascii="Arial" w:hAnsi="Arial" w:cs="Arial"/>
            <w:sz w:val="26"/>
            <w:szCs w:val="26"/>
          </w:rPr>
          <w:t>https://www.towerhamlets.gov.uk</w:t>
        </w:r>
      </w:hyperlink>
      <w:r w:rsidRPr="00670A9D">
        <w:rPr>
          <w:rFonts w:ascii="Arial" w:hAnsi="Arial" w:cs="Arial"/>
          <w:sz w:val="26"/>
          <w:szCs w:val="26"/>
        </w:rPr>
        <w:t xml:space="preserve"> (Accessed: 17 April 2026).</w:t>
      </w:r>
    </w:p>
    <w:p w14:paraId="4193B5CD" w14:textId="77777777" w:rsidR="00D5049D" w:rsidRDefault="00D5049D" w:rsidP="00A504D2">
      <w:pPr>
        <w:spacing w:line="360" w:lineRule="auto"/>
        <w:rPr>
          <w:rFonts w:ascii="Arial" w:hAnsi="Arial" w:cs="Arial"/>
          <w:sz w:val="24"/>
          <w:szCs w:val="24"/>
        </w:rPr>
      </w:pPr>
    </w:p>
    <w:p w14:paraId="15317FC5" w14:textId="77777777" w:rsidR="00D5049D" w:rsidRPr="00A504D2" w:rsidRDefault="00D5049D" w:rsidP="00A504D2">
      <w:pPr>
        <w:spacing w:line="360" w:lineRule="auto"/>
        <w:rPr>
          <w:rFonts w:ascii="Arial" w:hAnsi="Arial" w:cs="Arial"/>
          <w:sz w:val="24"/>
          <w:szCs w:val="24"/>
        </w:rPr>
      </w:pPr>
    </w:p>
    <w:p w14:paraId="1F5C2D6C" w14:textId="77777777" w:rsidR="002431F1" w:rsidRDefault="002431F1"/>
    <w:sectPr w:rsidR="002431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917DE"/>
    <w:multiLevelType w:val="multilevel"/>
    <w:tmpl w:val="98A8F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021B5"/>
    <w:multiLevelType w:val="multilevel"/>
    <w:tmpl w:val="C576E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9181D"/>
    <w:multiLevelType w:val="multilevel"/>
    <w:tmpl w:val="ADD09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1645D2"/>
    <w:multiLevelType w:val="multilevel"/>
    <w:tmpl w:val="9D02B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681991"/>
    <w:multiLevelType w:val="multilevel"/>
    <w:tmpl w:val="1B920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466510"/>
    <w:multiLevelType w:val="multilevel"/>
    <w:tmpl w:val="E79A9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0E7775"/>
    <w:multiLevelType w:val="multilevel"/>
    <w:tmpl w:val="16A8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5F6818"/>
    <w:multiLevelType w:val="multilevel"/>
    <w:tmpl w:val="443C3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E43AFB"/>
    <w:multiLevelType w:val="multilevel"/>
    <w:tmpl w:val="F880D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155864"/>
    <w:multiLevelType w:val="multilevel"/>
    <w:tmpl w:val="6B38E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9A6ECF"/>
    <w:multiLevelType w:val="multilevel"/>
    <w:tmpl w:val="B756F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0253228">
    <w:abstractNumId w:val="4"/>
  </w:num>
  <w:num w:numId="2" w16cid:durableId="1089961745">
    <w:abstractNumId w:val="7"/>
  </w:num>
  <w:num w:numId="3" w16cid:durableId="670449210">
    <w:abstractNumId w:val="2"/>
  </w:num>
  <w:num w:numId="4" w16cid:durableId="1132017793">
    <w:abstractNumId w:val="0"/>
  </w:num>
  <w:num w:numId="5" w16cid:durableId="1580866473">
    <w:abstractNumId w:val="8"/>
  </w:num>
  <w:num w:numId="6" w16cid:durableId="1265264305">
    <w:abstractNumId w:val="9"/>
  </w:num>
  <w:num w:numId="7" w16cid:durableId="578365642">
    <w:abstractNumId w:val="10"/>
  </w:num>
  <w:num w:numId="8" w16cid:durableId="227350766">
    <w:abstractNumId w:val="1"/>
  </w:num>
  <w:num w:numId="9" w16cid:durableId="1866670563">
    <w:abstractNumId w:val="3"/>
  </w:num>
  <w:num w:numId="10" w16cid:durableId="1535541013">
    <w:abstractNumId w:val="6"/>
  </w:num>
  <w:num w:numId="11" w16cid:durableId="6935776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29E"/>
    <w:rsid w:val="0000458F"/>
    <w:rsid w:val="000F1299"/>
    <w:rsid w:val="001E0812"/>
    <w:rsid w:val="002431F1"/>
    <w:rsid w:val="002820EC"/>
    <w:rsid w:val="00333BE1"/>
    <w:rsid w:val="0046029E"/>
    <w:rsid w:val="00670A9D"/>
    <w:rsid w:val="006F7119"/>
    <w:rsid w:val="008001B4"/>
    <w:rsid w:val="0096319C"/>
    <w:rsid w:val="00977BB0"/>
    <w:rsid w:val="00A07F87"/>
    <w:rsid w:val="00A504D2"/>
    <w:rsid w:val="00B169FD"/>
    <w:rsid w:val="00B5138E"/>
    <w:rsid w:val="00B8107C"/>
    <w:rsid w:val="00BC3F80"/>
    <w:rsid w:val="00D5049D"/>
    <w:rsid w:val="00DB5D08"/>
    <w:rsid w:val="00E72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3BF97"/>
  <w15:chartTrackingRefBased/>
  <w15:docId w15:val="{9D17606B-8E8F-4577-BFE1-AFE1E600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29E"/>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6029E"/>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6029E"/>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6029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6029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602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2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2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2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29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6029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6029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6029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6029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602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2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2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29E"/>
    <w:rPr>
      <w:rFonts w:eastAsiaTheme="majorEastAsia" w:cstheme="majorBidi"/>
      <w:color w:val="272727" w:themeColor="text1" w:themeTint="D8"/>
    </w:rPr>
  </w:style>
  <w:style w:type="paragraph" w:styleId="Title">
    <w:name w:val="Title"/>
    <w:basedOn w:val="Normal"/>
    <w:next w:val="Normal"/>
    <w:link w:val="TitleChar"/>
    <w:uiPriority w:val="10"/>
    <w:qFormat/>
    <w:rsid w:val="004602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2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2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2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29E"/>
    <w:pPr>
      <w:spacing w:before="160"/>
      <w:jc w:val="center"/>
    </w:pPr>
    <w:rPr>
      <w:i/>
      <w:iCs/>
      <w:color w:val="404040" w:themeColor="text1" w:themeTint="BF"/>
    </w:rPr>
  </w:style>
  <w:style w:type="character" w:customStyle="1" w:styleId="QuoteChar">
    <w:name w:val="Quote Char"/>
    <w:basedOn w:val="DefaultParagraphFont"/>
    <w:link w:val="Quote"/>
    <w:uiPriority w:val="29"/>
    <w:rsid w:val="0046029E"/>
    <w:rPr>
      <w:i/>
      <w:iCs/>
      <w:color w:val="404040" w:themeColor="text1" w:themeTint="BF"/>
    </w:rPr>
  </w:style>
  <w:style w:type="paragraph" w:styleId="ListParagraph">
    <w:name w:val="List Paragraph"/>
    <w:basedOn w:val="Normal"/>
    <w:uiPriority w:val="34"/>
    <w:qFormat/>
    <w:rsid w:val="0046029E"/>
    <w:pPr>
      <w:ind w:left="720"/>
      <w:contextualSpacing/>
    </w:pPr>
  </w:style>
  <w:style w:type="character" w:styleId="IntenseEmphasis">
    <w:name w:val="Intense Emphasis"/>
    <w:basedOn w:val="DefaultParagraphFont"/>
    <w:uiPriority w:val="21"/>
    <w:qFormat/>
    <w:rsid w:val="0046029E"/>
    <w:rPr>
      <w:i/>
      <w:iCs/>
      <w:color w:val="2E74B5" w:themeColor="accent1" w:themeShade="BF"/>
    </w:rPr>
  </w:style>
  <w:style w:type="paragraph" w:styleId="IntenseQuote">
    <w:name w:val="Intense Quote"/>
    <w:basedOn w:val="Normal"/>
    <w:next w:val="Normal"/>
    <w:link w:val="IntenseQuoteChar"/>
    <w:uiPriority w:val="30"/>
    <w:qFormat/>
    <w:rsid w:val="0046029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6029E"/>
    <w:rPr>
      <w:i/>
      <w:iCs/>
      <w:color w:val="2E74B5" w:themeColor="accent1" w:themeShade="BF"/>
    </w:rPr>
  </w:style>
  <w:style w:type="character" w:styleId="IntenseReference">
    <w:name w:val="Intense Reference"/>
    <w:basedOn w:val="DefaultParagraphFont"/>
    <w:uiPriority w:val="32"/>
    <w:qFormat/>
    <w:rsid w:val="0046029E"/>
    <w:rPr>
      <w:b/>
      <w:bCs/>
      <w:smallCaps/>
      <w:color w:val="2E74B5" w:themeColor="accent1" w:themeShade="BF"/>
      <w:spacing w:val="5"/>
    </w:rPr>
  </w:style>
  <w:style w:type="character" w:styleId="Hyperlink">
    <w:name w:val="Hyperlink"/>
    <w:basedOn w:val="DefaultParagraphFont"/>
    <w:uiPriority w:val="99"/>
    <w:unhideWhenUsed/>
    <w:rsid w:val="00A504D2"/>
    <w:rPr>
      <w:color w:val="0563C1" w:themeColor="hyperlink"/>
      <w:u w:val="single"/>
    </w:rPr>
  </w:style>
  <w:style w:type="character" w:styleId="UnresolvedMention">
    <w:name w:val="Unresolved Mention"/>
    <w:basedOn w:val="DefaultParagraphFont"/>
    <w:uiPriority w:val="99"/>
    <w:semiHidden/>
    <w:unhideWhenUsed/>
    <w:rsid w:val="00A504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 TargetMode="External"/><Relationship Id="rId12" Type="http://schemas.openxmlformats.org/officeDocument/2006/relationships/hyperlink" Target="https://www.towerhamlets.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ofcom.org.uk" TargetMode="External"/><Relationship Id="rId5" Type="http://schemas.openxmlformats.org/officeDocument/2006/relationships/image" Target="media/image1.png"/><Relationship Id="rId10" Type="http://schemas.openxmlformats.org/officeDocument/2006/relationships/hyperlink" Target="https://www.norfolk.gov.uk" TargetMode="External"/><Relationship Id="rId4" Type="http://schemas.openxmlformats.org/officeDocument/2006/relationships/webSettings" Target="webSettings.xml"/><Relationship Id="rId9" Type="http://schemas.openxmlformats.org/officeDocument/2006/relationships/hyperlink" Target="https://www.leeds.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2262</Words>
  <Characters>12896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Mário João</dc:creator>
  <cp:keywords/>
  <dc:description/>
  <cp:lastModifiedBy>Margarida Ferreira</cp:lastModifiedBy>
  <cp:revision>12</cp:revision>
  <dcterms:created xsi:type="dcterms:W3CDTF">2026-04-16T16:21:00Z</dcterms:created>
  <dcterms:modified xsi:type="dcterms:W3CDTF">2026-04-22T15:09:00Z</dcterms:modified>
</cp:coreProperties>
</file>