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C1C309" w14:textId="7C83CF5C" w:rsidR="001C34A8" w:rsidRPr="00475FA7" w:rsidRDefault="001C34A8" w:rsidP="001C34A8">
      <w:pPr>
        <w:rPr>
          <w:rFonts w:ascii="Times New Roman" w:hAnsi="Times New Roman" w:cs="Times New Roman"/>
        </w:rPr>
      </w:pPr>
      <w:r w:rsidRPr="00475FA7">
        <w:rPr>
          <w:rFonts w:ascii="Times New Roman" w:hAnsi="Times New Roman" w:cs="Times New Roman"/>
        </w:rPr>
        <w:t xml:space="preserve">Critically outline the main historical, political, and religious events that occurred in Jerusalem and Masada between 66-73 CE. </w:t>
      </w:r>
    </w:p>
    <w:p w14:paraId="67B7011E" w14:textId="72B2D01C" w:rsidR="000C40F7" w:rsidRPr="00475FA7" w:rsidRDefault="000C40F7" w:rsidP="001C34A8">
      <w:pPr>
        <w:rPr>
          <w:rFonts w:ascii="Times New Roman" w:hAnsi="Times New Roman" w:cs="Times New Roman"/>
        </w:rPr>
      </w:pPr>
    </w:p>
    <w:p w14:paraId="3D8475F6" w14:textId="6F1235BD" w:rsidR="00BB4EDA" w:rsidRPr="00475FA7" w:rsidRDefault="00BB4EDA" w:rsidP="00475FA7">
      <w:pPr>
        <w:spacing w:line="480" w:lineRule="auto"/>
        <w:rPr>
          <w:rFonts w:ascii="Times New Roman" w:hAnsi="Times New Roman" w:cs="Times New Roman"/>
          <w:u w:val="single"/>
        </w:rPr>
      </w:pPr>
    </w:p>
    <w:p w14:paraId="28A47452" w14:textId="29B0A7E3" w:rsidR="00BB4EDA" w:rsidRPr="00475FA7" w:rsidRDefault="00BB4EDA" w:rsidP="00475FA7">
      <w:pPr>
        <w:spacing w:line="480" w:lineRule="auto"/>
        <w:rPr>
          <w:rFonts w:ascii="Times New Roman" w:hAnsi="Times New Roman" w:cs="Times New Roman"/>
        </w:rPr>
      </w:pPr>
      <w:r w:rsidRPr="00475FA7">
        <w:rPr>
          <w:rFonts w:ascii="Times New Roman" w:hAnsi="Times New Roman" w:cs="Times New Roman"/>
        </w:rPr>
        <w:t xml:space="preserve">This essay will discuss the religious, political and Historical importance of the events between the years 66-73/4 CE. As political importance is often linked to religion and history within this period of time, the essay shall address religious and historical importance separately, but endeavour to weave political events into this analysis. The following analysis will focus on how the destruction of Jerusalem affected the Judaic practices and people, as well as how the different religious factions within Jerusalem affected the </w:t>
      </w:r>
      <w:r w:rsidR="00FD228E" w:rsidRPr="00475FA7">
        <w:rPr>
          <w:rFonts w:ascii="Times New Roman" w:hAnsi="Times New Roman" w:cs="Times New Roman"/>
        </w:rPr>
        <w:t>city’s</w:t>
      </w:r>
      <w:r w:rsidRPr="00475FA7">
        <w:rPr>
          <w:rFonts w:ascii="Times New Roman" w:hAnsi="Times New Roman" w:cs="Times New Roman"/>
        </w:rPr>
        <w:t xml:space="preserve"> collapse. The essay will also focus on the importance of </w:t>
      </w:r>
      <w:r w:rsidR="00FD228E" w:rsidRPr="00475FA7">
        <w:rPr>
          <w:rFonts w:ascii="Times New Roman" w:hAnsi="Times New Roman" w:cs="Times New Roman"/>
        </w:rPr>
        <w:t>Jerusalem’s</w:t>
      </w:r>
      <w:r w:rsidRPr="00475FA7">
        <w:rPr>
          <w:rFonts w:ascii="Times New Roman" w:hAnsi="Times New Roman" w:cs="Times New Roman"/>
        </w:rPr>
        <w:t xml:space="preserve"> fall to wider Roman and Judaic history. The second half of this essay will address </w:t>
      </w:r>
      <w:r w:rsidR="00FD228E" w:rsidRPr="00475FA7">
        <w:rPr>
          <w:rFonts w:ascii="Times New Roman" w:hAnsi="Times New Roman" w:cs="Times New Roman"/>
        </w:rPr>
        <w:t>Masada</w:t>
      </w:r>
      <w:r w:rsidRPr="00475FA7">
        <w:rPr>
          <w:rFonts w:ascii="Times New Roman" w:hAnsi="Times New Roman" w:cs="Times New Roman"/>
        </w:rPr>
        <w:t xml:space="preserve">, as religiously important event, as well as a historical event. Discussion surrounding Masada shall </w:t>
      </w:r>
      <w:r w:rsidR="00FD228E" w:rsidRPr="00475FA7">
        <w:rPr>
          <w:rFonts w:ascii="Times New Roman" w:hAnsi="Times New Roman" w:cs="Times New Roman"/>
        </w:rPr>
        <w:t>consider</w:t>
      </w:r>
      <w:r w:rsidRPr="00475FA7">
        <w:rPr>
          <w:rFonts w:ascii="Times New Roman" w:hAnsi="Times New Roman" w:cs="Times New Roman"/>
        </w:rPr>
        <w:t xml:space="preserve"> the importance of Josephus’ account, as </w:t>
      </w:r>
      <w:r w:rsidR="00FD228E" w:rsidRPr="00475FA7">
        <w:rPr>
          <w:rFonts w:ascii="Times New Roman" w:hAnsi="Times New Roman" w:cs="Times New Roman"/>
        </w:rPr>
        <w:t>well</w:t>
      </w:r>
      <w:r w:rsidRPr="00475FA7">
        <w:rPr>
          <w:rFonts w:ascii="Times New Roman" w:hAnsi="Times New Roman" w:cs="Times New Roman"/>
        </w:rPr>
        <w:t xml:space="preserve"> as </w:t>
      </w:r>
      <w:r w:rsidR="00FD228E" w:rsidRPr="00475FA7">
        <w:rPr>
          <w:rFonts w:ascii="Times New Roman" w:hAnsi="Times New Roman" w:cs="Times New Roman"/>
        </w:rPr>
        <w:t>his</w:t>
      </w:r>
      <w:r w:rsidRPr="00475FA7">
        <w:rPr>
          <w:rFonts w:ascii="Times New Roman" w:hAnsi="Times New Roman" w:cs="Times New Roman"/>
        </w:rPr>
        <w:t xml:space="preserve"> biases </w:t>
      </w:r>
      <w:r w:rsidR="00FD228E" w:rsidRPr="00475FA7">
        <w:rPr>
          <w:rFonts w:ascii="Times New Roman" w:hAnsi="Times New Roman" w:cs="Times New Roman"/>
        </w:rPr>
        <w:t>and reception through scholarship. This will be contrasted to contemporary attitudes to the event and its ability to impact wider history for Roman and Judaic audiences</w:t>
      </w:r>
    </w:p>
    <w:p w14:paraId="7439B380" w14:textId="410CEBA5" w:rsidR="002D60EE" w:rsidRPr="00475FA7" w:rsidRDefault="002D60EE" w:rsidP="00475FA7">
      <w:pPr>
        <w:spacing w:line="480" w:lineRule="auto"/>
        <w:rPr>
          <w:rFonts w:ascii="Times New Roman" w:hAnsi="Times New Roman" w:cs="Times New Roman"/>
          <w:sz w:val="26"/>
          <w:szCs w:val="26"/>
        </w:rPr>
      </w:pPr>
    </w:p>
    <w:p w14:paraId="27B8F149" w14:textId="198BD969" w:rsidR="00831712" w:rsidRPr="00475FA7" w:rsidRDefault="00831712" w:rsidP="00475FA7">
      <w:pPr>
        <w:spacing w:line="480" w:lineRule="auto"/>
        <w:rPr>
          <w:rFonts w:ascii="Times New Roman" w:hAnsi="Times New Roman" w:cs="Times New Roman"/>
          <w:sz w:val="28"/>
          <w:szCs w:val="28"/>
          <w:u w:val="single"/>
        </w:rPr>
      </w:pPr>
      <w:r w:rsidRPr="00475FA7">
        <w:rPr>
          <w:rFonts w:ascii="Times New Roman" w:hAnsi="Times New Roman" w:cs="Times New Roman"/>
          <w:sz w:val="28"/>
          <w:szCs w:val="28"/>
          <w:u w:val="single"/>
        </w:rPr>
        <w:t>Jerusalem</w:t>
      </w:r>
      <w:r w:rsidR="00475FA7" w:rsidRPr="00475FA7">
        <w:rPr>
          <w:rFonts w:ascii="Times New Roman" w:hAnsi="Times New Roman" w:cs="Times New Roman"/>
          <w:sz w:val="28"/>
          <w:szCs w:val="28"/>
          <w:u w:val="single"/>
        </w:rPr>
        <w:t>:</w:t>
      </w:r>
      <w:r w:rsidRPr="00475FA7">
        <w:rPr>
          <w:rFonts w:ascii="Times New Roman" w:hAnsi="Times New Roman" w:cs="Times New Roman"/>
          <w:sz w:val="28"/>
          <w:szCs w:val="28"/>
          <w:u w:val="single"/>
        </w:rPr>
        <w:t xml:space="preserve"> </w:t>
      </w:r>
      <w:r w:rsidR="00475FA7" w:rsidRPr="00475FA7">
        <w:rPr>
          <w:rFonts w:ascii="Times New Roman" w:hAnsi="Times New Roman" w:cs="Times New Roman"/>
          <w:sz w:val="28"/>
          <w:szCs w:val="28"/>
          <w:u w:val="single"/>
        </w:rPr>
        <w:t>R</w:t>
      </w:r>
      <w:r w:rsidRPr="00475FA7">
        <w:rPr>
          <w:rFonts w:ascii="Times New Roman" w:hAnsi="Times New Roman" w:cs="Times New Roman"/>
          <w:sz w:val="28"/>
          <w:szCs w:val="28"/>
          <w:u w:val="single"/>
        </w:rPr>
        <w:t xml:space="preserve">eligious and </w:t>
      </w:r>
      <w:r w:rsidR="00475FA7" w:rsidRPr="00475FA7">
        <w:rPr>
          <w:rFonts w:ascii="Times New Roman" w:hAnsi="Times New Roman" w:cs="Times New Roman"/>
          <w:sz w:val="28"/>
          <w:szCs w:val="28"/>
          <w:u w:val="single"/>
        </w:rPr>
        <w:t>P</w:t>
      </w:r>
      <w:r w:rsidRPr="00475FA7">
        <w:rPr>
          <w:rFonts w:ascii="Times New Roman" w:hAnsi="Times New Roman" w:cs="Times New Roman"/>
          <w:sz w:val="28"/>
          <w:szCs w:val="28"/>
          <w:u w:val="single"/>
        </w:rPr>
        <w:t xml:space="preserve">olitical </w:t>
      </w:r>
      <w:r w:rsidR="00475FA7" w:rsidRPr="00475FA7">
        <w:rPr>
          <w:rFonts w:ascii="Times New Roman" w:hAnsi="Times New Roman" w:cs="Times New Roman"/>
          <w:sz w:val="28"/>
          <w:szCs w:val="28"/>
          <w:u w:val="single"/>
        </w:rPr>
        <w:t>I</w:t>
      </w:r>
      <w:r w:rsidRPr="00475FA7">
        <w:rPr>
          <w:rFonts w:ascii="Times New Roman" w:hAnsi="Times New Roman" w:cs="Times New Roman"/>
          <w:sz w:val="28"/>
          <w:szCs w:val="28"/>
          <w:u w:val="single"/>
        </w:rPr>
        <w:t>mportance</w:t>
      </w:r>
    </w:p>
    <w:p w14:paraId="31A5850F" w14:textId="77777777" w:rsidR="00164799" w:rsidRPr="00475FA7" w:rsidRDefault="00164799" w:rsidP="00475FA7">
      <w:pPr>
        <w:spacing w:line="480" w:lineRule="auto"/>
        <w:rPr>
          <w:rFonts w:ascii="Times New Roman" w:hAnsi="Times New Roman" w:cs="Times New Roman"/>
          <w:u w:val="single"/>
        </w:rPr>
      </w:pPr>
    </w:p>
    <w:p w14:paraId="605C1E4B" w14:textId="20DB6D9A" w:rsidR="002138C8" w:rsidRPr="00475FA7" w:rsidRDefault="002138C8" w:rsidP="00475FA7">
      <w:pPr>
        <w:spacing w:line="480" w:lineRule="auto"/>
        <w:rPr>
          <w:rFonts w:ascii="Times New Roman" w:hAnsi="Times New Roman" w:cs="Times New Roman"/>
        </w:rPr>
      </w:pPr>
      <w:r w:rsidRPr="00475FA7">
        <w:rPr>
          <w:rFonts w:ascii="Times New Roman" w:hAnsi="Times New Roman" w:cs="Times New Roman"/>
        </w:rPr>
        <w:t>One of the major religious and political catalysts for the first Jewish revolt during 66-70 CE was the building civil unrest of the Judaic communities within Jerusalem. Scholarship has previously debated whether it was the fault of the romans or the Jews that the revolt started in 66 CE</w:t>
      </w:r>
      <w:r w:rsidRPr="00475FA7">
        <w:rPr>
          <w:rStyle w:val="FootnoteReference"/>
          <w:rFonts w:ascii="Times New Roman" w:hAnsi="Times New Roman" w:cs="Times New Roman"/>
        </w:rPr>
        <w:footnoteReference w:id="1"/>
      </w:r>
      <w:r w:rsidRPr="00475FA7">
        <w:rPr>
          <w:rFonts w:ascii="Times New Roman" w:hAnsi="Times New Roman" w:cs="Times New Roman"/>
        </w:rPr>
        <w:t>, but recent modern scholarships generally agrees that the revolt was broadly caused by Judaic animosity towards the poor Roman leadership of the Province</w:t>
      </w:r>
      <w:r w:rsidRPr="00475FA7">
        <w:rPr>
          <w:rStyle w:val="FootnoteReference"/>
          <w:rFonts w:ascii="Times New Roman" w:hAnsi="Times New Roman" w:cs="Times New Roman"/>
        </w:rPr>
        <w:footnoteReference w:id="2"/>
      </w:r>
      <w:r w:rsidRPr="00475FA7">
        <w:rPr>
          <w:rFonts w:ascii="Times New Roman" w:hAnsi="Times New Roman" w:cs="Times New Roman"/>
        </w:rPr>
        <w:t xml:space="preserve">, but that internal </w:t>
      </w:r>
      <w:r w:rsidRPr="00475FA7">
        <w:rPr>
          <w:rFonts w:ascii="Times New Roman" w:hAnsi="Times New Roman" w:cs="Times New Roman"/>
        </w:rPr>
        <w:lastRenderedPageBreak/>
        <w:t>tension of the city was aggravated by the failing leadership by the ruling Judaic nobility</w:t>
      </w:r>
      <w:r w:rsidRPr="00475FA7">
        <w:rPr>
          <w:rStyle w:val="FootnoteReference"/>
          <w:rFonts w:ascii="Times New Roman" w:hAnsi="Times New Roman" w:cs="Times New Roman"/>
        </w:rPr>
        <w:footnoteReference w:id="3"/>
      </w:r>
      <w:r w:rsidRPr="00475FA7">
        <w:rPr>
          <w:rFonts w:ascii="Times New Roman" w:hAnsi="Times New Roman" w:cs="Times New Roman"/>
        </w:rPr>
        <w:t>. This has created an understanding for most modern scholars that both Roman and Jewish Ruling classes in the 50’s and 60s, caused the civil unrest that resulted in the ensuing revolt and war</w:t>
      </w:r>
      <w:r w:rsidRPr="00475FA7">
        <w:rPr>
          <w:rStyle w:val="FootnoteReference"/>
          <w:rFonts w:ascii="Times New Roman" w:hAnsi="Times New Roman" w:cs="Times New Roman"/>
        </w:rPr>
        <w:footnoteReference w:id="4"/>
      </w:r>
      <w:r w:rsidRPr="00475FA7">
        <w:rPr>
          <w:rFonts w:ascii="Times New Roman" w:hAnsi="Times New Roman" w:cs="Times New Roman"/>
        </w:rPr>
        <w:t>. Scholarship notes that the failures of the romans, often lie with the incompetence and selfish interest of the generals and governors left to run Judea</w:t>
      </w:r>
      <w:r w:rsidRPr="00475FA7">
        <w:rPr>
          <w:rStyle w:val="FootnoteReference"/>
          <w:rFonts w:ascii="Times New Roman" w:hAnsi="Times New Roman" w:cs="Times New Roman"/>
        </w:rPr>
        <w:footnoteReference w:id="5"/>
      </w:r>
      <w:r w:rsidRPr="00475FA7">
        <w:rPr>
          <w:rFonts w:ascii="Times New Roman" w:hAnsi="Times New Roman" w:cs="Times New Roman"/>
        </w:rPr>
        <w:t>. The poor leadership was seen even by other roman leadership, with the roman legate of Syria Cestius Gallus, even writing to Nero to stress the rising tension and the threat that it posed towards Roman Rule</w:t>
      </w:r>
      <w:r w:rsidRPr="00475FA7">
        <w:rPr>
          <w:rStyle w:val="FootnoteReference"/>
          <w:rFonts w:ascii="Times New Roman" w:hAnsi="Times New Roman" w:cs="Times New Roman"/>
        </w:rPr>
        <w:footnoteReference w:id="6"/>
      </w:r>
      <w:r w:rsidRPr="00475FA7">
        <w:rPr>
          <w:rFonts w:ascii="Times New Roman" w:hAnsi="Times New Roman" w:cs="Times New Roman"/>
        </w:rPr>
        <w:t>. The comparative failures of the ruling Judaic class created three different religious factions that constantly battled each other, as well as the Roman forces</w:t>
      </w:r>
      <w:r w:rsidRPr="00475FA7">
        <w:rPr>
          <w:rStyle w:val="FootnoteReference"/>
          <w:rFonts w:ascii="Times New Roman" w:hAnsi="Times New Roman" w:cs="Times New Roman"/>
        </w:rPr>
        <w:footnoteReference w:id="7"/>
      </w:r>
      <w:r w:rsidRPr="00475FA7">
        <w:rPr>
          <w:rFonts w:ascii="Times New Roman" w:hAnsi="Times New Roman" w:cs="Times New Roman"/>
        </w:rPr>
        <w:t>. Grabbe notes that the in-fighting of the Jews initially seems puzzling, but the different sects of Judaism were keen to establish their own ideologies within the city, and fought any who opposed them, Roman or Jew</w:t>
      </w:r>
      <w:r w:rsidRPr="00475FA7">
        <w:rPr>
          <w:rStyle w:val="FootnoteReference"/>
          <w:rFonts w:ascii="Times New Roman" w:hAnsi="Times New Roman" w:cs="Times New Roman"/>
        </w:rPr>
        <w:footnoteReference w:id="8"/>
      </w:r>
      <w:r w:rsidRPr="00475FA7">
        <w:rPr>
          <w:rFonts w:ascii="Times New Roman" w:hAnsi="Times New Roman" w:cs="Times New Roman"/>
        </w:rPr>
        <w:t>. This is notable in a group called the Zealots, which appeared during the civil war and whose goals appear to have changed from defeating the Roman leadership, to becoming the leaders themselves</w:t>
      </w:r>
      <w:r w:rsidRPr="00475FA7">
        <w:rPr>
          <w:rStyle w:val="FootnoteReference"/>
          <w:rFonts w:ascii="Times New Roman" w:hAnsi="Times New Roman" w:cs="Times New Roman"/>
        </w:rPr>
        <w:footnoteReference w:id="9"/>
      </w:r>
      <w:r w:rsidRPr="00475FA7">
        <w:rPr>
          <w:rFonts w:ascii="Times New Roman" w:hAnsi="Times New Roman" w:cs="Times New Roman"/>
        </w:rPr>
        <w:t>. Josephus’ mention of the prophecies that the Jews received upon the temple mount implies that the Jews believed the Romans were unable to defeat them based on their belief that their God would protect them in their holy city</w:t>
      </w:r>
      <w:r w:rsidRPr="00475FA7">
        <w:rPr>
          <w:rStyle w:val="FootnoteReference"/>
          <w:rFonts w:ascii="Times New Roman" w:hAnsi="Times New Roman" w:cs="Times New Roman"/>
        </w:rPr>
        <w:footnoteReference w:id="10"/>
      </w:r>
      <w:r w:rsidRPr="00475FA7">
        <w:rPr>
          <w:rFonts w:ascii="Times New Roman" w:hAnsi="Times New Roman" w:cs="Times New Roman"/>
        </w:rPr>
        <w:t>. The infighting of the Judaic factions caused multiple issues for the rebellion weakening the overall forces and ultimately causing its failure</w:t>
      </w:r>
      <w:r w:rsidRPr="00475FA7">
        <w:rPr>
          <w:rStyle w:val="FootnoteReference"/>
          <w:rFonts w:ascii="Times New Roman" w:hAnsi="Times New Roman" w:cs="Times New Roman"/>
        </w:rPr>
        <w:footnoteReference w:id="11"/>
      </w:r>
      <w:r w:rsidRPr="00475FA7">
        <w:rPr>
          <w:rFonts w:ascii="Times New Roman" w:hAnsi="Times New Roman" w:cs="Times New Roman"/>
        </w:rPr>
        <w:t>.</w:t>
      </w:r>
    </w:p>
    <w:p w14:paraId="4446E782" w14:textId="6F2C454F" w:rsidR="002138C8" w:rsidRPr="00475FA7" w:rsidRDefault="002138C8" w:rsidP="00475FA7">
      <w:pPr>
        <w:spacing w:line="480" w:lineRule="auto"/>
        <w:rPr>
          <w:rFonts w:ascii="Times New Roman" w:hAnsi="Times New Roman" w:cs="Times New Roman"/>
        </w:rPr>
      </w:pPr>
    </w:p>
    <w:p w14:paraId="106BD4CC" w14:textId="77777777" w:rsidR="002138C8" w:rsidRPr="00475FA7" w:rsidRDefault="002138C8" w:rsidP="00475FA7">
      <w:pPr>
        <w:spacing w:line="480" w:lineRule="auto"/>
        <w:rPr>
          <w:rFonts w:ascii="Times New Roman" w:hAnsi="Times New Roman" w:cs="Times New Roman"/>
        </w:rPr>
      </w:pPr>
    </w:p>
    <w:p w14:paraId="6BE98A87" w14:textId="77777777" w:rsidR="0021624A" w:rsidRPr="00475FA7" w:rsidRDefault="0021624A" w:rsidP="00475FA7">
      <w:pPr>
        <w:spacing w:line="480" w:lineRule="auto"/>
        <w:rPr>
          <w:rFonts w:ascii="Times New Roman" w:hAnsi="Times New Roman" w:cs="Times New Roman"/>
        </w:rPr>
      </w:pPr>
      <w:r w:rsidRPr="00475FA7">
        <w:rPr>
          <w:rFonts w:ascii="Times New Roman" w:hAnsi="Times New Roman" w:cs="Times New Roman"/>
        </w:rPr>
        <w:lastRenderedPageBreak/>
        <w:t>With the backdrop of the Jewish civil war, the Roman invasion had consistently maintained the upper hand throughout the fight. The revolt itself began in 66CE when the Jews suspended the sacrifices to the emperor and the romans took it as a sign of a revolt</w:t>
      </w:r>
      <w:r w:rsidRPr="00475FA7">
        <w:rPr>
          <w:rStyle w:val="FootnoteReference"/>
          <w:rFonts w:ascii="Times New Roman" w:hAnsi="Times New Roman" w:cs="Times New Roman"/>
        </w:rPr>
        <w:footnoteReference w:id="12"/>
      </w:r>
      <w:r w:rsidRPr="00475FA7">
        <w:rPr>
          <w:rFonts w:ascii="Times New Roman" w:hAnsi="Times New Roman" w:cs="Times New Roman"/>
        </w:rPr>
        <w:t>. Nero sent Vespasian to Syria after losing faith in the previous legate Cestius Gallus</w:t>
      </w:r>
      <w:r w:rsidRPr="00475FA7">
        <w:rPr>
          <w:rStyle w:val="FootnoteReference"/>
          <w:rFonts w:ascii="Times New Roman" w:hAnsi="Times New Roman" w:cs="Times New Roman"/>
        </w:rPr>
        <w:footnoteReference w:id="13"/>
      </w:r>
      <w:r w:rsidRPr="00475FA7">
        <w:rPr>
          <w:rFonts w:ascii="Times New Roman" w:hAnsi="Times New Roman" w:cs="Times New Roman"/>
        </w:rPr>
        <w:t xml:space="preserve"> , and he was now tasked with the problem of settling the Revolt. Although Vespasian had faced mostly victories against Jewish resistance within the province, he felt no great need to enter the city of Jerusalem</w:t>
      </w:r>
      <w:r w:rsidRPr="00475FA7">
        <w:rPr>
          <w:rStyle w:val="FootnoteReference"/>
          <w:rFonts w:ascii="Times New Roman" w:hAnsi="Times New Roman" w:cs="Times New Roman"/>
        </w:rPr>
        <w:footnoteReference w:id="14"/>
      </w:r>
      <w:r w:rsidRPr="00475FA7">
        <w:rPr>
          <w:rFonts w:ascii="Times New Roman" w:hAnsi="Times New Roman" w:cs="Times New Roman"/>
        </w:rPr>
        <w:t>. The long lasting tension ensured Vespasian that whilst the city needed to be brought under controll, he would not face a unified attack from the Jews whilst he proclaimed himself emperor in 69 CE and left for Rome</w:t>
      </w:r>
      <w:r w:rsidRPr="00475FA7">
        <w:rPr>
          <w:rStyle w:val="FootnoteReference"/>
          <w:rFonts w:ascii="Times New Roman" w:hAnsi="Times New Roman" w:cs="Times New Roman"/>
        </w:rPr>
        <w:footnoteReference w:id="15"/>
      </w:r>
      <w:r w:rsidRPr="00475FA7">
        <w:rPr>
          <w:rFonts w:ascii="Times New Roman" w:hAnsi="Times New Roman" w:cs="Times New Roman"/>
        </w:rPr>
        <w:t>. His son Titus was sent to finally end the Rebellion on 70CE</w:t>
      </w:r>
      <w:r w:rsidRPr="00475FA7">
        <w:rPr>
          <w:rStyle w:val="FootnoteReference"/>
          <w:rFonts w:ascii="Times New Roman" w:hAnsi="Times New Roman" w:cs="Times New Roman"/>
        </w:rPr>
        <w:footnoteReference w:id="16"/>
      </w:r>
      <w:r w:rsidRPr="00475FA7">
        <w:rPr>
          <w:rFonts w:ascii="Times New Roman" w:hAnsi="Times New Roman" w:cs="Times New Roman"/>
        </w:rPr>
        <w:t>, a decision that would had a profound effect on the basis of Judaism</w:t>
      </w:r>
      <w:r w:rsidRPr="00475FA7">
        <w:rPr>
          <w:rStyle w:val="FootnoteReference"/>
          <w:rFonts w:ascii="Times New Roman" w:hAnsi="Times New Roman" w:cs="Times New Roman"/>
        </w:rPr>
        <w:footnoteReference w:id="17"/>
      </w:r>
      <w:r w:rsidRPr="00475FA7">
        <w:rPr>
          <w:rFonts w:ascii="Times New Roman" w:hAnsi="Times New Roman" w:cs="Times New Roman"/>
        </w:rPr>
        <w:t>. At the end of the blocked of the city Titus destroyed the temple, along with much of the city</w:t>
      </w:r>
      <w:r w:rsidRPr="00475FA7">
        <w:rPr>
          <w:rStyle w:val="FootnoteReference"/>
          <w:rFonts w:ascii="Times New Roman" w:hAnsi="Times New Roman" w:cs="Times New Roman"/>
        </w:rPr>
        <w:footnoteReference w:id="18"/>
      </w:r>
      <w:r w:rsidRPr="00475FA7">
        <w:rPr>
          <w:rFonts w:ascii="Times New Roman" w:hAnsi="Times New Roman" w:cs="Times New Roman"/>
        </w:rPr>
        <w:t>. After the destruction of the Temple itself the cult disappeared and was replaced with the Rabinnic practices, where the study of Judaism became an integral part of the faith</w:t>
      </w:r>
      <w:r w:rsidRPr="00475FA7">
        <w:rPr>
          <w:rStyle w:val="FootnoteReference"/>
          <w:rFonts w:ascii="Times New Roman" w:hAnsi="Times New Roman" w:cs="Times New Roman"/>
        </w:rPr>
        <w:footnoteReference w:id="19"/>
      </w:r>
      <w:r w:rsidRPr="00475FA7">
        <w:rPr>
          <w:rFonts w:ascii="Times New Roman" w:hAnsi="Times New Roman" w:cs="Times New Roman"/>
        </w:rPr>
        <w:t>. This ultimetely menat that the religious groups of the Zealots the Qumran, Essenes, Sadducees and the priesthood faded out as the connection to the temple was destroyed</w:t>
      </w:r>
      <w:r w:rsidRPr="00475FA7">
        <w:rPr>
          <w:rStyle w:val="FootnoteReference"/>
          <w:rFonts w:ascii="Times New Roman" w:hAnsi="Times New Roman" w:cs="Times New Roman"/>
        </w:rPr>
        <w:footnoteReference w:id="20"/>
      </w:r>
    </w:p>
    <w:p w14:paraId="797440B2" w14:textId="77777777" w:rsidR="0021624A" w:rsidRPr="00475FA7" w:rsidRDefault="0021624A" w:rsidP="00475FA7">
      <w:pPr>
        <w:spacing w:line="480" w:lineRule="auto"/>
        <w:rPr>
          <w:rFonts w:ascii="Times New Roman" w:hAnsi="Times New Roman" w:cs="Times New Roman"/>
        </w:rPr>
      </w:pPr>
    </w:p>
    <w:p w14:paraId="7BE2DCFA" w14:textId="1D087002" w:rsidR="0021624A" w:rsidRPr="00475FA7" w:rsidRDefault="0021624A" w:rsidP="00475FA7">
      <w:pPr>
        <w:spacing w:line="480" w:lineRule="auto"/>
        <w:rPr>
          <w:rFonts w:ascii="Times New Roman" w:hAnsi="Times New Roman" w:cs="Times New Roman"/>
        </w:rPr>
      </w:pPr>
      <w:r w:rsidRPr="00475FA7">
        <w:rPr>
          <w:rFonts w:ascii="Times New Roman" w:hAnsi="Times New Roman" w:cs="Times New Roman"/>
        </w:rPr>
        <w:t>There is some debate on the exact date of the temple’s destruction, as it relates to religious synergy. Josephus records destruction of the second temple as the 10</w:t>
      </w:r>
      <w:r w:rsidRPr="00475FA7">
        <w:rPr>
          <w:rFonts w:ascii="Times New Roman" w:hAnsi="Times New Roman" w:cs="Times New Roman"/>
          <w:vertAlign w:val="superscript"/>
        </w:rPr>
        <w:t>th</w:t>
      </w:r>
      <w:r w:rsidRPr="00475FA7">
        <w:rPr>
          <w:rFonts w:ascii="Times New Roman" w:hAnsi="Times New Roman" w:cs="Times New Roman"/>
        </w:rPr>
        <w:t xml:space="preserve"> of Av, a date he attests is the same as the first temples destruction</w:t>
      </w:r>
      <w:r w:rsidRPr="00475FA7">
        <w:rPr>
          <w:rStyle w:val="FootnoteReference"/>
          <w:rFonts w:ascii="Times New Roman" w:hAnsi="Times New Roman" w:cs="Times New Roman"/>
        </w:rPr>
        <w:footnoteReference w:id="21"/>
      </w:r>
      <w:r w:rsidRPr="00475FA7">
        <w:rPr>
          <w:rFonts w:ascii="Times New Roman" w:hAnsi="Times New Roman" w:cs="Times New Roman"/>
        </w:rPr>
        <w:t xml:space="preserve">. This creates an analogous relationship between the two events, giving grounds to the argument that the destruction was a punishment of God </w:t>
      </w:r>
      <w:r w:rsidRPr="00475FA7">
        <w:rPr>
          <w:rFonts w:ascii="Times New Roman" w:hAnsi="Times New Roman" w:cs="Times New Roman"/>
        </w:rPr>
        <w:lastRenderedPageBreak/>
        <w:t>for the sins of the rebels</w:t>
      </w:r>
      <w:r w:rsidRPr="00475FA7">
        <w:rPr>
          <w:rStyle w:val="FootnoteReference"/>
          <w:rFonts w:ascii="Times New Roman" w:hAnsi="Times New Roman" w:cs="Times New Roman"/>
        </w:rPr>
        <w:footnoteReference w:id="22"/>
      </w:r>
      <w:r w:rsidRPr="00475FA7">
        <w:rPr>
          <w:rFonts w:ascii="Times New Roman" w:hAnsi="Times New Roman" w:cs="Times New Roman"/>
        </w:rPr>
        <w:t>. The Mishnah places the destruction on the 9</w:t>
      </w:r>
      <w:r w:rsidRPr="00475FA7">
        <w:rPr>
          <w:rFonts w:ascii="Times New Roman" w:hAnsi="Times New Roman" w:cs="Times New Roman"/>
          <w:vertAlign w:val="superscript"/>
        </w:rPr>
        <w:t>th</w:t>
      </w:r>
      <w:r w:rsidRPr="00475FA7">
        <w:rPr>
          <w:rFonts w:ascii="Times New Roman" w:hAnsi="Times New Roman" w:cs="Times New Roman"/>
        </w:rPr>
        <w:t xml:space="preserve"> of Av, and claims this is the date of both temples’ destruction</w:t>
      </w:r>
      <w:r w:rsidRPr="00475FA7">
        <w:rPr>
          <w:rStyle w:val="FootnoteReference"/>
          <w:rFonts w:ascii="Times New Roman" w:hAnsi="Times New Roman" w:cs="Times New Roman"/>
        </w:rPr>
        <w:footnoteReference w:id="23"/>
      </w:r>
      <w:r w:rsidRPr="00475FA7">
        <w:rPr>
          <w:rFonts w:ascii="Times New Roman" w:hAnsi="Times New Roman" w:cs="Times New Roman"/>
        </w:rPr>
        <w:t>. Josephus’ claim of the 10th seems more credible as his account is corroborated by the account in Jeremiah</w:t>
      </w:r>
      <w:r w:rsidRPr="00475FA7">
        <w:rPr>
          <w:rStyle w:val="FootnoteReference"/>
          <w:rFonts w:ascii="Times New Roman" w:hAnsi="Times New Roman" w:cs="Times New Roman"/>
        </w:rPr>
        <w:footnoteReference w:id="24"/>
      </w:r>
      <w:r w:rsidRPr="00475FA7">
        <w:rPr>
          <w:rFonts w:ascii="Times New Roman" w:hAnsi="Times New Roman" w:cs="Times New Roman"/>
        </w:rPr>
        <w:t>, as well as the fact that Josephus was a witness to the events, and the Jewish tradition was collated 150 years later</w:t>
      </w:r>
      <w:r w:rsidRPr="00475FA7">
        <w:rPr>
          <w:rStyle w:val="FootnoteReference"/>
          <w:rFonts w:ascii="Times New Roman" w:hAnsi="Times New Roman" w:cs="Times New Roman"/>
        </w:rPr>
        <w:footnoteReference w:id="25"/>
      </w:r>
      <w:r w:rsidRPr="00475FA7">
        <w:rPr>
          <w:rFonts w:ascii="Times New Roman" w:hAnsi="Times New Roman" w:cs="Times New Roman"/>
        </w:rPr>
        <w:t>. Regardless of the exact date it is clear that many of the proceeding Jews and Christians viewed this destruction as a divine punish from God for sins of Jerusalem. This destruction was prophesised in Jeremiahs temple sermon, a piece frequently alluded to by later Jews and Christians</w:t>
      </w:r>
      <w:r w:rsidRPr="00475FA7">
        <w:rPr>
          <w:rStyle w:val="FootnoteReference"/>
          <w:rFonts w:ascii="Times New Roman" w:hAnsi="Times New Roman" w:cs="Times New Roman"/>
        </w:rPr>
        <w:footnoteReference w:id="26"/>
      </w:r>
      <w:r w:rsidRPr="00475FA7">
        <w:rPr>
          <w:rFonts w:ascii="Times New Roman" w:hAnsi="Times New Roman" w:cs="Times New Roman"/>
        </w:rPr>
        <w:t>. This sermon is believed to be Josephus’ main inspiration for his account that the Jews were being punished for their actions within Jerusalem</w:t>
      </w:r>
      <w:r w:rsidRPr="00475FA7">
        <w:rPr>
          <w:rStyle w:val="FootnoteReference"/>
          <w:rFonts w:ascii="Times New Roman" w:hAnsi="Times New Roman" w:cs="Times New Roman"/>
        </w:rPr>
        <w:footnoteReference w:id="27"/>
      </w:r>
      <w:r w:rsidRPr="00475FA7">
        <w:rPr>
          <w:rFonts w:ascii="Times New Roman" w:hAnsi="Times New Roman" w:cs="Times New Roman"/>
        </w:rPr>
        <w:t>. This rhetoric appears to fit into Josephus’ wider literary portrayal of the Romans as unknowing cleansers to the Temples of the Judaic God, even highlighting the irony of the Romans praising every god for their victory, except the one who allowed it</w:t>
      </w:r>
      <w:r w:rsidRPr="00475FA7">
        <w:rPr>
          <w:rStyle w:val="FootnoteReference"/>
          <w:rFonts w:ascii="Times New Roman" w:hAnsi="Times New Roman" w:cs="Times New Roman"/>
        </w:rPr>
        <w:footnoteReference w:id="28"/>
      </w:r>
      <w:r w:rsidRPr="00475FA7">
        <w:rPr>
          <w:rFonts w:ascii="Times New Roman" w:hAnsi="Times New Roman" w:cs="Times New Roman"/>
        </w:rPr>
        <w:t>.</w:t>
      </w:r>
    </w:p>
    <w:p w14:paraId="112838A7" w14:textId="77777777" w:rsidR="008D6ACB" w:rsidRPr="00475FA7" w:rsidRDefault="008D6ACB" w:rsidP="00475FA7">
      <w:pPr>
        <w:spacing w:line="480" w:lineRule="auto"/>
        <w:rPr>
          <w:rFonts w:ascii="Times New Roman" w:hAnsi="Times New Roman" w:cs="Times New Roman"/>
          <w:sz w:val="26"/>
          <w:szCs w:val="26"/>
        </w:rPr>
      </w:pPr>
    </w:p>
    <w:p w14:paraId="0127E3B1" w14:textId="1528B2AA" w:rsidR="00831712" w:rsidRPr="00475FA7" w:rsidRDefault="00831712" w:rsidP="00475FA7">
      <w:pPr>
        <w:spacing w:line="480" w:lineRule="auto"/>
        <w:rPr>
          <w:rFonts w:ascii="Times New Roman" w:hAnsi="Times New Roman" w:cs="Times New Roman"/>
          <w:sz w:val="28"/>
          <w:szCs w:val="28"/>
          <w:u w:val="single"/>
        </w:rPr>
      </w:pPr>
      <w:r w:rsidRPr="00475FA7">
        <w:rPr>
          <w:rFonts w:ascii="Times New Roman" w:hAnsi="Times New Roman" w:cs="Times New Roman"/>
          <w:sz w:val="28"/>
          <w:szCs w:val="28"/>
          <w:u w:val="single"/>
        </w:rPr>
        <w:t>Jerusalem</w:t>
      </w:r>
      <w:r w:rsidR="00475FA7" w:rsidRPr="00475FA7">
        <w:rPr>
          <w:rFonts w:ascii="Times New Roman" w:hAnsi="Times New Roman" w:cs="Times New Roman"/>
          <w:sz w:val="28"/>
          <w:szCs w:val="28"/>
          <w:u w:val="single"/>
        </w:rPr>
        <w:t>:</w:t>
      </w:r>
      <w:r w:rsidRPr="00475FA7">
        <w:rPr>
          <w:rFonts w:ascii="Times New Roman" w:hAnsi="Times New Roman" w:cs="Times New Roman"/>
          <w:sz w:val="28"/>
          <w:szCs w:val="28"/>
          <w:u w:val="single"/>
        </w:rPr>
        <w:t xml:space="preserve"> </w:t>
      </w:r>
      <w:r w:rsidR="00475FA7" w:rsidRPr="00475FA7">
        <w:rPr>
          <w:rFonts w:ascii="Times New Roman" w:hAnsi="Times New Roman" w:cs="Times New Roman"/>
          <w:sz w:val="28"/>
          <w:szCs w:val="28"/>
          <w:u w:val="single"/>
        </w:rPr>
        <w:t>H</w:t>
      </w:r>
      <w:r w:rsidRPr="00475FA7">
        <w:rPr>
          <w:rFonts w:ascii="Times New Roman" w:hAnsi="Times New Roman" w:cs="Times New Roman"/>
          <w:sz w:val="28"/>
          <w:szCs w:val="28"/>
          <w:u w:val="single"/>
        </w:rPr>
        <w:t>istorical</w:t>
      </w:r>
      <w:r w:rsidR="00475FA7" w:rsidRPr="00475FA7">
        <w:rPr>
          <w:rFonts w:ascii="Times New Roman" w:hAnsi="Times New Roman" w:cs="Times New Roman"/>
          <w:sz w:val="28"/>
          <w:szCs w:val="28"/>
          <w:u w:val="single"/>
        </w:rPr>
        <w:t xml:space="preserve"> and</w:t>
      </w:r>
      <w:r w:rsidRPr="00475FA7">
        <w:rPr>
          <w:rFonts w:ascii="Times New Roman" w:hAnsi="Times New Roman" w:cs="Times New Roman"/>
          <w:sz w:val="28"/>
          <w:szCs w:val="28"/>
          <w:u w:val="single"/>
        </w:rPr>
        <w:t xml:space="preserve"> </w:t>
      </w:r>
      <w:r w:rsidR="00475FA7" w:rsidRPr="00475FA7">
        <w:rPr>
          <w:rFonts w:ascii="Times New Roman" w:hAnsi="Times New Roman" w:cs="Times New Roman"/>
          <w:sz w:val="28"/>
          <w:szCs w:val="28"/>
          <w:u w:val="single"/>
        </w:rPr>
        <w:t>P</w:t>
      </w:r>
      <w:r w:rsidRPr="00475FA7">
        <w:rPr>
          <w:rFonts w:ascii="Times New Roman" w:hAnsi="Times New Roman" w:cs="Times New Roman"/>
          <w:sz w:val="28"/>
          <w:szCs w:val="28"/>
          <w:u w:val="single"/>
        </w:rPr>
        <w:t xml:space="preserve">olitical </w:t>
      </w:r>
      <w:r w:rsidR="00475FA7" w:rsidRPr="00475FA7">
        <w:rPr>
          <w:rFonts w:ascii="Times New Roman" w:hAnsi="Times New Roman" w:cs="Times New Roman"/>
          <w:sz w:val="28"/>
          <w:szCs w:val="28"/>
          <w:u w:val="single"/>
        </w:rPr>
        <w:t>I</w:t>
      </w:r>
      <w:r w:rsidRPr="00475FA7">
        <w:rPr>
          <w:rFonts w:ascii="Times New Roman" w:hAnsi="Times New Roman" w:cs="Times New Roman"/>
          <w:sz w:val="28"/>
          <w:szCs w:val="28"/>
          <w:u w:val="single"/>
        </w:rPr>
        <w:t>mportance</w:t>
      </w:r>
    </w:p>
    <w:p w14:paraId="1FACC8D4" w14:textId="42A12E94" w:rsidR="00247B9C" w:rsidRPr="00475FA7" w:rsidRDefault="00247B9C" w:rsidP="00475FA7">
      <w:pPr>
        <w:spacing w:line="480" w:lineRule="auto"/>
        <w:rPr>
          <w:rFonts w:ascii="Times New Roman" w:hAnsi="Times New Roman" w:cs="Times New Roman"/>
          <w:sz w:val="26"/>
          <w:szCs w:val="26"/>
        </w:rPr>
      </w:pPr>
    </w:p>
    <w:p w14:paraId="36C9CA2E" w14:textId="1F83ECA9" w:rsidR="001710E0" w:rsidRPr="00475FA7" w:rsidRDefault="001710E0" w:rsidP="00475FA7">
      <w:pPr>
        <w:spacing w:line="480" w:lineRule="auto"/>
        <w:rPr>
          <w:rFonts w:ascii="Times New Roman" w:hAnsi="Times New Roman" w:cs="Times New Roman"/>
        </w:rPr>
      </w:pPr>
      <w:r w:rsidRPr="00475FA7">
        <w:rPr>
          <w:rFonts w:ascii="Times New Roman" w:hAnsi="Times New Roman" w:cs="Times New Roman"/>
        </w:rPr>
        <w:t xml:space="preserve">The historical and Political importance of Jerusalem’s destruction and conquest are highly important to both Roman and Judaic history. The most notable is the importance it held to the Flavian dynasty and the reputations of both Vespasian and Titus. Vespasian himself had originally been tasked with quelling the rebellion by Nero, but returned to Rome before he had conquered the city itself. The roman siege was recorded as one of the most difficult, lengthy and costly in the terms of human loses in Roman history Josephus stresses the </w:t>
      </w:r>
      <w:r w:rsidRPr="00475FA7">
        <w:rPr>
          <w:rFonts w:ascii="Times New Roman" w:hAnsi="Times New Roman" w:cs="Times New Roman"/>
        </w:rPr>
        <w:lastRenderedPageBreak/>
        <w:t>number of Roman losses, along with “other writers”</w:t>
      </w:r>
      <w:r w:rsidRPr="00475FA7">
        <w:rPr>
          <w:rStyle w:val="FootnoteReference"/>
          <w:rFonts w:ascii="Times New Roman" w:hAnsi="Times New Roman" w:cs="Times New Roman"/>
        </w:rPr>
        <w:footnoteReference w:id="29"/>
      </w:r>
      <w:r w:rsidRPr="00475FA7">
        <w:rPr>
          <w:rFonts w:ascii="Times New Roman" w:hAnsi="Times New Roman" w:cs="Times New Roman"/>
        </w:rPr>
        <w:t xml:space="preserve">. This was not the first time that the city had been besieged by Roman troops, with </w:t>
      </w:r>
      <w:r w:rsidR="00E76745" w:rsidRPr="00475FA7">
        <w:rPr>
          <w:rFonts w:ascii="Times New Roman" w:hAnsi="Times New Roman" w:cs="Times New Roman"/>
        </w:rPr>
        <w:t>Pompey</w:t>
      </w:r>
      <w:r w:rsidR="00E76745">
        <w:rPr>
          <w:rFonts w:ascii="Times New Roman" w:hAnsi="Times New Roman" w:cs="Times New Roman"/>
        </w:rPr>
        <w:t>'</w:t>
      </w:r>
      <w:r w:rsidR="00E76745" w:rsidRPr="00475FA7">
        <w:rPr>
          <w:rFonts w:ascii="Times New Roman" w:hAnsi="Times New Roman" w:cs="Times New Roman"/>
        </w:rPr>
        <w:t>s</w:t>
      </w:r>
      <w:r w:rsidRPr="00475FA7">
        <w:rPr>
          <w:rFonts w:ascii="Times New Roman" w:hAnsi="Times New Roman" w:cs="Times New Roman"/>
        </w:rPr>
        <w:t xml:space="preserve"> invasion in 63 BC originally intended to bring the province firmly under Roman controll</w:t>
      </w:r>
      <w:r w:rsidRPr="00475FA7">
        <w:rPr>
          <w:rStyle w:val="FootnoteReference"/>
          <w:rFonts w:ascii="Times New Roman" w:hAnsi="Times New Roman" w:cs="Times New Roman"/>
        </w:rPr>
        <w:footnoteReference w:id="30"/>
      </w:r>
      <w:r w:rsidRPr="00475FA7">
        <w:rPr>
          <w:rFonts w:ascii="Times New Roman" w:hAnsi="Times New Roman" w:cs="Times New Roman"/>
        </w:rPr>
        <w:t>. However, Vespasian was keen to show this was last invasion of the city, as although the city and the province of Judea had been under Roman controll for century, the Flavians would show it as rebellious and independent, finally brought to heel by Flavian might</w:t>
      </w:r>
      <w:r w:rsidRPr="00475FA7">
        <w:rPr>
          <w:rStyle w:val="FootnoteReference"/>
          <w:rFonts w:ascii="Times New Roman" w:hAnsi="Times New Roman" w:cs="Times New Roman"/>
        </w:rPr>
        <w:footnoteReference w:id="31"/>
      </w:r>
      <w:r w:rsidRPr="00475FA7">
        <w:rPr>
          <w:rFonts w:ascii="Times New Roman" w:hAnsi="Times New Roman" w:cs="Times New Roman"/>
        </w:rPr>
        <w:t xml:space="preserve">. </w:t>
      </w:r>
    </w:p>
    <w:p w14:paraId="765E1E39" w14:textId="77777777" w:rsidR="001710E0" w:rsidRPr="00475FA7" w:rsidRDefault="001710E0" w:rsidP="00475FA7">
      <w:pPr>
        <w:spacing w:line="480" w:lineRule="auto"/>
        <w:rPr>
          <w:rFonts w:ascii="Times New Roman" w:hAnsi="Times New Roman" w:cs="Times New Roman"/>
        </w:rPr>
      </w:pPr>
    </w:p>
    <w:p w14:paraId="13BA76E8" w14:textId="67BDC601" w:rsidR="001710E0" w:rsidRPr="00475FA7" w:rsidRDefault="001710E0" w:rsidP="00475FA7">
      <w:pPr>
        <w:spacing w:line="480" w:lineRule="auto"/>
        <w:rPr>
          <w:rFonts w:ascii="Times New Roman" w:hAnsi="Times New Roman" w:cs="Times New Roman"/>
        </w:rPr>
      </w:pPr>
      <w:r w:rsidRPr="00475FA7">
        <w:rPr>
          <w:rFonts w:ascii="Times New Roman" w:hAnsi="Times New Roman" w:cs="Times New Roman"/>
        </w:rPr>
        <w:t>This idea was incorporated into much of the Flavian architecture, including the arch of Titus, which commemorated the defeat of the Jews and their God</w:t>
      </w:r>
      <w:r w:rsidRPr="00475FA7">
        <w:rPr>
          <w:rStyle w:val="FootnoteReference"/>
          <w:rFonts w:ascii="Times New Roman" w:hAnsi="Times New Roman" w:cs="Times New Roman"/>
        </w:rPr>
        <w:footnoteReference w:id="32"/>
      </w:r>
      <w:r w:rsidRPr="00475FA7">
        <w:rPr>
          <w:rFonts w:ascii="Times New Roman" w:hAnsi="Times New Roman" w:cs="Times New Roman"/>
        </w:rPr>
        <w:t>. Josephus himself is also a key part in intertwining the Flavian dynasty’s history into the destruction of Jerusalem, with his accounts often being flattering to the Romans, or always managing to depict the honour and reason of both sides</w:t>
      </w:r>
      <w:r w:rsidRPr="00475FA7">
        <w:rPr>
          <w:rStyle w:val="FootnoteReference"/>
          <w:rFonts w:ascii="Times New Roman" w:hAnsi="Times New Roman" w:cs="Times New Roman"/>
        </w:rPr>
        <w:footnoteReference w:id="33"/>
      </w:r>
      <w:r w:rsidRPr="00475FA7">
        <w:rPr>
          <w:rFonts w:ascii="Times New Roman" w:hAnsi="Times New Roman" w:cs="Times New Roman"/>
        </w:rPr>
        <w:t>. Scholars have suggested that Josephus depicts Titus as restrained during the destruction of the temple due to the Flavians keen need to be portrayed as mild rulers, opposing the erratic Claudian rulers that came before them</w:t>
      </w:r>
      <w:r w:rsidRPr="00475FA7">
        <w:rPr>
          <w:rStyle w:val="FootnoteReference"/>
          <w:rFonts w:ascii="Times New Roman" w:hAnsi="Times New Roman" w:cs="Times New Roman"/>
        </w:rPr>
        <w:footnoteReference w:id="34"/>
      </w:r>
      <w:r w:rsidRPr="00475FA7">
        <w:rPr>
          <w:rFonts w:ascii="Times New Roman" w:hAnsi="Times New Roman" w:cs="Times New Roman"/>
        </w:rPr>
        <w:t>. Josephus himself is questioned by modern scholars as to the reasoning of writing about these events under Vespasian, as he has biases in both directions</w:t>
      </w:r>
      <w:r w:rsidRPr="00475FA7">
        <w:rPr>
          <w:rStyle w:val="FootnoteReference"/>
          <w:rFonts w:ascii="Times New Roman" w:hAnsi="Times New Roman" w:cs="Times New Roman"/>
        </w:rPr>
        <w:footnoteReference w:id="35"/>
      </w:r>
      <w:r w:rsidRPr="00475FA7">
        <w:rPr>
          <w:rFonts w:ascii="Times New Roman" w:hAnsi="Times New Roman" w:cs="Times New Roman"/>
        </w:rPr>
        <w:t>. However, it seems likely that Josephus writes more for his own posterity than that of the Romans or the Jews as both sides at points consider his as a traitor or at the very least suspicious</w:t>
      </w:r>
      <w:r w:rsidRPr="00475FA7">
        <w:rPr>
          <w:rStyle w:val="FootnoteReference"/>
          <w:rFonts w:ascii="Times New Roman" w:hAnsi="Times New Roman" w:cs="Times New Roman"/>
        </w:rPr>
        <w:footnoteReference w:id="36"/>
      </w:r>
      <w:r w:rsidRPr="00475FA7">
        <w:rPr>
          <w:rFonts w:ascii="Times New Roman" w:hAnsi="Times New Roman" w:cs="Times New Roman"/>
        </w:rPr>
        <w:t>. Roman historians accounts of these events only seem interested in the general political fortunes of the Flavian dynasty in Jerusalem, rather than the Judaic context to the revolt and war</w:t>
      </w:r>
      <w:r w:rsidRPr="00475FA7">
        <w:rPr>
          <w:rStyle w:val="FootnoteReference"/>
          <w:rFonts w:ascii="Times New Roman" w:hAnsi="Times New Roman" w:cs="Times New Roman"/>
        </w:rPr>
        <w:footnoteReference w:id="37"/>
      </w:r>
      <w:r w:rsidRPr="00475FA7">
        <w:rPr>
          <w:rFonts w:ascii="Times New Roman" w:hAnsi="Times New Roman" w:cs="Times New Roman"/>
        </w:rPr>
        <w:t xml:space="preserve"> . Simkovich argues that </w:t>
      </w:r>
      <w:r w:rsidRPr="00475FA7">
        <w:rPr>
          <w:rFonts w:ascii="Times New Roman" w:hAnsi="Times New Roman" w:cs="Times New Roman"/>
        </w:rPr>
        <w:lastRenderedPageBreak/>
        <w:t>Josephus writes for a mix of Jewish and Roman audiences, but makes use of the literary tropes of Roman authors, such as embellishment and overexaggerating</w:t>
      </w:r>
      <w:r w:rsidRPr="00475FA7">
        <w:rPr>
          <w:rStyle w:val="FootnoteReference"/>
          <w:rFonts w:ascii="Times New Roman" w:hAnsi="Times New Roman" w:cs="Times New Roman"/>
        </w:rPr>
        <w:footnoteReference w:id="38"/>
      </w:r>
      <w:r w:rsidRPr="00475FA7">
        <w:rPr>
          <w:rFonts w:ascii="Times New Roman" w:hAnsi="Times New Roman" w:cs="Times New Roman"/>
        </w:rPr>
        <w:t xml:space="preserve">. </w:t>
      </w:r>
    </w:p>
    <w:p w14:paraId="7370620B" w14:textId="77777777" w:rsidR="001710E0" w:rsidRPr="00475FA7" w:rsidRDefault="001710E0" w:rsidP="00475FA7">
      <w:pPr>
        <w:spacing w:line="480" w:lineRule="auto"/>
        <w:rPr>
          <w:rFonts w:ascii="Times New Roman" w:hAnsi="Times New Roman" w:cs="Times New Roman"/>
        </w:rPr>
      </w:pPr>
    </w:p>
    <w:p w14:paraId="396E2FF1" w14:textId="77777777" w:rsidR="001710E0" w:rsidRPr="00475FA7" w:rsidRDefault="001710E0" w:rsidP="00475FA7">
      <w:pPr>
        <w:spacing w:line="480" w:lineRule="auto"/>
        <w:rPr>
          <w:rFonts w:ascii="Times New Roman" w:hAnsi="Times New Roman" w:cs="Times New Roman"/>
        </w:rPr>
      </w:pPr>
      <w:r w:rsidRPr="00475FA7">
        <w:rPr>
          <w:rFonts w:ascii="Times New Roman" w:hAnsi="Times New Roman" w:cs="Times New Roman"/>
        </w:rPr>
        <w:t>For the Jews the destruction of the second temple created a huge new political structure. Most of the Judaic nobility had been killed or dispersed and he ramifications of the rebellion, despite its unsuccessful nature have ramifications to Judaic faith even into the Modern era</w:t>
      </w:r>
      <w:r w:rsidRPr="00475FA7">
        <w:rPr>
          <w:rStyle w:val="FootnoteReference"/>
          <w:rFonts w:ascii="Times New Roman" w:hAnsi="Times New Roman" w:cs="Times New Roman"/>
        </w:rPr>
        <w:footnoteReference w:id="39"/>
      </w:r>
      <w:r w:rsidRPr="00475FA7">
        <w:rPr>
          <w:rFonts w:ascii="Times New Roman" w:hAnsi="Times New Roman" w:cs="Times New Roman"/>
        </w:rPr>
        <w:t>. The conquest of the city was notable to Romans, having been one of the largest invading forces in Roman history</w:t>
      </w:r>
      <w:r w:rsidRPr="00475FA7">
        <w:rPr>
          <w:rStyle w:val="FootnoteReference"/>
          <w:rFonts w:ascii="Times New Roman" w:hAnsi="Times New Roman" w:cs="Times New Roman"/>
        </w:rPr>
        <w:footnoteReference w:id="40"/>
      </w:r>
      <w:r w:rsidRPr="00475FA7">
        <w:rPr>
          <w:rFonts w:ascii="Times New Roman" w:hAnsi="Times New Roman" w:cs="Times New Roman"/>
        </w:rPr>
        <w:t xml:space="preserve"> but within Judaic history it marked the end of an entire era, the loss of their hierarchy and the beginning of their historical subjugation</w:t>
      </w:r>
      <w:r w:rsidRPr="00475FA7">
        <w:rPr>
          <w:rStyle w:val="FootnoteReference"/>
          <w:rFonts w:ascii="Times New Roman" w:hAnsi="Times New Roman" w:cs="Times New Roman"/>
        </w:rPr>
        <w:footnoteReference w:id="41"/>
      </w:r>
      <w:r w:rsidRPr="00475FA7">
        <w:rPr>
          <w:rFonts w:ascii="Times New Roman" w:hAnsi="Times New Roman" w:cs="Times New Roman"/>
        </w:rPr>
        <w:t>. Their religious practices changed, from the inability to make sacrifices in a temple, to the rapid change of their funerary practices</w:t>
      </w:r>
      <w:r w:rsidRPr="00475FA7">
        <w:rPr>
          <w:rStyle w:val="FootnoteReference"/>
          <w:rFonts w:ascii="Times New Roman" w:hAnsi="Times New Roman" w:cs="Times New Roman"/>
        </w:rPr>
        <w:footnoteReference w:id="42"/>
      </w:r>
      <w:r w:rsidRPr="00475FA7">
        <w:rPr>
          <w:rFonts w:ascii="Times New Roman" w:hAnsi="Times New Roman" w:cs="Times New Roman"/>
        </w:rPr>
        <w:t xml:space="preserve">. </w:t>
      </w:r>
    </w:p>
    <w:p w14:paraId="4ACE0F3D" w14:textId="5E2B6D40" w:rsidR="00831712" w:rsidRPr="00475FA7" w:rsidRDefault="00831712" w:rsidP="00475FA7">
      <w:pPr>
        <w:spacing w:line="480" w:lineRule="auto"/>
        <w:rPr>
          <w:rFonts w:ascii="Times New Roman" w:hAnsi="Times New Roman" w:cs="Times New Roman"/>
          <w:sz w:val="26"/>
          <w:szCs w:val="26"/>
        </w:rPr>
      </w:pPr>
    </w:p>
    <w:p w14:paraId="363DF71F" w14:textId="199DDB15" w:rsidR="00420584" w:rsidRPr="00475FA7" w:rsidRDefault="00420584" w:rsidP="00475FA7">
      <w:pPr>
        <w:spacing w:line="480" w:lineRule="auto"/>
        <w:rPr>
          <w:rFonts w:ascii="Times New Roman" w:hAnsi="Times New Roman" w:cs="Times New Roman"/>
          <w:sz w:val="28"/>
          <w:szCs w:val="28"/>
          <w:u w:val="single"/>
        </w:rPr>
      </w:pPr>
      <w:r w:rsidRPr="00475FA7">
        <w:rPr>
          <w:rFonts w:ascii="Times New Roman" w:hAnsi="Times New Roman" w:cs="Times New Roman"/>
          <w:sz w:val="28"/>
          <w:szCs w:val="28"/>
          <w:u w:val="single"/>
        </w:rPr>
        <w:t>Masada</w:t>
      </w:r>
      <w:r w:rsidR="00475FA7" w:rsidRPr="00475FA7">
        <w:rPr>
          <w:rFonts w:ascii="Times New Roman" w:hAnsi="Times New Roman" w:cs="Times New Roman"/>
          <w:sz w:val="28"/>
          <w:szCs w:val="28"/>
          <w:u w:val="single"/>
        </w:rPr>
        <w:t>:</w:t>
      </w:r>
      <w:r w:rsidRPr="00475FA7">
        <w:rPr>
          <w:rFonts w:ascii="Times New Roman" w:hAnsi="Times New Roman" w:cs="Times New Roman"/>
          <w:sz w:val="28"/>
          <w:szCs w:val="28"/>
          <w:u w:val="single"/>
        </w:rPr>
        <w:t xml:space="preserve"> </w:t>
      </w:r>
      <w:r w:rsidR="00475FA7" w:rsidRPr="00475FA7">
        <w:rPr>
          <w:rFonts w:ascii="Times New Roman" w:hAnsi="Times New Roman" w:cs="Times New Roman"/>
          <w:sz w:val="28"/>
          <w:szCs w:val="28"/>
          <w:u w:val="single"/>
        </w:rPr>
        <w:t>R</w:t>
      </w:r>
      <w:r w:rsidRPr="00475FA7">
        <w:rPr>
          <w:rFonts w:ascii="Times New Roman" w:hAnsi="Times New Roman" w:cs="Times New Roman"/>
          <w:sz w:val="28"/>
          <w:szCs w:val="28"/>
          <w:u w:val="single"/>
        </w:rPr>
        <w:t xml:space="preserve">eligious and </w:t>
      </w:r>
      <w:r w:rsidR="00475FA7" w:rsidRPr="00475FA7">
        <w:rPr>
          <w:rFonts w:ascii="Times New Roman" w:hAnsi="Times New Roman" w:cs="Times New Roman"/>
          <w:sz w:val="28"/>
          <w:szCs w:val="28"/>
          <w:u w:val="single"/>
        </w:rPr>
        <w:t>P</w:t>
      </w:r>
      <w:r w:rsidRPr="00475FA7">
        <w:rPr>
          <w:rFonts w:ascii="Times New Roman" w:hAnsi="Times New Roman" w:cs="Times New Roman"/>
          <w:sz w:val="28"/>
          <w:szCs w:val="28"/>
          <w:u w:val="single"/>
        </w:rPr>
        <w:t xml:space="preserve">olitical </w:t>
      </w:r>
      <w:r w:rsidR="00475FA7" w:rsidRPr="00475FA7">
        <w:rPr>
          <w:rFonts w:ascii="Times New Roman" w:hAnsi="Times New Roman" w:cs="Times New Roman"/>
          <w:sz w:val="28"/>
          <w:szCs w:val="28"/>
          <w:u w:val="single"/>
        </w:rPr>
        <w:t>I</w:t>
      </w:r>
      <w:r w:rsidRPr="00475FA7">
        <w:rPr>
          <w:rFonts w:ascii="Times New Roman" w:hAnsi="Times New Roman" w:cs="Times New Roman"/>
          <w:sz w:val="28"/>
          <w:szCs w:val="28"/>
          <w:u w:val="single"/>
        </w:rPr>
        <w:t>mportance</w:t>
      </w:r>
    </w:p>
    <w:p w14:paraId="023E2580" w14:textId="77777777" w:rsidR="00420584" w:rsidRPr="00475FA7" w:rsidRDefault="00420584" w:rsidP="00475FA7">
      <w:pPr>
        <w:spacing w:line="480" w:lineRule="auto"/>
        <w:rPr>
          <w:rFonts w:ascii="Times New Roman" w:hAnsi="Times New Roman" w:cs="Times New Roman"/>
          <w:sz w:val="26"/>
          <w:szCs w:val="26"/>
        </w:rPr>
      </w:pPr>
    </w:p>
    <w:p w14:paraId="25314CAF" w14:textId="77777777" w:rsidR="00420584" w:rsidRPr="00475FA7" w:rsidRDefault="00420584" w:rsidP="00475FA7">
      <w:pPr>
        <w:spacing w:line="480" w:lineRule="auto"/>
        <w:rPr>
          <w:rFonts w:ascii="Times New Roman" w:hAnsi="Times New Roman" w:cs="Times New Roman"/>
        </w:rPr>
      </w:pPr>
      <w:r w:rsidRPr="00475FA7">
        <w:rPr>
          <w:rFonts w:ascii="Times New Roman" w:hAnsi="Times New Roman" w:cs="Times New Roman"/>
        </w:rPr>
        <w:t>Whilst the invasion and destruction of Jerusalem is generally the most focused part of the history from 66-74 CE, the battle as Masada also held incredible importance, as it marked the end to the First Jewish war. The notable religious importance for Masada was the fact that it was fought by the Sicarii, the last anti-Roman Jewish group to originate from Jerusalem</w:t>
      </w:r>
      <w:r w:rsidRPr="00475FA7">
        <w:rPr>
          <w:rStyle w:val="FootnoteReference"/>
          <w:rFonts w:ascii="Times New Roman" w:hAnsi="Times New Roman" w:cs="Times New Roman"/>
        </w:rPr>
        <w:footnoteReference w:id="43"/>
      </w:r>
      <w:r w:rsidRPr="00475FA7">
        <w:rPr>
          <w:rFonts w:ascii="Times New Roman" w:hAnsi="Times New Roman" w:cs="Times New Roman"/>
        </w:rPr>
        <w:t>. The Sicarii, occasionally called the dagger men, were a notorious Judaic group known to be violent</w:t>
      </w:r>
      <w:r w:rsidRPr="00475FA7">
        <w:rPr>
          <w:rStyle w:val="FootnoteReference"/>
          <w:rFonts w:ascii="Times New Roman" w:hAnsi="Times New Roman" w:cs="Times New Roman"/>
        </w:rPr>
        <w:footnoteReference w:id="44"/>
      </w:r>
      <w:r w:rsidRPr="00475FA7">
        <w:rPr>
          <w:rFonts w:ascii="Times New Roman" w:hAnsi="Times New Roman" w:cs="Times New Roman"/>
        </w:rPr>
        <w:t xml:space="preserve"> They took part in civil war actions, often killing, kidnapping and holding high ranking Judaic leaders for ransom whilst within Jerusalem, sometimes even working with the </w:t>
      </w:r>
      <w:r w:rsidRPr="00475FA7">
        <w:rPr>
          <w:rFonts w:ascii="Times New Roman" w:hAnsi="Times New Roman" w:cs="Times New Roman"/>
        </w:rPr>
        <w:lastRenderedPageBreak/>
        <w:t>Roman governors</w:t>
      </w:r>
      <w:r w:rsidRPr="00475FA7">
        <w:rPr>
          <w:rStyle w:val="FootnoteReference"/>
          <w:rFonts w:ascii="Times New Roman" w:hAnsi="Times New Roman" w:cs="Times New Roman"/>
        </w:rPr>
        <w:footnoteReference w:id="45"/>
      </w:r>
      <w:r w:rsidRPr="00475FA7">
        <w:rPr>
          <w:rFonts w:ascii="Times New Roman" w:hAnsi="Times New Roman" w:cs="Times New Roman"/>
        </w:rPr>
        <w:t>. However, Goodman denies the supposed connection to Rome as the Sicarii’s ethos appears to have been built around the violent opposition of the Romans</w:t>
      </w:r>
      <w:r w:rsidRPr="00475FA7">
        <w:rPr>
          <w:rStyle w:val="FootnoteReference"/>
          <w:rFonts w:ascii="Times New Roman" w:hAnsi="Times New Roman" w:cs="Times New Roman"/>
        </w:rPr>
        <w:footnoteReference w:id="46"/>
      </w:r>
      <w:r w:rsidRPr="00475FA7">
        <w:rPr>
          <w:rFonts w:ascii="Times New Roman" w:hAnsi="Times New Roman" w:cs="Times New Roman"/>
        </w:rPr>
        <w:t xml:space="preserve"> . Josephus is our only source for the existence of the Sicarii</w:t>
      </w:r>
      <w:r w:rsidRPr="00475FA7">
        <w:rPr>
          <w:rStyle w:val="FootnoteReference"/>
          <w:rFonts w:ascii="Times New Roman" w:hAnsi="Times New Roman" w:cs="Times New Roman"/>
        </w:rPr>
        <w:footnoteReference w:id="47"/>
      </w:r>
      <w:r w:rsidRPr="00475FA7">
        <w:rPr>
          <w:rFonts w:ascii="Times New Roman" w:hAnsi="Times New Roman" w:cs="Times New Roman"/>
        </w:rPr>
        <w:t>, and he describes them as dangerous bandits, who murder in broad daylight and at sacred festivals</w:t>
      </w:r>
      <w:r w:rsidRPr="00475FA7">
        <w:rPr>
          <w:rStyle w:val="FootnoteReference"/>
          <w:rFonts w:ascii="Times New Roman" w:hAnsi="Times New Roman" w:cs="Times New Roman"/>
        </w:rPr>
        <w:footnoteReference w:id="48"/>
      </w:r>
      <w:r w:rsidRPr="00475FA7">
        <w:rPr>
          <w:rFonts w:ascii="Times New Roman" w:hAnsi="Times New Roman" w:cs="Times New Roman"/>
        </w:rPr>
        <w:t>.. Some scholarship argues that they are either the same group, or sub sect of the Zealots</w:t>
      </w:r>
      <w:r w:rsidRPr="00475FA7">
        <w:rPr>
          <w:rStyle w:val="FootnoteReference"/>
          <w:rFonts w:ascii="Times New Roman" w:hAnsi="Times New Roman" w:cs="Times New Roman"/>
        </w:rPr>
        <w:footnoteReference w:id="49"/>
      </w:r>
      <w:r w:rsidRPr="00475FA7">
        <w:rPr>
          <w:rFonts w:ascii="Times New Roman" w:hAnsi="Times New Roman" w:cs="Times New Roman"/>
        </w:rPr>
        <w:t>, however most scholars are convinced of their separation, due to the many differences between two groups</w:t>
      </w:r>
      <w:r w:rsidRPr="00475FA7">
        <w:rPr>
          <w:rStyle w:val="FootnoteReference"/>
          <w:rFonts w:ascii="Times New Roman" w:hAnsi="Times New Roman" w:cs="Times New Roman"/>
        </w:rPr>
        <w:footnoteReference w:id="50"/>
      </w:r>
    </w:p>
    <w:p w14:paraId="6F579D5B" w14:textId="77777777" w:rsidR="00420584" w:rsidRPr="00475FA7" w:rsidRDefault="00420584" w:rsidP="00475FA7">
      <w:pPr>
        <w:spacing w:line="480" w:lineRule="auto"/>
        <w:rPr>
          <w:rFonts w:ascii="Times New Roman" w:hAnsi="Times New Roman" w:cs="Times New Roman"/>
        </w:rPr>
      </w:pPr>
    </w:p>
    <w:p w14:paraId="0F3C9D5A" w14:textId="766206ED" w:rsidR="00420584" w:rsidRPr="00475FA7" w:rsidRDefault="00420584" w:rsidP="00475FA7">
      <w:pPr>
        <w:spacing w:line="480" w:lineRule="auto"/>
        <w:rPr>
          <w:rFonts w:ascii="Times New Roman" w:hAnsi="Times New Roman" w:cs="Times New Roman"/>
        </w:rPr>
      </w:pPr>
      <w:r w:rsidRPr="00475FA7">
        <w:rPr>
          <w:rFonts w:ascii="Times New Roman" w:hAnsi="Times New Roman" w:cs="Times New Roman"/>
        </w:rPr>
        <w:t>The Sicarii, according to Josephus, are descendants and followers of Judah the Galilean, were forced out of Jerusalem after their leader was killed</w:t>
      </w:r>
      <w:r w:rsidRPr="00475FA7">
        <w:rPr>
          <w:rStyle w:val="FootnoteReference"/>
          <w:rFonts w:ascii="Times New Roman" w:hAnsi="Times New Roman" w:cs="Times New Roman"/>
        </w:rPr>
        <w:footnoteReference w:id="51"/>
      </w:r>
      <w:r w:rsidRPr="00475FA7">
        <w:rPr>
          <w:rFonts w:ascii="Times New Roman" w:hAnsi="Times New Roman" w:cs="Times New Roman"/>
        </w:rPr>
        <w:t>. Using the revolt as a distraction for the Roman forces, they broke into Herod’s palatial complex at Masada</w:t>
      </w:r>
      <w:r w:rsidRPr="00475FA7">
        <w:rPr>
          <w:rStyle w:val="FootnoteReference"/>
          <w:rFonts w:ascii="Times New Roman" w:hAnsi="Times New Roman" w:cs="Times New Roman"/>
        </w:rPr>
        <w:footnoteReference w:id="52"/>
      </w:r>
      <w:r w:rsidRPr="00475FA7">
        <w:rPr>
          <w:rFonts w:ascii="Times New Roman" w:hAnsi="Times New Roman" w:cs="Times New Roman"/>
        </w:rPr>
        <w:t>. Lead by a man names Eleazar, the Sicarii remained in the palatial complex for two to three years before the Romans engaged them in a siege in 73/4 CE</w:t>
      </w:r>
      <w:r w:rsidRPr="00475FA7">
        <w:rPr>
          <w:rStyle w:val="FootnoteReference"/>
          <w:rFonts w:ascii="Times New Roman" w:hAnsi="Times New Roman" w:cs="Times New Roman"/>
        </w:rPr>
        <w:footnoteReference w:id="53"/>
      </w:r>
      <w:r w:rsidRPr="00475FA7">
        <w:rPr>
          <w:rFonts w:ascii="Times New Roman" w:hAnsi="Times New Roman" w:cs="Times New Roman"/>
        </w:rPr>
        <w:t>. Whilst Josephus is keen to vilify the Sicarii for their actions towards other Jews</w:t>
      </w:r>
      <w:r w:rsidRPr="00475FA7">
        <w:rPr>
          <w:rStyle w:val="FootnoteReference"/>
          <w:rFonts w:ascii="Times New Roman" w:hAnsi="Times New Roman" w:cs="Times New Roman"/>
        </w:rPr>
        <w:footnoteReference w:id="54"/>
      </w:r>
      <w:r w:rsidRPr="00475FA7">
        <w:rPr>
          <w:rFonts w:ascii="Times New Roman" w:hAnsi="Times New Roman" w:cs="Times New Roman"/>
        </w:rPr>
        <w:t>, their defence of Masada is seen in an almost honourable light. Martyrdom was becoming a popular literary trope within Jewish philosophy</w:t>
      </w:r>
      <w:r w:rsidRPr="00475FA7">
        <w:rPr>
          <w:rStyle w:val="FootnoteReference"/>
          <w:rFonts w:ascii="Times New Roman" w:hAnsi="Times New Roman" w:cs="Times New Roman"/>
        </w:rPr>
        <w:footnoteReference w:id="55"/>
      </w:r>
      <w:r w:rsidRPr="00475FA7">
        <w:rPr>
          <w:rFonts w:ascii="Times New Roman" w:hAnsi="Times New Roman" w:cs="Times New Roman"/>
        </w:rPr>
        <w:t>. Despite the Jewish traditions seemingly not aligning to murder or suicide</w:t>
      </w:r>
      <w:r w:rsidRPr="00475FA7">
        <w:rPr>
          <w:rStyle w:val="FootnoteReference"/>
          <w:rFonts w:ascii="Times New Roman" w:hAnsi="Times New Roman" w:cs="Times New Roman"/>
        </w:rPr>
        <w:footnoteReference w:id="56"/>
      </w:r>
      <w:r w:rsidRPr="00475FA7">
        <w:rPr>
          <w:rFonts w:ascii="Times New Roman" w:hAnsi="Times New Roman" w:cs="Times New Roman"/>
        </w:rPr>
        <w:t xml:space="preserve"> Josephus mentions that the Sicarii’s attitude of death before capture to be favourable and respectable</w:t>
      </w:r>
      <w:r w:rsidRPr="00475FA7">
        <w:rPr>
          <w:rStyle w:val="FootnoteReference"/>
          <w:rFonts w:ascii="Times New Roman" w:hAnsi="Times New Roman" w:cs="Times New Roman"/>
        </w:rPr>
        <w:footnoteReference w:id="57"/>
      </w:r>
      <w:r w:rsidRPr="00475FA7">
        <w:rPr>
          <w:rFonts w:ascii="Times New Roman" w:hAnsi="Times New Roman" w:cs="Times New Roman"/>
        </w:rPr>
        <w:t>. Scholars predict that Josephus’s favourable representation of the suicide of the Sicarii may be down to his own personal guilt of having not committed to it at Jotapata</w:t>
      </w:r>
      <w:r w:rsidRPr="00475FA7">
        <w:rPr>
          <w:rStyle w:val="FootnoteReference"/>
          <w:rFonts w:ascii="Times New Roman" w:hAnsi="Times New Roman" w:cs="Times New Roman"/>
        </w:rPr>
        <w:footnoteReference w:id="58"/>
      </w:r>
      <w:r w:rsidRPr="00475FA7">
        <w:rPr>
          <w:rFonts w:ascii="Times New Roman" w:hAnsi="Times New Roman" w:cs="Times New Roman"/>
        </w:rPr>
        <w:t xml:space="preserve">. It is also theorised that the </w:t>
      </w:r>
      <w:r w:rsidRPr="00475FA7">
        <w:rPr>
          <w:rFonts w:ascii="Times New Roman" w:hAnsi="Times New Roman" w:cs="Times New Roman"/>
        </w:rPr>
        <w:lastRenderedPageBreak/>
        <w:t>speech Eleazar gives to his followers at Masada is a fabrication of Josephus, meant to both counter his own views of suicide as well as act as a theoretical template on how such a speech should be given</w:t>
      </w:r>
      <w:r w:rsidRPr="00475FA7">
        <w:rPr>
          <w:rStyle w:val="FootnoteReference"/>
          <w:rFonts w:ascii="Times New Roman" w:hAnsi="Times New Roman" w:cs="Times New Roman"/>
        </w:rPr>
        <w:footnoteReference w:id="59"/>
      </w:r>
      <w:r w:rsidRPr="00475FA7">
        <w:rPr>
          <w:rFonts w:ascii="Times New Roman" w:hAnsi="Times New Roman" w:cs="Times New Roman"/>
        </w:rPr>
        <w:t>.</w:t>
      </w:r>
    </w:p>
    <w:p w14:paraId="198C8846" w14:textId="34743189" w:rsidR="00831712" w:rsidRPr="00475FA7" w:rsidRDefault="00831712" w:rsidP="00475FA7">
      <w:pPr>
        <w:spacing w:line="480" w:lineRule="auto"/>
        <w:rPr>
          <w:rFonts w:ascii="Times New Roman" w:hAnsi="Times New Roman" w:cs="Times New Roman"/>
          <w:sz w:val="26"/>
          <w:szCs w:val="26"/>
        </w:rPr>
      </w:pPr>
    </w:p>
    <w:p w14:paraId="689D2910" w14:textId="79610965" w:rsidR="00475FA7" w:rsidRPr="00475FA7" w:rsidRDefault="00475FA7" w:rsidP="00475FA7">
      <w:pPr>
        <w:spacing w:line="480" w:lineRule="auto"/>
        <w:rPr>
          <w:rFonts w:ascii="Times New Roman" w:hAnsi="Times New Roman" w:cs="Times New Roman"/>
          <w:sz w:val="28"/>
          <w:szCs w:val="28"/>
          <w:u w:val="single"/>
        </w:rPr>
      </w:pPr>
      <w:r w:rsidRPr="00475FA7">
        <w:rPr>
          <w:rFonts w:ascii="Times New Roman" w:hAnsi="Times New Roman" w:cs="Times New Roman"/>
          <w:sz w:val="28"/>
          <w:szCs w:val="28"/>
          <w:u w:val="single"/>
        </w:rPr>
        <w:t>Masada: Historical and Political Importance</w:t>
      </w:r>
    </w:p>
    <w:p w14:paraId="76B0B572" w14:textId="77777777" w:rsidR="00475FA7" w:rsidRPr="00475FA7" w:rsidRDefault="00475FA7" w:rsidP="00475FA7">
      <w:pPr>
        <w:spacing w:line="480" w:lineRule="auto"/>
        <w:rPr>
          <w:rFonts w:ascii="Times New Roman" w:hAnsi="Times New Roman" w:cs="Times New Roman"/>
          <w:sz w:val="26"/>
          <w:szCs w:val="26"/>
        </w:rPr>
      </w:pPr>
    </w:p>
    <w:p w14:paraId="00BBF89C" w14:textId="083D5668" w:rsidR="00F96D6D" w:rsidRPr="00475FA7" w:rsidRDefault="00F96D6D" w:rsidP="00475FA7">
      <w:pPr>
        <w:spacing w:line="480" w:lineRule="auto"/>
        <w:rPr>
          <w:rFonts w:ascii="Times New Roman" w:hAnsi="Times New Roman" w:cs="Times New Roman"/>
        </w:rPr>
      </w:pPr>
      <w:r w:rsidRPr="00475FA7">
        <w:rPr>
          <w:rFonts w:ascii="Times New Roman" w:hAnsi="Times New Roman" w:cs="Times New Roman"/>
        </w:rPr>
        <w:t>The Historical importance of Masada may not be as major as that of Jerusalem, but it is just as important in many respects. The dispersal of the Judaic ruling class and the commitment to the destruction of even small pockets of resistance, such as Masada implicated the Romans seriousness to establish control and dominance within the area</w:t>
      </w:r>
      <w:r w:rsidRPr="00475FA7">
        <w:rPr>
          <w:rStyle w:val="FootnoteReference"/>
          <w:rFonts w:ascii="Times New Roman" w:hAnsi="Times New Roman" w:cs="Times New Roman"/>
        </w:rPr>
        <w:footnoteReference w:id="60"/>
      </w:r>
      <w:r w:rsidRPr="00475FA7">
        <w:rPr>
          <w:rFonts w:ascii="Times New Roman" w:hAnsi="Times New Roman" w:cs="Times New Roman"/>
        </w:rPr>
        <w:t xml:space="preserve"> Vespasian and his sons were not keen to repeat the mistakes of the Roman emperors that came before them and probably understood the importance maintaining dominance. </w:t>
      </w:r>
      <w:r w:rsidR="006464FC" w:rsidRPr="00475FA7">
        <w:rPr>
          <w:rFonts w:ascii="Times New Roman" w:hAnsi="Times New Roman" w:cs="Times New Roman"/>
        </w:rPr>
        <w:t>Masada is the</w:t>
      </w:r>
      <w:r w:rsidRPr="00475FA7">
        <w:rPr>
          <w:rFonts w:ascii="Times New Roman" w:hAnsi="Times New Roman" w:cs="Times New Roman"/>
        </w:rPr>
        <w:t xml:space="preserve"> last </w:t>
      </w:r>
      <w:r w:rsidR="006464FC" w:rsidRPr="00475FA7">
        <w:rPr>
          <w:rFonts w:ascii="Times New Roman" w:hAnsi="Times New Roman" w:cs="Times New Roman"/>
        </w:rPr>
        <w:t>account</w:t>
      </w:r>
      <w:r w:rsidRPr="00475FA7">
        <w:rPr>
          <w:rFonts w:ascii="Times New Roman" w:hAnsi="Times New Roman" w:cs="Times New Roman"/>
        </w:rPr>
        <w:t xml:space="preserve"> of Josephus’s works the Jewish wars and is considered to be the final defeat for the Jews in the revolt</w:t>
      </w:r>
      <w:r w:rsidRPr="00475FA7">
        <w:rPr>
          <w:rStyle w:val="FootnoteReference"/>
          <w:rFonts w:ascii="Times New Roman" w:hAnsi="Times New Roman" w:cs="Times New Roman"/>
        </w:rPr>
        <w:footnoteReference w:id="61"/>
      </w:r>
      <w:r w:rsidRPr="00475FA7">
        <w:rPr>
          <w:rFonts w:ascii="Times New Roman" w:hAnsi="Times New Roman" w:cs="Times New Roman"/>
        </w:rPr>
        <w:t>. It emphasises Rome’s total victory over the Jews and emphasises the complete Flavian victory. The victory was won by General Flavius Silva, a cleaver and determined general who planned a ramp large enough for a siege machine to break into the hilltop fortress</w:t>
      </w:r>
      <w:r w:rsidRPr="00475FA7">
        <w:rPr>
          <w:rStyle w:val="FootnoteReference"/>
          <w:rFonts w:ascii="Times New Roman" w:hAnsi="Times New Roman" w:cs="Times New Roman"/>
        </w:rPr>
        <w:footnoteReference w:id="62"/>
      </w:r>
      <w:r w:rsidRPr="00475FA7">
        <w:rPr>
          <w:rFonts w:ascii="Times New Roman" w:hAnsi="Times New Roman" w:cs="Times New Roman"/>
        </w:rPr>
        <w:t xml:space="preserve">. Although it had been many years since the fall of Jerusalem, the siege of Masada itself is estimated to have only taken about six months to complete, and was a </w:t>
      </w:r>
      <w:r w:rsidRPr="00475FA7">
        <w:rPr>
          <w:rFonts w:ascii="Times New Roman" w:hAnsi="Times New Roman" w:cs="Times New Roman"/>
        </w:rPr>
        <w:t>complete</w:t>
      </w:r>
      <w:r w:rsidRPr="00475FA7">
        <w:rPr>
          <w:rFonts w:ascii="Times New Roman" w:hAnsi="Times New Roman" w:cs="Times New Roman"/>
        </w:rPr>
        <w:t xml:space="preserve"> and decisive victory for the Romans with the only survivors reportedly being a </w:t>
      </w:r>
      <w:r w:rsidRPr="00475FA7">
        <w:rPr>
          <w:rFonts w:ascii="Times New Roman" w:hAnsi="Times New Roman" w:cs="Times New Roman"/>
        </w:rPr>
        <w:t>handful</w:t>
      </w:r>
      <w:r w:rsidRPr="00475FA7">
        <w:rPr>
          <w:rFonts w:ascii="Times New Roman" w:hAnsi="Times New Roman" w:cs="Times New Roman"/>
        </w:rPr>
        <w:t xml:space="preserve"> women and children</w:t>
      </w:r>
      <w:r w:rsidRPr="00475FA7">
        <w:rPr>
          <w:rStyle w:val="FootnoteReference"/>
          <w:rFonts w:ascii="Times New Roman" w:hAnsi="Times New Roman" w:cs="Times New Roman"/>
        </w:rPr>
        <w:footnoteReference w:id="63"/>
      </w:r>
    </w:p>
    <w:p w14:paraId="6413A17D" w14:textId="6875A9A5" w:rsidR="00036A94" w:rsidRPr="00475FA7" w:rsidRDefault="00036A94" w:rsidP="00475FA7">
      <w:pPr>
        <w:spacing w:line="480" w:lineRule="auto"/>
        <w:rPr>
          <w:rFonts w:ascii="Times New Roman" w:hAnsi="Times New Roman" w:cs="Times New Roman"/>
        </w:rPr>
      </w:pPr>
    </w:p>
    <w:p w14:paraId="68F458F2" w14:textId="258CEFF1" w:rsidR="006464FC" w:rsidRDefault="006464FC" w:rsidP="00475FA7">
      <w:pPr>
        <w:spacing w:line="480" w:lineRule="auto"/>
        <w:rPr>
          <w:rFonts w:ascii="Times New Roman" w:hAnsi="Times New Roman" w:cs="Times New Roman"/>
        </w:rPr>
      </w:pPr>
      <w:r w:rsidRPr="00475FA7">
        <w:rPr>
          <w:rFonts w:ascii="Times New Roman" w:hAnsi="Times New Roman" w:cs="Times New Roman"/>
        </w:rPr>
        <w:t xml:space="preserve">Overall the religious importance of the years 66-73/4 CE is the dramatic change in the practice and centralisation of Judaism. With the loss of the Temple, the Jews no longer had a </w:t>
      </w:r>
      <w:r w:rsidRPr="00475FA7">
        <w:rPr>
          <w:rFonts w:ascii="Times New Roman" w:hAnsi="Times New Roman" w:cs="Times New Roman"/>
        </w:rPr>
        <w:lastRenderedPageBreak/>
        <w:t xml:space="preserve">place to centralise their worship, and much of their practices would have to change. Many Judaic factions and sects disappeared and much of the religious cultic practices were lost with the Roman invasion. This did result in new Rabinnic culture eventually, but the aftermath of </w:t>
      </w:r>
      <w:r w:rsidR="00BB4EDA" w:rsidRPr="00475FA7">
        <w:rPr>
          <w:rFonts w:ascii="Times New Roman" w:hAnsi="Times New Roman" w:cs="Times New Roman"/>
        </w:rPr>
        <w:t>Jerusalem’s</w:t>
      </w:r>
      <w:r w:rsidRPr="00475FA7">
        <w:rPr>
          <w:rFonts w:ascii="Times New Roman" w:hAnsi="Times New Roman" w:cs="Times New Roman"/>
        </w:rPr>
        <w:t xml:space="preserve"> destruction saw the Jewish faith and community </w:t>
      </w:r>
      <w:r w:rsidR="00BB4EDA" w:rsidRPr="00475FA7">
        <w:rPr>
          <w:rFonts w:ascii="Times New Roman" w:hAnsi="Times New Roman" w:cs="Times New Roman"/>
        </w:rPr>
        <w:t>weakened</w:t>
      </w:r>
      <w:r w:rsidRPr="00475FA7">
        <w:rPr>
          <w:rFonts w:ascii="Times New Roman" w:hAnsi="Times New Roman" w:cs="Times New Roman"/>
        </w:rPr>
        <w:t xml:space="preserve"> and diminished. </w:t>
      </w:r>
      <w:r w:rsidR="00BB4EDA" w:rsidRPr="00475FA7">
        <w:rPr>
          <w:rFonts w:ascii="Times New Roman" w:hAnsi="Times New Roman" w:cs="Times New Roman"/>
        </w:rPr>
        <w:t xml:space="preserve">This would become to be seen as divine punishment by the Hebrew God, the repercussion of which would be felt for many millennia. </w:t>
      </w:r>
      <w:r w:rsidRPr="00475FA7">
        <w:rPr>
          <w:rFonts w:ascii="Times New Roman" w:hAnsi="Times New Roman" w:cs="Times New Roman"/>
        </w:rPr>
        <w:t xml:space="preserve">Masada had less religious importance to the Jewish faith </w:t>
      </w:r>
      <w:r w:rsidR="00BB4EDA" w:rsidRPr="00475FA7">
        <w:rPr>
          <w:rFonts w:ascii="Times New Roman" w:hAnsi="Times New Roman" w:cs="Times New Roman"/>
        </w:rPr>
        <w:t>overall</w:t>
      </w:r>
      <w:r w:rsidRPr="00475FA7">
        <w:rPr>
          <w:rFonts w:ascii="Times New Roman" w:hAnsi="Times New Roman" w:cs="Times New Roman"/>
        </w:rPr>
        <w:t>, but it ended all anti-roman sympathies within Jewish communities at this time and became an element of their myths. The Historical importance of both Jerusalem and Masada is t</w:t>
      </w:r>
      <w:r w:rsidR="00BB4EDA" w:rsidRPr="00475FA7">
        <w:rPr>
          <w:rFonts w:ascii="Times New Roman" w:hAnsi="Times New Roman" w:cs="Times New Roman"/>
        </w:rPr>
        <w:t xml:space="preserve">he additions to the victories of the Flavian dynasty and the impact they had on anti-Jewish sentiments within the Roman empire. The Jews from this point on had no homeland or city to return to, a problem that still plagues the religion today. </w:t>
      </w:r>
    </w:p>
    <w:p w14:paraId="2ADDBA5B" w14:textId="17430BAE" w:rsidR="00331738" w:rsidRDefault="00331738" w:rsidP="00475FA7">
      <w:pPr>
        <w:spacing w:line="480" w:lineRule="auto"/>
        <w:rPr>
          <w:rFonts w:ascii="Times New Roman" w:hAnsi="Times New Roman" w:cs="Times New Roman"/>
        </w:rPr>
      </w:pPr>
    </w:p>
    <w:p w14:paraId="0223C4CB" w14:textId="3141442A" w:rsidR="00331738" w:rsidRDefault="00331738">
      <w:pPr>
        <w:rPr>
          <w:rFonts w:ascii="Times New Roman" w:hAnsi="Times New Roman" w:cs="Times New Roman"/>
        </w:rPr>
      </w:pPr>
      <w:r>
        <w:rPr>
          <w:rFonts w:ascii="Times New Roman" w:hAnsi="Times New Roman" w:cs="Times New Roman"/>
        </w:rPr>
        <w:br w:type="page"/>
      </w:r>
    </w:p>
    <w:p w14:paraId="284403C7" w14:textId="225C1416" w:rsidR="00331738" w:rsidRPr="00331738" w:rsidRDefault="00331738" w:rsidP="00331738">
      <w:pPr>
        <w:rPr>
          <w:rFonts w:ascii="Times New Roman" w:hAnsi="Times New Roman" w:cs="Times New Roman"/>
          <w:sz w:val="28"/>
          <w:szCs w:val="28"/>
          <w:u w:val="single"/>
        </w:rPr>
      </w:pPr>
      <w:r w:rsidRPr="00331738">
        <w:rPr>
          <w:rFonts w:ascii="Times New Roman" w:hAnsi="Times New Roman" w:cs="Times New Roman"/>
          <w:sz w:val="28"/>
          <w:szCs w:val="28"/>
          <w:u w:val="single"/>
        </w:rPr>
        <w:lastRenderedPageBreak/>
        <w:t>Bibliography</w:t>
      </w:r>
    </w:p>
    <w:p w14:paraId="5A53FF19" w14:textId="77777777" w:rsidR="00331738" w:rsidRPr="00331738" w:rsidRDefault="00331738" w:rsidP="00331738">
      <w:pPr>
        <w:rPr>
          <w:rFonts w:ascii="Times New Roman" w:hAnsi="Times New Roman" w:cs="Times New Roman"/>
          <w:sz w:val="28"/>
          <w:szCs w:val="28"/>
          <w:u w:val="single"/>
        </w:rPr>
      </w:pPr>
    </w:p>
    <w:p w14:paraId="5BCDEC9B" w14:textId="54519F2A" w:rsidR="00331738" w:rsidRPr="00331738" w:rsidRDefault="00331738" w:rsidP="00331738">
      <w:pPr>
        <w:rPr>
          <w:rFonts w:ascii="Times New Roman" w:hAnsi="Times New Roman" w:cs="Times New Roman"/>
          <w:sz w:val="28"/>
          <w:szCs w:val="28"/>
          <w:u w:val="single"/>
        </w:rPr>
      </w:pPr>
      <w:r w:rsidRPr="00331738">
        <w:rPr>
          <w:rFonts w:ascii="Times New Roman" w:hAnsi="Times New Roman" w:cs="Times New Roman"/>
          <w:sz w:val="28"/>
          <w:szCs w:val="28"/>
          <w:u w:val="single"/>
        </w:rPr>
        <w:t>Primary sources</w:t>
      </w:r>
    </w:p>
    <w:p w14:paraId="05FAE342" w14:textId="77777777" w:rsidR="00331738" w:rsidRPr="002B382A" w:rsidRDefault="00331738" w:rsidP="00331738">
      <w:pPr>
        <w:rPr>
          <w:rFonts w:ascii="Times New Roman" w:hAnsi="Times New Roman" w:cs="Times New Roman"/>
        </w:rPr>
      </w:pPr>
    </w:p>
    <w:p w14:paraId="04ED1281" w14:textId="77777777" w:rsidR="00331738" w:rsidRPr="002B382A" w:rsidRDefault="00331738" w:rsidP="00331738">
      <w:pPr>
        <w:rPr>
          <w:rFonts w:ascii="Times New Roman" w:hAnsi="Times New Roman" w:cs="Times New Roman"/>
        </w:rPr>
      </w:pPr>
      <w:r w:rsidRPr="002B382A">
        <w:rPr>
          <w:rFonts w:ascii="Times New Roman" w:eastAsiaTheme="minorEastAsia" w:hAnsi="Times New Roman" w:cs="Times New Roman"/>
          <w:lang w:val="en-US"/>
        </w:rPr>
        <w:t xml:space="preserve">Cassius </w:t>
      </w:r>
      <w:proofErr w:type="spellStart"/>
      <w:r w:rsidRPr="002B382A">
        <w:rPr>
          <w:rFonts w:ascii="Times New Roman" w:eastAsiaTheme="minorEastAsia" w:hAnsi="Times New Roman" w:cs="Times New Roman"/>
          <w:lang w:val="en-US"/>
        </w:rPr>
        <w:t>Dio</w:t>
      </w:r>
      <w:proofErr w:type="spellEnd"/>
      <w:r w:rsidRPr="002B382A">
        <w:rPr>
          <w:rFonts w:ascii="Times New Roman" w:eastAsiaTheme="minorEastAsia" w:hAnsi="Times New Roman" w:cs="Times New Roman"/>
          <w:lang w:val="en-US"/>
        </w:rPr>
        <w:t xml:space="preserve">, </w:t>
      </w:r>
      <w:r w:rsidRPr="002B382A">
        <w:rPr>
          <w:rFonts w:ascii="Times New Roman" w:eastAsiaTheme="minorEastAsia" w:hAnsi="Times New Roman" w:cs="Times New Roman"/>
          <w:i/>
          <w:iCs/>
          <w:lang w:val="en-US"/>
        </w:rPr>
        <w:t xml:space="preserve">Roman History, </w:t>
      </w:r>
      <w:r w:rsidRPr="002B382A">
        <w:rPr>
          <w:rFonts w:ascii="Times New Roman" w:eastAsiaTheme="minorEastAsia" w:hAnsi="Times New Roman" w:cs="Times New Roman"/>
        </w:rPr>
        <w:t xml:space="preserve">Earnest Cary (trans) (1927), Loeb Classical library, Harvard university Press. Found at: </w:t>
      </w:r>
      <w:r w:rsidRPr="002B382A">
        <w:rPr>
          <w:rFonts w:ascii="Times New Roman" w:eastAsiaTheme="minorEastAsia" w:hAnsi="Times New Roman" w:cs="Times New Roman"/>
        </w:rPr>
        <w:fldChar w:fldCharType="begin"/>
      </w:r>
      <w:r w:rsidRPr="002B382A">
        <w:rPr>
          <w:rFonts w:ascii="Times New Roman" w:eastAsiaTheme="minorEastAsia" w:hAnsi="Times New Roman" w:cs="Times New Roman"/>
        </w:rPr>
        <w:instrText xml:space="preserve"> HYPERLINK "http://penelope.uchicago.edu/Thayer/E/Roman/Texts/Cassius_Dio/home.html" </w:instrText>
      </w:r>
      <w:r w:rsidRPr="002B382A">
        <w:rPr>
          <w:rFonts w:ascii="Times New Roman" w:eastAsiaTheme="minorEastAsia" w:hAnsi="Times New Roman" w:cs="Times New Roman"/>
        </w:rPr>
        <w:fldChar w:fldCharType="separate"/>
      </w:r>
      <w:r w:rsidRPr="002B382A">
        <w:rPr>
          <w:rStyle w:val="Hyperlink"/>
          <w:rFonts w:ascii="Times New Roman" w:eastAsiaTheme="minorEastAsia" w:hAnsi="Times New Roman" w:cs="Times New Roman"/>
        </w:rPr>
        <w:t>http://penelope.uchicago.edu/Thayer/E/Roman/Texts/Cassius_Dio/home.html</w:t>
      </w:r>
      <w:r w:rsidRPr="002B382A">
        <w:rPr>
          <w:rFonts w:ascii="Times New Roman" w:eastAsiaTheme="minorEastAsia" w:hAnsi="Times New Roman" w:cs="Times New Roman"/>
        </w:rPr>
        <w:fldChar w:fldCharType="end"/>
      </w:r>
    </w:p>
    <w:p w14:paraId="34059FAB" w14:textId="77777777" w:rsidR="00331738" w:rsidRDefault="00331738" w:rsidP="00331738">
      <w:pPr>
        <w:rPr>
          <w:rFonts w:ascii="Times New Roman" w:eastAsiaTheme="minorEastAsia" w:hAnsi="Times New Roman" w:cs="Times New Roman"/>
          <w:lang w:val="en-US"/>
        </w:rPr>
      </w:pPr>
    </w:p>
    <w:p w14:paraId="15EB82D5" w14:textId="417B58AC" w:rsidR="00331738" w:rsidRPr="002B382A" w:rsidRDefault="00331738" w:rsidP="00331738">
      <w:pPr>
        <w:rPr>
          <w:rFonts w:ascii="Times New Roman" w:hAnsi="Times New Roman" w:cs="Times New Roman"/>
        </w:rPr>
      </w:pPr>
      <w:r w:rsidRPr="002B382A">
        <w:rPr>
          <w:rFonts w:ascii="Times New Roman" w:eastAsiaTheme="minorEastAsia" w:hAnsi="Times New Roman" w:cs="Times New Roman"/>
          <w:lang w:val="en-US"/>
        </w:rPr>
        <w:t xml:space="preserve">Flavius Josephus, </w:t>
      </w:r>
      <w:r w:rsidRPr="002B382A">
        <w:rPr>
          <w:rFonts w:ascii="Times New Roman" w:eastAsiaTheme="minorEastAsia" w:hAnsi="Times New Roman" w:cs="Times New Roman"/>
          <w:i/>
          <w:iCs/>
        </w:rPr>
        <w:t>Antiquities of the Jews</w:t>
      </w:r>
      <w:r w:rsidRPr="002B382A">
        <w:rPr>
          <w:rFonts w:ascii="Times New Roman" w:eastAsiaTheme="minorEastAsia" w:hAnsi="Times New Roman" w:cs="Times New Roman"/>
          <w:lang w:val="en-US"/>
        </w:rPr>
        <w:t xml:space="preserve">, W. Whiston (trans) (1895), </w:t>
      </w:r>
      <w:r w:rsidRPr="002B382A">
        <w:rPr>
          <w:rFonts w:ascii="Times New Roman" w:eastAsiaTheme="minorEastAsia" w:hAnsi="Times New Roman" w:cs="Times New Roman"/>
        </w:rPr>
        <w:t>A.M. Auburn and Buffalo</w:t>
      </w:r>
      <w:r w:rsidRPr="002B382A">
        <w:rPr>
          <w:rFonts w:ascii="Times New Roman" w:eastAsiaTheme="minorEastAsia" w:hAnsi="Times New Roman" w:cs="Times New Roman"/>
          <w:lang w:val="en-US"/>
        </w:rPr>
        <w:t>, Ed. Found at: Perseus.tufts.edu</w:t>
      </w:r>
    </w:p>
    <w:p w14:paraId="4B8FF654" w14:textId="77777777" w:rsidR="00331738" w:rsidRDefault="00331738" w:rsidP="00331738">
      <w:pPr>
        <w:rPr>
          <w:rFonts w:ascii="Times New Roman" w:eastAsiaTheme="minorEastAsia" w:hAnsi="Times New Roman" w:cs="Times New Roman"/>
          <w:lang w:val="en-US"/>
        </w:rPr>
      </w:pPr>
    </w:p>
    <w:p w14:paraId="0706E00D" w14:textId="56CB2D26" w:rsidR="00331738" w:rsidRPr="002B382A" w:rsidRDefault="00331738" w:rsidP="00331738">
      <w:pPr>
        <w:rPr>
          <w:rFonts w:ascii="Times New Roman" w:hAnsi="Times New Roman" w:cs="Times New Roman"/>
        </w:rPr>
      </w:pPr>
      <w:r w:rsidRPr="002B382A">
        <w:rPr>
          <w:rFonts w:ascii="Times New Roman" w:eastAsiaTheme="minorEastAsia" w:hAnsi="Times New Roman" w:cs="Times New Roman"/>
          <w:lang w:val="en-US"/>
        </w:rPr>
        <w:t xml:space="preserve">Flavius Josephus, </w:t>
      </w:r>
      <w:r w:rsidRPr="002B382A">
        <w:rPr>
          <w:rFonts w:ascii="Times New Roman" w:eastAsiaTheme="minorEastAsia" w:hAnsi="Times New Roman" w:cs="Times New Roman"/>
          <w:i/>
          <w:iCs/>
          <w:lang w:val="en-US"/>
        </w:rPr>
        <w:t>The Wars of the Jews</w:t>
      </w:r>
      <w:r w:rsidRPr="002B382A">
        <w:rPr>
          <w:rFonts w:ascii="Times New Roman" w:eastAsiaTheme="minorEastAsia" w:hAnsi="Times New Roman" w:cs="Times New Roman"/>
          <w:lang w:val="en-US"/>
        </w:rPr>
        <w:t xml:space="preserve">, W. Whiston (trans) (1895), </w:t>
      </w:r>
      <w:r w:rsidRPr="002B382A">
        <w:rPr>
          <w:rFonts w:ascii="Times New Roman" w:eastAsiaTheme="minorEastAsia" w:hAnsi="Times New Roman" w:cs="Times New Roman"/>
        </w:rPr>
        <w:t>A.M. Auburn and Buffalo</w:t>
      </w:r>
      <w:r w:rsidRPr="002B382A">
        <w:rPr>
          <w:rFonts w:ascii="Times New Roman" w:eastAsiaTheme="minorEastAsia" w:hAnsi="Times New Roman" w:cs="Times New Roman"/>
          <w:lang w:val="en-US"/>
        </w:rPr>
        <w:t>, Ed. Found at: Perseus.tufts.edu</w:t>
      </w:r>
    </w:p>
    <w:p w14:paraId="5EA1819F" w14:textId="77777777" w:rsidR="00331738" w:rsidRDefault="00331738" w:rsidP="00331738">
      <w:pPr>
        <w:rPr>
          <w:rFonts w:ascii="Times New Roman" w:eastAsiaTheme="minorEastAsia" w:hAnsi="Times New Roman" w:cs="Times New Roman"/>
        </w:rPr>
      </w:pPr>
    </w:p>
    <w:p w14:paraId="2DCE0ED1" w14:textId="6CE9C117" w:rsidR="00331738" w:rsidRPr="002B382A" w:rsidRDefault="00331738" w:rsidP="00331738">
      <w:pPr>
        <w:rPr>
          <w:rFonts w:ascii="Times New Roman" w:hAnsi="Times New Roman" w:cs="Times New Roman"/>
        </w:rPr>
      </w:pPr>
      <w:r w:rsidRPr="002B382A">
        <w:rPr>
          <w:rFonts w:ascii="Times New Roman" w:eastAsiaTheme="minorEastAsia" w:hAnsi="Times New Roman" w:cs="Times New Roman"/>
        </w:rPr>
        <w:t>Rock, L. and Widdowson, K. (2013). </w:t>
      </w:r>
      <w:r w:rsidRPr="002B382A">
        <w:rPr>
          <w:rFonts w:ascii="Times New Roman" w:eastAsiaTheme="minorEastAsia" w:hAnsi="Times New Roman" w:cs="Times New Roman"/>
          <w:i/>
          <w:iCs/>
        </w:rPr>
        <w:t>Bible</w:t>
      </w:r>
      <w:r w:rsidRPr="002B382A">
        <w:rPr>
          <w:rFonts w:ascii="Times New Roman" w:eastAsiaTheme="minorEastAsia" w:hAnsi="Times New Roman" w:cs="Times New Roman"/>
        </w:rPr>
        <w:t>. Oxford, England: Lion Children’s.</w:t>
      </w:r>
    </w:p>
    <w:p w14:paraId="3135C75C" w14:textId="77777777" w:rsidR="00331738" w:rsidRDefault="00331738" w:rsidP="00331738">
      <w:pPr>
        <w:rPr>
          <w:rFonts w:ascii="Times New Roman" w:hAnsi="Times New Roman" w:cs="Times New Roman"/>
          <w:color w:val="000000"/>
        </w:rPr>
      </w:pPr>
    </w:p>
    <w:p w14:paraId="551B3553" w14:textId="74F68ABF" w:rsidR="00331738" w:rsidRPr="002B382A" w:rsidRDefault="00331738" w:rsidP="00331738">
      <w:pPr>
        <w:rPr>
          <w:rFonts w:ascii="Times New Roman" w:hAnsi="Times New Roman" w:cs="Times New Roman"/>
          <w:color w:val="000000"/>
        </w:rPr>
      </w:pPr>
      <w:r w:rsidRPr="002B382A">
        <w:rPr>
          <w:rFonts w:ascii="Times New Roman" w:hAnsi="Times New Roman" w:cs="Times New Roman"/>
          <w:color w:val="000000"/>
        </w:rPr>
        <w:t xml:space="preserve">Suetonius, </w:t>
      </w:r>
      <w:r w:rsidRPr="002B382A">
        <w:rPr>
          <w:rFonts w:ascii="Times New Roman" w:hAnsi="Times New Roman" w:cs="Times New Roman"/>
          <w:i/>
          <w:iCs/>
          <w:color w:val="000000"/>
        </w:rPr>
        <w:t>The Twelve Caesars</w:t>
      </w:r>
      <w:r w:rsidRPr="002B382A">
        <w:rPr>
          <w:rFonts w:ascii="Times New Roman" w:hAnsi="Times New Roman" w:cs="Times New Roman"/>
          <w:color w:val="000000"/>
        </w:rPr>
        <w:t>. Graves, R. and Rives, J.B. (trans) (2007). London: Penguin Books</w:t>
      </w:r>
    </w:p>
    <w:p w14:paraId="36CCE104" w14:textId="77777777" w:rsidR="00331738" w:rsidRDefault="00331738" w:rsidP="00331738">
      <w:pPr>
        <w:rPr>
          <w:rFonts w:ascii="Times New Roman" w:hAnsi="Times New Roman" w:cs="Times New Roman"/>
          <w:lang w:val="en-US"/>
        </w:rPr>
      </w:pPr>
    </w:p>
    <w:p w14:paraId="0FD9A359" w14:textId="772DE591" w:rsidR="00331738" w:rsidRPr="002B382A" w:rsidRDefault="00331738" w:rsidP="00331738">
      <w:pPr>
        <w:rPr>
          <w:rFonts w:ascii="Times New Roman" w:hAnsi="Times New Roman" w:cs="Times New Roman"/>
        </w:rPr>
      </w:pPr>
      <w:r w:rsidRPr="002B382A">
        <w:rPr>
          <w:rFonts w:ascii="Times New Roman" w:hAnsi="Times New Roman" w:cs="Times New Roman"/>
          <w:lang w:val="en-US"/>
        </w:rPr>
        <w:t>Tacitus:</w:t>
      </w:r>
      <w:r w:rsidRPr="002B382A">
        <w:rPr>
          <w:rFonts w:ascii="Times New Roman" w:hAnsi="Times New Roman" w:cs="Times New Roman"/>
          <w:i/>
          <w:iCs/>
          <w:color w:val="000000"/>
        </w:rPr>
        <w:t xml:space="preserve"> the annals of imperial Rome</w:t>
      </w:r>
      <w:r w:rsidRPr="002B382A">
        <w:rPr>
          <w:rFonts w:ascii="Times New Roman" w:hAnsi="Times New Roman" w:cs="Times New Roman"/>
          <w:color w:val="000000"/>
        </w:rPr>
        <w:t>. Michal Grant (trans) (1956). London, England: Penguin Group Ltd.</w:t>
      </w:r>
    </w:p>
    <w:p w14:paraId="2B5C39EA" w14:textId="77777777" w:rsidR="00331738" w:rsidRPr="002B382A" w:rsidRDefault="00331738" w:rsidP="00331738">
      <w:pPr>
        <w:pStyle w:val="NormalWeb"/>
        <w:spacing w:before="0" w:beforeAutospacing="0" w:after="240" w:afterAutospacing="0"/>
        <w:rPr>
          <w:color w:val="000000"/>
        </w:rPr>
      </w:pPr>
    </w:p>
    <w:p w14:paraId="0C26A2C6" w14:textId="77777777" w:rsidR="00331738" w:rsidRPr="00331738" w:rsidRDefault="00331738" w:rsidP="00331738">
      <w:pPr>
        <w:pStyle w:val="NormalWeb"/>
        <w:spacing w:before="0" w:beforeAutospacing="0" w:after="240" w:afterAutospacing="0"/>
        <w:rPr>
          <w:color w:val="000000"/>
          <w:sz w:val="28"/>
          <w:szCs w:val="28"/>
          <w:u w:val="single"/>
        </w:rPr>
      </w:pPr>
      <w:r w:rsidRPr="00331738">
        <w:rPr>
          <w:color w:val="000000"/>
          <w:sz w:val="28"/>
          <w:szCs w:val="28"/>
          <w:u w:val="single"/>
        </w:rPr>
        <w:t>Modern sources</w:t>
      </w:r>
    </w:p>
    <w:p w14:paraId="413F3476" w14:textId="77777777" w:rsidR="00331738" w:rsidRPr="002B382A" w:rsidRDefault="00331738" w:rsidP="00331738">
      <w:pPr>
        <w:pStyle w:val="NormalWeb"/>
        <w:spacing w:before="0" w:beforeAutospacing="0" w:after="240" w:afterAutospacing="0"/>
        <w:rPr>
          <w:color w:val="000000"/>
        </w:rPr>
      </w:pPr>
      <w:r w:rsidRPr="002B382A">
        <w:rPr>
          <w:color w:val="000000"/>
        </w:rPr>
        <w:t>Ferda, T.S. (2013). Jeremiah 7 and Flavius Josephus on the First Jewish War. </w:t>
      </w:r>
      <w:r w:rsidRPr="002B382A">
        <w:rPr>
          <w:i/>
          <w:iCs/>
          <w:color w:val="000000"/>
        </w:rPr>
        <w:t>Journal for the Study of Judaism</w:t>
      </w:r>
      <w:r w:rsidRPr="002B382A">
        <w:rPr>
          <w:color w:val="000000"/>
        </w:rPr>
        <w:t>, 44(2), pp.158–173.</w:t>
      </w:r>
    </w:p>
    <w:p w14:paraId="30CC64FD" w14:textId="77777777" w:rsidR="00331738" w:rsidRPr="002B382A" w:rsidRDefault="00331738" w:rsidP="00331738">
      <w:pPr>
        <w:pStyle w:val="NormalWeb"/>
        <w:spacing w:before="0" w:beforeAutospacing="0" w:after="240" w:afterAutospacing="0"/>
        <w:rPr>
          <w:color w:val="000000"/>
        </w:rPr>
      </w:pPr>
      <w:r w:rsidRPr="002B382A">
        <w:rPr>
          <w:color w:val="000000"/>
        </w:rPr>
        <w:t>Goodman, M. and Cambridge University Press (1987). </w:t>
      </w:r>
      <w:r w:rsidRPr="002B382A">
        <w:rPr>
          <w:i/>
          <w:iCs/>
          <w:color w:val="000000"/>
        </w:rPr>
        <w:t>The Ruling Class of Judea : the Origins of the Jewish Revolt against Rome A.D. 66-70</w:t>
      </w:r>
      <w:r w:rsidRPr="002B382A">
        <w:rPr>
          <w:color w:val="000000"/>
        </w:rPr>
        <w:t>. Cambridge Etc.: Cambridge University Press.</w:t>
      </w:r>
    </w:p>
    <w:p w14:paraId="2C4B1ABF" w14:textId="77777777" w:rsidR="00331738" w:rsidRPr="002B382A" w:rsidRDefault="000F017C" w:rsidP="00331738">
      <w:pPr>
        <w:pStyle w:val="NormalWeb"/>
        <w:rPr>
          <w:color w:val="000000"/>
        </w:rPr>
      </w:pPr>
      <w:r w:rsidRPr="00C3512B">
        <w:rPr>
          <w:color w:val="000000"/>
        </w:rPr>
        <w:t>Grabbe, L.L. (2010). </w:t>
      </w:r>
      <w:r w:rsidRPr="00C3512B">
        <w:rPr>
          <w:i/>
          <w:iCs/>
          <w:color w:val="000000"/>
        </w:rPr>
        <w:t>An introduction to first century Judaism : Jewish religion and history in the Second Temple period</w:t>
      </w:r>
      <w:r w:rsidRPr="00C3512B">
        <w:rPr>
          <w:color w:val="000000"/>
        </w:rPr>
        <w:t>. London: T&amp;T Clark.</w:t>
      </w:r>
    </w:p>
    <w:p w14:paraId="584DED3F" w14:textId="77777777" w:rsidR="00331738" w:rsidRPr="002B382A" w:rsidRDefault="00331738" w:rsidP="00331738">
      <w:pPr>
        <w:pStyle w:val="NormalWeb"/>
        <w:spacing w:before="0" w:beforeAutospacing="0" w:after="240" w:afterAutospacing="0"/>
        <w:rPr>
          <w:color w:val="000000"/>
        </w:rPr>
      </w:pPr>
      <w:r w:rsidRPr="002B382A">
        <w:rPr>
          <w:color w:val="000000"/>
        </w:rPr>
        <w:t xml:space="preserve">Kooten, G.H.V. (2011). The Jewish War and the Roman Civil War of 68–69 </w:t>
      </w:r>
      <w:proofErr w:type="spellStart"/>
      <w:r w:rsidRPr="002B382A">
        <w:rPr>
          <w:color w:val="000000"/>
        </w:rPr>
        <w:t>c.e.</w:t>
      </w:r>
      <w:proofErr w:type="spellEnd"/>
      <w:r w:rsidRPr="002B382A">
        <w:rPr>
          <w:color w:val="000000"/>
        </w:rPr>
        <w:t>: Jewish, Pagan, and Christian Perspectives. In: </w:t>
      </w:r>
      <w:r w:rsidRPr="002B382A">
        <w:rPr>
          <w:i/>
          <w:iCs/>
          <w:color w:val="000000"/>
        </w:rPr>
        <w:t>The Jewish Revolt against Rome</w:t>
      </w:r>
      <w:r w:rsidRPr="002B382A">
        <w:rPr>
          <w:color w:val="000000"/>
        </w:rPr>
        <w:t>. Brill.</w:t>
      </w:r>
    </w:p>
    <w:p w14:paraId="40937E40" w14:textId="77777777" w:rsidR="00331738" w:rsidRPr="002B382A" w:rsidRDefault="00331738" w:rsidP="00331738">
      <w:pPr>
        <w:pStyle w:val="NormalWeb"/>
        <w:spacing w:before="0" w:beforeAutospacing="0" w:after="240" w:afterAutospacing="0"/>
        <w:rPr>
          <w:color w:val="000000"/>
        </w:rPr>
      </w:pPr>
      <w:r w:rsidRPr="002B382A">
        <w:rPr>
          <w:color w:val="000000"/>
        </w:rPr>
        <w:t>Mason, S. (2016). </w:t>
      </w:r>
      <w:r w:rsidRPr="002B382A">
        <w:rPr>
          <w:i/>
          <w:iCs/>
          <w:color w:val="000000"/>
        </w:rPr>
        <w:t>HISTORY OF THE JEWISH WAR : ad 66-74.</w:t>
      </w:r>
      <w:r w:rsidRPr="002B382A">
        <w:rPr>
          <w:color w:val="000000"/>
        </w:rPr>
        <w:t xml:space="preserve"> S.L.: Cambridge </w:t>
      </w:r>
      <w:proofErr w:type="spellStart"/>
      <w:r w:rsidRPr="002B382A">
        <w:rPr>
          <w:color w:val="000000"/>
        </w:rPr>
        <w:t>Univ</w:t>
      </w:r>
      <w:proofErr w:type="spellEnd"/>
      <w:r w:rsidRPr="002B382A">
        <w:rPr>
          <w:color w:val="000000"/>
        </w:rPr>
        <w:t xml:space="preserve"> Press.</w:t>
      </w:r>
    </w:p>
    <w:p w14:paraId="755F3A75" w14:textId="77777777" w:rsidR="00C3512B" w:rsidRPr="00C3512B" w:rsidRDefault="000F017C" w:rsidP="00331738">
      <w:pPr>
        <w:pStyle w:val="NormalWeb"/>
        <w:rPr>
          <w:color w:val="000000"/>
        </w:rPr>
      </w:pPr>
      <w:r w:rsidRPr="00C3512B">
        <w:rPr>
          <w:color w:val="000000"/>
        </w:rPr>
        <w:t>Millar, F. (2005). Last Year in Jerusalem: Monuments of the Jewish War in Rome 1. In: J. Edmondson, S. Mason and J. Rives, eds., </w:t>
      </w:r>
      <w:r w:rsidRPr="00C3512B">
        <w:rPr>
          <w:i/>
          <w:iCs/>
          <w:color w:val="000000"/>
        </w:rPr>
        <w:t>Flavius Josephus and Flavian Rome</w:t>
      </w:r>
      <w:r w:rsidRPr="00C3512B">
        <w:rPr>
          <w:color w:val="000000"/>
        </w:rPr>
        <w:t>. Oxford Scholarship Online.</w:t>
      </w:r>
    </w:p>
    <w:p w14:paraId="61529935" w14:textId="77777777" w:rsidR="00331738" w:rsidRPr="002B382A" w:rsidRDefault="00331738" w:rsidP="00331738">
      <w:pPr>
        <w:pStyle w:val="NormalWeb"/>
        <w:spacing w:before="0" w:beforeAutospacing="0" w:after="240" w:afterAutospacing="0"/>
        <w:rPr>
          <w:color w:val="000000"/>
        </w:rPr>
      </w:pPr>
      <w:r w:rsidRPr="002B382A">
        <w:rPr>
          <w:color w:val="000000"/>
        </w:rPr>
        <w:t>Popović, M. (2011). The Jewish Revolt against Rome: History, Sources and Perspectives. In: </w:t>
      </w:r>
      <w:r w:rsidRPr="002B382A">
        <w:rPr>
          <w:i/>
          <w:iCs/>
          <w:color w:val="000000"/>
        </w:rPr>
        <w:t>The Jewish Revolt against Rome</w:t>
      </w:r>
      <w:r w:rsidRPr="002B382A">
        <w:rPr>
          <w:color w:val="000000"/>
        </w:rPr>
        <w:t>. Brill.</w:t>
      </w:r>
    </w:p>
    <w:p w14:paraId="38CC6617" w14:textId="77777777" w:rsidR="002B382A" w:rsidRPr="002B382A" w:rsidRDefault="00331738" w:rsidP="00331738">
      <w:pPr>
        <w:pStyle w:val="NormalWeb"/>
        <w:rPr>
          <w:color w:val="000000"/>
        </w:rPr>
      </w:pPr>
      <w:r w:rsidRPr="002B382A">
        <w:rPr>
          <w:color w:val="000000"/>
        </w:rPr>
        <w:t xml:space="preserve">R. Mellor (2002) </w:t>
      </w:r>
      <w:r w:rsidRPr="002B382A">
        <w:rPr>
          <w:i/>
          <w:iCs/>
          <w:color w:val="000000"/>
        </w:rPr>
        <w:t>The New Aristocracy of Power</w:t>
      </w:r>
      <w:r w:rsidRPr="002B382A">
        <w:rPr>
          <w:color w:val="000000"/>
        </w:rPr>
        <w:t xml:space="preserve">. </w:t>
      </w:r>
      <w:r w:rsidR="000F017C" w:rsidRPr="002B382A">
        <w:rPr>
          <w:color w:val="000000"/>
        </w:rPr>
        <w:t>In: A.J. Boyle and W.J. Dominik, eds., </w:t>
      </w:r>
      <w:r w:rsidR="000F017C" w:rsidRPr="002B382A">
        <w:rPr>
          <w:i/>
          <w:iCs/>
          <w:color w:val="000000"/>
        </w:rPr>
        <w:t>Flavian Rome: Culture, Image, Text</w:t>
      </w:r>
      <w:r w:rsidR="000F017C" w:rsidRPr="002B382A">
        <w:rPr>
          <w:color w:val="000000"/>
        </w:rPr>
        <w:t>. Boston: Br</w:t>
      </w:r>
      <w:r w:rsidR="000F017C" w:rsidRPr="002B382A">
        <w:rPr>
          <w:color w:val="000000"/>
        </w:rPr>
        <w:t>ill.</w:t>
      </w:r>
    </w:p>
    <w:p w14:paraId="1475400C" w14:textId="77777777" w:rsidR="00331738" w:rsidRPr="002B382A" w:rsidRDefault="00331738" w:rsidP="00331738">
      <w:pPr>
        <w:pStyle w:val="NormalWeb"/>
        <w:spacing w:before="0" w:beforeAutospacing="0" w:after="240" w:afterAutospacing="0"/>
        <w:rPr>
          <w:color w:val="000000"/>
        </w:rPr>
      </w:pPr>
      <w:r w:rsidRPr="002B382A">
        <w:rPr>
          <w:color w:val="000000"/>
        </w:rPr>
        <w:lastRenderedPageBreak/>
        <w:t>Rappaport, U. (2011). Who Were the Sicarii? In: </w:t>
      </w:r>
      <w:r w:rsidRPr="002B382A">
        <w:rPr>
          <w:i/>
          <w:iCs/>
          <w:color w:val="000000"/>
        </w:rPr>
        <w:t>The Jewish Revolt against Rome</w:t>
      </w:r>
      <w:r w:rsidRPr="002B382A">
        <w:rPr>
          <w:color w:val="000000"/>
        </w:rPr>
        <w:t>. Brill.</w:t>
      </w:r>
    </w:p>
    <w:p w14:paraId="7126CEF8" w14:textId="77777777" w:rsidR="00331738" w:rsidRPr="002B382A" w:rsidRDefault="000F017C" w:rsidP="00331738">
      <w:pPr>
        <w:pStyle w:val="NormalWeb"/>
        <w:rPr>
          <w:color w:val="000000"/>
        </w:rPr>
      </w:pPr>
      <w:r w:rsidRPr="00C3512B">
        <w:rPr>
          <w:color w:val="000000"/>
        </w:rPr>
        <w:t>Shahar, M.B. (2015). When was the Second Temple Destroyed? Chronology and Ideology in Joseph</w:t>
      </w:r>
      <w:r w:rsidRPr="00C3512B">
        <w:rPr>
          <w:color w:val="000000"/>
        </w:rPr>
        <w:t>us and in Rabbinic Literature. </w:t>
      </w:r>
      <w:r w:rsidRPr="00C3512B">
        <w:rPr>
          <w:i/>
          <w:iCs/>
          <w:color w:val="000000"/>
        </w:rPr>
        <w:t>Journal for the Study of Judaism</w:t>
      </w:r>
      <w:r w:rsidRPr="00C3512B">
        <w:rPr>
          <w:color w:val="000000"/>
        </w:rPr>
        <w:t>, 46(4–5), pp.547–573.</w:t>
      </w:r>
    </w:p>
    <w:p w14:paraId="78DEEC49" w14:textId="77777777" w:rsidR="00331738" w:rsidRPr="002B382A" w:rsidRDefault="00331738" w:rsidP="00331738">
      <w:pPr>
        <w:pStyle w:val="NormalWeb"/>
        <w:spacing w:before="0" w:beforeAutospacing="0" w:after="240" w:afterAutospacing="0"/>
        <w:rPr>
          <w:color w:val="000000"/>
        </w:rPr>
      </w:pPr>
      <w:r w:rsidRPr="002B382A">
        <w:rPr>
          <w:color w:val="000000"/>
        </w:rPr>
        <w:t>Simkovich, M.Z. (2018). Josephus Flavius. In: </w:t>
      </w:r>
      <w:r w:rsidRPr="002B382A">
        <w:rPr>
          <w:i/>
          <w:iCs/>
          <w:color w:val="000000"/>
        </w:rPr>
        <w:t>Discovering Second Temple Literature: The Scriptures and Stories That Shaped Early Judaism</w:t>
      </w:r>
      <w:r w:rsidRPr="002B382A">
        <w:rPr>
          <w:color w:val="000000"/>
        </w:rPr>
        <w:t>. University of Nebraska Press; Jewish Publication Society.</w:t>
      </w:r>
    </w:p>
    <w:p w14:paraId="1B1BB7D0" w14:textId="77777777" w:rsidR="00331738" w:rsidRPr="002B382A" w:rsidRDefault="00331738" w:rsidP="00331738">
      <w:pPr>
        <w:pStyle w:val="NormalWeb"/>
        <w:spacing w:before="0" w:beforeAutospacing="0" w:after="240" w:afterAutospacing="0"/>
        <w:rPr>
          <w:color w:val="000000"/>
        </w:rPr>
      </w:pPr>
      <w:r w:rsidRPr="002B382A">
        <w:rPr>
          <w:color w:val="000000"/>
        </w:rPr>
        <w:t>Sorek, S. (2008). </w:t>
      </w:r>
      <w:r w:rsidRPr="002B382A">
        <w:rPr>
          <w:i/>
          <w:iCs/>
          <w:color w:val="000000"/>
        </w:rPr>
        <w:t>The Jews against Rome</w:t>
      </w:r>
      <w:r w:rsidRPr="002B382A">
        <w:rPr>
          <w:color w:val="000000"/>
        </w:rPr>
        <w:t>. London ; New York, Ny: Continuum.</w:t>
      </w:r>
    </w:p>
    <w:p w14:paraId="116773D1" w14:textId="77777777" w:rsidR="00331738" w:rsidRPr="002B382A" w:rsidRDefault="00331738" w:rsidP="00331738">
      <w:pPr>
        <w:pStyle w:val="NormalWeb"/>
        <w:spacing w:before="0" w:beforeAutospacing="0" w:after="240" w:afterAutospacing="0"/>
        <w:rPr>
          <w:color w:val="000000"/>
        </w:rPr>
      </w:pPr>
      <w:r w:rsidRPr="002B382A">
        <w:rPr>
          <w:color w:val="000000"/>
        </w:rPr>
        <w:t xml:space="preserve">Van Der Horst, P.W. van der H. (2011). Philosophia </w:t>
      </w:r>
      <w:proofErr w:type="spellStart"/>
      <w:r w:rsidRPr="002B382A">
        <w:rPr>
          <w:color w:val="000000"/>
        </w:rPr>
        <w:t>epeisaktos</w:t>
      </w:r>
      <w:proofErr w:type="spellEnd"/>
      <w:r w:rsidRPr="002B382A">
        <w:rPr>
          <w:color w:val="000000"/>
        </w:rPr>
        <w:t>: Some Notes on Josephus, A.J. 18.9. In: </w:t>
      </w:r>
      <w:r w:rsidRPr="002B382A">
        <w:rPr>
          <w:i/>
          <w:iCs/>
          <w:color w:val="000000"/>
        </w:rPr>
        <w:t>The Jewish Revolt against Rome</w:t>
      </w:r>
      <w:r w:rsidRPr="002B382A">
        <w:rPr>
          <w:color w:val="000000"/>
        </w:rPr>
        <w:t>. Brill.</w:t>
      </w:r>
    </w:p>
    <w:p w14:paraId="48D2D6D1" w14:textId="77777777" w:rsidR="00331738" w:rsidRPr="002B382A" w:rsidRDefault="00331738" w:rsidP="00331738">
      <w:pPr>
        <w:pStyle w:val="NormalWeb"/>
        <w:spacing w:before="0" w:beforeAutospacing="0" w:after="240" w:afterAutospacing="0"/>
        <w:rPr>
          <w:color w:val="000000"/>
        </w:rPr>
      </w:pPr>
      <w:r w:rsidRPr="002B382A">
        <w:rPr>
          <w:color w:val="000000"/>
        </w:rPr>
        <w:t xml:space="preserve">Willem van </w:t>
      </w:r>
      <w:proofErr w:type="spellStart"/>
      <w:r w:rsidRPr="002B382A">
        <w:rPr>
          <w:color w:val="000000"/>
        </w:rPr>
        <w:t>Henten</w:t>
      </w:r>
      <w:proofErr w:type="spellEnd"/>
      <w:r w:rsidRPr="002B382A">
        <w:rPr>
          <w:color w:val="000000"/>
        </w:rPr>
        <w:t xml:space="preserve">, J. (2019). Josephus as Narrator. In: E.-M. Becker and J. </w:t>
      </w:r>
      <w:proofErr w:type="spellStart"/>
      <w:r w:rsidRPr="002B382A">
        <w:rPr>
          <w:color w:val="000000"/>
        </w:rPr>
        <w:t>Rüpke</w:t>
      </w:r>
      <w:proofErr w:type="spellEnd"/>
      <w:r w:rsidRPr="002B382A">
        <w:rPr>
          <w:color w:val="000000"/>
        </w:rPr>
        <w:t>, eds., </w:t>
      </w:r>
      <w:proofErr w:type="spellStart"/>
      <w:r w:rsidRPr="002B382A">
        <w:rPr>
          <w:i/>
          <w:iCs/>
          <w:color w:val="000000"/>
        </w:rPr>
        <w:t>Autoren</w:t>
      </w:r>
      <w:proofErr w:type="spellEnd"/>
      <w:r w:rsidRPr="002B382A">
        <w:rPr>
          <w:i/>
          <w:iCs/>
          <w:color w:val="000000"/>
        </w:rPr>
        <w:t xml:space="preserve"> in </w:t>
      </w:r>
      <w:proofErr w:type="spellStart"/>
      <w:r w:rsidRPr="002B382A">
        <w:rPr>
          <w:i/>
          <w:iCs/>
          <w:color w:val="000000"/>
        </w:rPr>
        <w:t>religiösen</w:t>
      </w:r>
      <w:proofErr w:type="spellEnd"/>
      <w:r w:rsidRPr="002B382A">
        <w:rPr>
          <w:i/>
          <w:iCs/>
          <w:color w:val="000000"/>
        </w:rPr>
        <w:t xml:space="preserve"> </w:t>
      </w:r>
      <w:proofErr w:type="spellStart"/>
      <w:r w:rsidRPr="002B382A">
        <w:rPr>
          <w:i/>
          <w:iCs/>
          <w:color w:val="000000"/>
        </w:rPr>
        <w:t>literarischen</w:t>
      </w:r>
      <w:proofErr w:type="spellEnd"/>
      <w:r w:rsidRPr="002B382A">
        <w:rPr>
          <w:i/>
          <w:iCs/>
          <w:color w:val="000000"/>
        </w:rPr>
        <w:t xml:space="preserve"> </w:t>
      </w:r>
      <w:proofErr w:type="spellStart"/>
      <w:r w:rsidRPr="002B382A">
        <w:rPr>
          <w:i/>
          <w:iCs/>
          <w:color w:val="000000"/>
        </w:rPr>
        <w:t>Texten</w:t>
      </w:r>
      <w:proofErr w:type="spellEnd"/>
      <w:r w:rsidRPr="002B382A">
        <w:rPr>
          <w:i/>
          <w:iCs/>
          <w:color w:val="000000"/>
        </w:rPr>
        <w:t xml:space="preserve"> der </w:t>
      </w:r>
      <w:proofErr w:type="spellStart"/>
      <w:r w:rsidRPr="002B382A">
        <w:rPr>
          <w:i/>
          <w:iCs/>
          <w:color w:val="000000"/>
        </w:rPr>
        <w:t>späthellenistischen</w:t>
      </w:r>
      <w:proofErr w:type="spellEnd"/>
      <w:r w:rsidRPr="002B382A">
        <w:rPr>
          <w:i/>
          <w:iCs/>
          <w:color w:val="000000"/>
        </w:rPr>
        <w:t xml:space="preserve"> und der </w:t>
      </w:r>
      <w:proofErr w:type="spellStart"/>
      <w:r w:rsidRPr="002B382A">
        <w:rPr>
          <w:i/>
          <w:iCs/>
          <w:color w:val="000000"/>
        </w:rPr>
        <w:t>frühkaiserzeitlichen</w:t>
      </w:r>
      <w:proofErr w:type="spellEnd"/>
      <w:r w:rsidRPr="002B382A">
        <w:rPr>
          <w:i/>
          <w:iCs/>
          <w:color w:val="000000"/>
        </w:rPr>
        <w:t xml:space="preserve"> Welt</w:t>
      </w:r>
      <w:r w:rsidRPr="002B382A">
        <w:rPr>
          <w:color w:val="000000"/>
        </w:rPr>
        <w:t xml:space="preserve">. Eve-Marie Becker and </w:t>
      </w:r>
      <w:proofErr w:type="spellStart"/>
      <w:r w:rsidRPr="002B382A">
        <w:rPr>
          <w:color w:val="000000"/>
        </w:rPr>
        <w:t>Jörg</w:t>
      </w:r>
      <w:proofErr w:type="spellEnd"/>
      <w:r w:rsidRPr="002B382A">
        <w:rPr>
          <w:color w:val="000000"/>
        </w:rPr>
        <w:t xml:space="preserve"> </w:t>
      </w:r>
      <w:proofErr w:type="spellStart"/>
      <w:r w:rsidRPr="002B382A">
        <w:rPr>
          <w:color w:val="000000"/>
        </w:rPr>
        <w:t>Rüpke</w:t>
      </w:r>
      <w:proofErr w:type="spellEnd"/>
      <w:r w:rsidRPr="002B382A">
        <w:rPr>
          <w:color w:val="000000"/>
        </w:rPr>
        <w:t>.</w:t>
      </w:r>
    </w:p>
    <w:p w14:paraId="5B87EB1D" w14:textId="77777777" w:rsidR="00331738" w:rsidRPr="002B382A" w:rsidRDefault="00331738" w:rsidP="00331738">
      <w:pPr>
        <w:pStyle w:val="NormalWeb"/>
        <w:spacing w:before="0" w:beforeAutospacing="0" w:after="240" w:afterAutospacing="0"/>
        <w:rPr>
          <w:color w:val="000000"/>
        </w:rPr>
      </w:pPr>
      <w:r w:rsidRPr="002B382A">
        <w:rPr>
          <w:color w:val="000000"/>
        </w:rPr>
        <w:t>Zeitlin, S. (1965). Masada and the Sicarii. </w:t>
      </w:r>
      <w:r w:rsidRPr="002B382A">
        <w:rPr>
          <w:i/>
          <w:iCs/>
          <w:color w:val="000000"/>
        </w:rPr>
        <w:t>The Jewish Quarterly Review</w:t>
      </w:r>
      <w:r w:rsidRPr="002B382A">
        <w:rPr>
          <w:color w:val="000000"/>
        </w:rPr>
        <w:t>, 55(4), p.299.</w:t>
      </w:r>
    </w:p>
    <w:p w14:paraId="0853938D" w14:textId="77777777" w:rsidR="00331738" w:rsidRPr="002B382A" w:rsidRDefault="00331738" w:rsidP="00331738">
      <w:pPr>
        <w:pStyle w:val="NormalWeb"/>
        <w:spacing w:before="0" w:beforeAutospacing="0" w:after="240" w:afterAutospacing="0"/>
        <w:rPr>
          <w:color w:val="000000"/>
        </w:rPr>
      </w:pPr>
      <w:r w:rsidRPr="002B382A">
        <w:rPr>
          <w:color w:val="000000"/>
        </w:rPr>
        <w:t>Zeitlin, S. (1967). The Sicarii and Masada. </w:t>
      </w:r>
      <w:r w:rsidRPr="002B382A">
        <w:rPr>
          <w:i/>
          <w:iCs/>
          <w:color w:val="000000"/>
        </w:rPr>
        <w:t>The Jewish Quarterly Review</w:t>
      </w:r>
      <w:r w:rsidRPr="002B382A">
        <w:rPr>
          <w:color w:val="000000"/>
        </w:rPr>
        <w:t>, 57(4), p.251.</w:t>
      </w:r>
    </w:p>
    <w:p w14:paraId="09503DCD" w14:textId="77777777" w:rsidR="00DE23E3" w:rsidRPr="00DE23E3" w:rsidRDefault="000F017C" w:rsidP="00331738">
      <w:pPr>
        <w:numPr>
          <w:ilvl w:val="0"/>
          <w:numId w:val="3"/>
        </w:numPr>
        <w:tabs>
          <w:tab w:val="num" w:pos="720"/>
        </w:tabs>
        <w:contextualSpacing/>
        <w:rPr>
          <w:rFonts w:ascii="Times New Roman" w:hAnsi="Times New Roman" w:cs="Times New Roman"/>
        </w:rPr>
      </w:pPr>
    </w:p>
    <w:p w14:paraId="665F9013" w14:textId="77777777" w:rsidR="00331738" w:rsidRPr="002B382A" w:rsidRDefault="00331738" w:rsidP="00331738">
      <w:pPr>
        <w:rPr>
          <w:rFonts w:ascii="Times New Roman" w:hAnsi="Times New Roman" w:cs="Times New Roman"/>
        </w:rPr>
      </w:pPr>
    </w:p>
    <w:p w14:paraId="2FE0BD61" w14:textId="77777777" w:rsidR="00331738" w:rsidRPr="00475FA7" w:rsidRDefault="00331738" w:rsidP="00475FA7">
      <w:pPr>
        <w:spacing w:line="480" w:lineRule="auto"/>
        <w:rPr>
          <w:rFonts w:ascii="Times New Roman" w:hAnsi="Times New Roman" w:cs="Times New Roman"/>
        </w:rPr>
      </w:pPr>
    </w:p>
    <w:sectPr w:rsidR="00331738" w:rsidRPr="00475FA7"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F91EC" w14:textId="77777777" w:rsidR="000F017C" w:rsidRDefault="000F017C" w:rsidP="002138C8">
      <w:r>
        <w:separator/>
      </w:r>
    </w:p>
  </w:endnote>
  <w:endnote w:type="continuationSeparator" w:id="0">
    <w:p w14:paraId="23BEBB81" w14:textId="77777777" w:rsidR="000F017C" w:rsidRDefault="000F017C" w:rsidP="002138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C8084B" w14:textId="77777777" w:rsidR="000F017C" w:rsidRDefault="000F017C" w:rsidP="002138C8">
      <w:r>
        <w:separator/>
      </w:r>
    </w:p>
  </w:footnote>
  <w:footnote w:type="continuationSeparator" w:id="0">
    <w:p w14:paraId="421FB874" w14:textId="77777777" w:rsidR="000F017C" w:rsidRDefault="000F017C" w:rsidP="002138C8">
      <w:r>
        <w:continuationSeparator/>
      </w:r>
    </w:p>
  </w:footnote>
  <w:footnote w:id="1">
    <w:p w14:paraId="6B9FD156"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Goodman. 1987. 14</w:t>
      </w:r>
    </w:p>
  </w:footnote>
  <w:footnote w:id="2">
    <w:p w14:paraId="6D2EB6F7"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27</w:t>
      </w:r>
    </w:p>
  </w:footnote>
  <w:footnote w:id="3">
    <w:p w14:paraId="342E2322"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75</w:t>
      </w:r>
    </w:p>
  </w:footnote>
  <w:footnote w:id="4">
    <w:p w14:paraId="69069D80" w14:textId="7674A52C"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27. Sorek here sights Josephus, who at multiple points references failings on both sides of the war. These being the Jews zealous and idealistic pursual of their own ruled state and the Roman lack of competent and compassionate rulers.</w:t>
      </w:r>
    </w:p>
  </w:footnote>
  <w:footnote w:id="5">
    <w:p w14:paraId="3DD522A6"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2010.25; Goodman. 1987. 3</w:t>
      </w:r>
    </w:p>
  </w:footnote>
  <w:footnote w:id="6">
    <w:p w14:paraId="349F0A67"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37</w:t>
      </w:r>
    </w:p>
  </w:footnote>
  <w:footnote w:id="7">
    <w:p w14:paraId="545EF1ED" w14:textId="1E5D7A30"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76; Joseph. War. 5.1.4; Tac. Hist. 5.12.2–4</w:t>
      </w:r>
    </w:p>
  </w:footnote>
  <w:footnote w:id="8">
    <w:p w14:paraId="5973E923"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75.</w:t>
      </w:r>
    </w:p>
  </w:footnote>
  <w:footnote w:id="9">
    <w:p w14:paraId="4EC3CDF6"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77</w:t>
      </w:r>
    </w:p>
  </w:footnote>
  <w:footnote w:id="10">
    <w:p w14:paraId="48C145EF"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Joseph. War. 6.5.2.</w:t>
      </w:r>
    </w:p>
  </w:footnote>
  <w:footnote w:id="11">
    <w:p w14:paraId="39A4CD6C" w14:textId="77777777" w:rsidR="00420584" w:rsidRPr="00475FA7" w:rsidRDefault="00420584" w:rsidP="002138C8">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42,44. </w:t>
      </w:r>
    </w:p>
  </w:footnote>
  <w:footnote w:id="12">
    <w:p w14:paraId="268605F0"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Goodman. 1987. 152</w:t>
      </w:r>
    </w:p>
  </w:footnote>
  <w:footnote w:id="13">
    <w:p w14:paraId="7E9E8374"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13</w:t>
      </w:r>
    </w:p>
  </w:footnote>
  <w:footnote w:id="14">
    <w:p w14:paraId="2225ECFB"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Simkovich. 2018. 190</w:t>
      </w:r>
    </w:p>
  </w:footnote>
  <w:footnote w:id="15">
    <w:p w14:paraId="24012C22"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102</w:t>
      </w:r>
    </w:p>
  </w:footnote>
  <w:footnote w:id="16">
    <w:p w14:paraId="5C06CAC0"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Mellor. 2002. 79.</w:t>
      </w:r>
    </w:p>
  </w:footnote>
  <w:footnote w:id="17">
    <w:p w14:paraId="0B9CFCA6"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26</w:t>
      </w:r>
    </w:p>
  </w:footnote>
  <w:footnote w:id="18">
    <w:p w14:paraId="20951811"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 BJ 6.4.5-6</w:t>
      </w:r>
    </w:p>
  </w:footnote>
  <w:footnote w:id="19">
    <w:p w14:paraId="12C8FAA7"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27</w:t>
      </w:r>
    </w:p>
  </w:footnote>
  <w:footnote w:id="20">
    <w:p w14:paraId="43448E2B"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Ibid.</w:t>
      </w:r>
    </w:p>
  </w:footnote>
  <w:footnote w:id="21">
    <w:p w14:paraId="380ED59F"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 BJ 6.4.5</w:t>
      </w:r>
    </w:p>
  </w:footnote>
  <w:footnote w:id="22">
    <w:p w14:paraId="2C2611F9"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Shahar. 2015. 547.</w:t>
      </w:r>
    </w:p>
  </w:footnote>
  <w:footnote w:id="23">
    <w:p w14:paraId="4B8C55CC"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Shahar. 2015. 548.</w:t>
      </w:r>
    </w:p>
  </w:footnote>
  <w:footnote w:id="24">
    <w:p w14:paraId="61C452DE"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Jer 52:12</w:t>
      </w:r>
    </w:p>
  </w:footnote>
  <w:footnote w:id="25">
    <w:p w14:paraId="43ABEDBC"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Shahar. 2015. 548-9</w:t>
      </w:r>
    </w:p>
  </w:footnote>
  <w:footnote w:id="26">
    <w:p w14:paraId="35CC0C08"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Ferda. 2013. 158-9</w:t>
      </w:r>
    </w:p>
  </w:footnote>
  <w:footnote w:id="27">
    <w:p w14:paraId="6FF6545D"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Ferda. 2013. 160-2</w:t>
      </w:r>
    </w:p>
  </w:footnote>
  <w:footnote w:id="28">
    <w:p w14:paraId="580F5C3C" w14:textId="77777777" w:rsidR="00420584" w:rsidRPr="00475FA7" w:rsidRDefault="00420584" w:rsidP="0021624A">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2016.24; J. BJ 6.9.1</w:t>
      </w:r>
    </w:p>
  </w:footnote>
  <w:footnote w:id="29">
    <w:p w14:paraId="5331F269"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Shahar.2015. 552</w:t>
      </w:r>
    </w:p>
  </w:footnote>
  <w:footnote w:id="30">
    <w:p w14:paraId="3E2D9962"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5</w:t>
      </w:r>
    </w:p>
  </w:footnote>
  <w:footnote w:id="31">
    <w:p w14:paraId="76622C60"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8.</w:t>
      </w:r>
    </w:p>
  </w:footnote>
  <w:footnote w:id="32">
    <w:p w14:paraId="2F4D4EAB"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Kooten. 2011. 424.</w:t>
      </w:r>
    </w:p>
  </w:footnote>
  <w:footnote w:id="33">
    <w:p w14:paraId="43CFD043"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Simkovich. 2018 192; J. BJ 6.4.6 (Titus tries to prevent the Temples destruction); </w:t>
      </w:r>
    </w:p>
  </w:footnote>
  <w:footnote w:id="34">
    <w:p w14:paraId="16756186"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492; J. BJ 6.4.</w:t>
      </w:r>
    </w:p>
  </w:footnote>
  <w:footnote w:id="35">
    <w:p w14:paraId="302B1A96"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Vii</w:t>
      </w:r>
    </w:p>
  </w:footnote>
  <w:footnote w:id="36">
    <w:p w14:paraId="00A7BC38"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15, 120.</w:t>
      </w:r>
    </w:p>
  </w:footnote>
  <w:footnote w:id="37">
    <w:p w14:paraId="3DEC6E03" w14:textId="011505B9"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2008.12; Tacitus Histories. 1.11</w:t>
      </w:r>
      <w:r w:rsidR="007C74DF">
        <w:rPr>
          <w:rFonts w:ascii="Times New Roman" w:hAnsi="Times New Roman" w:cs="Times New Roman"/>
        </w:rPr>
        <w:t>.</w:t>
      </w:r>
    </w:p>
  </w:footnote>
  <w:footnote w:id="38">
    <w:p w14:paraId="32452F60" w14:textId="77777777" w:rsidR="00420584" w:rsidRPr="00475FA7" w:rsidRDefault="00420584" w:rsidP="001710E0">
      <w:pPr>
        <w:rPr>
          <w:rFonts w:ascii="Times New Roman" w:hAnsi="Times New Roman" w:cs="Times New Roman"/>
          <w:sz w:val="20"/>
          <w:szCs w:val="20"/>
        </w:rPr>
      </w:pPr>
      <w:r w:rsidRPr="00475FA7">
        <w:rPr>
          <w:rStyle w:val="FootnoteReference"/>
          <w:rFonts w:ascii="Times New Roman" w:hAnsi="Times New Roman" w:cs="Times New Roman"/>
          <w:sz w:val="20"/>
          <w:szCs w:val="20"/>
        </w:rPr>
        <w:footnoteRef/>
      </w:r>
      <w:r w:rsidRPr="00475FA7">
        <w:rPr>
          <w:rFonts w:ascii="Times New Roman" w:hAnsi="Times New Roman" w:cs="Times New Roman"/>
          <w:sz w:val="20"/>
          <w:szCs w:val="20"/>
        </w:rPr>
        <w:t xml:space="preserve"> Simkovich. 2018. 196</w:t>
      </w:r>
    </w:p>
  </w:footnote>
  <w:footnote w:id="39">
    <w:p w14:paraId="2337435A"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vii</w:t>
      </w:r>
    </w:p>
  </w:footnote>
  <w:footnote w:id="40">
    <w:p w14:paraId="1A1FA67E"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Millar. 2005. 101.</w:t>
      </w:r>
    </w:p>
  </w:footnote>
  <w:footnote w:id="41">
    <w:p w14:paraId="4B42FE99"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Millar. 2005. 122</w:t>
      </w:r>
    </w:p>
  </w:footnote>
  <w:footnote w:id="42">
    <w:p w14:paraId="642E10B7" w14:textId="77777777" w:rsidR="00420584" w:rsidRPr="00475FA7" w:rsidRDefault="00420584" w:rsidP="001710E0">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Popovic. 2011. 23</w:t>
      </w:r>
    </w:p>
  </w:footnote>
  <w:footnote w:id="43">
    <w:p w14:paraId="236D51C0"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76.</w:t>
      </w:r>
    </w:p>
  </w:footnote>
  <w:footnote w:id="44">
    <w:p w14:paraId="33E5F43D"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Goodman. 1987. 94</w:t>
      </w:r>
    </w:p>
  </w:footnote>
  <w:footnote w:id="45">
    <w:p w14:paraId="17D79890"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74.</w:t>
      </w:r>
    </w:p>
  </w:footnote>
  <w:footnote w:id="46">
    <w:p w14:paraId="45047BF8"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Goodman 1987. 214</w:t>
      </w:r>
    </w:p>
  </w:footnote>
  <w:footnote w:id="47">
    <w:p w14:paraId="5814A0A6"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40</w:t>
      </w:r>
    </w:p>
  </w:footnote>
  <w:footnote w:id="48">
    <w:p w14:paraId="2A63EC0E"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 BJ 2.13.3</w:t>
      </w:r>
    </w:p>
  </w:footnote>
  <w:footnote w:id="49">
    <w:p w14:paraId="56639034"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Sorek. 2008. 24, 43.</w:t>
      </w:r>
    </w:p>
  </w:footnote>
  <w:footnote w:id="50">
    <w:p w14:paraId="44A000CB"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Zeitlin. 1965. 316; Goodman. 1987. 169; Rappaport. 2011. 323, 330</w:t>
      </w:r>
    </w:p>
  </w:footnote>
  <w:footnote w:id="51">
    <w:p w14:paraId="494B46C9"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 BJ 4.398</w:t>
      </w:r>
    </w:p>
  </w:footnote>
  <w:footnote w:id="52">
    <w:p w14:paraId="67E75B18"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76; Goodman. 1987. 169</w:t>
      </w:r>
    </w:p>
  </w:footnote>
  <w:footnote w:id="53">
    <w:p w14:paraId="319E8BE6"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Grabbe. 2010. 76</w:t>
      </w:r>
    </w:p>
  </w:footnote>
  <w:footnote w:id="54">
    <w:p w14:paraId="2A69CAC7"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J. BJ 2.254, 425</w:t>
      </w:r>
    </w:p>
  </w:footnote>
  <w:footnote w:id="55">
    <w:p w14:paraId="3794EE10"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Van Der Horst. 2011. 316</w:t>
      </w:r>
    </w:p>
  </w:footnote>
  <w:footnote w:id="56">
    <w:p w14:paraId="677DB75F"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569</w:t>
      </w:r>
    </w:p>
  </w:footnote>
  <w:footnote w:id="57">
    <w:p w14:paraId="5CF0B65D"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570; J. BJ 7.9.2</w:t>
      </w:r>
    </w:p>
  </w:footnote>
  <w:footnote w:id="58">
    <w:p w14:paraId="1990FB7C"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Zeitlin. 1967. 258; Goodman. 1987. 214</w:t>
      </w:r>
    </w:p>
  </w:footnote>
  <w:footnote w:id="59">
    <w:p w14:paraId="6A0C7486" w14:textId="77777777" w:rsidR="00420584" w:rsidRPr="00475FA7" w:rsidRDefault="00420584" w:rsidP="00420584">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Zeitlin. 1967. 259.</w:t>
      </w:r>
    </w:p>
  </w:footnote>
  <w:footnote w:id="60">
    <w:p w14:paraId="463D20FC" w14:textId="77777777" w:rsidR="00F96D6D" w:rsidRPr="00475FA7" w:rsidRDefault="00F96D6D" w:rsidP="00F96D6D">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Goodman. 1987. 3</w:t>
      </w:r>
    </w:p>
  </w:footnote>
  <w:footnote w:id="61">
    <w:p w14:paraId="322732C0" w14:textId="77777777" w:rsidR="00F96D6D" w:rsidRPr="00475FA7" w:rsidRDefault="00F96D6D" w:rsidP="00F96D6D">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Ibid.</w:t>
      </w:r>
    </w:p>
  </w:footnote>
  <w:footnote w:id="62">
    <w:p w14:paraId="24D2AE78" w14:textId="77777777" w:rsidR="00F96D6D" w:rsidRPr="00475FA7" w:rsidRDefault="00F96D6D" w:rsidP="00F96D6D">
      <w:pPr>
        <w:pStyle w:val="FootnoteText"/>
        <w:rPr>
          <w:rFonts w:ascii="Times New Roman" w:hAnsi="Times New Roman" w:cs="Times New Roman"/>
        </w:rPr>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523</w:t>
      </w:r>
    </w:p>
  </w:footnote>
  <w:footnote w:id="63">
    <w:p w14:paraId="417BE658" w14:textId="77777777" w:rsidR="00F96D6D" w:rsidRDefault="00F96D6D" w:rsidP="00F96D6D">
      <w:pPr>
        <w:pStyle w:val="FootnoteText"/>
      </w:pPr>
      <w:r w:rsidRPr="00475FA7">
        <w:rPr>
          <w:rStyle w:val="FootnoteReference"/>
          <w:rFonts w:ascii="Times New Roman" w:hAnsi="Times New Roman" w:cs="Times New Roman"/>
        </w:rPr>
        <w:footnoteRef/>
      </w:r>
      <w:r w:rsidRPr="00475FA7">
        <w:rPr>
          <w:rFonts w:ascii="Times New Roman" w:hAnsi="Times New Roman" w:cs="Times New Roman"/>
        </w:rPr>
        <w:t xml:space="preserve"> Mason. 2016. 563. J. BJ 7.10.1.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43C4C"/>
    <w:multiLevelType w:val="hybridMultilevel"/>
    <w:tmpl w:val="69FC7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016C3E"/>
    <w:multiLevelType w:val="hybridMultilevel"/>
    <w:tmpl w:val="8B28E66C"/>
    <w:lvl w:ilvl="0" w:tplc="80FCB1B6">
      <w:start w:val="1"/>
      <w:numFmt w:val="bullet"/>
      <w:lvlText w:val=" "/>
      <w:lvlJc w:val="left"/>
      <w:pPr>
        <w:tabs>
          <w:tab w:val="num" w:pos="360"/>
        </w:tabs>
        <w:ind w:left="360" w:hanging="360"/>
      </w:pPr>
      <w:rPr>
        <w:rFonts w:ascii="Tw Cen MT" w:hAnsi="Tw Cen MT" w:hint="default"/>
      </w:rPr>
    </w:lvl>
    <w:lvl w:ilvl="1" w:tplc="1292D866" w:tentative="1">
      <w:start w:val="1"/>
      <w:numFmt w:val="bullet"/>
      <w:lvlText w:val=" "/>
      <w:lvlJc w:val="left"/>
      <w:pPr>
        <w:tabs>
          <w:tab w:val="num" w:pos="1080"/>
        </w:tabs>
        <w:ind w:left="1080" w:hanging="360"/>
      </w:pPr>
      <w:rPr>
        <w:rFonts w:ascii="Tw Cen MT" w:hAnsi="Tw Cen MT" w:hint="default"/>
      </w:rPr>
    </w:lvl>
    <w:lvl w:ilvl="2" w:tplc="4D704134" w:tentative="1">
      <w:start w:val="1"/>
      <w:numFmt w:val="bullet"/>
      <w:lvlText w:val=" "/>
      <w:lvlJc w:val="left"/>
      <w:pPr>
        <w:tabs>
          <w:tab w:val="num" w:pos="1800"/>
        </w:tabs>
        <w:ind w:left="1800" w:hanging="360"/>
      </w:pPr>
      <w:rPr>
        <w:rFonts w:ascii="Tw Cen MT" w:hAnsi="Tw Cen MT" w:hint="default"/>
      </w:rPr>
    </w:lvl>
    <w:lvl w:ilvl="3" w:tplc="E668E468" w:tentative="1">
      <w:start w:val="1"/>
      <w:numFmt w:val="bullet"/>
      <w:lvlText w:val=" "/>
      <w:lvlJc w:val="left"/>
      <w:pPr>
        <w:tabs>
          <w:tab w:val="num" w:pos="2520"/>
        </w:tabs>
        <w:ind w:left="2520" w:hanging="360"/>
      </w:pPr>
      <w:rPr>
        <w:rFonts w:ascii="Tw Cen MT" w:hAnsi="Tw Cen MT" w:hint="default"/>
      </w:rPr>
    </w:lvl>
    <w:lvl w:ilvl="4" w:tplc="2F6C9F8C" w:tentative="1">
      <w:start w:val="1"/>
      <w:numFmt w:val="bullet"/>
      <w:lvlText w:val=" "/>
      <w:lvlJc w:val="left"/>
      <w:pPr>
        <w:tabs>
          <w:tab w:val="num" w:pos="3240"/>
        </w:tabs>
        <w:ind w:left="3240" w:hanging="360"/>
      </w:pPr>
      <w:rPr>
        <w:rFonts w:ascii="Tw Cen MT" w:hAnsi="Tw Cen MT" w:hint="default"/>
      </w:rPr>
    </w:lvl>
    <w:lvl w:ilvl="5" w:tplc="55527FBE" w:tentative="1">
      <w:start w:val="1"/>
      <w:numFmt w:val="bullet"/>
      <w:lvlText w:val=" "/>
      <w:lvlJc w:val="left"/>
      <w:pPr>
        <w:tabs>
          <w:tab w:val="num" w:pos="3960"/>
        </w:tabs>
        <w:ind w:left="3960" w:hanging="360"/>
      </w:pPr>
      <w:rPr>
        <w:rFonts w:ascii="Tw Cen MT" w:hAnsi="Tw Cen MT" w:hint="default"/>
      </w:rPr>
    </w:lvl>
    <w:lvl w:ilvl="6" w:tplc="1A406862" w:tentative="1">
      <w:start w:val="1"/>
      <w:numFmt w:val="bullet"/>
      <w:lvlText w:val=" "/>
      <w:lvlJc w:val="left"/>
      <w:pPr>
        <w:tabs>
          <w:tab w:val="num" w:pos="4680"/>
        </w:tabs>
        <w:ind w:left="4680" w:hanging="360"/>
      </w:pPr>
      <w:rPr>
        <w:rFonts w:ascii="Tw Cen MT" w:hAnsi="Tw Cen MT" w:hint="default"/>
      </w:rPr>
    </w:lvl>
    <w:lvl w:ilvl="7" w:tplc="CE6217C8" w:tentative="1">
      <w:start w:val="1"/>
      <w:numFmt w:val="bullet"/>
      <w:lvlText w:val=" "/>
      <w:lvlJc w:val="left"/>
      <w:pPr>
        <w:tabs>
          <w:tab w:val="num" w:pos="5400"/>
        </w:tabs>
        <w:ind w:left="5400" w:hanging="360"/>
      </w:pPr>
      <w:rPr>
        <w:rFonts w:ascii="Tw Cen MT" w:hAnsi="Tw Cen MT" w:hint="default"/>
      </w:rPr>
    </w:lvl>
    <w:lvl w:ilvl="8" w:tplc="B61A88E8" w:tentative="1">
      <w:start w:val="1"/>
      <w:numFmt w:val="bullet"/>
      <w:lvlText w:val=" "/>
      <w:lvlJc w:val="left"/>
      <w:pPr>
        <w:tabs>
          <w:tab w:val="num" w:pos="6120"/>
        </w:tabs>
        <w:ind w:left="6120" w:hanging="360"/>
      </w:pPr>
      <w:rPr>
        <w:rFonts w:ascii="Tw Cen MT" w:hAnsi="Tw Cen MT" w:hint="default"/>
      </w:rPr>
    </w:lvl>
  </w:abstractNum>
  <w:abstractNum w:abstractNumId="2" w15:restartNumberingAfterBreak="0">
    <w:nsid w:val="547A0B6B"/>
    <w:multiLevelType w:val="hybridMultilevel"/>
    <w:tmpl w:val="5EFEB4E2"/>
    <w:lvl w:ilvl="0" w:tplc="46627B22">
      <w:start w:val="40"/>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A8"/>
    <w:rsid w:val="00036A94"/>
    <w:rsid w:val="00077676"/>
    <w:rsid w:val="000C40F7"/>
    <w:rsid w:val="000F017C"/>
    <w:rsid w:val="00111E26"/>
    <w:rsid w:val="00164799"/>
    <w:rsid w:val="001710E0"/>
    <w:rsid w:val="001C34A8"/>
    <w:rsid w:val="001F6D46"/>
    <w:rsid w:val="002138C8"/>
    <w:rsid w:val="0021624A"/>
    <w:rsid w:val="00247B9C"/>
    <w:rsid w:val="002D60EE"/>
    <w:rsid w:val="00331738"/>
    <w:rsid w:val="00360F80"/>
    <w:rsid w:val="003C1278"/>
    <w:rsid w:val="00420584"/>
    <w:rsid w:val="00433ADE"/>
    <w:rsid w:val="00475FA7"/>
    <w:rsid w:val="0048198E"/>
    <w:rsid w:val="0049313F"/>
    <w:rsid w:val="004C5AB4"/>
    <w:rsid w:val="004D3B6F"/>
    <w:rsid w:val="006464FC"/>
    <w:rsid w:val="00655FB6"/>
    <w:rsid w:val="006749BE"/>
    <w:rsid w:val="00676708"/>
    <w:rsid w:val="006F1D03"/>
    <w:rsid w:val="007770B7"/>
    <w:rsid w:val="007C74DF"/>
    <w:rsid w:val="00817A95"/>
    <w:rsid w:val="00831712"/>
    <w:rsid w:val="008343E5"/>
    <w:rsid w:val="00847573"/>
    <w:rsid w:val="00861ED7"/>
    <w:rsid w:val="008D6ACB"/>
    <w:rsid w:val="00903BC5"/>
    <w:rsid w:val="00A6406F"/>
    <w:rsid w:val="00A67950"/>
    <w:rsid w:val="00AD6400"/>
    <w:rsid w:val="00AE0D76"/>
    <w:rsid w:val="00B4166D"/>
    <w:rsid w:val="00BB4EDA"/>
    <w:rsid w:val="00BD287B"/>
    <w:rsid w:val="00BE7317"/>
    <w:rsid w:val="00C02FF2"/>
    <w:rsid w:val="00C23BE7"/>
    <w:rsid w:val="00C538A4"/>
    <w:rsid w:val="00D0526A"/>
    <w:rsid w:val="00D11D96"/>
    <w:rsid w:val="00D3425B"/>
    <w:rsid w:val="00D6265F"/>
    <w:rsid w:val="00DC19F3"/>
    <w:rsid w:val="00E266EA"/>
    <w:rsid w:val="00E5183A"/>
    <w:rsid w:val="00E76745"/>
    <w:rsid w:val="00EF4995"/>
    <w:rsid w:val="00F10D1C"/>
    <w:rsid w:val="00F33BEC"/>
    <w:rsid w:val="00F96D6D"/>
    <w:rsid w:val="00FD2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A09EEC"/>
  <w14:defaultImageDpi w14:val="32767"/>
  <w15:chartTrackingRefBased/>
  <w15:docId w15:val="{9B48AECC-BCD3-3944-946D-FE9758853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4A8"/>
    <w:pPr>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2138C8"/>
    <w:rPr>
      <w:sz w:val="20"/>
      <w:szCs w:val="20"/>
    </w:rPr>
  </w:style>
  <w:style w:type="character" w:customStyle="1" w:styleId="FootnoteTextChar">
    <w:name w:val="Footnote Text Char"/>
    <w:basedOn w:val="DefaultParagraphFont"/>
    <w:link w:val="FootnoteText"/>
    <w:uiPriority w:val="99"/>
    <w:semiHidden/>
    <w:rsid w:val="002138C8"/>
    <w:rPr>
      <w:sz w:val="20"/>
      <w:szCs w:val="20"/>
    </w:rPr>
  </w:style>
  <w:style w:type="character" w:styleId="FootnoteReference">
    <w:name w:val="footnote reference"/>
    <w:basedOn w:val="DefaultParagraphFont"/>
    <w:uiPriority w:val="99"/>
    <w:semiHidden/>
    <w:unhideWhenUsed/>
    <w:rsid w:val="002138C8"/>
    <w:rPr>
      <w:vertAlign w:val="superscript"/>
    </w:rPr>
  </w:style>
  <w:style w:type="character" w:styleId="Hyperlink">
    <w:name w:val="Hyperlink"/>
    <w:basedOn w:val="DefaultParagraphFont"/>
    <w:uiPriority w:val="99"/>
    <w:unhideWhenUsed/>
    <w:rsid w:val="00331738"/>
    <w:rPr>
      <w:color w:val="0563C1" w:themeColor="hyperlink"/>
      <w:u w:val="single"/>
    </w:rPr>
  </w:style>
  <w:style w:type="paragraph" w:styleId="NormalWeb">
    <w:name w:val="Normal (Web)"/>
    <w:basedOn w:val="Normal"/>
    <w:uiPriority w:val="99"/>
    <w:unhideWhenUsed/>
    <w:rsid w:val="0033173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317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4646725">
      <w:bodyDiv w:val="1"/>
      <w:marLeft w:val="0"/>
      <w:marRight w:val="0"/>
      <w:marTop w:val="0"/>
      <w:marBottom w:val="0"/>
      <w:divBdr>
        <w:top w:val="none" w:sz="0" w:space="0" w:color="auto"/>
        <w:left w:val="none" w:sz="0" w:space="0" w:color="auto"/>
        <w:bottom w:val="none" w:sz="0" w:space="0" w:color="auto"/>
        <w:right w:val="none" w:sz="0" w:space="0" w:color="auto"/>
      </w:divBdr>
      <w:divsChild>
        <w:div w:id="1225988588">
          <w:marLeft w:val="0"/>
          <w:marRight w:val="0"/>
          <w:marTop w:val="0"/>
          <w:marBottom w:val="0"/>
          <w:divBdr>
            <w:top w:val="none" w:sz="0" w:space="0" w:color="auto"/>
            <w:left w:val="none" w:sz="0" w:space="0" w:color="auto"/>
            <w:bottom w:val="none" w:sz="0" w:space="0" w:color="auto"/>
            <w:right w:val="none" w:sz="0" w:space="0" w:color="auto"/>
          </w:divBdr>
          <w:divsChild>
            <w:div w:id="340400335">
              <w:marLeft w:val="0"/>
              <w:marRight w:val="0"/>
              <w:marTop w:val="0"/>
              <w:marBottom w:val="0"/>
              <w:divBdr>
                <w:top w:val="none" w:sz="0" w:space="0" w:color="auto"/>
                <w:left w:val="none" w:sz="0" w:space="0" w:color="auto"/>
                <w:bottom w:val="none" w:sz="0" w:space="0" w:color="auto"/>
                <w:right w:val="none" w:sz="0" w:space="0" w:color="auto"/>
              </w:divBdr>
              <w:divsChild>
                <w:div w:id="74272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11</Pages>
  <Words>2805</Words>
  <Characters>14253</Characters>
  <Application>Microsoft Office Word</Application>
  <DocSecurity>0</DocSecurity>
  <Lines>237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27</cp:revision>
  <dcterms:created xsi:type="dcterms:W3CDTF">2020-06-10T09:22:00Z</dcterms:created>
  <dcterms:modified xsi:type="dcterms:W3CDTF">2020-06-12T17:17:00Z</dcterms:modified>
</cp:coreProperties>
</file>