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D447D" w14:textId="77777777" w:rsidR="00846CBC" w:rsidRDefault="00846CBC" w:rsidP="00CF6C64">
      <w:pPr>
        <w:spacing w:line="360" w:lineRule="auto"/>
        <w:rPr>
          <w:rFonts w:ascii="Times New Roman" w:hAnsi="Times New Roman" w:cs="Times New Roman"/>
          <w:sz w:val="24"/>
          <w:szCs w:val="24"/>
        </w:rPr>
      </w:pPr>
    </w:p>
    <w:p w14:paraId="3293A62B" w14:textId="77777777" w:rsidR="00CB3409" w:rsidRDefault="00CB3409" w:rsidP="00CB3409">
      <w:pPr>
        <w:spacing w:line="360" w:lineRule="auto"/>
        <w:rPr>
          <w:rFonts w:ascii="Times New Roman" w:hAnsi="Times New Roman" w:cs="Times New Roman"/>
          <w:sz w:val="24"/>
          <w:szCs w:val="24"/>
        </w:rPr>
      </w:pPr>
    </w:p>
    <w:p w14:paraId="279D4455" w14:textId="76944E7A" w:rsidR="002D3696" w:rsidRPr="00CF6C64" w:rsidRDefault="002D3696" w:rsidP="00CB3409">
      <w:pPr>
        <w:spacing w:line="360" w:lineRule="auto"/>
        <w:jc w:val="center"/>
        <w:rPr>
          <w:rFonts w:ascii="Times New Roman" w:hAnsi="Times New Roman" w:cs="Times New Roman"/>
          <w:b/>
          <w:bCs/>
          <w:sz w:val="42"/>
          <w:szCs w:val="42"/>
          <w:u w:val="single"/>
        </w:rPr>
      </w:pPr>
      <w:r w:rsidRPr="00CF6C64">
        <w:rPr>
          <w:rFonts w:ascii="Times New Roman" w:hAnsi="Times New Roman" w:cs="Times New Roman"/>
          <w:b/>
          <w:bCs/>
          <w:sz w:val="42"/>
          <w:szCs w:val="42"/>
          <w:u w:val="single"/>
        </w:rPr>
        <w:t xml:space="preserve">EVALUATION OF THE </w:t>
      </w:r>
      <w:proofErr w:type="spellStart"/>
      <w:r w:rsidRPr="00CF6C64">
        <w:rPr>
          <w:rFonts w:ascii="Times New Roman" w:hAnsi="Times New Roman" w:cs="Times New Roman"/>
          <w:b/>
          <w:bCs/>
          <w:sz w:val="42"/>
          <w:szCs w:val="42"/>
          <w:u w:val="single"/>
        </w:rPr>
        <w:t>HINKLEY</w:t>
      </w:r>
      <w:proofErr w:type="spellEnd"/>
      <w:r w:rsidRPr="00CF6C64">
        <w:rPr>
          <w:rFonts w:ascii="Times New Roman" w:hAnsi="Times New Roman" w:cs="Times New Roman"/>
          <w:b/>
          <w:bCs/>
          <w:sz w:val="42"/>
          <w:szCs w:val="42"/>
          <w:u w:val="single"/>
        </w:rPr>
        <w:t xml:space="preserve"> POINT C PROJECT OF UK</w:t>
      </w:r>
    </w:p>
    <w:p w14:paraId="575326E7" w14:textId="77777777" w:rsidR="002D3696" w:rsidRPr="00CF6C64" w:rsidRDefault="002D3696" w:rsidP="00846CBC">
      <w:pPr>
        <w:spacing w:line="360" w:lineRule="auto"/>
        <w:jc w:val="center"/>
        <w:rPr>
          <w:rFonts w:ascii="Times New Roman" w:hAnsi="Times New Roman" w:cs="Times New Roman"/>
          <w:b/>
          <w:bCs/>
          <w:sz w:val="42"/>
          <w:szCs w:val="42"/>
          <w:u w:val="single"/>
        </w:rPr>
      </w:pPr>
    </w:p>
    <w:p w14:paraId="2C084456" w14:textId="77777777" w:rsidR="002D3696" w:rsidRPr="00CF6C64" w:rsidRDefault="002D3696" w:rsidP="00846CBC">
      <w:pPr>
        <w:spacing w:line="360" w:lineRule="auto"/>
        <w:jc w:val="center"/>
        <w:rPr>
          <w:rFonts w:ascii="Times New Roman" w:hAnsi="Times New Roman" w:cs="Times New Roman"/>
          <w:sz w:val="42"/>
          <w:szCs w:val="42"/>
        </w:rPr>
      </w:pPr>
    </w:p>
    <w:p w14:paraId="5432579B" w14:textId="42C50F5A" w:rsidR="002D3696" w:rsidRPr="00CF6C64" w:rsidRDefault="00B957CF" w:rsidP="00846CBC">
      <w:pPr>
        <w:spacing w:line="360" w:lineRule="auto"/>
        <w:jc w:val="center"/>
        <w:rPr>
          <w:rFonts w:ascii="Times New Roman" w:hAnsi="Times New Roman" w:cs="Times New Roman"/>
          <w:i/>
          <w:iCs/>
          <w:sz w:val="42"/>
          <w:szCs w:val="42"/>
        </w:rPr>
      </w:pPr>
      <w:proofErr w:type="spellStart"/>
      <w:r w:rsidRPr="00CF6C64">
        <w:rPr>
          <w:rFonts w:ascii="Times New Roman" w:hAnsi="Times New Roman" w:cs="Times New Roman"/>
          <w:i/>
          <w:iCs/>
          <w:sz w:val="42"/>
          <w:szCs w:val="42"/>
        </w:rPr>
        <w:t>Veselina</w:t>
      </w:r>
      <w:proofErr w:type="spellEnd"/>
      <w:r w:rsidRPr="00CF6C64">
        <w:rPr>
          <w:rFonts w:ascii="Times New Roman" w:hAnsi="Times New Roman" w:cs="Times New Roman"/>
          <w:i/>
          <w:iCs/>
          <w:sz w:val="42"/>
          <w:szCs w:val="42"/>
        </w:rPr>
        <w:t xml:space="preserve"> Uchkunova</w:t>
      </w:r>
    </w:p>
    <w:p w14:paraId="0F4913A7" w14:textId="5759D276" w:rsidR="002D3696" w:rsidRPr="00CF6C64" w:rsidRDefault="00B4276D" w:rsidP="00B4276D">
      <w:pPr>
        <w:spacing w:line="360" w:lineRule="auto"/>
        <w:jc w:val="center"/>
        <w:rPr>
          <w:rFonts w:ascii="Times New Roman" w:hAnsi="Times New Roman" w:cs="Times New Roman"/>
          <w:i/>
          <w:iCs/>
          <w:sz w:val="42"/>
          <w:szCs w:val="42"/>
        </w:rPr>
      </w:pPr>
      <w:r w:rsidRPr="00CF6C64">
        <w:rPr>
          <w:rFonts w:ascii="Times New Roman" w:hAnsi="Times New Roman" w:cs="Times New Roman"/>
          <w:i/>
          <w:iCs/>
          <w:sz w:val="42"/>
          <w:szCs w:val="42"/>
        </w:rPr>
        <w:t>2028272</w:t>
      </w:r>
    </w:p>
    <w:p w14:paraId="13F8F928" w14:textId="77777777" w:rsidR="00B4276D" w:rsidRDefault="00B4276D" w:rsidP="00B4276D">
      <w:pPr>
        <w:spacing w:line="360" w:lineRule="auto"/>
        <w:jc w:val="center"/>
        <w:rPr>
          <w:rFonts w:ascii="Times New Roman" w:hAnsi="Times New Roman" w:cs="Times New Roman"/>
          <w:sz w:val="42"/>
          <w:szCs w:val="42"/>
        </w:rPr>
      </w:pPr>
    </w:p>
    <w:p w14:paraId="5BD002CD" w14:textId="77777777" w:rsidR="00CB3409" w:rsidRPr="00CF6C64" w:rsidRDefault="00CB3409" w:rsidP="00B4276D">
      <w:pPr>
        <w:spacing w:line="360" w:lineRule="auto"/>
        <w:jc w:val="center"/>
        <w:rPr>
          <w:rFonts w:ascii="Times New Roman" w:hAnsi="Times New Roman" w:cs="Times New Roman"/>
          <w:sz w:val="42"/>
          <w:szCs w:val="42"/>
        </w:rPr>
      </w:pPr>
    </w:p>
    <w:p w14:paraId="7F93C6DD" w14:textId="2A5DD109" w:rsidR="00B4276D" w:rsidRPr="00CF6C64" w:rsidRDefault="00AA02FD" w:rsidP="00B4276D">
      <w:pPr>
        <w:spacing w:line="360" w:lineRule="auto"/>
        <w:jc w:val="center"/>
        <w:rPr>
          <w:rFonts w:ascii="Times New Roman" w:hAnsi="Times New Roman" w:cs="Times New Roman"/>
          <w:b/>
          <w:bCs/>
          <w:sz w:val="42"/>
          <w:szCs w:val="42"/>
        </w:rPr>
      </w:pPr>
      <w:r w:rsidRPr="00CF6C64">
        <w:rPr>
          <w:rFonts w:ascii="Times New Roman" w:hAnsi="Times New Roman" w:cs="Times New Roman"/>
          <w:b/>
          <w:bCs/>
          <w:sz w:val="42"/>
          <w:szCs w:val="42"/>
        </w:rPr>
        <w:t xml:space="preserve">LCBB5005 Project Management </w:t>
      </w:r>
    </w:p>
    <w:p w14:paraId="01839AA1" w14:textId="600AFAC0" w:rsidR="00846CBC" w:rsidRDefault="00846CBC">
      <w:pPr>
        <w:rPr>
          <w:rStyle w:val="Strong"/>
          <w:rFonts w:ascii="Times New Roman" w:eastAsia="Times New Roman" w:hAnsi="Times New Roman" w:cs="Times New Roman"/>
          <w:color w:val="0E101A"/>
          <w:sz w:val="24"/>
          <w:szCs w:val="24"/>
        </w:rPr>
      </w:pPr>
      <w:r>
        <w:rPr>
          <w:rStyle w:val="Strong"/>
          <w:color w:val="0E101A"/>
        </w:rPr>
        <w:br w:type="page"/>
      </w:r>
    </w:p>
    <w:p w14:paraId="30CFC55E"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lastRenderedPageBreak/>
        <w:t>Introduction</w:t>
      </w:r>
    </w:p>
    <w:p w14:paraId="2DD36771" w14:textId="77777777" w:rsidR="00C83B60" w:rsidRDefault="00C83B60" w:rsidP="00C83B60">
      <w:pPr>
        <w:pStyle w:val="NormalWeb"/>
        <w:spacing w:before="0" w:beforeAutospacing="0" w:after="0" w:afterAutospacing="0" w:line="480" w:lineRule="auto"/>
        <w:rPr>
          <w:color w:val="0E101A"/>
        </w:rPr>
      </w:pPr>
      <w:r>
        <w:rPr>
          <w:color w:val="0E101A"/>
        </w:rPr>
        <w:t>           Energy is an essential need for any developed and developing nation as it is the catalyst for industrial development and the daily survival of the population. There is a growing energy demand for a growing population in a country like the United Kingdom. It also becomes more crucial and sensitive with the current insistence on the adaptation to clean sources of energy. Global efforts have been to reduce carbon footprints in energy production by moving away from fossil fuels to power the economy and adopting relatively cleaner fuel sources such as solar, wind, and nuclear. There are also other factors like the cost of energy and sustainability. For these reasons, the United Kingdom government has had many projects to be part of the energy revolution, such as the Hinkey Point C project. This was to build the Hinkey Point C nuclear power plant, an ambitious project aimed at producing electricity for more than 6 million homes in the country while reducing carbon emissions</w:t>
      </w:r>
      <w:r w:rsidR="000B2FD4">
        <w:rPr>
          <w:color w:val="0E101A"/>
        </w:rPr>
        <w:t xml:space="preserve"> </w:t>
      </w:r>
      <w:r w:rsidR="000B2FD4">
        <w:t>(EDF, 2022)</w:t>
      </w:r>
      <w:r>
        <w:rPr>
          <w:color w:val="0E101A"/>
        </w:rPr>
        <w:t>. It is considered one of the country's most controversial nuclear power plant projects, yet very expensive, with an estimated budget of £25-£26 billion. It is also the most expensive nuclear power plant in the world. Because of the sensitivity of nuclear energy and the size of the project, planning for such a project is not easy. It required careful consideration of safety measures and other operation procedures, bringing up many budget constraints, deadline issues, and clashes among the stakeholders in the power industry. The management of the project has brought about many criticisms which have overshadowed the project's intended economic and environmental benefits to the community</w:t>
      </w:r>
      <w:r w:rsidR="002130F4">
        <w:rPr>
          <w:color w:val="0E101A"/>
        </w:rPr>
        <w:t xml:space="preserve"> </w:t>
      </w:r>
      <w:r w:rsidR="002130F4">
        <w:t>(Thomas, 2016)</w:t>
      </w:r>
      <w:r>
        <w:rPr>
          <w:color w:val="0E101A"/>
        </w:rPr>
        <w:t>. </w:t>
      </w:r>
    </w:p>
    <w:p w14:paraId="22341330"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t>The Hinkey Point C Project</w:t>
      </w:r>
    </w:p>
    <w:p w14:paraId="42D0CBF3" w14:textId="77777777" w:rsidR="00C83B60" w:rsidRDefault="00C83B60" w:rsidP="00C83B60">
      <w:pPr>
        <w:pStyle w:val="NormalWeb"/>
        <w:spacing w:before="0" w:beforeAutospacing="0" w:after="0" w:afterAutospacing="0" w:line="480" w:lineRule="auto"/>
        <w:rPr>
          <w:color w:val="0E101A"/>
        </w:rPr>
      </w:pPr>
      <w:r>
        <w:rPr>
          <w:rStyle w:val="Strong"/>
          <w:color w:val="0E101A"/>
        </w:rPr>
        <w:t> </w:t>
      </w:r>
      <w:r>
        <w:rPr>
          <w:color w:val="0E101A"/>
        </w:rPr>
        <w:t xml:space="preserve">          The United Kingdom's ambitions to build a new nuclear power plant started in 2006 after the Prime Minister had previously announced a review of the country’s energy policy to </w:t>
      </w:r>
      <w:r>
        <w:rPr>
          <w:color w:val="0E101A"/>
        </w:rPr>
        <w:lastRenderedPageBreak/>
        <w:t>determine whether the country was in a position to facilitate the construction of such projects</w:t>
      </w:r>
      <w:r w:rsidR="002130F4">
        <w:rPr>
          <w:color w:val="0E101A"/>
        </w:rPr>
        <w:t xml:space="preserve"> </w:t>
      </w:r>
      <w:r w:rsidR="002130F4">
        <w:t>(Thomas, 2016)</w:t>
      </w:r>
      <w:r>
        <w:rPr>
          <w:color w:val="0E101A"/>
        </w:rPr>
        <w:t>. The power plant is located in Somerset, England, where the construction is still ongoing since its inception in Mach 2017 to become the UK's first nuclear power station for more than 20 years</w:t>
      </w:r>
      <w:r w:rsidR="00D65221">
        <w:rPr>
          <w:color w:val="0E101A"/>
        </w:rPr>
        <w:t xml:space="preserve"> </w:t>
      </w:r>
      <w:r w:rsidR="00D65221">
        <w:t>(Praveen, 2023)</w:t>
      </w:r>
      <w:r>
        <w:rPr>
          <w:color w:val="0E101A"/>
        </w:rPr>
        <w:t>. It is a two-unit power plant expected to produce up to 3,200 MW which is the equivalent of offsetting 9 million tons of carbon emissions annually over its useful life of 60 years</w:t>
      </w:r>
      <w:r w:rsidR="000B2FD4">
        <w:rPr>
          <w:color w:val="0E101A"/>
        </w:rPr>
        <w:t xml:space="preserve"> </w:t>
      </w:r>
      <w:r w:rsidR="000B2FD4">
        <w:t>(EDF, 2022)</w:t>
      </w:r>
      <w:r>
        <w:rPr>
          <w:color w:val="0E101A"/>
        </w:rPr>
        <w:t>. The major financiers of the project are China General Nuclear Power Group (CGN) and EDF Energy, a French energy company. The Hinkley Point C project will create about 25,000 employment opportunities during construction and operation</w:t>
      </w:r>
      <w:r w:rsidR="000B2FD4">
        <w:rPr>
          <w:color w:val="0E101A"/>
        </w:rPr>
        <w:t xml:space="preserve"> </w:t>
      </w:r>
      <w:r w:rsidR="000B2FD4">
        <w:t>(EDF, 2022)</w:t>
      </w:r>
      <w:r>
        <w:rPr>
          <w:color w:val="0E101A"/>
        </w:rPr>
        <w:t>. The benefits of the nuclear power plant are undeniable, but the project has faced numerous setbacks, majorly delays leading to cost overruns making the public and critics question the progress</w:t>
      </w:r>
      <w:r w:rsidR="00EA160A">
        <w:rPr>
          <w:color w:val="0E101A"/>
        </w:rPr>
        <w:t xml:space="preserve"> </w:t>
      </w:r>
      <w:r w:rsidR="00EA160A">
        <w:t>(Daniel and Daniel, 2019)</w:t>
      </w:r>
      <w:r>
        <w:rPr>
          <w:color w:val="0E101A"/>
        </w:rPr>
        <w:t>.</w:t>
      </w:r>
    </w:p>
    <w:p w14:paraId="5F2D119D"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t>Budget Evaluation</w:t>
      </w:r>
    </w:p>
    <w:p w14:paraId="5F099E95" w14:textId="77777777" w:rsidR="00C83B60" w:rsidRDefault="00C83B60" w:rsidP="00C83B60">
      <w:pPr>
        <w:pStyle w:val="NormalWeb"/>
        <w:spacing w:before="0" w:beforeAutospacing="0" w:after="0" w:afterAutospacing="0" w:line="480" w:lineRule="auto"/>
        <w:rPr>
          <w:color w:val="0E101A"/>
        </w:rPr>
      </w:pPr>
      <w:r>
        <w:rPr>
          <w:color w:val="0E101A"/>
        </w:rPr>
        <w:t>           This project was a high-cost budget from the inception of the idea. The initial estimated cost of the project was set at £18 billion, which brought u a lot of concerns over the economic viability of the project. According to the National Audit Office, The Department of Business, Energy, and Industrial Strategy, through the Hinkley Point C project, has managed to lock UK citizens into a risky and costly project that has an uncertain economic and strategic benefit for the country</w:t>
      </w:r>
      <w:r w:rsidR="00D65221">
        <w:rPr>
          <w:color w:val="0E101A"/>
        </w:rPr>
        <w:t xml:space="preserve"> </w:t>
      </w:r>
      <w:r w:rsidR="00D65221">
        <w:t>(Burgess and Woollaston-Webber, 2017)</w:t>
      </w:r>
      <w:r>
        <w:rPr>
          <w:color w:val="0E101A"/>
        </w:rPr>
        <w:t xml:space="preserve">. Despite the projected benefits of decarbonizing the UK’s production activities, the National Audit Office indicates that the department’s case for the project indicated a marginal economic </w:t>
      </w:r>
      <w:r w:rsidR="002130F4">
        <w:rPr>
          <w:color w:val="0E101A"/>
        </w:rPr>
        <w:t>benefit with many uncertainties</w:t>
      </w:r>
      <w:r w:rsidR="00CB07CF">
        <w:rPr>
          <w:color w:val="0E101A"/>
        </w:rPr>
        <w:t xml:space="preserve"> </w:t>
      </w:r>
      <w:r w:rsidR="00CB07CF">
        <w:t>(Thomas, 2016)</w:t>
      </w:r>
      <w:r>
        <w:rPr>
          <w:color w:val="0E101A"/>
        </w:rPr>
        <w:t>. This estimate kept rising with each report released by EDF, where in 2021, the cost was expected to increase to £23 billion from £22.3 billion in 2019</w:t>
      </w:r>
      <w:r w:rsidR="00FF07AC">
        <w:rPr>
          <w:color w:val="0E101A"/>
        </w:rPr>
        <w:t>.</w:t>
      </w:r>
      <w:r>
        <w:rPr>
          <w:color w:val="0E101A"/>
        </w:rPr>
        <w:t xml:space="preserve"> Others included a sea wall and a jetty to deliver sand, cement and aggregate from ships.</w:t>
      </w:r>
    </w:p>
    <w:p w14:paraId="0F159F36" w14:textId="77777777" w:rsidR="00C83B60" w:rsidRDefault="00C83B60" w:rsidP="00CB07CF">
      <w:pPr>
        <w:pStyle w:val="NormalWeb"/>
        <w:spacing w:before="0" w:beforeAutospacing="0" w:after="0" w:afterAutospacing="0" w:line="480" w:lineRule="auto"/>
        <w:ind w:firstLine="720"/>
        <w:rPr>
          <w:color w:val="0E101A"/>
        </w:rPr>
      </w:pPr>
      <w:r>
        <w:rPr>
          <w:color w:val="0E101A"/>
        </w:rPr>
        <w:lastRenderedPageBreak/>
        <w:t>A major cause of the hike in project costs can be attributed to the complex engineering and design specifications of nuclear power plants. It is best to ensure all safety measures are observed, or there will be a case worse than the Chornobyl disaster. For the Hinkley Point C project, the engineering and design used were based on the European Pressurized Reactor Technology, considered one of the safest and most efficient designs for nuclear power generation yet so complicated</w:t>
      </w:r>
      <w:r w:rsidR="00EA160A">
        <w:rPr>
          <w:color w:val="0E101A"/>
        </w:rPr>
        <w:t xml:space="preserve"> </w:t>
      </w:r>
      <w:r w:rsidR="00EA160A">
        <w:t>(Daniel and Daniel, 2019</w:t>
      </w:r>
      <w:r w:rsidR="000B2FD4">
        <w:t>; Ma, Yuan and Sehgal, 2016</w:t>
      </w:r>
      <w:r w:rsidR="00EA160A">
        <w:t>)</w:t>
      </w:r>
      <w:r>
        <w:rPr>
          <w:color w:val="0E101A"/>
        </w:rPr>
        <w:t xml:space="preserve">. It produces less uranium and produces nearly a third less radioactive waste than conventional water reactor plants. The Hinkley Point C project was among the first plants to use this technology. To meet all these safety and environmental standards, the budget will automatically be way higher than the conventional costs for a similar capacity to a nuclear plant. </w:t>
      </w:r>
    </w:p>
    <w:p w14:paraId="4B898F5E" w14:textId="77777777" w:rsidR="00C83B60" w:rsidRDefault="00C83B60" w:rsidP="00CB07CF">
      <w:pPr>
        <w:pStyle w:val="NormalWeb"/>
        <w:spacing w:before="0" w:beforeAutospacing="0" w:after="0" w:afterAutospacing="0" w:line="480" w:lineRule="auto"/>
        <w:ind w:firstLine="720"/>
        <w:rPr>
          <w:color w:val="0E101A"/>
        </w:rPr>
      </w:pPr>
      <w:r>
        <w:rPr>
          <w:color w:val="0E101A"/>
        </w:rPr>
        <w:t>The next issue that affected the hiking costs was inflation throughout construction. Since the project was approved and its current position, coupled with extended timelines, has exposed the project to inflation and an escalating cost of materials, labour, and maintenance, which strains the budget. According to Reuters, the project’s cost will rise to £40 billion as the inflation in the current market will increase the current budget to nearly £32.7 billion, as shown by EDF documents</w:t>
      </w:r>
      <w:r w:rsidR="002D188C">
        <w:rPr>
          <w:color w:val="0E101A"/>
        </w:rPr>
        <w:t xml:space="preserve"> </w:t>
      </w:r>
      <w:r w:rsidR="002D188C">
        <w:t>(Praveen, 2023)</w:t>
      </w:r>
      <w:r>
        <w:rPr>
          <w:color w:val="0E101A"/>
        </w:rPr>
        <w:t>. This is based on the inflation index of June 2022. Major increases in costs are due to the weakening of the pound in the global market marking it more difficult to source materials from local and outside suppliers.</w:t>
      </w:r>
    </w:p>
    <w:p w14:paraId="774DDE30" w14:textId="77777777" w:rsidR="00C83B60" w:rsidRDefault="00C83B60" w:rsidP="002130F4">
      <w:pPr>
        <w:pStyle w:val="NormalWeb"/>
        <w:spacing w:before="0" w:beforeAutospacing="0" w:after="0" w:afterAutospacing="0" w:line="480" w:lineRule="auto"/>
        <w:ind w:firstLine="720"/>
        <w:rPr>
          <w:color w:val="0E101A"/>
        </w:rPr>
      </w:pPr>
      <w:r>
        <w:rPr>
          <w:color w:val="0E101A"/>
        </w:rPr>
        <w:t>Another important aspect of the project is the financing structure. It involves a combination of private investors and a lot of support from the government. Coordination of these different stakeholders resulted in uncertainties and problems with securing funds leading to delays. Most of the project’s financing, at 66.5%, is by EDF Energy, a French company. At the same time, China General Nuclear Power Group (CGN) holds a stake of about 33.5%</w:t>
      </w:r>
      <w:r w:rsidR="002D188C">
        <w:rPr>
          <w:color w:val="0E101A"/>
        </w:rPr>
        <w:t xml:space="preserve"> </w:t>
      </w:r>
      <w:r w:rsidR="002D188C">
        <w:t xml:space="preserve">(Praveen, </w:t>
      </w:r>
      <w:r w:rsidR="002D188C">
        <w:lastRenderedPageBreak/>
        <w:t>2023)</w:t>
      </w:r>
      <w:r>
        <w:rPr>
          <w:color w:val="0E101A"/>
        </w:rPr>
        <w:t>. To build and run the power project operations, Nuclear Ne Build Generation Company (NNB GenCo) is a subsidiary of EDF</w:t>
      </w:r>
      <w:r w:rsidR="002D188C">
        <w:rPr>
          <w:color w:val="0E101A"/>
        </w:rPr>
        <w:t xml:space="preserve"> </w:t>
      </w:r>
      <w:r w:rsidR="002D188C">
        <w:t>(Praveen, 2023)</w:t>
      </w:r>
      <w:r>
        <w:rPr>
          <w:color w:val="0E101A"/>
        </w:rPr>
        <w:t>. On the other hand, CGN invests in the United Kingdom through their newly formed company, General Nuclear International (GNI). According to the official agreement, the increased cost indicates that EDF can request EDF to increase their capital contribution to cover the inflation. However, according to EDF, it is less likely that CGN will provide for the additional costs if its committed equity capital becomes exceedingly high. If CDG withdraws its commitment for additional funding, which is a more likely scenario, EDF will resort to covering the costs, which is a complicated situation for the French company. </w:t>
      </w:r>
    </w:p>
    <w:p w14:paraId="0151DDDD" w14:textId="77777777" w:rsidR="00C83B60" w:rsidRDefault="00C83B60" w:rsidP="002130F4">
      <w:pPr>
        <w:pStyle w:val="NormalWeb"/>
        <w:spacing w:before="0" w:beforeAutospacing="0" w:after="0" w:afterAutospacing="0" w:line="480" w:lineRule="auto"/>
        <w:ind w:firstLine="720"/>
        <w:rPr>
          <w:color w:val="0E101A"/>
        </w:rPr>
      </w:pPr>
      <w:r>
        <w:rPr>
          <w:color w:val="0E101A"/>
        </w:rPr>
        <w:t>This strategic investment agreement between the two companies overseen by the government is complicated. It presents a form of uncertainty over the project's future in case the expenses continue skyrocketing. Private companies are mostly interested in their baseline to make profitable investments for long-term benefit. When the two companies continue experiencing an increase in the expenses of the project, it is bound to a potential delay or failure as they can withdraw from the agreement. The major financiers' complex ownership structure makes the company's financing more complicated than it should be, making the project unstable. Private sector and government partnerships sho</w:t>
      </w:r>
      <w:r w:rsidR="00FF07AC">
        <w:rPr>
          <w:color w:val="0E101A"/>
        </w:rPr>
        <w:t>uld be carefully thought</w:t>
      </w:r>
      <w:r>
        <w:rPr>
          <w:color w:val="0E101A"/>
        </w:rPr>
        <w:t xml:space="preserve"> to ensure progress.</w:t>
      </w:r>
    </w:p>
    <w:p w14:paraId="3CB91584"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t>Time Evaluation</w:t>
      </w:r>
    </w:p>
    <w:p w14:paraId="237B4591" w14:textId="77777777" w:rsidR="00C83B60" w:rsidRDefault="00C83B60" w:rsidP="00C83B60">
      <w:pPr>
        <w:pStyle w:val="NormalWeb"/>
        <w:spacing w:before="0" w:beforeAutospacing="0" w:after="0" w:afterAutospacing="0" w:line="480" w:lineRule="auto"/>
        <w:rPr>
          <w:color w:val="0E101A"/>
        </w:rPr>
      </w:pPr>
      <w:r>
        <w:rPr>
          <w:color w:val="0E101A"/>
        </w:rPr>
        <w:t xml:space="preserve">           Major highlights of the Hinkley project are the numerous extensions of the completion dates due to many controllable and out-of-control factors. The project's completion date has been pushed further several times, with the current expected completion </w:t>
      </w:r>
      <w:r w:rsidR="002D188C">
        <w:rPr>
          <w:color w:val="0E101A"/>
        </w:rPr>
        <w:t xml:space="preserve">and operation date being 2027 </w:t>
      </w:r>
      <w:r w:rsidR="002D188C">
        <w:t>(Praveen, 2023)</w:t>
      </w:r>
      <w:r>
        <w:rPr>
          <w:color w:val="0E101A"/>
        </w:rPr>
        <w:t xml:space="preserve">. Looking at the time evaluations, many factors have contributed to the project’s delays, all placing tremendous pressure on the project's financing. The first factor </w:t>
      </w:r>
      <w:r>
        <w:rPr>
          <w:color w:val="0E101A"/>
        </w:rPr>
        <w:lastRenderedPageBreak/>
        <w:t>leading to the delay is the long and treacherous regulatory and approval processes for such a sensitive undertaking, with many safety, regulatory, economic, or political concerns to be given green flags by both local and international nuclear bodies before proceeding</w:t>
      </w:r>
      <w:r w:rsidR="00EA160A">
        <w:rPr>
          <w:color w:val="0E101A"/>
        </w:rPr>
        <w:t xml:space="preserve"> </w:t>
      </w:r>
      <w:r w:rsidR="00EA160A">
        <w:t>(Daniel and Daniel, 2019)</w:t>
      </w:r>
      <w:r>
        <w:rPr>
          <w:color w:val="0E101A"/>
        </w:rPr>
        <w:t>. The permits for the project include environmental permits that stipulate the levels of minimum emissions that were issued in 2013. There are also major discussions with the Department of Energy and Climate and other government agencies to negotiate EDF’s guaranteed price that the electricity produced should be sold in the UK. Other regulatory considerations were a safe place to dispose of construction sediment</w:t>
      </w:r>
      <w:r w:rsidR="009E6CCA">
        <w:rPr>
          <w:color w:val="0E101A"/>
        </w:rPr>
        <w:t xml:space="preserve">s leading to </w:t>
      </w:r>
      <w:r>
        <w:rPr>
          <w:color w:val="0E101A"/>
        </w:rPr>
        <w:t xml:space="preserve">radioactivity exposure. EDF is responsible for decommissioning, waste management activities, and related costs. Decommissioning of the plant is to start in 2080 and proceed for an estimated 20 years. The construction consent was issued in 2017 for the structural aspects. More environmental permits were needed before all sensitive </w:t>
      </w:r>
      <w:r w:rsidR="009E6CCA">
        <w:rPr>
          <w:color w:val="0E101A"/>
        </w:rPr>
        <w:t>construction work could resume.</w:t>
      </w:r>
    </w:p>
    <w:p w14:paraId="4B289E19" w14:textId="77777777" w:rsidR="00C83B60" w:rsidRDefault="00C83B60" w:rsidP="00C83B60">
      <w:pPr>
        <w:pStyle w:val="NormalWeb"/>
        <w:spacing w:before="0" w:beforeAutospacing="0" w:after="0" w:afterAutospacing="0" w:line="480" w:lineRule="auto"/>
        <w:rPr>
          <w:color w:val="0E101A"/>
        </w:rPr>
      </w:pPr>
      <w:r>
        <w:rPr>
          <w:color w:val="0E101A"/>
        </w:rPr>
        <w:t>           Another aspect of time was the construction challenges resulting from the project's complex engineering that should observe the strict safety considerations of a nuclear power plant. The design of the plant, as mentioned earlier, the European Pressurized Reactor (EPR), has advanced safety features with a unique design making the construction more challenging than anticipated</w:t>
      </w:r>
      <w:r w:rsidR="000B2FD4">
        <w:rPr>
          <w:color w:val="0E101A"/>
        </w:rPr>
        <w:t xml:space="preserve"> </w:t>
      </w:r>
      <w:r w:rsidR="000B2FD4">
        <w:t>(Ma, Yuan and Sehgal, 2016)</w:t>
      </w:r>
      <w:r>
        <w:rPr>
          <w:color w:val="0E101A"/>
        </w:rPr>
        <w:t>. It can be explained as a steep learning curve for engineers and designers as they are still adapting to new technologies. Also, because of the safety standards, regulatory requirements, modifications, and inspections, such projects cannot be rushed. Such construction challenges could also be an issue of workforce availability and lack of skills for this specific project that involves EPR. Many workers are only trained and experienced in water coolant technologies, which raises the need for more training for this particular project. </w:t>
      </w:r>
    </w:p>
    <w:p w14:paraId="7045F76D" w14:textId="77777777" w:rsidR="00C83B60" w:rsidRDefault="00C83B60" w:rsidP="00C83B60">
      <w:pPr>
        <w:pStyle w:val="NormalWeb"/>
        <w:spacing w:before="0" w:beforeAutospacing="0" w:after="0" w:afterAutospacing="0" w:line="480" w:lineRule="auto"/>
        <w:rPr>
          <w:color w:val="0E101A"/>
        </w:rPr>
      </w:pPr>
      <w:r>
        <w:rPr>
          <w:color w:val="0E101A"/>
        </w:rPr>
        <w:lastRenderedPageBreak/>
        <w:t>           Another time evaluation element for Hinkley Pont C is the supply chain issues over the years of construction. The major issues leading to the latest delays include the COVID-19 global pandemic, Brexit, and the Russia-Ukraine conflict. EDF attributed the 2021 rise of about £500 million to the COVID-19 pandemic</w:t>
      </w:r>
      <w:r w:rsidR="009E6CCA">
        <w:rPr>
          <w:color w:val="0E101A"/>
        </w:rPr>
        <w:t xml:space="preserve"> </w:t>
      </w:r>
      <w:r w:rsidR="009E6CCA">
        <w:t>(Moore, 2022)</w:t>
      </w:r>
      <w:r>
        <w:rPr>
          <w:color w:val="0E101A"/>
        </w:rPr>
        <w:t>. Because the project relied on the global supply chain to acquire materials, components, and workforce, most of the construction activities had to be stopped as the pandemic containment measures like travel restrictions and lockdowns impeded movement.</w:t>
      </w:r>
    </w:p>
    <w:p w14:paraId="47320257"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t>Quality Evaluation</w:t>
      </w:r>
    </w:p>
    <w:p w14:paraId="6490931A" w14:textId="77777777" w:rsidR="00C83B60" w:rsidRDefault="00C83B60" w:rsidP="00C83B60">
      <w:pPr>
        <w:pStyle w:val="NormalWeb"/>
        <w:spacing w:before="0" w:beforeAutospacing="0" w:after="0" w:afterAutospacing="0" w:line="480" w:lineRule="auto"/>
        <w:rPr>
          <w:color w:val="0E101A"/>
        </w:rPr>
      </w:pPr>
      <w:r>
        <w:rPr>
          <w:color w:val="0E101A"/>
        </w:rPr>
        <w:t>           Just like any other nuclear power plant project, the quality of the Hinkley Point C project’s major scrutiny is for the safety standards and the adherence to specific technical requirements. The project underwent rigorous inspection activities and modifications in the construction processes to ensure it upholds the EPR safety standards. The construction process is slow but to the required safety as the first reactor was done in July 2019, while the second reactor beg</w:t>
      </w:r>
      <w:r w:rsidR="00EA160A">
        <w:rPr>
          <w:color w:val="0E101A"/>
        </w:rPr>
        <w:t>an installation in October 2020</w:t>
      </w:r>
      <w:r>
        <w:rPr>
          <w:color w:val="0E101A"/>
        </w:rPr>
        <w:t>. Quality issues also come with the required workforce, skills, and expertise to handle the advanced technology and maintain its quality through useful life</w:t>
      </w:r>
      <w:r w:rsidR="00EA160A">
        <w:rPr>
          <w:color w:val="0E101A"/>
        </w:rPr>
        <w:t xml:space="preserve"> </w:t>
      </w:r>
      <w:r w:rsidR="00EA160A">
        <w:t>(Dyrda and Morrison, 2021)</w:t>
      </w:r>
      <w:r>
        <w:rPr>
          <w:color w:val="0E101A"/>
        </w:rPr>
        <w:t>. For this reason, there will be a continued need for professional and new talent over the years, which calls for training a workforce that recognized the plant's safety standards. This will ensure the construction and operation of the plat do not slow down or fall below the required standards.</w:t>
      </w:r>
    </w:p>
    <w:p w14:paraId="196841F0"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t>Stakeholders Evaluation</w:t>
      </w:r>
    </w:p>
    <w:p w14:paraId="4FB64078" w14:textId="77777777" w:rsidR="00C83B60" w:rsidRDefault="00C83B60" w:rsidP="00C83B60">
      <w:pPr>
        <w:pStyle w:val="NormalWeb"/>
        <w:spacing w:before="0" w:beforeAutospacing="0" w:after="0" w:afterAutospacing="0" w:line="480" w:lineRule="auto"/>
        <w:rPr>
          <w:color w:val="0E101A"/>
        </w:rPr>
      </w:pPr>
      <w:r>
        <w:rPr>
          <w:color w:val="0E101A"/>
        </w:rPr>
        <w:t xml:space="preserve">           Proper management of stakeholders in a project of national significance like the Hinkley Point C project is of great importance. It determines the speed of implementation and the support. Most challenges that the Hinkley project has faced result from the stakeholders' </w:t>
      </w:r>
      <w:r>
        <w:rPr>
          <w:color w:val="0E101A"/>
        </w:rPr>
        <w:lastRenderedPageBreak/>
        <w:t>differing views. First, there were numerous community oppositions to the project with environmental safety concerns as the impact of such projects on the environment could be enormous</w:t>
      </w:r>
      <w:r w:rsidR="00EA160A">
        <w:rPr>
          <w:color w:val="0E101A"/>
        </w:rPr>
        <w:t xml:space="preserve"> </w:t>
      </w:r>
      <w:r w:rsidR="00EA160A">
        <w:t>(Dyrda and Morrison, 2021)</w:t>
      </w:r>
      <w:r>
        <w:rPr>
          <w:color w:val="0E101A"/>
        </w:rPr>
        <w:t>. Major protest groups like Stop Hinkley campaigned for the closure of the plant. These groups were mainly concerned by the plans to store nuclear waste indefinitely while searching for a safe repository. Many of the public concerns as the most important stakeholders are their safety and the lack of information on handling these safety concerns. Despite the many assurances based on the n</w:t>
      </w:r>
      <w:r w:rsidR="00CB07CF">
        <w:rPr>
          <w:color w:val="0E101A"/>
        </w:rPr>
        <w:t>ew EPR technology, people are skeptical</w:t>
      </w:r>
      <w:r>
        <w:rPr>
          <w:color w:val="0E101A"/>
        </w:rPr>
        <w:t xml:space="preserve"> about the outcomes of worst-case scenarios evident from other disasters like the Fukushima nuclear disaster</w:t>
      </w:r>
      <w:r w:rsidR="0080252C">
        <w:rPr>
          <w:color w:val="0E101A"/>
        </w:rPr>
        <w:t xml:space="preserve"> </w:t>
      </w:r>
      <w:r w:rsidR="0080252C">
        <w:t xml:space="preserve">(Marco-Gracia </w:t>
      </w:r>
      <w:r w:rsidR="0080252C">
        <w:rPr>
          <w:i/>
          <w:iCs/>
        </w:rPr>
        <w:t>et al.</w:t>
      </w:r>
      <w:r w:rsidR="0080252C">
        <w:t>, 2020)</w:t>
      </w:r>
      <w:r>
        <w:rPr>
          <w:color w:val="0E101A"/>
        </w:rPr>
        <w:t>.  </w:t>
      </w:r>
      <w:r w:rsidR="00594AB5">
        <w:rPr>
          <w:color w:val="0E101A"/>
        </w:rPr>
        <w:t xml:space="preserve">Also they will be forced to bear the cost of the project </w:t>
      </w:r>
      <w:r w:rsidR="00594AB5">
        <w:t>(Thomas, 2016).</w:t>
      </w:r>
    </w:p>
    <w:p w14:paraId="1DD422D9" w14:textId="77777777" w:rsidR="00C83B60" w:rsidRDefault="00C83B60" w:rsidP="00CB07CF">
      <w:pPr>
        <w:pStyle w:val="NormalWeb"/>
        <w:spacing w:before="0" w:beforeAutospacing="0" w:after="0" w:afterAutospacing="0" w:line="480" w:lineRule="auto"/>
        <w:ind w:firstLine="720"/>
        <w:rPr>
          <w:color w:val="0E101A"/>
        </w:rPr>
      </w:pPr>
      <w:r>
        <w:rPr>
          <w:color w:val="0E101A"/>
        </w:rPr>
        <w:t>Other stakeholders are political players who participate in government policies and determine the support for nuclear power. The National Audit Office (NAO) published a report on the project in 2017 that concluded that the project had subjected taxpayers to a risky and high-cost project whose economic viability is uncertain</w:t>
      </w:r>
      <w:r w:rsidR="00D65221">
        <w:rPr>
          <w:color w:val="0E101A"/>
        </w:rPr>
        <w:t xml:space="preserve"> </w:t>
      </w:r>
      <w:r w:rsidR="00D65221">
        <w:t>(Burgess and Woollaston-Webber, 2017)</w:t>
      </w:r>
      <w:r>
        <w:rPr>
          <w:color w:val="0E101A"/>
        </w:rPr>
        <w:t>. Such a report diminished the public support the project had. There was a shared view among energy stakeholders that the UK needed nuclear power generation. The government fully supports the project despite the warning from (NAO)</w:t>
      </w:r>
      <w:r w:rsidR="009E6CCA">
        <w:rPr>
          <w:color w:val="0E101A"/>
        </w:rPr>
        <w:t xml:space="preserve"> (2017)</w:t>
      </w:r>
      <w:r>
        <w:rPr>
          <w:color w:val="0E101A"/>
        </w:rPr>
        <w:t>. However, about 64% of this project’s value is expected to benefit local UK companies like ENKA UK Construction, Rolls-Royce and other British contractors. Consumers of the electricity produced are also major stakeholders; they are worried about the potentially high prices for electricity from the plant. Even some investors opposed the plant's construction, with two directors of EDF resigning on cost concerns and ideological differences over the source of energy in the country. </w:t>
      </w:r>
    </w:p>
    <w:p w14:paraId="1AC2C3F0" w14:textId="77777777" w:rsidR="00CB3409" w:rsidRDefault="00CB3409" w:rsidP="00CB07CF">
      <w:pPr>
        <w:pStyle w:val="NormalWeb"/>
        <w:spacing w:before="0" w:beforeAutospacing="0" w:after="0" w:afterAutospacing="0" w:line="480" w:lineRule="auto"/>
        <w:ind w:firstLine="720"/>
        <w:rPr>
          <w:color w:val="0E101A"/>
        </w:rPr>
      </w:pPr>
    </w:p>
    <w:p w14:paraId="6E499DD8"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lastRenderedPageBreak/>
        <w:t>Risk Factors Evaluation</w:t>
      </w:r>
    </w:p>
    <w:p w14:paraId="19395E75" w14:textId="77777777" w:rsidR="00C83B60" w:rsidRDefault="00C83B60" w:rsidP="00C83B60">
      <w:pPr>
        <w:pStyle w:val="NormalWeb"/>
        <w:spacing w:before="0" w:beforeAutospacing="0" w:after="0" w:afterAutospacing="0" w:line="480" w:lineRule="auto"/>
        <w:rPr>
          <w:color w:val="0E101A"/>
        </w:rPr>
      </w:pPr>
      <w:r>
        <w:rPr>
          <w:color w:val="0E101A"/>
        </w:rPr>
        <w:t>           The Hinkley Point C project faces many risk factors that put its completion and costs at risk. Given that this was a carefully planned project, there is no doubt that there are no hazards in the project likely to affect human life or lead to disasters. However, people should not ignore such possibilities. Because of the controversies emerging from the project, the major risk is the geopolitical risk, especially against the United Kingdom. Critics have argued that the involvement of foreign companies and investors, EDF and CGN, is a major exposure to geopolitical risks and a state of uncertainty</w:t>
      </w:r>
      <w:r w:rsidR="00EA160A">
        <w:rPr>
          <w:color w:val="0E101A"/>
        </w:rPr>
        <w:t xml:space="preserve"> </w:t>
      </w:r>
      <w:r w:rsidR="00EA160A">
        <w:t>(Dyrda and Morrison, 2021)</w:t>
      </w:r>
      <w:r>
        <w:rPr>
          <w:color w:val="0E101A"/>
        </w:rPr>
        <w:t>. There has always been the risk of changes in international relations, as evident by the BREXIT politics and the Chinese-Western relationship, or changes in trade policies and adverse political development affecting the parent countries of these companies. This can result in a sudden cut off of funding or increased costs due to the unpredicted changes. For example, the aftermath of BREXIT made it difficult for the UK to trade with other European countries as well as a source of labour. Other international disputes and sanctions could have a similar effect. </w:t>
      </w:r>
    </w:p>
    <w:p w14:paraId="48E97310" w14:textId="77777777" w:rsidR="00C83B60" w:rsidRDefault="00C83B60" w:rsidP="00C83B60">
      <w:pPr>
        <w:pStyle w:val="NormalWeb"/>
        <w:spacing w:before="0" w:beforeAutospacing="0" w:after="0" w:afterAutospacing="0" w:line="480" w:lineRule="auto"/>
        <w:rPr>
          <w:color w:val="0E101A"/>
        </w:rPr>
      </w:pPr>
      <w:r>
        <w:rPr>
          <w:color w:val="0E101A"/>
        </w:rPr>
        <w:t>           The project's financial risks have been a major concern, as evident by the NAO report. The project's high cost makes the project's financial impact enormous, coupled with the risk of mixing private investors with the government</w:t>
      </w:r>
      <w:r w:rsidR="00D65221">
        <w:rPr>
          <w:color w:val="0E101A"/>
        </w:rPr>
        <w:t xml:space="preserve"> </w:t>
      </w:r>
      <w:r w:rsidR="00D65221">
        <w:t>(Burgess and Woollaston-Webber, 2017)</w:t>
      </w:r>
      <w:r>
        <w:rPr>
          <w:color w:val="0E101A"/>
        </w:rPr>
        <w:t>. The more time the project takes exposes it to risks from the financial markets, such as inflation, unpredictable interest rates, and worsening global economic conditions. The delays and cost overruns make it difficult to secure funding, given that the private sector controls the project. There is also a technological risk as the EPR technology is still new, and relying on an untested and unfamiliar technology leads to many uncertainties, especially in predicting completion timelines. </w:t>
      </w:r>
    </w:p>
    <w:p w14:paraId="3EF00E5F" w14:textId="77777777" w:rsidR="00C83B60" w:rsidRDefault="00C83B60" w:rsidP="00F11285">
      <w:pPr>
        <w:pStyle w:val="NormalWeb"/>
        <w:spacing w:before="0" w:beforeAutospacing="0" w:after="0" w:afterAutospacing="0" w:line="480" w:lineRule="auto"/>
        <w:jc w:val="center"/>
        <w:rPr>
          <w:color w:val="0E101A"/>
        </w:rPr>
      </w:pPr>
      <w:r>
        <w:rPr>
          <w:rStyle w:val="Strong"/>
          <w:color w:val="0E101A"/>
        </w:rPr>
        <w:lastRenderedPageBreak/>
        <w:t>Conclusion</w:t>
      </w:r>
    </w:p>
    <w:p w14:paraId="1A641906" w14:textId="77777777" w:rsidR="00846CBC" w:rsidRDefault="00C83B60" w:rsidP="00846CBC">
      <w:pPr>
        <w:pStyle w:val="NormalWeb"/>
        <w:spacing w:before="0" w:beforeAutospacing="0" w:after="0" w:afterAutospacing="0" w:line="480" w:lineRule="auto"/>
        <w:rPr>
          <w:color w:val="0E101A"/>
        </w:rPr>
      </w:pPr>
      <w:r>
        <w:rPr>
          <w:color w:val="0E101A"/>
        </w:rPr>
        <w:t>           Undoubtedly, the Hinkley Point C project for the nuclear power plant was purposed to improve the accessibility to electricity in the UK while ensuring low-carbon production activities</w:t>
      </w:r>
      <w:r w:rsidR="001A1147">
        <w:rPr>
          <w:color w:val="0E101A"/>
        </w:rPr>
        <w:t xml:space="preserve"> </w:t>
      </w:r>
      <w:r w:rsidR="001A1147">
        <w:t>(EDF, 2022)</w:t>
      </w:r>
      <w:r>
        <w:rPr>
          <w:color w:val="0E101A"/>
        </w:rPr>
        <w:t>. It will benefit millions of homes and bring hope to the country’s energy future. The challenging implementation journey has been marked by many delays and massive cost overruns that put the project in a difficult position. An evaluation of the project’s core aspects shows how the complex design and engineering factors made it necessary to carefully consider any step they take in the construction process to ensure safety. Other aspects, such as inflation, strict regulatory processes, safety issues, supply chain challenges, and the position of the stakeholders, can be considered normal risks in project management. However, in a massive project like the Hinkley Point C, they should be treated differently given the financial investment in the project that could lead to massive losses. Also, considering the imminent political challenges, the project should never fail. Another consideration is that there needs to be a massive investment in the workforce, given that the project will serve for many decades and should be in the best shape possible for a nuclear power plant. Training and more research on the EPR technology will help streamline the operations. To improve the project's performance, the concerns cannot be ignored. The major consideration should be an effective engagement with the shareholders to ensure understanding and support. The regulatory processes need to be streamlined to ensure faster deployment of functions yet as safe as possible. Addressing these issues will lead to an effective risk management strategy. Finding the most effective financing options for future similar projects will be essential for timely completion and reducing public upheavals. In conclusion, the Hinkley Point C project is a significant step in the country’s energy independence and environmental conservation with a significant economic contribution.</w:t>
      </w:r>
    </w:p>
    <w:p w14:paraId="396919BF" w14:textId="20C7A2A7" w:rsidR="004841BF" w:rsidRPr="00CB3409" w:rsidRDefault="00846CBC" w:rsidP="00CB3409">
      <w:pPr>
        <w:jc w:val="center"/>
        <w:rPr>
          <w:b/>
          <w:i/>
          <w:iCs/>
          <w:color w:val="0E101A"/>
        </w:rPr>
      </w:pPr>
      <w:r>
        <w:rPr>
          <w:color w:val="0E101A"/>
        </w:rPr>
        <w:br w:type="page"/>
      </w:r>
      <w:r w:rsidRPr="00CB3409">
        <w:rPr>
          <w:b/>
          <w:i/>
          <w:iCs/>
          <w:color w:val="0E101A"/>
        </w:rPr>
        <w:lastRenderedPageBreak/>
        <w:t>Reference</w:t>
      </w:r>
      <w:r w:rsidR="00CB3409" w:rsidRPr="00CB3409">
        <w:rPr>
          <w:b/>
          <w:i/>
          <w:iCs/>
          <w:color w:val="0E101A"/>
        </w:rPr>
        <w:t xml:space="preserve"> List:</w:t>
      </w:r>
    </w:p>
    <w:p w14:paraId="2A4B2EB6" w14:textId="77777777" w:rsidR="00CB3409" w:rsidRPr="00CB3409" w:rsidRDefault="00CB3409" w:rsidP="00CB3409">
      <w:pPr>
        <w:jc w:val="center"/>
        <w:rPr>
          <w:rFonts w:ascii="Times New Roman" w:eastAsia="Times New Roman" w:hAnsi="Times New Roman" w:cs="Times New Roman"/>
          <w:color w:val="0E101A"/>
          <w:sz w:val="24"/>
          <w:szCs w:val="24"/>
        </w:rPr>
      </w:pPr>
    </w:p>
    <w:p w14:paraId="100D950C" w14:textId="77777777" w:rsidR="00846CBC" w:rsidRDefault="00846CBC" w:rsidP="00846CBC">
      <w:pPr>
        <w:pStyle w:val="NormalWeb"/>
        <w:spacing w:before="0" w:beforeAutospacing="0" w:after="0" w:afterAutospacing="0" w:line="480" w:lineRule="auto"/>
        <w:ind w:left="720" w:hanging="720"/>
      </w:pPr>
      <w:r>
        <w:t xml:space="preserve">Burgess, M. and Woollaston-Webber, V. (2017) “Hinkley Point C power plant: everything you need to know,” </w:t>
      </w:r>
      <w:r>
        <w:rPr>
          <w:i/>
          <w:iCs/>
        </w:rPr>
        <w:t>WIRED UK</w:t>
      </w:r>
      <w:r>
        <w:t>, 23 June. Available at: https://www.wired.co.uk/article/hinkley-point-c-nuclear-plant.</w:t>
      </w:r>
    </w:p>
    <w:p w14:paraId="741BACF8" w14:textId="77777777" w:rsidR="000B2FD4" w:rsidRDefault="000B2FD4" w:rsidP="000B2FD4">
      <w:pPr>
        <w:pStyle w:val="NormalWeb"/>
        <w:spacing w:before="0" w:beforeAutospacing="0" w:after="0" w:afterAutospacing="0" w:line="480" w:lineRule="auto"/>
        <w:ind w:left="720" w:hanging="720"/>
      </w:pPr>
      <w:r>
        <w:t xml:space="preserve">EDF (2022) </w:t>
      </w:r>
      <w:r>
        <w:rPr>
          <w:i/>
          <w:iCs/>
        </w:rPr>
        <w:t>About Hinkley Point C</w:t>
      </w:r>
      <w:r>
        <w:t>. Available at: https://www.edfenergy.com/energy/nuclear-new-build-projects/hinkley-point-c/about.</w:t>
      </w:r>
    </w:p>
    <w:p w14:paraId="64C7AE76" w14:textId="77777777" w:rsidR="009E6CCA" w:rsidRPr="009E6CCA" w:rsidRDefault="009E6CCA" w:rsidP="009E6CCA">
      <w:pPr>
        <w:spacing w:after="0" w:line="480" w:lineRule="auto"/>
        <w:ind w:left="720" w:hanging="720"/>
        <w:rPr>
          <w:rFonts w:ascii="Times New Roman" w:eastAsia="Times New Roman" w:hAnsi="Times New Roman" w:cs="Times New Roman"/>
          <w:sz w:val="24"/>
          <w:szCs w:val="24"/>
        </w:rPr>
      </w:pPr>
      <w:r w:rsidRPr="009E6CCA">
        <w:rPr>
          <w:rFonts w:ascii="Times New Roman" w:eastAsia="Times New Roman" w:hAnsi="Times New Roman" w:cs="Times New Roman"/>
          <w:sz w:val="24"/>
          <w:szCs w:val="24"/>
        </w:rPr>
        <w:t xml:space="preserve">Daniel, E. and Daniel, P.A. (2019) “Megaprojects as complex adaptive systems: The Hinkley point C case,” </w:t>
      </w:r>
      <w:r w:rsidRPr="009E6CCA">
        <w:rPr>
          <w:rFonts w:ascii="Times New Roman" w:eastAsia="Times New Roman" w:hAnsi="Times New Roman" w:cs="Times New Roman"/>
          <w:i/>
          <w:iCs/>
          <w:sz w:val="24"/>
          <w:szCs w:val="24"/>
        </w:rPr>
        <w:t>International Journal of Project Management</w:t>
      </w:r>
      <w:r w:rsidRPr="009E6CCA">
        <w:rPr>
          <w:rFonts w:ascii="Times New Roman" w:eastAsia="Times New Roman" w:hAnsi="Times New Roman" w:cs="Times New Roman"/>
          <w:sz w:val="24"/>
          <w:szCs w:val="24"/>
        </w:rPr>
        <w:t>, 37(8), pp. 1017–1033. Available at: https://doi.org/10.1016/j.ijproman.2019.05.001.</w:t>
      </w:r>
    </w:p>
    <w:p w14:paraId="5B7CD52F" w14:textId="77777777" w:rsidR="00EA160A" w:rsidRPr="00EA160A" w:rsidRDefault="00EA160A" w:rsidP="00EA160A">
      <w:pPr>
        <w:spacing w:after="0" w:line="480" w:lineRule="auto"/>
        <w:ind w:left="720" w:hanging="720"/>
        <w:rPr>
          <w:rFonts w:ascii="Times New Roman" w:eastAsia="Times New Roman" w:hAnsi="Times New Roman" w:cs="Times New Roman"/>
          <w:sz w:val="24"/>
          <w:szCs w:val="24"/>
        </w:rPr>
      </w:pPr>
      <w:r w:rsidRPr="00EA160A">
        <w:rPr>
          <w:rFonts w:ascii="Times New Roman" w:eastAsia="Times New Roman" w:hAnsi="Times New Roman" w:cs="Times New Roman"/>
          <w:sz w:val="24"/>
          <w:szCs w:val="24"/>
        </w:rPr>
        <w:t xml:space="preserve">Dyrda, J. and Morrison, R.S. (2021) “OVERVIEW OF THE HINKLEY POINT C EPR PROJECT ‘J0’ AND BEYOND,” </w:t>
      </w:r>
      <w:r w:rsidRPr="00EA160A">
        <w:rPr>
          <w:rFonts w:ascii="Times New Roman" w:eastAsia="Times New Roman" w:hAnsi="Times New Roman" w:cs="Times New Roman"/>
          <w:i/>
          <w:iCs/>
          <w:sz w:val="24"/>
          <w:szCs w:val="24"/>
        </w:rPr>
        <w:t>Epj Web of Conferences</w:t>
      </w:r>
      <w:r w:rsidRPr="00EA160A">
        <w:rPr>
          <w:rFonts w:ascii="Times New Roman" w:eastAsia="Times New Roman" w:hAnsi="Times New Roman" w:cs="Times New Roman"/>
          <w:sz w:val="24"/>
          <w:szCs w:val="24"/>
        </w:rPr>
        <w:t xml:space="preserve"> [Preprint]. Available at: https://doi.org/10.1051/epjconf/202124720001.</w:t>
      </w:r>
    </w:p>
    <w:p w14:paraId="5F0B50A0" w14:textId="77777777" w:rsidR="000B2FD4" w:rsidRPr="000B2FD4" w:rsidRDefault="000B2FD4" w:rsidP="000B2FD4">
      <w:pPr>
        <w:spacing w:after="0" w:line="480" w:lineRule="auto"/>
        <w:ind w:left="720" w:hanging="720"/>
        <w:rPr>
          <w:rFonts w:ascii="Times New Roman" w:eastAsia="Times New Roman" w:hAnsi="Times New Roman" w:cs="Times New Roman"/>
          <w:sz w:val="24"/>
          <w:szCs w:val="24"/>
        </w:rPr>
      </w:pPr>
      <w:r w:rsidRPr="000B2FD4">
        <w:rPr>
          <w:rFonts w:ascii="Times New Roman" w:eastAsia="Times New Roman" w:hAnsi="Times New Roman" w:cs="Times New Roman"/>
          <w:sz w:val="24"/>
          <w:szCs w:val="24"/>
        </w:rPr>
        <w:t xml:space="preserve">Ma, W., Yuan, Y. and Sehgal, B.R. (2016) “In-Vessel melt retention of pressurized water reactors: historical review and future research needs,” </w:t>
      </w:r>
      <w:r w:rsidRPr="000B2FD4">
        <w:rPr>
          <w:rFonts w:ascii="Times New Roman" w:eastAsia="Times New Roman" w:hAnsi="Times New Roman" w:cs="Times New Roman"/>
          <w:i/>
          <w:iCs/>
          <w:sz w:val="24"/>
          <w:szCs w:val="24"/>
        </w:rPr>
        <w:t>Engineering</w:t>
      </w:r>
      <w:r w:rsidRPr="000B2FD4">
        <w:rPr>
          <w:rFonts w:ascii="Times New Roman" w:eastAsia="Times New Roman" w:hAnsi="Times New Roman" w:cs="Times New Roman"/>
          <w:sz w:val="24"/>
          <w:szCs w:val="24"/>
        </w:rPr>
        <w:t>, 2(1), pp. 103–111. Available at: https://doi.org/10.1016/j.eng.2016.01.019.</w:t>
      </w:r>
    </w:p>
    <w:p w14:paraId="5021012F" w14:textId="77777777" w:rsidR="001A1147" w:rsidRPr="001A1147" w:rsidRDefault="001A1147" w:rsidP="001A1147">
      <w:pPr>
        <w:spacing w:after="0" w:line="480" w:lineRule="auto"/>
        <w:ind w:left="720" w:hanging="720"/>
        <w:rPr>
          <w:rFonts w:ascii="Times New Roman" w:eastAsia="Times New Roman" w:hAnsi="Times New Roman" w:cs="Times New Roman"/>
          <w:sz w:val="24"/>
          <w:szCs w:val="24"/>
        </w:rPr>
      </w:pPr>
      <w:r w:rsidRPr="001A1147">
        <w:rPr>
          <w:rFonts w:ascii="Times New Roman" w:eastAsia="Times New Roman" w:hAnsi="Times New Roman" w:cs="Times New Roman"/>
          <w:sz w:val="24"/>
          <w:szCs w:val="24"/>
        </w:rPr>
        <w:t xml:space="preserve">Marco-Gracia, F.J. </w:t>
      </w:r>
      <w:r w:rsidRPr="001A1147">
        <w:rPr>
          <w:rFonts w:ascii="Times New Roman" w:eastAsia="Times New Roman" w:hAnsi="Times New Roman" w:cs="Times New Roman"/>
          <w:i/>
          <w:iCs/>
          <w:sz w:val="24"/>
          <w:szCs w:val="24"/>
        </w:rPr>
        <w:t>et al.</w:t>
      </w:r>
      <w:r w:rsidRPr="001A1147">
        <w:rPr>
          <w:rFonts w:ascii="Times New Roman" w:eastAsia="Times New Roman" w:hAnsi="Times New Roman" w:cs="Times New Roman"/>
          <w:sz w:val="24"/>
          <w:szCs w:val="24"/>
        </w:rPr>
        <w:t xml:space="preserve"> (2020) “Empowering leadership, mindful organizing and safety performance in a nuclear power plant: A multilevel structural equation model,” </w:t>
      </w:r>
      <w:r w:rsidRPr="001A1147">
        <w:rPr>
          <w:rFonts w:ascii="Times New Roman" w:eastAsia="Times New Roman" w:hAnsi="Times New Roman" w:cs="Times New Roman"/>
          <w:i/>
          <w:iCs/>
          <w:sz w:val="24"/>
          <w:szCs w:val="24"/>
        </w:rPr>
        <w:t>Safety Science</w:t>
      </w:r>
      <w:r w:rsidRPr="001A1147">
        <w:rPr>
          <w:rFonts w:ascii="Times New Roman" w:eastAsia="Times New Roman" w:hAnsi="Times New Roman" w:cs="Times New Roman"/>
          <w:sz w:val="24"/>
          <w:szCs w:val="24"/>
        </w:rPr>
        <w:t>, 123, p. 104542. Available at: https://doi.org/10.1016/j.ssci.2019.104542.</w:t>
      </w:r>
    </w:p>
    <w:p w14:paraId="1D3759F8" w14:textId="77777777" w:rsidR="00846CBC" w:rsidRDefault="00846CBC" w:rsidP="00846CBC">
      <w:pPr>
        <w:pStyle w:val="NormalWeb"/>
        <w:spacing w:before="0" w:beforeAutospacing="0" w:after="0" w:afterAutospacing="0" w:line="480" w:lineRule="auto"/>
        <w:ind w:left="720" w:hanging="720"/>
      </w:pPr>
      <w:r>
        <w:t xml:space="preserve">Moore, C. (2022) </w:t>
      </w:r>
      <w:r>
        <w:rPr>
          <w:i/>
          <w:iCs/>
        </w:rPr>
        <w:t>Hinkley Point C cost and timeframe under review as EDF notes difficulties in civils work | New Civil Engineer</w:t>
      </w:r>
      <w:r>
        <w:t>. Available at: https://www.newcivilengineer.com/latest/hinkley-point-c-cost-and-timeframe-under-review-as-edf-notes-difficulties-in-civils-work-28-03-2022/.</w:t>
      </w:r>
    </w:p>
    <w:p w14:paraId="6F83362A" w14:textId="77777777" w:rsidR="00846CBC" w:rsidRDefault="00846CBC" w:rsidP="00846CBC">
      <w:pPr>
        <w:pStyle w:val="NormalWeb"/>
        <w:spacing w:before="0" w:beforeAutospacing="0" w:after="0" w:afterAutospacing="0" w:line="480" w:lineRule="auto"/>
        <w:ind w:left="720" w:hanging="720"/>
      </w:pPr>
      <w:r>
        <w:lastRenderedPageBreak/>
        <w:t xml:space="preserve">National Audit Office (NAO) (2022) </w:t>
      </w:r>
      <w:r>
        <w:rPr>
          <w:i/>
          <w:iCs/>
        </w:rPr>
        <w:t>Hinkley Point C - National Audit Office (NAO) report</w:t>
      </w:r>
      <w:r>
        <w:t>. Available at: https://www.nao.org.uk/reports/hinkley-point-c/.</w:t>
      </w:r>
    </w:p>
    <w:p w14:paraId="17C1D682" w14:textId="77777777" w:rsidR="00846CBC" w:rsidRDefault="00D65221" w:rsidP="00846CBC">
      <w:pPr>
        <w:pStyle w:val="NormalWeb"/>
        <w:spacing w:before="0" w:beforeAutospacing="0" w:after="0" w:afterAutospacing="0" w:line="480" w:lineRule="auto"/>
        <w:ind w:left="720" w:hanging="720"/>
      </w:pPr>
      <w:r>
        <w:t>Praveen (2023</w:t>
      </w:r>
      <w:r w:rsidR="00846CBC">
        <w:t xml:space="preserve">) “Hinkley Point C nuclear power station,” </w:t>
      </w:r>
      <w:r w:rsidR="00846CBC">
        <w:rPr>
          <w:i/>
          <w:iCs/>
        </w:rPr>
        <w:t>Power Technology</w:t>
      </w:r>
      <w:r w:rsidR="00846CBC">
        <w:t>, 5 May. Available at: https://www.power-technology.com/projects/hinkley-point-c-nuclear-power-station/.</w:t>
      </w:r>
    </w:p>
    <w:p w14:paraId="024EE643" w14:textId="77777777" w:rsidR="00846CBC" w:rsidRDefault="00846CBC" w:rsidP="00846CBC">
      <w:pPr>
        <w:pStyle w:val="NormalWeb"/>
        <w:spacing w:before="0" w:beforeAutospacing="0" w:after="0" w:afterAutospacing="0" w:line="480" w:lineRule="auto"/>
        <w:ind w:left="720" w:hanging="720"/>
      </w:pPr>
      <w:r>
        <w:t xml:space="preserve">Thomas, S. (2016) “The Hinkley Point decision: An analysis of the policy process,” </w:t>
      </w:r>
      <w:r>
        <w:rPr>
          <w:i/>
          <w:iCs/>
        </w:rPr>
        <w:t>Energy Policy</w:t>
      </w:r>
      <w:r>
        <w:t>, 96, pp. 421–431. Available at: https://doi.org/10.1016/j.enpol.2016.06.021.</w:t>
      </w:r>
    </w:p>
    <w:p w14:paraId="27E45230" w14:textId="77777777" w:rsidR="00846CBC" w:rsidRPr="00846CBC" w:rsidRDefault="00846CBC" w:rsidP="00846CBC">
      <w:pPr>
        <w:pStyle w:val="NormalWeb"/>
        <w:spacing w:before="0" w:beforeAutospacing="0" w:after="0" w:afterAutospacing="0" w:line="480" w:lineRule="auto"/>
        <w:rPr>
          <w:b/>
          <w:color w:val="0E101A"/>
        </w:rPr>
      </w:pPr>
    </w:p>
    <w:sectPr w:rsidR="00846CBC" w:rsidRPr="00846CB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49E6E" w14:textId="77777777" w:rsidR="004A4887" w:rsidRDefault="004A4887" w:rsidP="002D3696">
      <w:pPr>
        <w:spacing w:after="0" w:line="240" w:lineRule="auto"/>
      </w:pPr>
      <w:r>
        <w:separator/>
      </w:r>
    </w:p>
  </w:endnote>
  <w:endnote w:type="continuationSeparator" w:id="0">
    <w:p w14:paraId="6E8F455B" w14:textId="77777777" w:rsidR="004A4887" w:rsidRDefault="004A4887" w:rsidP="002D36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59E64" w14:textId="77777777" w:rsidR="004A4887" w:rsidRDefault="004A4887" w:rsidP="002D3696">
      <w:pPr>
        <w:spacing w:after="0" w:line="240" w:lineRule="auto"/>
      </w:pPr>
      <w:r>
        <w:separator/>
      </w:r>
    </w:p>
  </w:footnote>
  <w:footnote w:type="continuationSeparator" w:id="0">
    <w:p w14:paraId="08396660" w14:textId="77777777" w:rsidR="004A4887" w:rsidRDefault="004A4887" w:rsidP="002D36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386668"/>
      <w:docPartObj>
        <w:docPartGallery w:val="Page Numbers (Top of Page)"/>
        <w:docPartUnique/>
      </w:docPartObj>
    </w:sdtPr>
    <w:sdtEndPr>
      <w:rPr>
        <w:noProof/>
      </w:rPr>
    </w:sdtEndPr>
    <w:sdtContent>
      <w:p w14:paraId="5D3AA54B" w14:textId="77777777" w:rsidR="0080252C" w:rsidRDefault="0080252C">
        <w:pPr>
          <w:pStyle w:val="Header"/>
          <w:jc w:val="right"/>
        </w:pPr>
        <w:r w:rsidRPr="002D3696">
          <w:rPr>
            <w:rFonts w:ascii="Times New Roman" w:hAnsi="Times New Roman" w:cs="Times New Roman"/>
            <w:sz w:val="24"/>
            <w:szCs w:val="24"/>
          </w:rPr>
          <w:t>Hinkley Point C Project</w:t>
        </w:r>
        <w:r>
          <w:t xml:space="preserve"> </w:t>
        </w:r>
        <w:r>
          <w:fldChar w:fldCharType="begin"/>
        </w:r>
        <w:r>
          <w:instrText xml:space="preserve"> PAGE   \* MERGEFORMAT </w:instrText>
        </w:r>
        <w:r>
          <w:fldChar w:fldCharType="separate"/>
        </w:r>
        <w:r w:rsidR="00F11285">
          <w:rPr>
            <w:noProof/>
          </w:rPr>
          <w:t>1</w:t>
        </w:r>
        <w:r>
          <w:rPr>
            <w:noProof/>
          </w:rPr>
          <w:fldChar w:fldCharType="end"/>
        </w:r>
      </w:p>
    </w:sdtContent>
  </w:sdt>
  <w:p w14:paraId="2DE41B91" w14:textId="77777777" w:rsidR="0080252C" w:rsidRDefault="008025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62D86"/>
    <w:multiLevelType w:val="hybridMultilevel"/>
    <w:tmpl w:val="7668E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83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xMTUxM7I0t7QwN7RQ0lEKTi0uzszPAykwqwUAQpWP9ywAAAA="/>
  </w:docVars>
  <w:rsids>
    <w:rsidRoot w:val="00EA2669"/>
    <w:rsid w:val="00027C87"/>
    <w:rsid w:val="000B2FD4"/>
    <w:rsid w:val="000F1208"/>
    <w:rsid w:val="00114FAB"/>
    <w:rsid w:val="00136536"/>
    <w:rsid w:val="0014542C"/>
    <w:rsid w:val="00162DFC"/>
    <w:rsid w:val="0017785A"/>
    <w:rsid w:val="001A1147"/>
    <w:rsid w:val="001B1075"/>
    <w:rsid w:val="001D402B"/>
    <w:rsid w:val="001E5BE0"/>
    <w:rsid w:val="001F4D27"/>
    <w:rsid w:val="002130F4"/>
    <w:rsid w:val="0024578A"/>
    <w:rsid w:val="002466B0"/>
    <w:rsid w:val="002B7D6E"/>
    <w:rsid w:val="002D188C"/>
    <w:rsid w:val="002D3696"/>
    <w:rsid w:val="003110F2"/>
    <w:rsid w:val="00443226"/>
    <w:rsid w:val="004602F9"/>
    <w:rsid w:val="004841BF"/>
    <w:rsid w:val="004A27C8"/>
    <w:rsid w:val="004A4887"/>
    <w:rsid w:val="004E2833"/>
    <w:rsid w:val="00525E91"/>
    <w:rsid w:val="00532E24"/>
    <w:rsid w:val="00594AB5"/>
    <w:rsid w:val="005A27D6"/>
    <w:rsid w:val="00621F24"/>
    <w:rsid w:val="00662129"/>
    <w:rsid w:val="006C3EB9"/>
    <w:rsid w:val="006C4D66"/>
    <w:rsid w:val="006D7AB9"/>
    <w:rsid w:val="0071669B"/>
    <w:rsid w:val="0073750A"/>
    <w:rsid w:val="0076475C"/>
    <w:rsid w:val="007B73B4"/>
    <w:rsid w:val="007C34E5"/>
    <w:rsid w:val="007F0CDA"/>
    <w:rsid w:val="0080252C"/>
    <w:rsid w:val="008308BC"/>
    <w:rsid w:val="00846CBC"/>
    <w:rsid w:val="008F6252"/>
    <w:rsid w:val="0090003F"/>
    <w:rsid w:val="009224B7"/>
    <w:rsid w:val="00925BFC"/>
    <w:rsid w:val="00972A25"/>
    <w:rsid w:val="0098145D"/>
    <w:rsid w:val="00981701"/>
    <w:rsid w:val="009E6CCA"/>
    <w:rsid w:val="00A25E73"/>
    <w:rsid w:val="00A26160"/>
    <w:rsid w:val="00A75D28"/>
    <w:rsid w:val="00A808AF"/>
    <w:rsid w:val="00AA02FD"/>
    <w:rsid w:val="00B04B81"/>
    <w:rsid w:val="00B4276D"/>
    <w:rsid w:val="00B72DCA"/>
    <w:rsid w:val="00B778BB"/>
    <w:rsid w:val="00B957CF"/>
    <w:rsid w:val="00BC6A41"/>
    <w:rsid w:val="00C15471"/>
    <w:rsid w:val="00C37CDD"/>
    <w:rsid w:val="00C5235B"/>
    <w:rsid w:val="00C714CB"/>
    <w:rsid w:val="00C83B60"/>
    <w:rsid w:val="00CA6EA8"/>
    <w:rsid w:val="00CB07CF"/>
    <w:rsid w:val="00CB3409"/>
    <w:rsid w:val="00CE5AAA"/>
    <w:rsid w:val="00CF0C1D"/>
    <w:rsid w:val="00CF6C64"/>
    <w:rsid w:val="00D124DC"/>
    <w:rsid w:val="00D15B3A"/>
    <w:rsid w:val="00D3198F"/>
    <w:rsid w:val="00D5267D"/>
    <w:rsid w:val="00D65221"/>
    <w:rsid w:val="00DB52BD"/>
    <w:rsid w:val="00E31BF5"/>
    <w:rsid w:val="00E37673"/>
    <w:rsid w:val="00E6238D"/>
    <w:rsid w:val="00EA160A"/>
    <w:rsid w:val="00EA2669"/>
    <w:rsid w:val="00EB21A1"/>
    <w:rsid w:val="00ED0F4D"/>
    <w:rsid w:val="00F11285"/>
    <w:rsid w:val="00F325E8"/>
    <w:rsid w:val="00F81502"/>
    <w:rsid w:val="00F93E72"/>
    <w:rsid w:val="00FE78DB"/>
    <w:rsid w:val="00FF07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A7E99"/>
  <w15:chartTrackingRefBased/>
  <w15:docId w15:val="{6384EC7D-E97D-45D9-90C5-D2EEE7BDB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69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6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696"/>
  </w:style>
  <w:style w:type="paragraph" w:styleId="Footer">
    <w:name w:val="footer"/>
    <w:basedOn w:val="Normal"/>
    <w:link w:val="FooterChar"/>
    <w:uiPriority w:val="99"/>
    <w:unhideWhenUsed/>
    <w:rsid w:val="002D36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696"/>
  </w:style>
  <w:style w:type="paragraph" w:styleId="NormalWeb">
    <w:name w:val="Normal (Web)"/>
    <w:basedOn w:val="Normal"/>
    <w:uiPriority w:val="99"/>
    <w:unhideWhenUsed/>
    <w:rsid w:val="00A808A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808AF"/>
    <w:rPr>
      <w:b/>
      <w:bCs/>
    </w:rPr>
  </w:style>
  <w:style w:type="paragraph" w:styleId="ListParagraph">
    <w:name w:val="List Paragraph"/>
    <w:basedOn w:val="Normal"/>
    <w:uiPriority w:val="34"/>
    <w:qFormat/>
    <w:rsid w:val="00B957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830052">
      <w:bodyDiv w:val="1"/>
      <w:marLeft w:val="0"/>
      <w:marRight w:val="0"/>
      <w:marTop w:val="0"/>
      <w:marBottom w:val="0"/>
      <w:divBdr>
        <w:top w:val="none" w:sz="0" w:space="0" w:color="auto"/>
        <w:left w:val="none" w:sz="0" w:space="0" w:color="auto"/>
        <w:bottom w:val="none" w:sz="0" w:space="0" w:color="auto"/>
        <w:right w:val="none" w:sz="0" w:space="0" w:color="auto"/>
      </w:divBdr>
    </w:div>
    <w:div w:id="656962578">
      <w:bodyDiv w:val="1"/>
      <w:marLeft w:val="0"/>
      <w:marRight w:val="0"/>
      <w:marTop w:val="0"/>
      <w:marBottom w:val="0"/>
      <w:divBdr>
        <w:top w:val="none" w:sz="0" w:space="0" w:color="auto"/>
        <w:left w:val="none" w:sz="0" w:space="0" w:color="auto"/>
        <w:bottom w:val="none" w:sz="0" w:space="0" w:color="auto"/>
        <w:right w:val="none" w:sz="0" w:space="0" w:color="auto"/>
      </w:divBdr>
    </w:div>
    <w:div w:id="1408453078">
      <w:bodyDiv w:val="1"/>
      <w:marLeft w:val="0"/>
      <w:marRight w:val="0"/>
      <w:marTop w:val="0"/>
      <w:marBottom w:val="0"/>
      <w:divBdr>
        <w:top w:val="none" w:sz="0" w:space="0" w:color="auto"/>
        <w:left w:val="none" w:sz="0" w:space="0" w:color="auto"/>
        <w:bottom w:val="none" w:sz="0" w:space="0" w:color="auto"/>
        <w:right w:val="none" w:sz="0" w:space="0" w:color="auto"/>
      </w:divBdr>
    </w:div>
    <w:div w:id="1420103700">
      <w:bodyDiv w:val="1"/>
      <w:marLeft w:val="0"/>
      <w:marRight w:val="0"/>
      <w:marTop w:val="0"/>
      <w:marBottom w:val="0"/>
      <w:divBdr>
        <w:top w:val="none" w:sz="0" w:space="0" w:color="auto"/>
        <w:left w:val="none" w:sz="0" w:space="0" w:color="auto"/>
        <w:bottom w:val="none" w:sz="0" w:space="0" w:color="auto"/>
        <w:right w:val="none" w:sz="0" w:space="0" w:color="auto"/>
      </w:divBdr>
    </w:div>
    <w:div w:id="1421755420">
      <w:bodyDiv w:val="1"/>
      <w:marLeft w:val="0"/>
      <w:marRight w:val="0"/>
      <w:marTop w:val="0"/>
      <w:marBottom w:val="0"/>
      <w:divBdr>
        <w:top w:val="none" w:sz="0" w:space="0" w:color="auto"/>
        <w:left w:val="none" w:sz="0" w:space="0" w:color="auto"/>
        <w:bottom w:val="none" w:sz="0" w:space="0" w:color="auto"/>
        <w:right w:val="none" w:sz="0" w:space="0" w:color="auto"/>
      </w:divBdr>
    </w:div>
    <w:div w:id="1521817650">
      <w:bodyDiv w:val="1"/>
      <w:marLeft w:val="0"/>
      <w:marRight w:val="0"/>
      <w:marTop w:val="0"/>
      <w:marBottom w:val="0"/>
      <w:divBdr>
        <w:top w:val="none" w:sz="0" w:space="0" w:color="auto"/>
        <w:left w:val="none" w:sz="0" w:space="0" w:color="auto"/>
        <w:bottom w:val="none" w:sz="0" w:space="0" w:color="auto"/>
        <w:right w:val="none" w:sz="0" w:space="0" w:color="auto"/>
      </w:divBdr>
    </w:div>
    <w:div w:id="1623876916">
      <w:bodyDiv w:val="1"/>
      <w:marLeft w:val="0"/>
      <w:marRight w:val="0"/>
      <w:marTop w:val="0"/>
      <w:marBottom w:val="0"/>
      <w:divBdr>
        <w:top w:val="none" w:sz="0" w:space="0" w:color="auto"/>
        <w:left w:val="none" w:sz="0" w:space="0" w:color="auto"/>
        <w:bottom w:val="none" w:sz="0" w:space="0" w:color="auto"/>
        <w:right w:val="none" w:sz="0" w:space="0" w:color="auto"/>
      </w:divBdr>
    </w:div>
    <w:div w:id="209416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2492</TotalTime>
  <Pages>12</Pages>
  <Words>3005</Words>
  <Characters>17129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Veselina Dimitrova Uchkunova (2028272)</cp:lastModifiedBy>
  <cp:revision>6</cp:revision>
  <dcterms:created xsi:type="dcterms:W3CDTF">2023-08-05T19:24:00Z</dcterms:created>
  <dcterms:modified xsi:type="dcterms:W3CDTF">2023-08-05T19:29:00Z</dcterms:modified>
</cp:coreProperties>
</file>