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3E1F5" w14:textId="77777777" w:rsidR="00BD6608" w:rsidRDefault="00BD6608" w:rsidP="00BD6608">
      <w:pPr>
        <w:rPr>
          <w:b/>
          <w:bCs/>
          <w:i/>
          <w:iCs/>
          <w:color w:val="333333"/>
          <w:sz w:val="96"/>
          <w:szCs w:val="96"/>
          <w:shd w:val="clear" w:color="auto" w:fill="FFFFFF"/>
        </w:rPr>
      </w:pPr>
      <w:r>
        <w:rPr>
          <w:noProof/>
        </w:rPr>
        <w:drawing>
          <wp:inline distT="0" distB="0" distL="0" distR="0" wp14:anchorId="1A3424A7" wp14:editId="5D6ECAB2">
            <wp:extent cx="3276600" cy="233418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54517" cy="2460932"/>
                    </a:xfrm>
                    <a:prstGeom prst="rect">
                      <a:avLst/>
                    </a:prstGeom>
                    <a:noFill/>
                  </pic:spPr>
                </pic:pic>
              </a:graphicData>
            </a:graphic>
          </wp:inline>
        </w:drawing>
      </w:r>
    </w:p>
    <w:p w14:paraId="5469DA72" w14:textId="77777777" w:rsidR="00BD6608" w:rsidRDefault="00BD6608" w:rsidP="00BD6608">
      <w:pPr>
        <w:pStyle w:val="NoSpacing"/>
        <w:jc w:val="center"/>
        <w:rPr>
          <w:rFonts w:ascii="Times New Roman" w:hAnsi="Times New Roman" w:cs="Times New Roman"/>
          <w:b/>
          <w:bCs/>
          <w:color w:val="000000"/>
          <w:sz w:val="96"/>
          <w:szCs w:val="96"/>
        </w:rPr>
      </w:pPr>
      <w:r>
        <w:rPr>
          <w:rFonts w:ascii="Times New Roman" w:hAnsi="Times New Roman" w:cs="Times New Roman"/>
          <w:b/>
          <w:bCs/>
          <w:i/>
          <w:iCs/>
          <w:color w:val="000000"/>
          <w:sz w:val="96"/>
          <w:szCs w:val="96"/>
        </w:rPr>
        <w:t>Accounting Fundamentals</w:t>
      </w:r>
    </w:p>
    <w:p w14:paraId="30406C91" w14:textId="7D68C98E" w:rsidR="00BD6608" w:rsidRDefault="00BD6608" w:rsidP="00BD6608">
      <w:pPr>
        <w:jc w:val="center"/>
        <w:rPr>
          <w:b/>
          <w:bCs/>
          <w:i/>
          <w:iCs/>
          <w:color w:val="333333"/>
          <w:sz w:val="96"/>
          <w:szCs w:val="96"/>
          <w:shd w:val="clear" w:color="auto" w:fill="FFFFFF"/>
        </w:rPr>
      </w:pPr>
    </w:p>
    <w:p w14:paraId="3291B431" w14:textId="77777777" w:rsidR="00BD6608" w:rsidRPr="00BB383D" w:rsidRDefault="00BD6608" w:rsidP="00BD6608">
      <w:pPr>
        <w:rPr>
          <w:sz w:val="32"/>
          <w:szCs w:val="32"/>
          <w:lang w:eastAsia="zh-CN"/>
        </w:rPr>
      </w:pPr>
      <w:r>
        <w:t xml:space="preserve">        </w:t>
      </w:r>
      <w:proofErr w:type="gramStart"/>
      <w:r w:rsidRPr="00BB383D">
        <w:rPr>
          <w:sz w:val="32"/>
          <w:szCs w:val="32"/>
          <w:lang w:eastAsia="zh-CN"/>
        </w:rPr>
        <w:t xml:space="preserve">Name </w:t>
      </w:r>
      <w:r>
        <w:rPr>
          <w:sz w:val="32"/>
          <w:szCs w:val="32"/>
          <w:lang w:eastAsia="zh-CN"/>
        </w:rPr>
        <w:t>:</w:t>
      </w:r>
      <w:proofErr w:type="gramEnd"/>
      <w:r>
        <w:rPr>
          <w:sz w:val="32"/>
          <w:szCs w:val="32"/>
          <w:lang w:eastAsia="zh-CN"/>
        </w:rPr>
        <w:t xml:space="preserve"> Petrica Dana</w:t>
      </w:r>
    </w:p>
    <w:p w14:paraId="1ABA9A83" w14:textId="77777777" w:rsidR="00BD6608" w:rsidRPr="00BB383D" w:rsidRDefault="00BD6608" w:rsidP="00BD6608">
      <w:pPr>
        <w:rPr>
          <w:sz w:val="32"/>
          <w:szCs w:val="32"/>
          <w:lang w:eastAsia="zh-CN"/>
        </w:rPr>
      </w:pPr>
      <w:r>
        <w:rPr>
          <w:sz w:val="32"/>
          <w:szCs w:val="32"/>
          <w:lang w:eastAsia="zh-CN"/>
        </w:rPr>
        <w:t xml:space="preserve">     </w:t>
      </w:r>
      <w:r w:rsidRPr="00BB383D">
        <w:rPr>
          <w:sz w:val="32"/>
          <w:szCs w:val="32"/>
          <w:lang w:eastAsia="zh-CN"/>
        </w:rPr>
        <w:t>Student ID</w:t>
      </w:r>
      <w:r>
        <w:rPr>
          <w:sz w:val="32"/>
          <w:szCs w:val="32"/>
          <w:lang w:eastAsia="zh-CN"/>
        </w:rPr>
        <w:t xml:space="preserve"> -2215984</w:t>
      </w:r>
    </w:p>
    <w:p w14:paraId="03C65DD9" w14:textId="787EB7CB" w:rsidR="00BD6608" w:rsidRPr="00BB383D" w:rsidRDefault="00BD6608" w:rsidP="00BD6608">
      <w:pPr>
        <w:rPr>
          <w:sz w:val="32"/>
          <w:szCs w:val="32"/>
          <w:lang w:eastAsia="zh-CN"/>
        </w:rPr>
      </w:pPr>
      <w:r>
        <w:rPr>
          <w:sz w:val="32"/>
          <w:szCs w:val="32"/>
          <w:lang w:eastAsia="zh-CN"/>
        </w:rPr>
        <w:t xml:space="preserve">     </w:t>
      </w:r>
      <w:r w:rsidRPr="00BB383D">
        <w:rPr>
          <w:sz w:val="32"/>
          <w:szCs w:val="32"/>
          <w:lang w:eastAsia="zh-CN"/>
        </w:rPr>
        <w:t>Module code</w:t>
      </w:r>
      <w:r>
        <w:rPr>
          <w:sz w:val="32"/>
          <w:szCs w:val="32"/>
          <w:lang w:eastAsia="zh-CN"/>
        </w:rPr>
        <w:t xml:space="preserve"> -LCBB4001</w:t>
      </w:r>
    </w:p>
    <w:p w14:paraId="6C0B0188" w14:textId="6883EF6F" w:rsidR="00BD6608" w:rsidRPr="00BB383D" w:rsidRDefault="00BD6608" w:rsidP="00BD6608">
      <w:pPr>
        <w:rPr>
          <w:sz w:val="32"/>
          <w:szCs w:val="32"/>
          <w:lang w:eastAsia="zh-CN"/>
        </w:rPr>
      </w:pPr>
      <w:r>
        <w:rPr>
          <w:sz w:val="32"/>
          <w:szCs w:val="32"/>
          <w:lang w:eastAsia="zh-CN"/>
        </w:rPr>
        <w:t xml:space="preserve">     </w:t>
      </w:r>
      <w:r w:rsidRPr="00BB383D">
        <w:rPr>
          <w:sz w:val="32"/>
          <w:szCs w:val="32"/>
          <w:lang w:eastAsia="zh-CN"/>
        </w:rPr>
        <w:t xml:space="preserve">Module name </w:t>
      </w:r>
      <w:r>
        <w:rPr>
          <w:sz w:val="32"/>
          <w:szCs w:val="32"/>
          <w:lang w:eastAsia="zh-CN"/>
        </w:rPr>
        <w:t>– Accounting Fundamentals</w:t>
      </w:r>
    </w:p>
    <w:p w14:paraId="7D46A4FB" w14:textId="6BC38168" w:rsidR="00BD6608" w:rsidRDefault="00BD6608" w:rsidP="00BD6608">
      <w:pPr>
        <w:jc w:val="center"/>
        <w:rPr>
          <w:rStyle w:val="Emphasis"/>
          <w:rFonts w:ascii="Segoe UI" w:hAnsi="Segoe UI" w:cs="Segoe UI"/>
          <w:color w:val="373A3C"/>
          <w:shd w:val="clear" w:color="auto" w:fill="FFF6AE"/>
        </w:rPr>
      </w:pPr>
      <w:r>
        <w:rPr>
          <w:sz w:val="32"/>
          <w:szCs w:val="32"/>
          <w:lang w:eastAsia="zh-CN"/>
        </w:rPr>
        <w:t xml:space="preserve">     </w:t>
      </w:r>
      <w:r w:rsidRPr="000472C6">
        <w:rPr>
          <w:sz w:val="32"/>
          <w:szCs w:val="32"/>
          <w:lang w:eastAsia="zh-CN"/>
        </w:rPr>
        <w:t>Lecturer</w:t>
      </w:r>
      <w:r>
        <w:rPr>
          <w:sz w:val="32"/>
          <w:szCs w:val="32"/>
          <w:lang w:eastAsia="zh-CN"/>
        </w:rPr>
        <w:t>-IVANA ROZIC</w:t>
      </w:r>
    </w:p>
    <w:p w14:paraId="4A974B37" w14:textId="77777777" w:rsidR="00BD6608" w:rsidRPr="008B34F9" w:rsidRDefault="00BD6608" w:rsidP="00BD6608">
      <w:pPr>
        <w:jc w:val="center"/>
        <w:rPr>
          <w:b/>
          <w:bCs/>
          <w:i/>
          <w:iCs/>
          <w:color w:val="333333"/>
          <w:sz w:val="28"/>
          <w:szCs w:val="28"/>
          <w:shd w:val="clear" w:color="auto" w:fill="FFFFFF"/>
        </w:rPr>
      </w:pPr>
    </w:p>
    <w:p w14:paraId="3FDCB3BA" w14:textId="77777777" w:rsidR="00BD6608" w:rsidRDefault="00BD6608" w:rsidP="00BD6608">
      <w:pPr>
        <w:pStyle w:val="NoSpacing"/>
        <w:jc w:val="center"/>
        <w:rPr>
          <w:rFonts w:ascii="Times New Roman" w:hAnsi="Times New Roman" w:cs="Times New Roman"/>
          <w:b/>
          <w:bCs/>
          <w:i/>
          <w:iCs/>
          <w:color w:val="000000"/>
          <w:sz w:val="96"/>
          <w:szCs w:val="96"/>
        </w:rPr>
      </w:pPr>
    </w:p>
    <w:p w14:paraId="1453191D" w14:textId="77777777" w:rsidR="00BD6608" w:rsidRDefault="00BD6608" w:rsidP="00BD6608">
      <w:pPr>
        <w:pStyle w:val="ContentsHeading"/>
        <w:pageBreakBefore/>
      </w:pPr>
      <w:bookmarkStart w:id="0" w:name="_GoBack"/>
      <w:bookmarkEnd w:id="0"/>
      <w:r>
        <w:lastRenderedPageBreak/>
        <w:t>Table of Contents</w:t>
      </w:r>
    </w:p>
    <w:p w14:paraId="52F72F79" w14:textId="77777777" w:rsidR="00BD6608" w:rsidRDefault="00BD6608" w:rsidP="00BD6608">
      <w:pPr>
        <w:pStyle w:val="TOC1"/>
      </w:pPr>
      <w:r>
        <w:fldChar w:fldCharType="begin"/>
      </w:r>
      <w:r>
        <w:instrText xml:space="preserve"> TOC \f \o "1-9" \o "1-9" </w:instrText>
      </w:r>
      <w:r>
        <w:fldChar w:fldCharType="separate"/>
      </w:r>
      <w:r>
        <w:t xml:space="preserve">INTRODUCTION </w:t>
      </w:r>
      <w:r>
        <w:tab/>
        <w:t>3</w:t>
      </w:r>
    </w:p>
    <w:p w14:paraId="6FE508CD" w14:textId="77777777" w:rsidR="00BD6608" w:rsidRDefault="00BD6608" w:rsidP="00BD6608">
      <w:pPr>
        <w:pStyle w:val="TOC1"/>
      </w:pPr>
      <w:r>
        <w:t>QUESTION 1</w:t>
      </w:r>
      <w:r>
        <w:tab/>
        <w:t>3</w:t>
      </w:r>
    </w:p>
    <w:p w14:paraId="408F8421" w14:textId="77777777" w:rsidR="00BD6608" w:rsidRDefault="00BD6608" w:rsidP="00BD6608">
      <w:pPr>
        <w:pStyle w:val="TOC2"/>
        <w:tabs>
          <w:tab w:val="clear" w:pos="9077"/>
          <w:tab w:val="right" w:leader="dot" w:pos="9360"/>
        </w:tabs>
      </w:pPr>
      <w:r>
        <w:t>a) Financial statements for Wales Plc.</w:t>
      </w:r>
      <w:r>
        <w:tab/>
        <w:t>3</w:t>
      </w:r>
    </w:p>
    <w:p w14:paraId="5CCCAFF1" w14:textId="77777777" w:rsidR="00BD6608" w:rsidRDefault="00BD6608" w:rsidP="00BD6608">
      <w:pPr>
        <w:pStyle w:val="TOC2"/>
        <w:tabs>
          <w:tab w:val="clear" w:pos="9077"/>
          <w:tab w:val="right" w:leader="dot" w:pos="9360"/>
        </w:tabs>
      </w:pPr>
      <w:r>
        <w:t>b) Balancing of financial position</w:t>
      </w:r>
      <w:r>
        <w:tab/>
        <w:t>4</w:t>
      </w:r>
    </w:p>
    <w:p w14:paraId="3386951B" w14:textId="77777777" w:rsidR="00BD6608" w:rsidRDefault="00BD6608" w:rsidP="00BD6608">
      <w:pPr>
        <w:pStyle w:val="TOC1"/>
      </w:pPr>
      <w:r>
        <w:t>QUESTION 2</w:t>
      </w:r>
      <w:r>
        <w:tab/>
        <w:t>8</w:t>
      </w:r>
    </w:p>
    <w:p w14:paraId="4D12FD82" w14:textId="77777777" w:rsidR="00BD6608" w:rsidRDefault="00BD6608" w:rsidP="00BD6608">
      <w:pPr>
        <w:pStyle w:val="TOC2"/>
        <w:tabs>
          <w:tab w:val="clear" w:pos="9077"/>
          <w:tab w:val="right" w:leader="dot" w:pos="9360"/>
        </w:tabs>
      </w:pPr>
      <w:r>
        <w:t>a) Ratio calculation for Sweets Plc</w:t>
      </w:r>
      <w:r>
        <w:tab/>
        <w:t>8</w:t>
      </w:r>
    </w:p>
    <w:p w14:paraId="6C942FC0" w14:textId="77777777" w:rsidR="00BD6608" w:rsidRDefault="00BD6608" w:rsidP="00BD6608">
      <w:pPr>
        <w:pStyle w:val="TOC2"/>
        <w:tabs>
          <w:tab w:val="clear" w:pos="9077"/>
          <w:tab w:val="right" w:leader="dot" w:pos="9360"/>
        </w:tabs>
      </w:pPr>
      <w:r>
        <w:t>b) Financial position of Sweets Plc</w:t>
      </w:r>
      <w:r>
        <w:tab/>
        <w:t>8</w:t>
      </w:r>
    </w:p>
    <w:p w14:paraId="0BF8DC8D" w14:textId="77777777" w:rsidR="00BD6608" w:rsidRDefault="00BD6608" w:rsidP="00BD6608">
      <w:pPr>
        <w:pStyle w:val="TOC1"/>
      </w:pPr>
      <w:r>
        <w:t xml:space="preserve">CONCLUSION </w:t>
      </w:r>
      <w:r>
        <w:tab/>
        <w:t>10</w:t>
      </w:r>
    </w:p>
    <w:p w14:paraId="6531D42E" w14:textId="77777777" w:rsidR="00BD6608" w:rsidRDefault="00BD6608" w:rsidP="00BD6608">
      <w:pPr>
        <w:pStyle w:val="TOC1"/>
        <w:rPr>
          <w:shd w:val="clear" w:color="auto" w:fill="FFFFFF"/>
        </w:rPr>
      </w:pPr>
      <w:r>
        <w:t>REFERENCES</w:t>
      </w:r>
      <w:r>
        <w:tab/>
        <w:t>11</w:t>
      </w:r>
      <w:r>
        <w:fldChar w:fldCharType="end"/>
      </w:r>
    </w:p>
    <w:p w14:paraId="43A5C313" w14:textId="77777777" w:rsidR="00BD6608" w:rsidRDefault="00BD6608" w:rsidP="00BD6608">
      <w:pPr>
        <w:pStyle w:val="Heading1"/>
        <w:rPr>
          <w:shd w:val="clear" w:color="auto" w:fill="FFFFFF"/>
        </w:rPr>
      </w:pPr>
    </w:p>
    <w:p w14:paraId="49398BFD" w14:textId="77777777" w:rsidR="00BD6608" w:rsidRDefault="00BD6608" w:rsidP="00BD6608">
      <w:pPr>
        <w:pStyle w:val="Heading1"/>
        <w:pageBreakBefore/>
        <w:rPr>
          <w:szCs w:val="24"/>
        </w:rPr>
      </w:pPr>
      <w:r>
        <w:rPr>
          <w:shd w:val="clear" w:color="auto" w:fill="FFFFFF"/>
        </w:rPr>
        <w:lastRenderedPageBreak/>
        <w:t xml:space="preserve">INTRODUCTION </w:t>
      </w:r>
    </w:p>
    <w:p w14:paraId="3FBC4BD1" w14:textId="77777777" w:rsidR="00BD6608" w:rsidRDefault="00BD6608" w:rsidP="00BD6608">
      <w:pPr>
        <w:pStyle w:val="BodyText"/>
        <w:rPr>
          <w:shd w:val="clear" w:color="auto" w:fill="FFFFFF"/>
        </w:rPr>
      </w:pPr>
      <w:r>
        <w:rPr>
          <w:szCs w:val="24"/>
        </w:rPr>
        <w:tab/>
        <w:t xml:space="preserve">Accounting is a process of summarizing, reporting, analysing, recording of the financial information related to the business. Accounting fundamentals are assisting principles to perform the financial transactions. Main users of financial information use the financial statements to decision making </w:t>
      </w:r>
      <w:r>
        <w:rPr>
          <w:szCs w:val="24"/>
          <w:shd w:val="clear" w:color="auto" w:fill="FFFFFF"/>
        </w:rPr>
        <w:t>(de Souza and et.al, 2019)</w:t>
      </w:r>
      <w:r>
        <w:rPr>
          <w:szCs w:val="24"/>
        </w:rPr>
        <w:t>. Financial statements are use the basic principles to record and report the transactions. Financial accounting has occurred problems in measurement of various elements. Financial statements are used to calculate the ratios and ratios are helpful to analyse the financial position of the organization by the investors for decision making. In this report there is two task, first task is a preparation of financial statements. And second task is a calculation of ratios.</w:t>
      </w:r>
    </w:p>
    <w:p w14:paraId="35B561C6" w14:textId="77777777" w:rsidR="00BD6608" w:rsidRDefault="00BD6608" w:rsidP="00BD6608">
      <w:pPr>
        <w:pStyle w:val="Heading1"/>
      </w:pPr>
      <w:r>
        <w:rPr>
          <w:shd w:val="clear" w:color="auto" w:fill="FFFFFF"/>
        </w:rPr>
        <w:t>QUESTION 1</w:t>
      </w:r>
    </w:p>
    <w:p w14:paraId="0A74C266" w14:textId="77777777" w:rsidR="00BD6608" w:rsidRDefault="00BD6608" w:rsidP="00BD6608">
      <w:pPr>
        <w:pStyle w:val="Heading2"/>
        <w:rPr>
          <w:b/>
        </w:rPr>
      </w:pPr>
      <w:r>
        <w:t>a) Financial statements for Wales Plc.</w:t>
      </w:r>
    </w:p>
    <w:tbl>
      <w:tblPr>
        <w:tblW w:w="0" w:type="auto"/>
        <w:tblInd w:w="10" w:type="dxa"/>
        <w:tblLayout w:type="fixed"/>
        <w:tblCellMar>
          <w:left w:w="0" w:type="dxa"/>
          <w:right w:w="0" w:type="dxa"/>
        </w:tblCellMar>
        <w:tblLook w:val="0000" w:firstRow="0" w:lastRow="0" w:firstColumn="0" w:lastColumn="0" w:noHBand="0" w:noVBand="0"/>
      </w:tblPr>
      <w:tblGrid>
        <w:gridCol w:w="5713"/>
        <w:gridCol w:w="2124"/>
      </w:tblGrid>
      <w:tr w:rsidR="00BD6608" w14:paraId="41E7D919" w14:textId="77777777" w:rsidTr="005D3728">
        <w:trPr>
          <w:trHeight w:val="315"/>
        </w:trPr>
        <w:tc>
          <w:tcPr>
            <w:tcW w:w="7837" w:type="dxa"/>
            <w:gridSpan w:val="2"/>
            <w:tcBorders>
              <w:top w:val="single" w:sz="8" w:space="0" w:color="000000"/>
              <w:left w:val="single" w:sz="8" w:space="0" w:color="000000"/>
              <w:right w:val="single" w:sz="8" w:space="0" w:color="000000"/>
            </w:tcBorders>
            <w:shd w:val="clear" w:color="auto" w:fill="FFFFFF"/>
            <w:vAlign w:val="center"/>
          </w:tcPr>
          <w:p w14:paraId="3C5271E3" w14:textId="77777777" w:rsidR="00BD6608" w:rsidRDefault="00BD6608" w:rsidP="005D3728">
            <w:pPr>
              <w:tabs>
                <w:tab w:val="left" w:pos="1020"/>
              </w:tabs>
            </w:pPr>
            <w:r>
              <w:rPr>
                <w:b/>
                <w:bCs/>
              </w:rPr>
              <w:t xml:space="preserve">               Income statement for the year ended 31st December 2022</w:t>
            </w:r>
          </w:p>
        </w:tc>
      </w:tr>
      <w:tr w:rsidR="00BD6608" w14:paraId="4763A300" w14:textId="77777777" w:rsidTr="005D3728">
        <w:trPr>
          <w:trHeight w:val="315"/>
        </w:trPr>
        <w:tc>
          <w:tcPr>
            <w:tcW w:w="5713" w:type="dxa"/>
            <w:tcBorders>
              <w:top w:val="single" w:sz="8" w:space="0" w:color="000000"/>
              <w:left w:val="single" w:sz="8" w:space="0" w:color="000000"/>
              <w:bottom w:val="single" w:sz="8" w:space="0" w:color="000000"/>
            </w:tcBorders>
            <w:shd w:val="clear" w:color="auto" w:fill="FFFFFF"/>
            <w:vAlign w:val="center"/>
          </w:tcPr>
          <w:p w14:paraId="7680606E" w14:textId="77777777" w:rsidR="00BD6608" w:rsidRDefault="00BD6608" w:rsidP="005D3728">
            <w:pPr>
              <w:rPr>
                <w:b/>
                <w:bCs/>
              </w:rPr>
            </w:pPr>
            <w:r>
              <w:rPr>
                <w:b/>
                <w:bCs/>
              </w:rPr>
              <w:t>Particulars</w:t>
            </w:r>
          </w:p>
        </w:tc>
        <w:tc>
          <w:tcPr>
            <w:tcW w:w="212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005FB0" w14:textId="77777777" w:rsidR="00BD6608" w:rsidRDefault="00BD6608" w:rsidP="005D3728">
            <w:proofErr w:type="gramStart"/>
            <w:r>
              <w:rPr>
                <w:b/>
                <w:bCs/>
              </w:rPr>
              <w:t>Amount(</w:t>
            </w:r>
            <w:proofErr w:type="gramEnd"/>
            <w:r>
              <w:rPr>
                <w:b/>
                <w:bCs/>
              </w:rPr>
              <w:t>£)</w:t>
            </w:r>
          </w:p>
        </w:tc>
      </w:tr>
      <w:tr w:rsidR="00BD6608" w14:paraId="24149DBD"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54711C74" w14:textId="77777777" w:rsidR="00BD6608" w:rsidRDefault="00BD6608" w:rsidP="005D3728">
            <w:r>
              <w:t>Sales</w:t>
            </w:r>
          </w:p>
        </w:tc>
        <w:tc>
          <w:tcPr>
            <w:tcW w:w="2124" w:type="dxa"/>
            <w:tcBorders>
              <w:left w:val="single" w:sz="8" w:space="0" w:color="000000"/>
              <w:bottom w:val="single" w:sz="4" w:space="0" w:color="000000"/>
              <w:right w:val="single" w:sz="8" w:space="0" w:color="000000"/>
            </w:tcBorders>
            <w:shd w:val="clear" w:color="auto" w:fill="FFFFFF"/>
            <w:vAlign w:val="center"/>
          </w:tcPr>
          <w:p w14:paraId="125D65BC" w14:textId="77777777" w:rsidR="00BD6608" w:rsidRDefault="00BD6608" w:rsidP="005D3728">
            <w:r>
              <w:t>800980</w:t>
            </w:r>
          </w:p>
        </w:tc>
      </w:tr>
      <w:tr w:rsidR="00BD6608" w14:paraId="7172F28B"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45F4173A" w14:textId="77777777" w:rsidR="00BD6608" w:rsidRDefault="00BD6608" w:rsidP="005D3728">
            <w:r>
              <w:t>Less: Cost of sales</w:t>
            </w:r>
          </w:p>
        </w:tc>
        <w:tc>
          <w:tcPr>
            <w:tcW w:w="2124" w:type="dxa"/>
            <w:tcBorders>
              <w:left w:val="single" w:sz="8" w:space="0" w:color="000000"/>
              <w:bottom w:val="single" w:sz="4" w:space="0" w:color="000000"/>
              <w:right w:val="single" w:sz="8" w:space="0" w:color="000000"/>
            </w:tcBorders>
            <w:shd w:val="clear" w:color="auto" w:fill="FFFFFF"/>
            <w:vAlign w:val="center"/>
          </w:tcPr>
          <w:p w14:paraId="402BF56B" w14:textId="77777777" w:rsidR="00BD6608" w:rsidRDefault="00BD6608" w:rsidP="005D3728">
            <w:r>
              <w:t>578650</w:t>
            </w:r>
          </w:p>
        </w:tc>
      </w:tr>
      <w:tr w:rsidR="00BD6608" w14:paraId="1359E64E"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61CFB52E" w14:textId="77777777" w:rsidR="00BD6608" w:rsidRDefault="00BD6608" w:rsidP="005D3728">
            <w:pPr>
              <w:rPr>
                <w:b/>
                <w:bCs/>
              </w:rPr>
            </w:pPr>
            <w:r>
              <w:rPr>
                <w:b/>
                <w:bCs/>
              </w:rPr>
              <w:t>Gross profit</w:t>
            </w:r>
          </w:p>
        </w:tc>
        <w:tc>
          <w:tcPr>
            <w:tcW w:w="2124" w:type="dxa"/>
            <w:tcBorders>
              <w:left w:val="single" w:sz="8" w:space="0" w:color="000000"/>
              <w:bottom w:val="single" w:sz="4" w:space="0" w:color="000000"/>
              <w:right w:val="single" w:sz="8" w:space="0" w:color="000000"/>
            </w:tcBorders>
            <w:shd w:val="clear" w:color="auto" w:fill="FFFFFF"/>
            <w:vAlign w:val="center"/>
          </w:tcPr>
          <w:p w14:paraId="78669B1F" w14:textId="77777777" w:rsidR="00BD6608" w:rsidRDefault="00BD6608" w:rsidP="005D3728">
            <w:r>
              <w:rPr>
                <w:b/>
                <w:bCs/>
              </w:rPr>
              <w:t>222330</w:t>
            </w:r>
          </w:p>
        </w:tc>
      </w:tr>
      <w:tr w:rsidR="00BD6608" w14:paraId="7D369787"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7AE5037E" w14:textId="77777777" w:rsidR="00BD6608" w:rsidRDefault="00BD6608" w:rsidP="005D3728">
            <w:r>
              <w:t xml:space="preserve">Administrative expenses </w:t>
            </w:r>
          </w:p>
        </w:tc>
        <w:tc>
          <w:tcPr>
            <w:tcW w:w="2124" w:type="dxa"/>
            <w:tcBorders>
              <w:left w:val="single" w:sz="8" w:space="0" w:color="000000"/>
              <w:bottom w:val="single" w:sz="4" w:space="0" w:color="000000"/>
              <w:right w:val="single" w:sz="8" w:space="0" w:color="000000"/>
            </w:tcBorders>
            <w:shd w:val="clear" w:color="auto" w:fill="FFFFFF"/>
            <w:vAlign w:val="center"/>
          </w:tcPr>
          <w:p w14:paraId="3EC3EBB7" w14:textId="77777777" w:rsidR="00BD6608" w:rsidRDefault="00BD6608" w:rsidP="005D3728">
            <w:r>
              <w:t>30,000</w:t>
            </w:r>
          </w:p>
        </w:tc>
      </w:tr>
      <w:tr w:rsidR="00BD6608" w14:paraId="3528A0A3"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32602442" w14:textId="77777777" w:rsidR="00BD6608" w:rsidRDefault="00BD6608" w:rsidP="005D3728">
            <w:r>
              <w:t xml:space="preserve">Interest paid </w:t>
            </w:r>
          </w:p>
        </w:tc>
        <w:tc>
          <w:tcPr>
            <w:tcW w:w="2124" w:type="dxa"/>
            <w:tcBorders>
              <w:left w:val="single" w:sz="8" w:space="0" w:color="000000"/>
              <w:bottom w:val="single" w:sz="4" w:space="0" w:color="000000"/>
              <w:right w:val="single" w:sz="8" w:space="0" w:color="000000"/>
            </w:tcBorders>
            <w:shd w:val="clear" w:color="auto" w:fill="FFFFFF"/>
            <w:vAlign w:val="center"/>
          </w:tcPr>
          <w:p w14:paraId="2D5BC887" w14:textId="77777777" w:rsidR="00BD6608" w:rsidRDefault="00BD6608" w:rsidP="005D3728">
            <w:r>
              <w:t>2,000</w:t>
            </w:r>
          </w:p>
        </w:tc>
      </w:tr>
      <w:tr w:rsidR="00BD6608" w14:paraId="1E6D5F93"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72A74C87" w14:textId="77777777" w:rsidR="00BD6608" w:rsidRDefault="00BD6608" w:rsidP="005D3728">
            <w:r>
              <w:t xml:space="preserve">Directors remuneration </w:t>
            </w:r>
          </w:p>
        </w:tc>
        <w:tc>
          <w:tcPr>
            <w:tcW w:w="2124" w:type="dxa"/>
            <w:tcBorders>
              <w:left w:val="single" w:sz="8" w:space="0" w:color="000000"/>
              <w:bottom w:val="single" w:sz="4" w:space="0" w:color="000000"/>
              <w:right w:val="single" w:sz="8" w:space="0" w:color="000000"/>
            </w:tcBorders>
            <w:shd w:val="clear" w:color="auto" w:fill="FFFFFF"/>
            <w:vAlign w:val="center"/>
          </w:tcPr>
          <w:p w14:paraId="172FC38B" w14:textId="77777777" w:rsidR="00BD6608" w:rsidRDefault="00BD6608" w:rsidP="005D3728">
            <w:r>
              <w:t>5,000</w:t>
            </w:r>
          </w:p>
        </w:tc>
      </w:tr>
      <w:tr w:rsidR="00BD6608" w14:paraId="6E202015"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64F84718" w14:textId="77777777" w:rsidR="00BD6608" w:rsidRDefault="00BD6608" w:rsidP="005D3728">
            <w:r>
              <w:t xml:space="preserve">Distribution costs </w:t>
            </w:r>
          </w:p>
        </w:tc>
        <w:tc>
          <w:tcPr>
            <w:tcW w:w="2124" w:type="dxa"/>
            <w:tcBorders>
              <w:left w:val="single" w:sz="8" w:space="0" w:color="000000"/>
              <w:bottom w:val="single" w:sz="4" w:space="0" w:color="000000"/>
              <w:right w:val="single" w:sz="8" w:space="0" w:color="000000"/>
            </w:tcBorders>
            <w:shd w:val="clear" w:color="auto" w:fill="FFFFFF"/>
            <w:vAlign w:val="center"/>
          </w:tcPr>
          <w:p w14:paraId="23CC4281" w14:textId="77777777" w:rsidR="00BD6608" w:rsidRDefault="00BD6608" w:rsidP="005D3728">
            <w:r>
              <w:t>28,000</w:t>
            </w:r>
          </w:p>
        </w:tc>
      </w:tr>
      <w:tr w:rsidR="00BD6608" w14:paraId="1DB17FAC"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617BC1EF" w14:textId="77777777" w:rsidR="00BD6608" w:rsidRDefault="00BD6608" w:rsidP="005D3728">
            <w:r>
              <w:t>Outstanding Sales commission</w:t>
            </w:r>
          </w:p>
        </w:tc>
        <w:tc>
          <w:tcPr>
            <w:tcW w:w="2124" w:type="dxa"/>
            <w:tcBorders>
              <w:left w:val="single" w:sz="8" w:space="0" w:color="000000"/>
              <w:bottom w:val="single" w:sz="4" w:space="0" w:color="000000"/>
              <w:right w:val="single" w:sz="8" w:space="0" w:color="000000"/>
            </w:tcBorders>
            <w:shd w:val="clear" w:color="auto" w:fill="FFFFFF"/>
            <w:vAlign w:val="center"/>
          </w:tcPr>
          <w:p w14:paraId="63CBD4D9" w14:textId="77777777" w:rsidR="00BD6608" w:rsidRDefault="00BD6608" w:rsidP="005D3728">
            <w:r>
              <w:t>3,000</w:t>
            </w:r>
          </w:p>
        </w:tc>
      </w:tr>
      <w:tr w:rsidR="00BD6608" w14:paraId="5FDBC76E"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3D7BA01C" w14:textId="77777777" w:rsidR="00BD6608" w:rsidRDefault="00BD6608" w:rsidP="005D3728">
            <w:r>
              <w:t>Preference dividend paid</w:t>
            </w:r>
          </w:p>
        </w:tc>
        <w:tc>
          <w:tcPr>
            <w:tcW w:w="2124" w:type="dxa"/>
            <w:tcBorders>
              <w:left w:val="single" w:sz="8" w:space="0" w:color="000000"/>
              <w:bottom w:val="single" w:sz="4" w:space="0" w:color="000000"/>
              <w:right w:val="single" w:sz="8" w:space="0" w:color="000000"/>
            </w:tcBorders>
            <w:shd w:val="clear" w:color="auto" w:fill="FFFFFF"/>
            <w:vAlign w:val="center"/>
          </w:tcPr>
          <w:p w14:paraId="4ABA159B" w14:textId="77777777" w:rsidR="00BD6608" w:rsidRDefault="00BD6608" w:rsidP="005D3728">
            <w:r>
              <w:t>30,000</w:t>
            </w:r>
          </w:p>
        </w:tc>
      </w:tr>
      <w:tr w:rsidR="00BD6608" w14:paraId="160BE6D2"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0D7EA4ED" w14:textId="77777777" w:rsidR="00BD6608" w:rsidRDefault="00BD6608" w:rsidP="005D3728">
            <w:r>
              <w:t>Net profit before tax</w:t>
            </w:r>
          </w:p>
        </w:tc>
        <w:tc>
          <w:tcPr>
            <w:tcW w:w="2124" w:type="dxa"/>
            <w:tcBorders>
              <w:left w:val="single" w:sz="8" w:space="0" w:color="000000"/>
              <w:bottom w:val="single" w:sz="4" w:space="0" w:color="000000"/>
              <w:right w:val="single" w:sz="8" w:space="0" w:color="000000"/>
            </w:tcBorders>
            <w:shd w:val="clear" w:color="auto" w:fill="FFFFFF"/>
            <w:vAlign w:val="center"/>
          </w:tcPr>
          <w:p w14:paraId="4E89C308" w14:textId="77777777" w:rsidR="00BD6608" w:rsidRDefault="00BD6608" w:rsidP="005D3728">
            <w:r>
              <w:t>1,24,330</w:t>
            </w:r>
          </w:p>
        </w:tc>
      </w:tr>
      <w:tr w:rsidR="00BD6608" w14:paraId="3FFBBEA5"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61A2C2C1" w14:textId="77777777" w:rsidR="00BD6608" w:rsidRDefault="00BD6608" w:rsidP="005D3728">
            <w:proofErr w:type="gramStart"/>
            <w:r>
              <w:t>Less :</w:t>
            </w:r>
            <w:proofErr w:type="gramEnd"/>
            <w:r>
              <w:t xml:space="preserve"> corporate tax</w:t>
            </w:r>
          </w:p>
        </w:tc>
        <w:tc>
          <w:tcPr>
            <w:tcW w:w="2124" w:type="dxa"/>
            <w:tcBorders>
              <w:left w:val="single" w:sz="8" w:space="0" w:color="000000"/>
              <w:bottom w:val="single" w:sz="4" w:space="0" w:color="000000"/>
              <w:right w:val="single" w:sz="8" w:space="0" w:color="000000"/>
            </w:tcBorders>
            <w:shd w:val="clear" w:color="auto" w:fill="FFFFFF"/>
            <w:vAlign w:val="center"/>
          </w:tcPr>
          <w:p w14:paraId="3C16565B" w14:textId="77777777" w:rsidR="00BD6608" w:rsidRDefault="00BD6608" w:rsidP="005D3728">
            <w:r>
              <w:t>1,00,000</w:t>
            </w:r>
          </w:p>
        </w:tc>
      </w:tr>
      <w:tr w:rsidR="00BD6608" w14:paraId="38953C3B"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37CD94C3" w14:textId="77777777" w:rsidR="00BD6608" w:rsidRDefault="00BD6608" w:rsidP="005D3728">
            <w:pPr>
              <w:rPr>
                <w:b/>
                <w:bCs/>
              </w:rPr>
            </w:pPr>
            <w:r>
              <w:rPr>
                <w:b/>
                <w:bCs/>
              </w:rPr>
              <w:t>Net profit after tax</w:t>
            </w:r>
          </w:p>
        </w:tc>
        <w:tc>
          <w:tcPr>
            <w:tcW w:w="2124" w:type="dxa"/>
            <w:tcBorders>
              <w:left w:val="single" w:sz="8" w:space="0" w:color="000000"/>
              <w:bottom w:val="single" w:sz="4" w:space="0" w:color="000000"/>
              <w:right w:val="single" w:sz="8" w:space="0" w:color="000000"/>
            </w:tcBorders>
            <w:shd w:val="clear" w:color="auto" w:fill="FFFFFF"/>
            <w:vAlign w:val="center"/>
          </w:tcPr>
          <w:p w14:paraId="64D0C7FE" w14:textId="77777777" w:rsidR="00BD6608" w:rsidRDefault="00BD6608" w:rsidP="005D3728">
            <w:r>
              <w:rPr>
                <w:b/>
                <w:bCs/>
              </w:rPr>
              <w:t>24,330</w:t>
            </w:r>
          </w:p>
        </w:tc>
      </w:tr>
      <w:tr w:rsidR="00BD6608" w14:paraId="5ECEB06E" w14:textId="77777777" w:rsidTr="005D3728">
        <w:trPr>
          <w:trHeight w:val="300"/>
        </w:trPr>
        <w:tc>
          <w:tcPr>
            <w:tcW w:w="5713" w:type="dxa"/>
            <w:tcBorders>
              <w:left w:val="single" w:sz="8" w:space="0" w:color="000000"/>
              <w:bottom w:val="single" w:sz="4" w:space="0" w:color="000000"/>
            </w:tcBorders>
            <w:shd w:val="clear" w:color="auto" w:fill="FFFFFF"/>
            <w:vAlign w:val="center"/>
          </w:tcPr>
          <w:p w14:paraId="50347EEC" w14:textId="77777777" w:rsidR="00BD6608" w:rsidRDefault="00BD6608" w:rsidP="005D3728">
            <w:proofErr w:type="gramStart"/>
            <w:r>
              <w:t>Less :</w:t>
            </w:r>
            <w:proofErr w:type="gramEnd"/>
            <w:r>
              <w:t xml:space="preserve"> ordinary dividend paid</w:t>
            </w:r>
          </w:p>
        </w:tc>
        <w:tc>
          <w:tcPr>
            <w:tcW w:w="2124" w:type="dxa"/>
            <w:tcBorders>
              <w:left w:val="single" w:sz="8" w:space="0" w:color="000000"/>
              <w:bottom w:val="single" w:sz="4" w:space="0" w:color="000000"/>
              <w:right w:val="single" w:sz="8" w:space="0" w:color="000000"/>
            </w:tcBorders>
            <w:shd w:val="clear" w:color="auto" w:fill="FFFFFF"/>
            <w:vAlign w:val="center"/>
          </w:tcPr>
          <w:p w14:paraId="08F5F543" w14:textId="77777777" w:rsidR="00BD6608" w:rsidRDefault="00BD6608" w:rsidP="005D3728">
            <w:r>
              <w:t>20,000</w:t>
            </w:r>
          </w:p>
        </w:tc>
      </w:tr>
      <w:tr w:rsidR="00BD6608" w14:paraId="4E5116C0" w14:textId="77777777" w:rsidTr="005D3728">
        <w:trPr>
          <w:trHeight w:val="315"/>
        </w:trPr>
        <w:tc>
          <w:tcPr>
            <w:tcW w:w="5713" w:type="dxa"/>
            <w:tcBorders>
              <w:left w:val="single" w:sz="8" w:space="0" w:color="000000"/>
              <w:bottom w:val="single" w:sz="8" w:space="0" w:color="000000"/>
            </w:tcBorders>
            <w:shd w:val="clear" w:color="auto" w:fill="FFFFFF"/>
            <w:vAlign w:val="center"/>
          </w:tcPr>
          <w:p w14:paraId="3A53426E" w14:textId="77777777" w:rsidR="00BD6608" w:rsidRDefault="00BD6608" w:rsidP="005D3728">
            <w:pPr>
              <w:rPr>
                <w:b/>
                <w:bCs/>
              </w:rPr>
            </w:pPr>
            <w:r>
              <w:rPr>
                <w:b/>
                <w:bCs/>
              </w:rPr>
              <w:t xml:space="preserve">Retained profits </w:t>
            </w:r>
          </w:p>
        </w:tc>
        <w:tc>
          <w:tcPr>
            <w:tcW w:w="2124" w:type="dxa"/>
            <w:tcBorders>
              <w:left w:val="single" w:sz="8" w:space="0" w:color="000000"/>
              <w:bottom w:val="single" w:sz="8" w:space="0" w:color="000000"/>
              <w:right w:val="single" w:sz="8" w:space="0" w:color="000000"/>
            </w:tcBorders>
            <w:shd w:val="clear" w:color="auto" w:fill="FFFFFF"/>
            <w:vAlign w:val="center"/>
          </w:tcPr>
          <w:p w14:paraId="272840F7" w14:textId="77777777" w:rsidR="00BD6608" w:rsidRDefault="00BD6608" w:rsidP="005D3728">
            <w:r>
              <w:rPr>
                <w:b/>
                <w:bCs/>
              </w:rPr>
              <w:t>4,330</w:t>
            </w:r>
          </w:p>
        </w:tc>
      </w:tr>
    </w:tbl>
    <w:p w14:paraId="17E2A77B" w14:textId="77777777" w:rsidR="00BD6608" w:rsidRDefault="00BD6608" w:rsidP="00BD6608"/>
    <w:tbl>
      <w:tblPr>
        <w:tblW w:w="0" w:type="auto"/>
        <w:tblInd w:w="169" w:type="dxa"/>
        <w:tblLayout w:type="fixed"/>
        <w:tblLook w:val="0000" w:firstRow="0" w:lastRow="0" w:firstColumn="0" w:lastColumn="0" w:noHBand="0" w:noVBand="0"/>
      </w:tblPr>
      <w:tblGrid>
        <w:gridCol w:w="2979"/>
        <w:gridCol w:w="1706"/>
        <w:gridCol w:w="2836"/>
        <w:gridCol w:w="1643"/>
        <w:gridCol w:w="40"/>
      </w:tblGrid>
      <w:tr w:rsidR="00BD6608" w14:paraId="48125D00" w14:textId="77777777" w:rsidTr="005D3728">
        <w:trPr>
          <w:gridAfter w:val="1"/>
          <w:wAfter w:w="40" w:type="dxa"/>
          <w:trHeight w:val="315"/>
        </w:trPr>
        <w:tc>
          <w:tcPr>
            <w:tcW w:w="9164" w:type="dxa"/>
            <w:gridSpan w:val="4"/>
            <w:shd w:val="clear" w:color="auto" w:fill="FFFFFF"/>
            <w:vAlign w:val="center"/>
          </w:tcPr>
          <w:p w14:paraId="6D3FEA74" w14:textId="77777777" w:rsidR="00BD6608" w:rsidRDefault="00BD6608" w:rsidP="005D3728">
            <w:pPr>
              <w:jc w:val="center"/>
            </w:pPr>
            <w:r>
              <w:rPr>
                <w:rFonts w:eastAsia="Times New Roman"/>
                <w:b/>
                <w:bCs/>
              </w:rPr>
              <w:lastRenderedPageBreak/>
              <w:t xml:space="preserve">Balance sheet as on 31st December 2022 </w:t>
            </w:r>
          </w:p>
        </w:tc>
      </w:tr>
      <w:tr w:rsidR="00BD6608" w14:paraId="735EB502" w14:textId="77777777" w:rsidTr="005D3728">
        <w:trPr>
          <w:trHeight w:val="315"/>
        </w:trPr>
        <w:tc>
          <w:tcPr>
            <w:tcW w:w="2979" w:type="dxa"/>
            <w:tcBorders>
              <w:top w:val="single" w:sz="8" w:space="0" w:color="000000"/>
              <w:left w:val="single" w:sz="8" w:space="0" w:color="000000"/>
              <w:bottom w:val="single" w:sz="8" w:space="0" w:color="000000"/>
            </w:tcBorders>
            <w:shd w:val="clear" w:color="auto" w:fill="FFFFFF"/>
            <w:vAlign w:val="center"/>
          </w:tcPr>
          <w:p w14:paraId="0386A265" w14:textId="77777777" w:rsidR="00BD6608" w:rsidRDefault="00BD6608" w:rsidP="005D3728">
            <w:pPr>
              <w:jc w:val="center"/>
              <w:rPr>
                <w:rFonts w:eastAsia="Times New Roman"/>
                <w:b/>
                <w:bCs/>
              </w:rPr>
            </w:pPr>
            <w:r>
              <w:rPr>
                <w:rFonts w:eastAsia="Times New Roman"/>
                <w:b/>
                <w:bCs/>
              </w:rPr>
              <w:t>Liabilities</w:t>
            </w:r>
          </w:p>
        </w:tc>
        <w:tc>
          <w:tcPr>
            <w:tcW w:w="1706" w:type="dxa"/>
            <w:tcBorders>
              <w:top w:val="single" w:sz="8" w:space="0" w:color="000000"/>
              <w:left w:val="single" w:sz="8" w:space="0" w:color="000000"/>
              <w:bottom w:val="single" w:sz="8" w:space="0" w:color="000000"/>
            </w:tcBorders>
            <w:shd w:val="clear" w:color="auto" w:fill="FFFFFF"/>
            <w:vAlign w:val="center"/>
          </w:tcPr>
          <w:p w14:paraId="5F10A48D" w14:textId="77777777" w:rsidR="00BD6608" w:rsidRDefault="00BD6608" w:rsidP="005D3728">
            <w:pPr>
              <w:jc w:val="center"/>
              <w:rPr>
                <w:rFonts w:eastAsia="Times New Roman"/>
                <w:b/>
                <w:bCs/>
              </w:rPr>
            </w:pPr>
            <w:proofErr w:type="gramStart"/>
            <w:r>
              <w:rPr>
                <w:rFonts w:eastAsia="Times New Roman"/>
                <w:b/>
                <w:bCs/>
              </w:rPr>
              <w:t>Amount(</w:t>
            </w:r>
            <w:proofErr w:type="gramEnd"/>
            <w:r>
              <w:rPr>
                <w:rFonts w:eastAsia="Times New Roman"/>
                <w:b/>
                <w:bCs/>
              </w:rPr>
              <w:t>£)</w:t>
            </w:r>
          </w:p>
        </w:tc>
        <w:tc>
          <w:tcPr>
            <w:tcW w:w="2836" w:type="dxa"/>
            <w:tcBorders>
              <w:top w:val="single" w:sz="8" w:space="0" w:color="000000"/>
              <w:left w:val="single" w:sz="8" w:space="0" w:color="000000"/>
              <w:bottom w:val="single" w:sz="8" w:space="0" w:color="000000"/>
            </w:tcBorders>
            <w:shd w:val="clear" w:color="auto" w:fill="FFFFFF"/>
            <w:vAlign w:val="center"/>
          </w:tcPr>
          <w:p w14:paraId="1C85A757" w14:textId="77777777" w:rsidR="00BD6608" w:rsidRDefault="00BD6608" w:rsidP="005D3728">
            <w:pPr>
              <w:jc w:val="center"/>
              <w:rPr>
                <w:rFonts w:eastAsia="Times New Roman"/>
                <w:b/>
                <w:bCs/>
              </w:rPr>
            </w:pPr>
            <w:r>
              <w:rPr>
                <w:rFonts w:eastAsia="Times New Roman"/>
                <w:b/>
                <w:bCs/>
              </w:rPr>
              <w:t>Assets</w:t>
            </w:r>
          </w:p>
        </w:tc>
        <w:tc>
          <w:tcPr>
            <w:tcW w:w="1683"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E718095" w14:textId="77777777" w:rsidR="00BD6608" w:rsidRDefault="00BD6608" w:rsidP="005D3728">
            <w:pPr>
              <w:jc w:val="center"/>
            </w:pPr>
            <w:proofErr w:type="gramStart"/>
            <w:r>
              <w:rPr>
                <w:rFonts w:eastAsia="Times New Roman"/>
                <w:b/>
                <w:bCs/>
              </w:rPr>
              <w:t>Amount(</w:t>
            </w:r>
            <w:proofErr w:type="gramEnd"/>
            <w:r>
              <w:rPr>
                <w:rFonts w:eastAsia="Times New Roman"/>
                <w:b/>
                <w:bCs/>
              </w:rPr>
              <w:t>£)</w:t>
            </w:r>
          </w:p>
        </w:tc>
      </w:tr>
      <w:tr w:rsidR="00BD6608" w14:paraId="7FE7748B" w14:textId="77777777" w:rsidTr="005D3728">
        <w:trPr>
          <w:trHeight w:val="300"/>
        </w:trPr>
        <w:tc>
          <w:tcPr>
            <w:tcW w:w="2979" w:type="dxa"/>
            <w:tcBorders>
              <w:left w:val="single" w:sz="8" w:space="0" w:color="000000"/>
              <w:bottom w:val="single" w:sz="4" w:space="0" w:color="000000"/>
            </w:tcBorders>
            <w:shd w:val="clear" w:color="auto" w:fill="FFFFFF"/>
            <w:vAlign w:val="center"/>
          </w:tcPr>
          <w:p w14:paraId="1353089D" w14:textId="77777777" w:rsidR="00BD6608" w:rsidRDefault="00BD6608" w:rsidP="005D3728">
            <w:pPr>
              <w:jc w:val="center"/>
              <w:rPr>
                <w:rFonts w:eastAsia="Times New Roman"/>
              </w:rPr>
            </w:pPr>
            <w:r>
              <w:rPr>
                <w:rFonts w:eastAsia="Times New Roman"/>
              </w:rPr>
              <w:t xml:space="preserve">£1 ordinary shares </w:t>
            </w:r>
          </w:p>
        </w:tc>
        <w:tc>
          <w:tcPr>
            <w:tcW w:w="1706" w:type="dxa"/>
            <w:tcBorders>
              <w:left w:val="single" w:sz="8" w:space="0" w:color="000000"/>
              <w:bottom w:val="single" w:sz="4" w:space="0" w:color="000000"/>
            </w:tcBorders>
            <w:shd w:val="clear" w:color="auto" w:fill="FFFFFF"/>
            <w:vAlign w:val="center"/>
          </w:tcPr>
          <w:p w14:paraId="737E1E50" w14:textId="77777777" w:rsidR="00BD6608" w:rsidRDefault="00BD6608" w:rsidP="005D3728">
            <w:pPr>
              <w:jc w:val="center"/>
              <w:rPr>
                <w:rFonts w:eastAsia="Times New Roman"/>
              </w:rPr>
            </w:pPr>
            <w:r>
              <w:rPr>
                <w:rFonts w:eastAsia="Times New Roman"/>
              </w:rPr>
              <w:t>9,00,000</w:t>
            </w:r>
          </w:p>
        </w:tc>
        <w:tc>
          <w:tcPr>
            <w:tcW w:w="2836" w:type="dxa"/>
            <w:tcBorders>
              <w:left w:val="single" w:sz="8" w:space="0" w:color="000000"/>
              <w:bottom w:val="single" w:sz="4" w:space="0" w:color="000000"/>
            </w:tcBorders>
            <w:shd w:val="clear" w:color="auto" w:fill="FFFFFF"/>
            <w:vAlign w:val="center"/>
          </w:tcPr>
          <w:p w14:paraId="485DD481" w14:textId="77777777" w:rsidR="00BD6608" w:rsidRDefault="00BD6608" w:rsidP="005D3728">
            <w:pPr>
              <w:jc w:val="center"/>
              <w:rPr>
                <w:rFonts w:eastAsia="Times New Roman"/>
              </w:rPr>
            </w:pPr>
            <w:r>
              <w:rPr>
                <w:rFonts w:eastAsia="Times New Roman"/>
              </w:rPr>
              <w:t xml:space="preserve">Plant and equipment </w:t>
            </w:r>
          </w:p>
        </w:tc>
        <w:tc>
          <w:tcPr>
            <w:tcW w:w="1683" w:type="dxa"/>
            <w:gridSpan w:val="2"/>
            <w:tcBorders>
              <w:left w:val="single" w:sz="8" w:space="0" w:color="000000"/>
              <w:bottom w:val="single" w:sz="4" w:space="0" w:color="000000"/>
              <w:right w:val="single" w:sz="8" w:space="0" w:color="000000"/>
            </w:tcBorders>
            <w:shd w:val="clear" w:color="auto" w:fill="FFFFFF"/>
            <w:vAlign w:val="center"/>
          </w:tcPr>
          <w:p w14:paraId="52AE3300" w14:textId="77777777" w:rsidR="00BD6608" w:rsidRDefault="00BD6608" w:rsidP="005D3728">
            <w:pPr>
              <w:jc w:val="center"/>
            </w:pPr>
            <w:r>
              <w:rPr>
                <w:rFonts w:eastAsia="Times New Roman"/>
              </w:rPr>
              <w:t>12,50,000</w:t>
            </w:r>
          </w:p>
        </w:tc>
      </w:tr>
      <w:tr w:rsidR="00BD6608" w14:paraId="6D71F688" w14:textId="77777777" w:rsidTr="005D3728">
        <w:trPr>
          <w:trHeight w:val="300"/>
        </w:trPr>
        <w:tc>
          <w:tcPr>
            <w:tcW w:w="2979" w:type="dxa"/>
            <w:tcBorders>
              <w:left w:val="single" w:sz="8" w:space="0" w:color="000000"/>
              <w:bottom w:val="single" w:sz="4" w:space="0" w:color="000000"/>
            </w:tcBorders>
            <w:shd w:val="clear" w:color="auto" w:fill="FFFFFF"/>
            <w:vAlign w:val="center"/>
          </w:tcPr>
          <w:p w14:paraId="6D6EE7C3" w14:textId="77777777" w:rsidR="00BD6608" w:rsidRDefault="00BD6608" w:rsidP="005D3728">
            <w:pPr>
              <w:jc w:val="center"/>
              <w:rPr>
                <w:rFonts w:eastAsia="Times New Roman"/>
              </w:rPr>
            </w:pPr>
            <w:r>
              <w:rPr>
                <w:rFonts w:eastAsia="Times New Roman"/>
              </w:rPr>
              <w:t xml:space="preserve">10% £1 preference shares </w:t>
            </w:r>
          </w:p>
        </w:tc>
        <w:tc>
          <w:tcPr>
            <w:tcW w:w="1706" w:type="dxa"/>
            <w:tcBorders>
              <w:left w:val="single" w:sz="8" w:space="0" w:color="000000"/>
              <w:bottom w:val="single" w:sz="4" w:space="0" w:color="000000"/>
            </w:tcBorders>
            <w:shd w:val="clear" w:color="auto" w:fill="FFFFFF"/>
            <w:vAlign w:val="center"/>
          </w:tcPr>
          <w:p w14:paraId="52BE1A00" w14:textId="77777777" w:rsidR="00BD6608" w:rsidRDefault="00BD6608" w:rsidP="005D3728">
            <w:pPr>
              <w:jc w:val="center"/>
              <w:rPr>
                <w:rFonts w:eastAsia="Times New Roman"/>
              </w:rPr>
            </w:pPr>
            <w:r>
              <w:rPr>
                <w:rFonts w:eastAsia="Times New Roman"/>
              </w:rPr>
              <w:t>5,00,000</w:t>
            </w:r>
          </w:p>
        </w:tc>
        <w:tc>
          <w:tcPr>
            <w:tcW w:w="2836" w:type="dxa"/>
            <w:tcBorders>
              <w:left w:val="single" w:sz="8" w:space="0" w:color="000000"/>
              <w:bottom w:val="single" w:sz="4" w:space="0" w:color="000000"/>
            </w:tcBorders>
            <w:shd w:val="clear" w:color="auto" w:fill="FFFFFF"/>
            <w:vAlign w:val="center"/>
          </w:tcPr>
          <w:p w14:paraId="61F85D12" w14:textId="77777777" w:rsidR="00BD6608" w:rsidRDefault="00BD6608" w:rsidP="005D3728">
            <w:pPr>
              <w:jc w:val="center"/>
              <w:rPr>
                <w:rFonts w:eastAsia="Times New Roman"/>
              </w:rPr>
            </w:pPr>
            <w:r>
              <w:rPr>
                <w:rFonts w:eastAsia="Times New Roman"/>
              </w:rPr>
              <w:t xml:space="preserve">Trade receivable </w:t>
            </w:r>
          </w:p>
        </w:tc>
        <w:tc>
          <w:tcPr>
            <w:tcW w:w="1683" w:type="dxa"/>
            <w:gridSpan w:val="2"/>
            <w:tcBorders>
              <w:left w:val="single" w:sz="8" w:space="0" w:color="000000"/>
              <w:bottom w:val="single" w:sz="4" w:space="0" w:color="000000"/>
              <w:right w:val="single" w:sz="8" w:space="0" w:color="000000"/>
            </w:tcBorders>
            <w:shd w:val="clear" w:color="auto" w:fill="FFFFFF"/>
            <w:vAlign w:val="center"/>
          </w:tcPr>
          <w:p w14:paraId="10176B09" w14:textId="77777777" w:rsidR="00BD6608" w:rsidRDefault="00BD6608" w:rsidP="005D3728">
            <w:pPr>
              <w:jc w:val="center"/>
            </w:pPr>
            <w:r>
              <w:rPr>
                <w:rFonts w:eastAsia="Times New Roman"/>
              </w:rPr>
              <w:t>1,71,105</w:t>
            </w:r>
          </w:p>
        </w:tc>
      </w:tr>
      <w:tr w:rsidR="00BD6608" w14:paraId="53E3BBC3" w14:textId="77777777" w:rsidTr="005D3728">
        <w:trPr>
          <w:trHeight w:val="300"/>
        </w:trPr>
        <w:tc>
          <w:tcPr>
            <w:tcW w:w="2979" w:type="dxa"/>
            <w:tcBorders>
              <w:left w:val="single" w:sz="8" w:space="0" w:color="000000"/>
              <w:bottom w:val="single" w:sz="4" w:space="0" w:color="000000"/>
            </w:tcBorders>
            <w:shd w:val="clear" w:color="auto" w:fill="FFFFFF"/>
            <w:vAlign w:val="center"/>
          </w:tcPr>
          <w:p w14:paraId="480BBD6F" w14:textId="77777777" w:rsidR="00BD6608" w:rsidRDefault="00BD6608" w:rsidP="005D3728">
            <w:pPr>
              <w:jc w:val="center"/>
              <w:rPr>
                <w:rFonts w:eastAsia="Times New Roman"/>
              </w:rPr>
            </w:pPr>
            <w:r>
              <w:rPr>
                <w:rFonts w:eastAsia="Times New Roman"/>
              </w:rPr>
              <w:t>Retained profits</w:t>
            </w:r>
          </w:p>
        </w:tc>
        <w:tc>
          <w:tcPr>
            <w:tcW w:w="1706" w:type="dxa"/>
            <w:tcBorders>
              <w:left w:val="single" w:sz="8" w:space="0" w:color="000000"/>
              <w:bottom w:val="single" w:sz="4" w:space="0" w:color="000000"/>
            </w:tcBorders>
            <w:shd w:val="clear" w:color="auto" w:fill="FFFFFF"/>
            <w:vAlign w:val="center"/>
          </w:tcPr>
          <w:p w14:paraId="056F393F" w14:textId="77777777" w:rsidR="00BD6608" w:rsidRDefault="00BD6608" w:rsidP="005D3728">
            <w:pPr>
              <w:jc w:val="center"/>
              <w:rPr>
                <w:rFonts w:eastAsia="Times New Roman"/>
              </w:rPr>
            </w:pPr>
            <w:r>
              <w:rPr>
                <w:rFonts w:eastAsia="Times New Roman"/>
              </w:rPr>
              <w:t>1,36,330</w:t>
            </w:r>
          </w:p>
        </w:tc>
        <w:tc>
          <w:tcPr>
            <w:tcW w:w="2836" w:type="dxa"/>
            <w:tcBorders>
              <w:left w:val="single" w:sz="8" w:space="0" w:color="000000"/>
              <w:bottom w:val="single" w:sz="4" w:space="0" w:color="000000"/>
            </w:tcBorders>
            <w:shd w:val="clear" w:color="auto" w:fill="FFFFFF"/>
            <w:vAlign w:val="center"/>
          </w:tcPr>
          <w:p w14:paraId="16F3EB46" w14:textId="77777777" w:rsidR="00BD6608" w:rsidRDefault="00BD6608" w:rsidP="005D3728">
            <w:pPr>
              <w:jc w:val="center"/>
              <w:rPr>
                <w:rFonts w:eastAsia="Times New Roman"/>
              </w:rPr>
            </w:pPr>
            <w:r>
              <w:rPr>
                <w:rFonts w:eastAsia="Times New Roman"/>
              </w:rPr>
              <w:t xml:space="preserve">Cash and bank </w:t>
            </w:r>
          </w:p>
        </w:tc>
        <w:tc>
          <w:tcPr>
            <w:tcW w:w="1683" w:type="dxa"/>
            <w:gridSpan w:val="2"/>
            <w:tcBorders>
              <w:left w:val="single" w:sz="8" w:space="0" w:color="000000"/>
              <w:bottom w:val="single" w:sz="4" w:space="0" w:color="000000"/>
              <w:right w:val="single" w:sz="8" w:space="0" w:color="000000"/>
            </w:tcBorders>
            <w:shd w:val="clear" w:color="auto" w:fill="FFFFFF"/>
            <w:vAlign w:val="center"/>
          </w:tcPr>
          <w:p w14:paraId="2695978D" w14:textId="77777777" w:rsidR="00BD6608" w:rsidRDefault="00BD6608" w:rsidP="005D3728">
            <w:pPr>
              <w:jc w:val="center"/>
            </w:pPr>
            <w:r>
              <w:rPr>
                <w:rFonts w:eastAsia="Times New Roman"/>
              </w:rPr>
              <w:t>96,000</w:t>
            </w:r>
          </w:p>
        </w:tc>
      </w:tr>
      <w:tr w:rsidR="00BD6608" w14:paraId="232725A9" w14:textId="77777777" w:rsidTr="005D3728">
        <w:trPr>
          <w:trHeight w:val="300"/>
        </w:trPr>
        <w:tc>
          <w:tcPr>
            <w:tcW w:w="2979" w:type="dxa"/>
            <w:tcBorders>
              <w:left w:val="single" w:sz="8" w:space="0" w:color="000000"/>
              <w:bottom w:val="single" w:sz="4" w:space="0" w:color="000000"/>
            </w:tcBorders>
            <w:shd w:val="clear" w:color="auto" w:fill="FFFFFF"/>
            <w:vAlign w:val="center"/>
          </w:tcPr>
          <w:p w14:paraId="62A702E0" w14:textId="77777777" w:rsidR="00BD6608" w:rsidRDefault="00BD6608" w:rsidP="005D3728">
            <w:pPr>
              <w:jc w:val="center"/>
              <w:rPr>
                <w:rFonts w:eastAsia="Times New Roman"/>
              </w:rPr>
            </w:pPr>
            <w:r>
              <w:rPr>
                <w:rFonts w:eastAsia="Times New Roman"/>
                <w:color w:val="FF0000"/>
              </w:rPr>
              <w:t xml:space="preserve">2% Debentures </w:t>
            </w:r>
          </w:p>
        </w:tc>
        <w:tc>
          <w:tcPr>
            <w:tcW w:w="1706" w:type="dxa"/>
            <w:tcBorders>
              <w:left w:val="single" w:sz="8" w:space="0" w:color="000000"/>
              <w:bottom w:val="single" w:sz="4" w:space="0" w:color="000000"/>
            </w:tcBorders>
            <w:shd w:val="clear" w:color="auto" w:fill="FFFFFF"/>
            <w:vAlign w:val="center"/>
          </w:tcPr>
          <w:p w14:paraId="3C263FD0" w14:textId="77777777" w:rsidR="00BD6608" w:rsidRDefault="00BD6608" w:rsidP="005D3728">
            <w:pPr>
              <w:jc w:val="center"/>
              <w:rPr>
                <w:rFonts w:eastAsia="Times New Roman"/>
                <w:color w:val="FF0000"/>
              </w:rPr>
            </w:pPr>
            <w:r>
              <w:rPr>
                <w:rFonts w:eastAsia="Times New Roman"/>
              </w:rPr>
              <w:t>2,00,000</w:t>
            </w:r>
          </w:p>
        </w:tc>
        <w:tc>
          <w:tcPr>
            <w:tcW w:w="2836" w:type="dxa"/>
            <w:tcBorders>
              <w:left w:val="single" w:sz="8" w:space="0" w:color="000000"/>
              <w:bottom w:val="single" w:sz="4" w:space="0" w:color="000000"/>
            </w:tcBorders>
            <w:shd w:val="clear" w:color="auto" w:fill="FFFFFF"/>
            <w:vAlign w:val="center"/>
          </w:tcPr>
          <w:p w14:paraId="226AF2BE" w14:textId="77777777" w:rsidR="00BD6608" w:rsidRDefault="00BD6608" w:rsidP="005D3728">
            <w:pPr>
              <w:jc w:val="center"/>
              <w:rPr>
                <w:rFonts w:eastAsia="Times New Roman"/>
              </w:rPr>
            </w:pPr>
            <w:r>
              <w:rPr>
                <w:rFonts w:eastAsia="Times New Roman"/>
                <w:color w:val="FF0000"/>
              </w:rPr>
              <w:t>Stock on 31</w:t>
            </w:r>
            <w:r>
              <w:rPr>
                <w:rFonts w:eastAsia="Times New Roman"/>
                <w:color w:val="FF0000"/>
                <w:vertAlign w:val="superscript"/>
              </w:rPr>
              <w:t>st</w:t>
            </w:r>
            <w:r>
              <w:rPr>
                <w:rFonts w:eastAsia="Times New Roman"/>
                <w:color w:val="FF0000"/>
              </w:rPr>
              <w:t xml:space="preserve"> Dec 2022</w:t>
            </w:r>
          </w:p>
        </w:tc>
        <w:tc>
          <w:tcPr>
            <w:tcW w:w="1683" w:type="dxa"/>
            <w:gridSpan w:val="2"/>
            <w:tcBorders>
              <w:left w:val="single" w:sz="8" w:space="0" w:color="000000"/>
              <w:bottom w:val="single" w:sz="4" w:space="0" w:color="000000"/>
              <w:right w:val="single" w:sz="8" w:space="0" w:color="000000"/>
            </w:tcBorders>
            <w:shd w:val="clear" w:color="auto" w:fill="FFFFFF"/>
            <w:vAlign w:val="center"/>
          </w:tcPr>
          <w:p w14:paraId="7BEF373D" w14:textId="77777777" w:rsidR="00BD6608" w:rsidRDefault="00BD6608" w:rsidP="005D3728">
            <w:pPr>
              <w:jc w:val="center"/>
            </w:pPr>
            <w:r>
              <w:rPr>
                <w:rFonts w:eastAsia="Times New Roman"/>
              </w:rPr>
              <w:t>5,10,850</w:t>
            </w:r>
          </w:p>
        </w:tc>
      </w:tr>
      <w:tr w:rsidR="00BD6608" w14:paraId="5A01159C" w14:textId="77777777" w:rsidTr="005D3728">
        <w:trPr>
          <w:trHeight w:val="300"/>
        </w:trPr>
        <w:tc>
          <w:tcPr>
            <w:tcW w:w="2979" w:type="dxa"/>
            <w:tcBorders>
              <w:left w:val="single" w:sz="8" w:space="0" w:color="000000"/>
              <w:bottom w:val="single" w:sz="4" w:space="0" w:color="000000"/>
            </w:tcBorders>
            <w:shd w:val="clear" w:color="auto" w:fill="FFFFFF"/>
            <w:vAlign w:val="center"/>
          </w:tcPr>
          <w:p w14:paraId="2FDC79AB" w14:textId="77777777" w:rsidR="00BD6608" w:rsidRDefault="00BD6608" w:rsidP="005D3728">
            <w:pPr>
              <w:jc w:val="center"/>
              <w:rPr>
                <w:rFonts w:eastAsia="Times New Roman"/>
              </w:rPr>
            </w:pPr>
            <w:r>
              <w:rPr>
                <w:rFonts w:eastAsia="Times New Roman"/>
              </w:rPr>
              <w:t xml:space="preserve">Trade payable </w:t>
            </w:r>
          </w:p>
        </w:tc>
        <w:tc>
          <w:tcPr>
            <w:tcW w:w="1706" w:type="dxa"/>
            <w:tcBorders>
              <w:left w:val="single" w:sz="8" w:space="0" w:color="000000"/>
              <w:bottom w:val="single" w:sz="4" w:space="0" w:color="000000"/>
            </w:tcBorders>
            <w:shd w:val="clear" w:color="auto" w:fill="FFFFFF"/>
            <w:vAlign w:val="center"/>
          </w:tcPr>
          <w:p w14:paraId="38347495" w14:textId="77777777" w:rsidR="00BD6608" w:rsidRDefault="00BD6608" w:rsidP="005D3728">
            <w:pPr>
              <w:jc w:val="center"/>
              <w:rPr>
                <w:rFonts w:eastAsia="Times New Roman"/>
              </w:rPr>
            </w:pPr>
            <w:r>
              <w:rPr>
                <w:rFonts w:eastAsia="Times New Roman"/>
              </w:rPr>
              <w:t>1,88,625</w:t>
            </w:r>
          </w:p>
        </w:tc>
        <w:tc>
          <w:tcPr>
            <w:tcW w:w="2836" w:type="dxa"/>
            <w:tcBorders>
              <w:left w:val="single" w:sz="8" w:space="0" w:color="000000"/>
              <w:bottom w:val="single" w:sz="4" w:space="0" w:color="000000"/>
            </w:tcBorders>
            <w:shd w:val="clear" w:color="auto" w:fill="FFFFFF"/>
            <w:vAlign w:val="center"/>
          </w:tcPr>
          <w:p w14:paraId="4F693B57" w14:textId="77777777" w:rsidR="00BD6608" w:rsidRDefault="00BD6608" w:rsidP="005D3728">
            <w:pPr>
              <w:jc w:val="center"/>
              <w:rPr>
                <w:rFonts w:eastAsia="Times New Roman"/>
              </w:rPr>
            </w:pPr>
            <w:r>
              <w:rPr>
                <w:rFonts w:eastAsia="Times New Roman"/>
              </w:rPr>
              <w:t> </w:t>
            </w:r>
          </w:p>
        </w:tc>
        <w:tc>
          <w:tcPr>
            <w:tcW w:w="1683" w:type="dxa"/>
            <w:gridSpan w:val="2"/>
            <w:tcBorders>
              <w:left w:val="single" w:sz="8" w:space="0" w:color="000000"/>
              <w:bottom w:val="single" w:sz="4" w:space="0" w:color="000000"/>
              <w:right w:val="single" w:sz="8" w:space="0" w:color="000000"/>
            </w:tcBorders>
            <w:shd w:val="clear" w:color="auto" w:fill="FFFFFF"/>
            <w:vAlign w:val="center"/>
          </w:tcPr>
          <w:p w14:paraId="13164FD3" w14:textId="77777777" w:rsidR="00BD6608" w:rsidRDefault="00BD6608" w:rsidP="005D3728">
            <w:pPr>
              <w:jc w:val="center"/>
            </w:pPr>
            <w:r>
              <w:rPr>
                <w:rFonts w:eastAsia="Times New Roman"/>
              </w:rPr>
              <w:t> </w:t>
            </w:r>
          </w:p>
        </w:tc>
      </w:tr>
      <w:tr w:rsidR="00BD6608" w14:paraId="73AAB9CE" w14:textId="77777777" w:rsidTr="005D3728">
        <w:trPr>
          <w:trHeight w:val="300"/>
        </w:trPr>
        <w:tc>
          <w:tcPr>
            <w:tcW w:w="2979" w:type="dxa"/>
            <w:tcBorders>
              <w:left w:val="single" w:sz="8" w:space="0" w:color="000000"/>
              <w:bottom w:val="single" w:sz="4" w:space="0" w:color="000000"/>
            </w:tcBorders>
            <w:shd w:val="clear" w:color="auto" w:fill="FFFFFF"/>
            <w:vAlign w:val="center"/>
          </w:tcPr>
          <w:p w14:paraId="76A6F835" w14:textId="77777777" w:rsidR="00BD6608" w:rsidRDefault="00BD6608" w:rsidP="005D3728">
            <w:pPr>
              <w:jc w:val="center"/>
              <w:rPr>
                <w:rFonts w:eastAsia="Times New Roman"/>
              </w:rPr>
            </w:pPr>
            <w:r>
              <w:rPr>
                <w:rFonts w:eastAsia="Times New Roman"/>
              </w:rPr>
              <w:t>Outstanding commission</w:t>
            </w:r>
          </w:p>
        </w:tc>
        <w:tc>
          <w:tcPr>
            <w:tcW w:w="1706" w:type="dxa"/>
            <w:tcBorders>
              <w:left w:val="single" w:sz="8" w:space="0" w:color="000000"/>
              <w:bottom w:val="single" w:sz="4" w:space="0" w:color="000000"/>
            </w:tcBorders>
            <w:shd w:val="clear" w:color="auto" w:fill="FFFFFF"/>
            <w:vAlign w:val="center"/>
          </w:tcPr>
          <w:p w14:paraId="7E8CF0BA" w14:textId="77777777" w:rsidR="00BD6608" w:rsidRDefault="00BD6608" w:rsidP="005D3728">
            <w:pPr>
              <w:jc w:val="center"/>
              <w:rPr>
                <w:rFonts w:eastAsia="Times New Roman"/>
              </w:rPr>
            </w:pPr>
            <w:r>
              <w:rPr>
                <w:rFonts w:eastAsia="Times New Roman"/>
              </w:rPr>
              <w:t>3,000</w:t>
            </w:r>
          </w:p>
        </w:tc>
        <w:tc>
          <w:tcPr>
            <w:tcW w:w="2836" w:type="dxa"/>
            <w:tcBorders>
              <w:left w:val="single" w:sz="8" w:space="0" w:color="000000"/>
              <w:bottom w:val="single" w:sz="4" w:space="0" w:color="000000"/>
            </w:tcBorders>
            <w:shd w:val="clear" w:color="auto" w:fill="FFFFFF"/>
            <w:vAlign w:val="center"/>
          </w:tcPr>
          <w:p w14:paraId="7FFC09ED" w14:textId="77777777" w:rsidR="00BD6608" w:rsidRDefault="00BD6608" w:rsidP="005D3728">
            <w:pPr>
              <w:jc w:val="center"/>
              <w:rPr>
                <w:rFonts w:eastAsia="Times New Roman"/>
                <w:b/>
                <w:bCs/>
              </w:rPr>
            </w:pPr>
            <w:r>
              <w:rPr>
                <w:rFonts w:eastAsia="Times New Roman"/>
              </w:rPr>
              <w:t> </w:t>
            </w:r>
          </w:p>
        </w:tc>
        <w:tc>
          <w:tcPr>
            <w:tcW w:w="1683" w:type="dxa"/>
            <w:gridSpan w:val="2"/>
            <w:tcBorders>
              <w:left w:val="single" w:sz="8" w:space="0" w:color="000000"/>
              <w:bottom w:val="single" w:sz="4" w:space="0" w:color="000000"/>
              <w:right w:val="single" w:sz="8" w:space="0" w:color="000000"/>
            </w:tcBorders>
            <w:shd w:val="clear" w:color="auto" w:fill="FFFFFF"/>
            <w:vAlign w:val="center"/>
          </w:tcPr>
          <w:p w14:paraId="0315BAC5" w14:textId="77777777" w:rsidR="00BD6608" w:rsidRDefault="00BD6608" w:rsidP="005D3728">
            <w:pPr>
              <w:jc w:val="center"/>
            </w:pPr>
            <w:r>
              <w:rPr>
                <w:rFonts w:eastAsia="Times New Roman"/>
                <w:b/>
                <w:bCs/>
              </w:rPr>
              <w:t> </w:t>
            </w:r>
          </w:p>
        </w:tc>
      </w:tr>
      <w:tr w:rsidR="00BD6608" w14:paraId="0646CE34" w14:textId="77777777" w:rsidTr="005D3728">
        <w:trPr>
          <w:trHeight w:val="300"/>
        </w:trPr>
        <w:tc>
          <w:tcPr>
            <w:tcW w:w="2979" w:type="dxa"/>
            <w:tcBorders>
              <w:left w:val="single" w:sz="8" w:space="0" w:color="000000"/>
              <w:bottom w:val="single" w:sz="4" w:space="0" w:color="000000"/>
            </w:tcBorders>
            <w:shd w:val="clear" w:color="auto" w:fill="FFFFFF"/>
            <w:vAlign w:val="center"/>
          </w:tcPr>
          <w:p w14:paraId="77A7146A" w14:textId="77777777" w:rsidR="00BD6608" w:rsidRDefault="00BD6608" w:rsidP="005D3728">
            <w:pPr>
              <w:jc w:val="center"/>
              <w:rPr>
                <w:rFonts w:eastAsia="Times New Roman"/>
              </w:rPr>
            </w:pPr>
            <w:r>
              <w:rPr>
                <w:rFonts w:eastAsia="Times New Roman"/>
              </w:rPr>
              <w:t>Tax payable</w:t>
            </w:r>
          </w:p>
        </w:tc>
        <w:tc>
          <w:tcPr>
            <w:tcW w:w="1706" w:type="dxa"/>
            <w:tcBorders>
              <w:left w:val="single" w:sz="8" w:space="0" w:color="000000"/>
              <w:bottom w:val="single" w:sz="4" w:space="0" w:color="000000"/>
            </w:tcBorders>
            <w:shd w:val="clear" w:color="auto" w:fill="FFFFFF"/>
            <w:vAlign w:val="center"/>
          </w:tcPr>
          <w:p w14:paraId="5FC70BBC" w14:textId="77777777" w:rsidR="00BD6608" w:rsidRDefault="00BD6608" w:rsidP="005D3728">
            <w:pPr>
              <w:jc w:val="center"/>
              <w:rPr>
                <w:rFonts w:eastAsia="Times New Roman"/>
              </w:rPr>
            </w:pPr>
            <w:r>
              <w:rPr>
                <w:rFonts w:eastAsia="Times New Roman"/>
              </w:rPr>
              <w:t>100000</w:t>
            </w:r>
          </w:p>
        </w:tc>
        <w:tc>
          <w:tcPr>
            <w:tcW w:w="2836" w:type="dxa"/>
            <w:tcBorders>
              <w:left w:val="single" w:sz="8" w:space="0" w:color="000000"/>
              <w:bottom w:val="single" w:sz="4" w:space="0" w:color="000000"/>
            </w:tcBorders>
            <w:shd w:val="clear" w:color="auto" w:fill="FFFFFF"/>
            <w:vAlign w:val="center"/>
          </w:tcPr>
          <w:p w14:paraId="721A146B" w14:textId="77777777" w:rsidR="00BD6608" w:rsidRDefault="00BD6608" w:rsidP="005D3728">
            <w:pPr>
              <w:jc w:val="center"/>
              <w:rPr>
                <w:rFonts w:eastAsia="Times New Roman"/>
              </w:rPr>
            </w:pPr>
            <w:r>
              <w:rPr>
                <w:rFonts w:eastAsia="Times New Roman"/>
              </w:rPr>
              <w:t> </w:t>
            </w:r>
          </w:p>
        </w:tc>
        <w:tc>
          <w:tcPr>
            <w:tcW w:w="1683" w:type="dxa"/>
            <w:gridSpan w:val="2"/>
            <w:tcBorders>
              <w:left w:val="single" w:sz="8" w:space="0" w:color="000000"/>
              <w:bottom w:val="single" w:sz="4" w:space="0" w:color="000000"/>
              <w:right w:val="single" w:sz="8" w:space="0" w:color="000000"/>
            </w:tcBorders>
            <w:shd w:val="clear" w:color="auto" w:fill="FFFFFF"/>
            <w:vAlign w:val="center"/>
          </w:tcPr>
          <w:p w14:paraId="6D8E4700" w14:textId="77777777" w:rsidR="00BD6608" w:rsidRDefault="00BD6608" w:rsidP="005D3728">
            <w:pPr>
              <w:jc w:val="center"/>
            </w:pPr>
            <w:r>
              <w:rPr>
                <w:rFonts w:eastAsia="Times New Roman"/>
              </w:rPr>
              <w:t> </w:t>
            </w:r>
          </w:p>
        </w:tc>
      </w:tr>
      <w:tr w:rsidR="00BD6608" w14:paraId="52138FC5" w14:textId="77777777" w:rsidTr="005D3728">
        <w:trPr>
          <w:trHeight w:val="315"/>
        </w:trPr>
        <w:tc>
          <w:tcPr>
            <w:tcW w:w="2979" w:type="dxa"/>
            <w:tcBorders>
              <w:left w:val="single" w:sz="8" w:space="0" w:color="000000"/>
              <w:bottom w:val="single" w:sz="8" w:space="0" w:color="000000"/>
            </w:tcBorders>
            <w:shd w:val="clear" w:color="auto" w:fill="FFFFFF"/>
            <w:vAlign w:val="center"/>
          </w:tcPr>
          <w:p w14:paraId="65615676" w14:textId="77777777" w:rsidR="00BD6608" w:rsidRDefault="00BD6608" w:rsidP="005D3728">
            <w:pPr>
              <w:jc w:val="center"/>
              <w:rPr>
                <w:rFonts w:eastAsia="Times New Roman"/>
                <w:b/>
              </w:rPr>
            </w:pPr>
            <w:r>
              <w:rPr>
                <w:rFonts w:eastAsia="Times New Roman"/>
              </w:rPr>
              <w:t> </w:t>
            </w:r>
          </w:p>
        </w:tc>
        <w:tc>
          <w:tcPr>
            <w:tcW w:w="1706" w:type="dxa"/>
            <w:tcBorders>
              <w:left w:val="single" w:sz="8" w:space="0" w:color="000000"/>
              <w:bottom w:val="single" w:sz="8" w:space="0" w:color="000000"/>
            </w:tcBorders>
            <w:shd w:val="clear" w:color="auto" w:fill="FFFFFF"/>
            <w:vAlign w:val="center"/>
          </w:tcPr>
          <w:p w14:paraId="623EE833" w14:textId="77777777" w:rsidR="00BD6608" w:rsidRDefault="00BD6608" w:rsidP="005D3728">
            <w:pPr>
              <w:jc w:val="center"/>
              <w:rPr>
                <w:rFonts w:eastAsia="Times New Roman"/>
              </w:rPr>
            </w:pPr>
            <w:r>
              <w:rPr>
                <w:rFonts w:eastAsia="Times New Roman"/>
                <w:b/>
              </w:rPr>
              <w:t>20,27,955</w:t>
            </w:r>
          </w:p>
        </w:tc>
        <w:tc>
          <w:tcPr>
            <w:tcW w:w="2836" w:type="dxa"/>
            <w:tcBorders>
              <w:left w:val="single" w:sz="8" w:space="0" w:color="000000"/>
              <w:bottom w:val="single" w:sz="8" w:space="0" w:color="000000"/>
            </w:tcBorders>
            <w:shd w:val="clear" w:color="auto" w:fill="FFFFFF"/>
            <w:vAlign w:val="center"/>
          </w:tcPr>
          <w:p w14:paraId="225EC59F" w14:textId="77777777" w:rsidR="00BD6608" w:rsidRDefault="00BD6608" w:rsidP="005D3728">
            <w:pPr>
              <w:jc w:val="center"/>
              <w:rPr>
                <w:rFonts w:eastAsia="Times New Roman"/>
                <w:b/>
              </w:rPr>
            </w:pPr>
            <w:r>
              <w:rPr>
                <w:rFonts w:eastAsia="Times New Roman"/>
              </w:rPr>
              <w:t> </w:t>
            </w:r>
          </w:p>
        </w:tc>
        <w:tc>
          <w:tcPr>
            <w:tcW w:w="1683" w:type="dxa"/>
            <w:gridSpan w:val="2"/>
            <w:tcBorders>
              <w:left w:val="single" w:sz="8" w:space="0" w:color="000000"/>
              <w:bottom w:val="single" w:sz="8" w:space="0" w:color="000000"/>
              <w:right w:val="single" w:sz="8" w:space="0" w:color="000000"/>
            </w:tcBorders>
            <w:shd w:val="clear" w:color="auto" w:fill="FFFFFF"/>
            <w:vAlign w:val="center"/>
          </w:tcPr>
          <w:p w14:paraId="28D0171E" w14:textId="77777777" w:rsidR="00BD6608" w:rsidRDefault="00BD6608" w:rsidP="005D3728">
            <w:pPr>
              <w:jc w:val="center"/>
            </w:pPr>
            <w:r>
              <w:rPr>
                <w:rFonts w:eastAsia="Times New Roman"/>
                <w:b/>
              </w:rPr>
              <w:t>20,27,955</w:t>
            </w:r>
          </w:p>
        </w:tc>
      </w:tr>
    </w:tbl>
    <w:p w14:paraId="537F6968" w14:textId="77777777" w:rsidR="00BD6608" w:rsidRDefault="00BD6608" w:rsidP="00BD6608">
      <w:pPr>
        <w:rPr>
          <w:shd w:val="clear" w:color="auto" w:fill="FFFFFF"/>
        </w:rPr>
      </w:pPr>
    </w:p>
    <w:p w14:paraId="59FBA9C0" w14:textId="77777777" w:rsidR="00BD6608" w:rsidRDefault="00BD6608" w:rsidP="00BD6608">
      <w:pPr>
        <w:pStyle w:val="Heading2"/>
        <w:rPr>
          <w:szCs w:val="24"/>
        </w:rPr>
      </w:pPr>
      <w:r>
        <w:t>b) Balancing of financial position</w:t>
      </w:r>
    </w:p>
    <w:p w14:paraId="26AC04F7" w14:textId="77777777" w:rsidR="00BD6608" w:rsidRDefault="00BD6608" w:rsidP="00BD6608">
      <w:pPr>
        <w:rPr>
          <w:b/>
          <w:u w:val="single"/>
        </w:rPr>
      </w:pPr>
      <w:r>
        <w:rPr>
          <w:szCs w:val="24"/>
        </w:rPr>
        <w:t xml:space="preserve">Financial position is evaluated by the balance sheet. Balance sheet always have equal balance in both of the side assets and liability side. The major reason for the equal balance in balance sheet assets and liabilities is accounting principle of double entry </w:t>
      </w:r>
      <w:r>
        <w:rPr>
          <w:color w:val="222222"/>
          <w:szCs w:val="24"/>
          <w:shd w:val="clear" w:color="auto" w:fill="FFFFFF"/>
        </w:rPr>
        <w:t>(</w:t>
      </w:r>
      <w:proofErr w:type="spellStart"/>
      <w:r>
        <w:rPr>
          <w:color w:val="222222"/>
          <w:szCs w:val="24"/>
          <w:shd w:val="clear" w:color="auto" w:fill="FFFFFF"/>
        </w:rPr>
        <w:t>Hutahayan</w:t>
      </w:r>
      <w:proofErr w:type="spellEnd"/>
      <w:r>
        <w:rPr>
          <w:color w:val="222222"/>
          <w:szCs w:val="24"/>
          <w:shd w:val="clear" w:color="auto" w:fill="FFFFFF"/>
        </w:rPr>
        <w:t>, 2020)</w:t>
      </w:r>
      <w:r>
        <w:rPr>
          <w:szCs w:val="24"/>
        </w:rPr>
        <w:t xml:space="preserve">. The system of accounting is records and report all of the financial transactions in two different </w:t>
      </w:r>
      <w:proofErr w:type="gramStart"/>
      <w:r>
        <w:rPr>
          <w:szCs w:val="24"/>
        </w:rPr>
        <w:t>place</w:t>
      </w:r>
      <w:proofErr w:type="gramEnd"/>
      <w:r>
        <w:rPr>
          <w:szCs w:val="24"/>
        </w:rPr>
        <w:t xml:space="preserve"> of accounts.</w:t>
      </w:r>
    </w:p>
    <w:p w14:paraId="304745E2" w14:textId="77777777" w:rsidR="00BD6608" w:rsidRDefault="00BD6608" w:rsidP="00BD6608">
      <w:r>
        <w:rPr>
          <w:b/>
          <w:u w:val="single"/>
        </w:rPr>
        <w:t>Main users of financial statements</w:t>
      </w:r>
    </w:p>
    <w:p w14:paraId="3950B3E3" w14:textId="77777777" w:rsidR="00BD6608" w:rsidRDefault="00BD6608" w:rsidP="00BD6608">
      <w:pPr>
        <w:rPr>
          <w:b/>
          <w:bCs/>
        </w:rPr>
      </w:pPr>
      <w:r>
        <w:t>Financial statements are crucial equipment for providing information about organization financial performance, position, and cash flows. Several key users depend upon these statements to make informed decisions. The major users of financial statements and their Requirement contains:</w:t>
      </w:r>
    </w:p>
    <w:p w14:paraId="6811DB90" w14:textId="77777777" w:rsidR="00BD6608" w:rsidRDefault="00BD6608" w:rsidP="00BD6608">
      <w:r>
        <w:rPr>
          <w:b/>
          <w:bCs/>
        </w:rPr>
        <w:t>Investors and Shareholders:</w:t>
      </w:r>
    </w:p>
    <w:p w14:paraId="102103D3" w14:textId="77777777" w:rsidR="00BD6608" w:rsidRDefault="00BD6608" w:rsidP="00BD6608">
      <w:pPr>
        <w:rPr>
          <w:b/>
          <w:bCs/>
        </w:rPr>
      </w:pPr>
      <w:r>
        <w:t>Investors and shareholders are interested about the financial statements to evaluate the business profitability, financial position, and growth capability. They use this information to investment decision making, assess dividend pay-outs, and find out the value in their shares.</w:t>
      </w:r>
    </w:p>
    <w:p w14:paraId="5D9C6754" w14:textId="77777777" w:rsidR="00BD6608" w:rsidRDefault="00BD6608" w:rsidP="00BD6608">
      <w:r>
        <w:rPr>
          <w:b/>
          <w:bCs/>
        </w:rPr>
        <w:t>Creditors and Lenders:</w:t>
      </w:r>
    </w:p>
    <w:p w14:paraId="5434EBC3" w14:textId="77777777" w:rsidR="00BD6608" w:rsidRDefault="00BD6608" w:rsidP="00BD6608">
      <w:pPr>
        <w:rPr>
          <w:b/>
          <w:bCs/>
        </w:rPr>
      </w:pPr>
      <w:r>
        <w:t>Creditors and lenders, along with banks or bondholders, analyse financial statements to assess the organization's potential to repay its debts and interest. They focus at the business liquidity, debt levels, and cash flows to assess credibility and determine the terms and conditions for extending credit or loans.</w:t>
      </w:r>
    </w:p>
    <w:p w14:paraId="0D458769" w14:textId="77777777" w:rsidR="00BD6608" w:rsidRDefault="00BD6608" w:rsidP="00BD6608">
      <w:r>
        <w:rPr>
          <w:b/>
          <w:bCs/>
        </w:rPr>
        <w:t>Management:</w:t>
      </w:r>
    </w:p>
    <w:p w14:paraId="3F688C61" w14:textId="77777777" w:rsidR="00BD6608" w:rsidRDefault="00BD6608" w:rsidP="00BD6608">
      <w:pPr>
        <w:rPr>
          <w:b/>
          <w:bCs/>
        </w:rPr>
      </w:pPr>
      <w:r>
        <w:lastRenderedPageBreak/>
        <w:t xml:space="preserve">The management team of an organization uses financial statements to track the organisation's overall performance, trends identification and make strategic decisions </w:t>
      </w:r>
      <w:r>
        <w:rPr>
          <w:color w:val="222222"/>
          <w:szCs w:val="24"/>
          <w:shd w:val="clear" w:color="auto" w:fill="FFFFFF"/>
        </w:rPr>
        <w:t>(Gayathri and et.al, 2022)</w:t>
      </w:r>
      <w:r>
        <w:t>. They Depends upon Financial information to evaluate profitability, cost control, resources allocation and set financial goals. Financial statements help management to evaluate the effectiveness strategies and make required adjustments.</w:t>
      </w:r>
    </w:p>
    <w:p w14:paraId="28DE38C9" w14:textId="77777777" w:rsidR="00BD6608" w:rsidRDefault="00BD6608" w:rsidP="00BD6608">
      <w:pPr>
        <w:rPr>
          <w:szCs w:val="24"/>
        </w:rPr>
      </w:pPr>
      <w:r>
        <w:rPr>
          <w:b/>
          <w:bCs/>
        </w:rPr>
        <w:t>Employees:</w:t>
      </w:r>
    </w:p>
    <w:p w14:paraId="70353ECC" w14:textId="77777777" w:rsidR="00BD6608" w:rsidRDefault="00BD6608" w:rsidP="00BD6608">
      <w:pPr>
        <w:rPr>
          <w:b/>
          <w:u w:val="single"/>
        </w:rPr>
      </w:pPr>
      <w:r>
        <w:rPr>
          <w:szCs w:val="24"/>
        </w:rPr>
        <w:t>Employees have an interest in financial statements as they provide insights into the organization's financial balance and profitability. Employees might examine the business's ability to provide stable employment, pay salaries and advantages, and contribute to retirement plans. Financial statements can also be used during in labour negotiations or discussions regarding profit-sharing plans.</w:t>
      </w:r>
    </w:p>
    <w:p w14:paraId="45B718C3" w14:textId="77777777" w:rsidR="00BD6608" w:rsidRDefault="00BD6608" w:rsidP="00BD6608">
      <w:r>
        <w:rPr>
          <w:b/>
          <w:u w:val="single"/>
        </w:rPr>
        <w:t>Basic principles</w:t>
      </w:r>
      <w:r>
        <w:rPr>
          <w:b/>
        </w:rPr>
        <w:t xml:space="preserve"> </w:t>
      </w:r>
    </w:p>
    <w:p w14:paraId="1C3DC609" w14:textId="77777777" w:rsidR="00BD6608" w:rsidRDefault="00BD6608" w:rsidP="00BD6608">
      <w:pPr>
        <w:rPr>
          <w:b/>
          <w:bCs/>
        </w:rPr>
      </w:pPr>
      <w:r>
        <w:t xml:space="preserve">Financial statements are important reports that provide a summary of a business financial overall performance and position over a particular period </w:t>
      </w:r>
      <w:r>
        <w:rPr>
          <w:color w:val="222222"/>
          <w:szCs w:val="24"/>
          <w:shd w:val="clear" w:color="auto" w:fill="FFFFFF"/>
        </w:rPr>
        <w:t>(Conley and et.al, 2019)</w:t>
      </w:r>
      <w:r>
        <w:t>. The basic principles underlying financial statements include:</w:t>
      </w:r>
    </w:p>
    <w:p w14:paraId="08E30EE8" w14:textId="77777777" w:rsidR="00BD6608" w:rsidRDefault="00BD6608" w:rsidP="00BD6608">
      <w:pPr>
        <w:rPr>
          <w:b/>
          <w:bCs/>
        </w:rPr>
      </w:pPr>
      <w:r>
        <w:rPr>
          <w:b/>
          <w:bCs/>
        </w:rPr>
        <w:t xml:space="preserve">Accrual Basis: </w:t>
      </w:r>
      <w:r>
        <w:t>Financial statements are prepared the using of the accrual basis of accounting, which recognizes sales when it is earned and expenses when incurred no matter when the cash is received or paid.</w:t>
      </w:r>
    </w:p>
    <w:p w14:paraId="09BF8046" w14:textId="77777777" w:rsidR="00BD6608" w:rsidRDefault="00BD6608" w:rsidP="00BD6608">
      <w:pPr>
        <w:rPr>
          <w:b/>
          <w:bCs/>
        </w:rPr>
      </w:pPr>
      <w:r>
        <w:rPr>
          <w:b/>
          <w:bCs/>
        </w:rPr>
        <w:t>Going Concern:</w:t>
      </w:r>
      <w:r>
        <w:t xml:space="preserve"> Financial statements assume that the organization will continue its operations in the foreseeable future. This principle uses in preparation of financial statements under the assumption that the organisation will not liquidate or stop its operations.</w:t>
      </w:r>
    </w:p>
    <w:p w14:paraId="12A8B46E" w14:textId="77777777" w:rsidR="00BD6608" w:rsidRDefault="00BD6608" w:rsidP="00BD6608">
      <w:pPr>
        <w:rPr>
          <w:b/>
          <w:bCs/>
        </w:rPr>
      </w:pPr>
      <w:r>
        <w:rPr>
          <w:b/>
          <w:bCs/>
        </w:rPr>
        <w:t xml:space="preserve">Consistency: </w:t>
      </w:r>
      <w:r>
        <w:t>Financial statements prepared by using of consistency accounting techniques and practices from one duration to other. Consistency enable significant comparisons of financial records between various durations.</w:t>
      </w:r>
    </w:p>
    <w:p w14:paraId="6D1E9FDF" w14:textId="77777777" w:rsidR="00BD6608" w:rsidRDefault="00BD6608" w:rsidP="00BD6608">
      <w:pPr>
        <w:rPr>
          <w:b/>
          <w:bCs/>
        </w:rPr>
      </w:pPr>
      <w:r>
        <w:rPr>
          <w:b/>
          <w:bCs/>
        </w:rPr>
        <w:t xml:space="preserve">Materiality: </w:t>
      </w:r>
      <w:r>
        <w:t>Financial statements need to document material information that could influence the decisions of users. Materiality depend upon on the nature and importance of an item and requires the disclosure of important information while ignoring immaterial information.</w:t>
      </w:r>
    </w:p>
    <w:p w14:paraId="4AE82BE4" w14:textId="77777777" w:rsidR="00BD6608" w:rsidRDefault="00BD6608" w:rsidP="00BD6608">
      <w:pPr>
        <w:rPr>
          <w:b/>
          <w:bCs/>
        </w:rPr>
      </w:pPr>
      <w:r>
        <w:rPr>
          <w:b/>
          <w:bCs/>
        </w:rPr>
        <w:t>Historical Cost:</w:t>
      </w:r>
      <w:r>
        <w:t xml:space="preserve"> Financial statements usually report assets at historic cost, which represents the amount paid to accrue them. This principle provides objectivity and verifiability to the financial data.</w:t>
      </w:r>
    </w:p>
    <w:p w14:paraId="47E8A9A9" w14:textId="77777777" w:rsidR="00BD6608" w:rsidRDefault="00BD6608" w:rsidP="00BD6608">
      <w:pPr>
        <w:rPr>
          <w:b/>
          <w:bCs/>
        </w:rPr>
      </w:pPr>
      <w:r>
        <w:rPr>
          <w:b/>
          <w:bCs/>
        </w:rPr>
        <w:lastRenderedPageBreak/>
        <w:t>Entity Concept:</w:t>
      </w:r>
      <w:r>
        <w:t xml:space="preserve"> Financial statements are prepared for individual business entities, separate from the personal finances of their proprietors </w:t>
      </w:r>
      <w:r>
        <w:rPr>
          <w:color w:val="222222"/>
          <w:szCs w:val="24"/>
          <w:shd w:val="clear" w:color="auto" w:fill="FFFFFF"/>
        </w:rPr>
        <w:t>(</w:t>
      </w:r>
      <w:proofErr w:type="spellStart"/>
      <w:r>
        <w:rPr>
          <w:color w:val="222222"/>
          <w:szCs w:val="24"/>
          <w:shd w:val="clear" w:color="auto" w:fill="FFFFFF"/>
        </w:rPr>
        <w:t>Shodiyev</w:t>
      </w:r>
      <w:proofErr w:type="spellEnd"/>
      <w:r>
        <w:rPr>
          <w:color w:val="222222"/>
          <w:szCs w:val="24"/>
          <w:shd w:val="clear" w:color="auto" w:fill="FFFFFF"/>
        </w:rPr>
        <w:t>, 2020)</w:t>
      </w:r>
      <w:r>
        <w:t>. The entity concept ensures the separation of personal and business enterprise transactions.</w:t>
      </w:r>
    </w:p>
    <w:p w14:paraId="43C19E72" w14:textId="77777777" w:rsidR="00BD6608" w:rsidRDefault="00BD6608" w:rsidP="00BD6608">
      <w:pPr>
        <w:rPr>
          <w:b/>
          <w:bCs/>
          <w:szCs w:val="24"/>
        </w:rPr>
      </w:pPr>
      <w:r>
        <w:rPr>
          <w:b/>
          <w:bCs/>
        </w:rPr>
        <w:t xml:space="preserve">Monetary Unit: </w:t>
      </w:r>
      <w:r>
        <w:t>Financial statements are expressed in a common monetary unit like the local currency. This principle enables the comparison and combination of financial facts.</w:t>
      </w:r>
    </w:p>
    <w:p w14:paraId="75E86463" w14:textId="77777777" w:rsidR="00BD6608" w:rsidRDefault="00BD6608" w:rsidP="00BD6608">
      <w:pPr>
        <w:rPr>
          <w:b/>
          <w:u w:val="single"/>
        </w:rPr>
      </w:pPr>
      <w:r>
        <w:rPr>
          <w:b/>
          <w:bCs/>
          <w:szCs w:val="24"/>
        </w:rPr>
        <w:t>Full Disclosure:</w:t>
      </w:r>
      <w:r>
        <w:rPr>
          <w:szCs w:val="24"/>
        </w:rPr>
        <w:t xml:space="preserve"> Financial statements disclose all important information to users, consisting of important accounting rules, potential risks, contingencies, and other relevant information. This principle guarantees transparency and helps customers make informed decisions.</w:t>
      </w:r>
    </w:p>
    <w:p w14:paraId="6F601629" w14:textId="77777777" w:rsidR="00BD6608" w:rsidRDefault="00BD6608" w:rsidP="00BD6608">
      <w:r>
        <w:rPr>
          <w:b/>
          <w:u w:val="single"/>
        </w:rPr>
        <w:t>The measurement problems</w:t>
      </w:r>
      <w:r>
        <w:rPr>
          <w:b/>
        </w:rPr>
        <w:t xml:space="preserve"> </w:t>
      </w:r>
    </w:p>
    <w:p w14:paraId="543F07D2" w14:textId="77777777" w:rsidR="00BD6608" w:rsidRDefault="00BD6608" w:rsidP="00BD6608">
      <w:pPr>
        <w:rPr>
          <w:b/>
          <w:bCs/>
        </w:rPr>
      </w:pPr>
      <w:r>
        <w:t xml:space="preserve">Financial accounting contains measuring and quantifying financial events and transactions to report them in financial statements </w:t>
      </w:r>
      <w:r>
        <w:rPr>
          <w:color w:val="222222"/>
          <w:szCs w:val="24"/>
          <w:shd w:val="clear" w:color="auto" w:fill="FFFFFF"/>
        </w:rPr>
        <w:t>(Moses and Hopper, 2022)</w:t>
      </w:r>
      <w:r>
        <w:t>. However, several measurement issues can rise up in the process. Some common measurement problems in financial accounting contains:</w:t>
      </w:r>
    </w:p>
    <w:p w14:paraId="111BF6E8" w14:textId="77777777" w:rsidR="00BD6608" w:rsidRDefault="00BD6608" w:rsidP="00BD6608">
      <w:pPr>
        <w:rPr>
          <w:b/>
          <w:bCs/>
        </w:rPr>
      </w:pPr>
      <w:r>
        <w:rPr>
          <w:b/>
          <w:bCs/>
        </w:rPr>
        <w:t>Valuation of Assets and Liabilities:</w:t>
      </w:r>
      <w:r>
        <w:t xml:space="preserve"> Determining the value of assets and liabilities may be hard. Assets may be recorded at historical value, fair value or other valuation techniques. Similarly, liabilities can also require estimation of future cash flows and discounting to determine their present value.</w:t>
      </w:r>
    </w:p>
    <w:p w14:paraId="78DBE02B" w14:textId="77777777" w:rsidR="00BD6608" w:rsidRDefault="00BD6608" w:rsidP="00BD6608">
      <w:pPr>
        <w:rPr>
          <w:b/>
          <w:bCs/>
        </w:rPr>
      </w:pPr>
      <w:r>
        <w:rPr>
          <w:b/>
          <w:bCs/>
        </w:rPr>
        <w:t>Depreciation and Amortization</w:t>
      </w:r>
      <w:r>
        <w:t xml:space="preserve">: Allotment of the </w:t>
      </w:r>
      <w:proofErr w:type="gramStart"/>
      <w:r>
        <w:t>long term</w:t>
      </w:r>
      <w:proofErr w:type="gramEnd"/>
      <w:r>
        <w:t xml:space="preserve"> assets costs, such as buildings and equipment, over their lifespan needs effective depreciation or amortization methods and periods. Therefore, the impact upon the financial statements and are subjective in nature. </w:t>
      </w:r>
    </w:p>
    <w:p w14:paraId="2633D32D" w14:textId="77777777" w:rsidR="00BD6608" w:rsidRDefault="00BD6608" w:rsidP="00BD6608">
      <w:pPr>
        <w:rPr>
          <w:b/>
          <w:bCs/>
        </w:rPr>
      </w:pPr>
      <w:r>
        <w:rPr>
          <w:b/>
          <w:bCs/>
        </w:rPr>
        <w:t xml:space="preserve">Estimating Bad Debts: </w:t>
      </w:r>
      <w:r>
        <w:t xml:space="preserve"> There is need of the estimation of the bad debts by the company.   There is the involvement of the judgement in the identification of the doubtful accounts and also includes measurement in the form of historical collection period, conditions of economy and credit eligibility of the customers. </w:t>
      </w:r>
    </w:p>
    <w:p w14:paraId="2D391B13" w14:textId="77777777" w:rsidR="00BD6608" w:rsidRDefault="00BD6608" w:rsidP="00BD6608">
      <w:pPr>
        <w:rPr>
          <w:b/>
          <w:bCs/>
        </w:rPr>
      </w:pPr>
      <w:r>
        <w:rPr>
          <w:b/>
          <w:bCs/>
        </w:rPr>
        <w:t>Inventory Valuation:</w:t>
      </w:r>
      <w:r>
        <w:t xml:space="preserve"> the calculation of the inventory value required the effective method, such as FIFO or LIFO method.  The different result is obtained from each method which influence the probability of the company or its obligations. </w:t>
      </w:r>
    </w:p>
    <w:p w14:paraId="02D06473" w14:textId="77777777" w:rsidR="00BD6608" w:rsidRDefault="00BD6608" w:rsidP="00BD6608">
      <w:pPr>
        <w:rPr>
          <w:b/>
          <w:u w:val="single"/>
        </w:rPr>
      </w:pPr>
      <w:r>
        <w:rPr>
          <w:b/>
          <w:bCs/>
        </w:rPr>
        <w:t xml:space="preserve">Contingent Liabilities: </w:t>
      </w:r>
      <w:r>
        <w:t xml:space="preserve">the measurement of the contingent liabilities, includes potential legal claims or warranties, which needs the evaluation of the likelihood and valuable amount of cash flow for the future </w:t>
      </w:r>
      <w:r>
        <w:rPr>
          <w:color w:val="222222"/>
          <w:szCs w:val="24"/>
          <w:shd w:val="clear" w:color="auto" w:fill="FFFFFF"/>
        </w:rPr>
        <w:t>(</w:t>
      </w:r>
      <w:proofErr w:type="spellStart"/>
      <w:r>
        <w:rPr>
          <w:color w:val="222222"/>
          <w:szCs w:val="24"/>
          <w:shd w:val="clear" w:color="auto" w:fill="FFFFFF"/>
        </w:rPr>
        <w:t>Özcan</w:t>
      </w:r>
      <w:proofErr w:type="spellEnd"/>
      <w:r>
        <w:rPr>
          <w:color w:val="222222"/>
          <w:szCs w:val="24"/>
          <w:shd w:val="clear" w:color="auto" w:fill="FFFFFF"/>
        </w:rPr>
        <w:t>, 2021)</w:t>
      </w:r>
      <w:r>
        <w:t xml:space="preserve">. Therefore, there is the presence of the uncertainty and judgements in </w:t>
      </w:r>
      <w:proofErr w:type="gramStart"/>
      <w:r>
        <w:t>these estimation</w:t>
      </w:r>
      <w:proofErr w:type="gramEnd"/>
      <w:r>
        <w:t xml:space="preserve">. </w:t>
      </w:r>
    </w:p>
    <w:p w14:paraId="0FAA3A44" w14:textId="77777777" w:rsidR="00BD6608" w:rsidRDefault="00BD6608" w:rsidP="00BD6608">
      <w:r>
        <w:rPr>
          <w:b/>
          <w:u w:val="single"/>
        </w:rPr>
        <w:lastRenderedPageBreak/>
        <w:t>Significance of choices of accounting policies</w:t>
      </w:r>
    </w:p>
    <w:p w14:paraId="1089F5CF" w14:textId="77777777" w:rsidR="00BD6608" w:rsidRDefault="00BD6608" w:rsidP="00BD6608">
      <w:pPr>
        <w:ind w:firstLine="720"/>
        <w:rPr>
          <w:b/>
          <w:bCs/>
        </w:rPr>
      </w:pPr>
      <w:r>
        <w:t>The selections of accounting policies have significant implications for financial reporting and can significantly affect the presentation and interpretation of financial statements. Here are some key motives why the selections of accounting policies are significant:</w:t>
      </w:r>
    </w:p>
    <w:p w14:paraId="17A7CC09" w14:textId="77777777" w:rsidR="00BD6608" w:rsidRDefault="00BD6608" w:rsidP="00BD6608">
      <w:pPr>
        <w:rPr>
          <w:b/>
          <w:bCs/>
        </w:rPr>
      </w:pPr>
      <w:r>
        <w:rPr>
          <w:b/>
          <w:bCs/>
        </w:rPr>
        <w:t>Impact on Financial Performance:</w:t>
      </w:r>
      <w:r>
        <w:t xml:space="preserve"> Different accounting policies can result in various measurements of revenues, fees, and net incomes. For example, the selection of depreciation method or inventory valuation method such as FIFO or LIFO can directly have an effect on profitability figures </w:t>
      </w:r>
      <w:r>
        <w:rPr>
          <w:color w:val="222222"/>
          <w:szCs w:val="24"/>
          <w:shd w:val="clear" w:color="auto" w:fill="FFFFFF"/>
        </w:rPr>
        <w:t>(Carnegie, 2022)</w:t>
      </w:r>
      <w:r>
        <w:t>. These policy selections have a significant impact on how a business enterprise's financial overall performance is observed by means of stakeholders.</w:t>
      </w:r>
    </w:p>
    <w:p w14:paraId="1B4B33D6" w14:textId="77777777" w:rsidR="00BD6608" w:rsidRDefault="00BD6608" w:rsidP="00BD6608">
      <w:pPr>
        <w:rPr>
          <w:b/>
          <w:bCs/>
        </w:rPr>
      </w:pPr>
      <w:r>
        <w:rPr>
          <w:b/>
          <w:bCs/>
        </w:rPr>
        <w:t>Comparability and Consistency:</w:t>
      </w:r>
      <w:r>
        <w:t xml:space="preserve"> Consistency in accounting policies is significant for comparisons of financial information over time. The selections made by business in choosing accounting policies should be consistently applied from one reporting period to another. Consistency enhances the comparability of financial statements, permitting users to evaluate trends and examine performance over multiple durations.</w:t>
      </w:r>
    </w:p>
    <w:p w14:paraId="2F1065EB" w14:textId="77777777" w:rsidR="00BD6608" w:rsidRDefault="00BD6608" w:rsidP="00BD6608">
      <w:pPr>
        <w:rPr>
          <w:b/>
          <w:bCs/>
        </w:rPr>
      </w:pPr>
      <w:r>
        <w:rPr>
          <w:b/>
          <w:bCs/>
        </w:rPr>
        <w:t>Decision-Making and Resource Allocation:</w:t>
      </w:r>
      <w:r>
        <w:t xml:space="preserve"> Financial statements are critical tool for decision-making to investors, lenders, and other stakeholders. The choices of accounting policies can have an effect on the belief of business financial position, profitability, and cash flows. Users depend upon financial information to investment decision making, assess credibility and effective resource allocation. Consistent and appropriate accounting policies are necessary to offer reliable and comparable information for decision-making.</w:t>
      </w:r>
    </w:p>
    <w:p w14:paraId="2322C5A9" w14:textId="77777777" w:rsidR="00BD6608" w:rsidRDefault="00BD6608" w:rsidP="00BD6608">
      <w:pPr>
        <w:rPr>
          <w:b/>
          <w:bCs/>
        </w:rPr>
      </w:pPr>
      <w:r>
        <w:rPr>
          <w:b/>
          <w:bCs/>
        </w:rPr>
        <w:t xml:space="preserve">Regulatory and Legal Requirements: </w:t>
      </w:r>
      <w:r>
        <w:t>Companies are frequently required to observe to specific accounting standards and guidelines set by using regulatory bodies inclusive of the International Financial Reporting Standards (IFRS) or Generally Accepted Accounting Principles (GAAP). These standards provide guidance on accounting regulations and make certain consistency and transparency in financial reporting. The selections of accounting policies should align with the relevant standards and regulations to compliance of legal necessities.</w:t>
      </w:r>
    </w:p>
    <w:p w14:paraId="08059D58" w14:textId="77777777" w:rsidR="00BD6608" w:rsidRDefault="00BD6608" w:rsidP="00BD6608">
      <w:pPr>
        <w:rPr>
          <w:b/>
          <w:bCs/>
          <w:shd w:val="clear" w:color="auto" w:fill="FFFFFF"/>
        </w:rPr>
      </w:pPr>
      <w:r>
        <w:rPr>
          <w:b/>
          <w:bCs/>
        </w:rPr>
        <w:t>Stakeholder Expectations and Communication:</w:t>
      </w:r>
      <w:r>
        <w:t xml:space="preserve"> Stakeholders such as investors, creditors, analysts, and regulatory corporations have certain expectancies about the accounting policies used by business </w:t>
      </w:r>
      <w:r>
        <w:rPr>
          <w:color w:val="222222"/>
          <w:szCs w:val="24"/>
          <w:shd w:val="clear" w:color="auto" w:fill="FFFFFF"/>
        </w:rPr>
        <w:t>(</w:t>
      </w:r>
      <w:proofErr w:type="spellStart"/>
      <w:r>
        <w:rPr>
          <w:color w:val="222222"/>
          <w:szCs w:val="24"/>
          <w:shd w:val="clear" w:color="auto" w:fill="FFFFFF"/>
        </w:rPr>
        <w:t>Anagnostopoulou</w:t>
      </w:r>
      <w:proofErr w:type="spellEnd"/>
      <w:r>
        <w:rPr>
          <w:color w:val="222222"/>
          <w:szCs w:val="24"/>
          <w:shd w:val="clear" w:color="auto" w:fill="FFFFFF"/>
        </w:rPr>
        <w:t xml:space="preserve">, </w:t>
      </w:r>
      <w:proofErr w:type="spellStart"/>
      <w:r>
        <w:rPr>
          <w:color w:val="222222"/>
          <w:szCs w:val="24"/>
          <w:shd w:val="clear" w:color="auto" w:fill="FFFFFF"/>
        </w:rPr>
        <w:t>Tsekrekos</w:t>
      </w:r>
      <w:proofErr w:type="spellEnd"/>
      <w:r>
        <w:rPr>
          <w:color w:val="222222"/>
          <w:szCs w:val="24"/>
          <w:shd w:val="clear" w:color="auto" w:fill="FFFFFF"/>
        </w:rPr>
        <w:t xml:space="preserve"> and Voulgaris, 2021)</w:t>
      </w:r>
      <w:r>
        <w:t xml:space="preserve">. The selection of accounting policies can influence stakeholders' belief of an organization financial position, risk profile and </w:t>
      </w:r>
      <w:r>
        <w:lastRenderedPageBreak/>
        <w:t>future forecasts. Clear and transparent communication regarding accounting policies helps stakeholders recognize the basis of financial reporting and make informed decisions.</w:t>
      </w:r>
    </w:p>
    <w:p w14:paraId="5A71EE3E" w14:textId="77777777" w:rsidR="00BD6608" w:rsidRDefault="00BD6608" w:rsidP="00BD6608">
      <w:pPr>
        <w:rPr>
          <w:shd w:val="clear" w:color="auto" w:fill="FFFFFF"/>
        </w:rPr>
      </w:pPr>
      <w:r>
        <w:rPr>
          <w:b/>
          <w:bCs/>
          <w:shd w:val="clear" w:color="auto" w:fill="FFFFFF"/>
        </w:rPr>
        <w:t xml:space="preserve">Industry and Market Norms: </w:t>
      </w:r>
      <w:r>
        <w:rPr>
          <w:shd w:val="clear" w:color="auto" w:fill="FFFFFF"/>
        </w:rPr>
        <w:t>Accounting policies are frequently influenced by industry practices and market norms. Companies within the same industry may adopt similar accounting policies to increase comparability. Deviations from industry norms may require additional causes or disclosures to keep away from confusion or misinterpretation.</w:t>
      </w:r>
    </w:p>
    <w:p w14:paraId="5FCD9FFB" w14:textId="77777777" w:rsidR="00BD6608" w:rsidRDefault="00BD6608" w:rsidP="00BD6608">
      <w:pPr>
        <w:rPr>
          <w:shd w:val="clear" w:color="auto" w:fill="FFFFFF"/>
        </w:rPr>
      </w:pPr>
    </w:p>
    <w:p w14:paraId="6E7F49C1" w14:textId="77777777" w:rsidR="00BD6608" w:rsidRDefault="00BD6608" w:rsidP="00BD6608">
      <w:pPr>
        <w:pStyle w:val="Heading1"/>
      </w:pPr>
      <w:r>
        <w:t>QUESTION 2</w:t>
      </w:r>
    </w:p>
    <w:p w14:paraId="243D6EB2" w14:textId="77777777" w:rsidR="00BD6608" w:rsidRDefault="00BD6608" w:rsidP="00BD6608">
      <w:pPr>
        <w:pStyle w:val="Heading2"/>
      </w:pPr>
      <w:r>
        <w:t>a) Ratio calculation for Sweets Plc</w:t>
      </w:r>
    </w:p>
    <w:p w14:paraId="63CC669F" w14:textId="77777777" w:rsidR="00BD6608" w:rsidRDefault="00BD6608" w:rsidP="00BD6608"/>
    <w:tbl>
      <w:tblPr>
        <w:tblW w:w="0" w:type="auto"/>
        <w:tblInd w:w="142" w:type="dxa"/>
        <w:tblLayout w:type="fixed"/>
        <w:tblLook w:val="0000" w:firstRow="0" w:lastRow="0" w:firstColumn="0" w:lastColumn="0" w:noHBand="0" w:noVBand="0"/>
      </w:tblPr>
      <w:tblGrid>
        <w:gridCol w:w="801"/>
        <w:gridCol w:w="1706"/>
        <w:gridCol w:w="1952"/>
        <w:gridCol w:w="1336"/>
        <w:gridCol w:w="1171"/>
        <w:gridCol w:w="1089"/>
        <w:gridCol w:w="1160"/>
      </w:tblGrid>
      <w:tr w:rsidR="00BD6608" w14:paraId="5E075F55" w14:textId="77777777" w:rsidTr="005D3728">
        <w:trPr>
          <w:trHeight w:val="288"/>
        </w:trPr>
        <w:tc>
          <w:tcPr>
            <w:tcW w:w="801" w:type="dxa"/>
            <w:vMerge w:val="restart"/>
            <w:tcBorders>
              <w:top w:val="single" w:sz="4" w:space="0" w:color="000000"/>
              <w:left w:val="single" w:sz="4" w:space="0" w:color="000000"/>
              <w:bottom w:val="single" w:sz="4" w:space="0" w:color="000000"/>
            </w:tcBorders>
            <w:shd w:val="clear" w:color="auto" w:fill="auto"/>
          </w:tcPr>
          <w:p w14:paraId="3389D84D" w14:textId="77777777" w:rsidR="00BD6608" w:rsidRDefault="00BD6608" w:rsidP="005D3728">
            <w:pPr>
              <w:spacing w:line="100" w:lineRule="atLeast"/>
              <w:rPr>
                <w:b/>
                <w:bCs/>
              </w:rPr>
            </w:pPr>
            <w:r>
              <w:rPr>
                <w:b/>
                <w:bCs/>
              </w:rPr>
              <w:t>S.no.</w:t>
            </w:r>
          </w:p>
        </w:tc>
        <w:tc>
          <w:tcPr>
            <w:tcW w:w="1706" w:type="dxa"/>
            <w:vMerge w:val="restart"/>
            <w:tcBorders>
              <w:top w:val="single" w:sz="4" w:space="0" w:color="000000"/>
              <w:left w:val="single" w:sz="4" w:space="0" w:color="000000"/>
              <w:bottom w:val="single" w:sz="4" w:space="0" w:color="000000"/>
            </w:tcBorders>
            <w:shd w:val="clear" w:color="auto" w:fill="auto"/>
          </w:tcPr>
          <w:p w14:paraId="4A3BC316" w14:textId="77777777" w:rsidR="00BD6608" w:rsidRDefault="00BD6608" w:rsidP="005D3728">
            <w:pPr>
              <w:spacing w:line="100" w:lineRule="atLeast"/>
              <w:rPr>
                <w:b/>
                <w:bCs/>
              </w:rPr>
            </w:pPr>
            <w:r>
              <w:rPr>
                <w:b/>
                <w:bCs/>
              </w:rPr>
              <w:t>Particulars</w:t>
            </w:r>
          </w:p>
        </w:tc>
        <w:tc>
          <w:tcPr>
            <w:tcW w:w="1952" w:type="dxa"/>
            <w:vMerge w:val="restart"/>
            <w:tcBorders>
              <w:top w:val="single" w:sz="4" w:space="0" w:color="000000"/>
              <w:left w:val="single" w:sz="4" w:space="0" w:color="000000"/>
              <w:bottom w:val="single" w:sz="4" w:space="0" w:color="000000"/>
            </w:tcBorders>
            <w:shd w:val="clear" w:color="auto" w:fill="auto"/>
          </w:tcPr>
          <w:p w14:paraId="71B7F6E9" w14:textId="77777777" w:rsidR="00BD6608" w:rsidRDefault="00BD6608" w:rsidP="005D3728">
            <w:pPr>
              <w:spacing w:line="100" w:lineRule="atLeast"/>
              <w:rPr>
                <w:b/>
                <w:bCs/>
              </w:rPr>
            </w:pPr>
            <w:r>
              <w:rPr>
                <w:b/>
                <w:bCs/>
              </w:rPr>
              <w:t>Formulas</w:t>
            </w:r>
          </w:p>
        </w:tc>
        <w:tc>
          <w:tcPr>
            <w:tcW w:w="2507" w:type="dxa"/>
            <w:gridSpan w:val="2"/>
            <w:tcBorders>
              <w:top w:val="single" w:sz="4" w:space="0" w:color="000000"/>
              <w:left w:val="single" w:sz="4" w:space="0" w:color="000000"/>
              <w:bottom w:val="single" w:sz="4" w:space="0" w:color="000000"/>
            </w:tcBorders>
            <w:shd w:val="clear" w:color="auto" w:fill="auto"/>
          </w:tcPr>
          <w:p w14:paraId="39883345" w14:textId="77777777" w:rsidR="00BD6608" w:rsidRDefault="00BD6608" w:rsidP="005D3728">
            <w:pPr>
              <w:spacing w:line="100" w:lineRule="atLeast"/>
              <w:rPr>
                <w:b/>
                <w:bCs/>
              </w:rPr>
            </w:pPr>
            <w:r>
              <w:rPr>
                <w:b/>
                <w:bCs/>
              </w:rPr>
              <w:t>Calculations</w:t>
            </w:r>
          </w:p>
        </w:tc>
        <w:tc>
          <w:tcPr>
            <w:tcW w:w="1089" w:type="dxa"/>
            <w:vMerge w:val="restart"/>
            <w:tcBorders>
              <w:top w:val="single" w:sz="4" w:space="0" w:color="000000"/>
              <w:left w:val="single" w:sz="4" w:space="0" w:color="000000"/>
              <w:bottom w:val="single" w:sz="4" w:space="0" w:color="000000"/>
            </w:tcBorders>
            <w:shd w:val="clear" w:color="auto" w:fill="auto"/>
          </w:tcPr>
          <w:p w14:paraId="3923A3D3" w14:textId="77777777" w:rsidR="00BD6608" w:rsidRDefault="00BD6608" w:rsidP="005D3728">
            <w:pPr>
              <w:spacing w:line="100" w:lineRule="atLeast"/>
              <w:rPr>
                <w:b/>
                <w:bCs/>
              </w:rPr>
            </w:pPr>
            <w:r>
              <w:rPr>
                <w:b/>
                <w:bCs/>
              </w:rPr>
              <w:t>Year 2020</w:t>
            </w:r>
          </w:p>
        </w:tc>
        <w:tc>
          <w:tcPr>
            <w:tcW w:w="116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750B39D" w14:textId="77777777" w:rsidR="00BD6608" w:rsidRDefault="00BD6608" w:rsidP="005D3728">
            <w:pPr>
              <w:spacing w:line="100" w:lineRule="atLeast"/>
            </w:pPr>
            <w:r>
              <w:rPr>
                <w:b/>
                <w:bCs/>
              </w:rPr>
              <w:t>Year 2021</w:t>
            </w:r>
          </w:p>
        </w:tc>
      </w:tr>
      <w:tr w:rsidR="00BD6608" w14:paraId="33D9C359" w14:textId="77777777" w:rsidTr="005D3728">
        <w:trPr>
          <w:trHeight w:val="288"/>
        </w:trPr>
        <w:tc>
          <w:tcPr>
            <w:tcW w:w="801" w:type="dxa"/>
            <w:vMerge/>
            <w:tcBorders>
              <w:top w:val="single" w:sz="4" w:space="0" w:color="000000"/>
              <w:left w:val="single" w:sz="4" w:space="0" w:color="000000"/>
              <w:bottom w:val="single" w:sz="4" w:space="0" w:color="000000"/>
            </w:tcBorders>
            <w:shd w:val="clear" w:color="auto" w:fill="auto"/>
          </w:tcPr>
          <w:p w14:paraId="5BE11CCA" w14:textId="77777777" w:rsidR="00BD6608" w:rsidRDefault="00BD6608" w:rsidP="005D3728">
            <w:pPr>
              <w:snapToGrid w:val="0"/>
              <w:spacing w:line="100" w:lineRule="atLeast"/>
              <w:rPr>
                <w:b/>
                <w:bCs/>
              </w:rPr>
            </w:pPr>
          </w:p>
        </w:tc>
        <w:tc>
          <w:tcPr>
            <w:tcW w:w="1706" w:type="dxa"/>
            <w:vMerge/>
            <w:tcBorders>
              <w:top w:val="single" w:sz="4" w:space="0" w:color="000000"/>
              <w:left w:val="single" w:sz="4" w:space="0" w:color="000000"/>
              <w:bottom w:val="single" w:sz="4" w:space="0" w:color="000000"/>
            </w:tcBorders>
            <w:shd w:val="clear" w:color="auto" w:fill="auto"/>
          </w:tcPr>
          <w:p w14:paraId="661A5436" w14:textId="77777777" w:rsidR="00BD6608" w:rsidRDefault="00BD6608" w:rsidP="005D3728">
            <w:pPr>
              <w:snapToGrid w:val="0"/>
              <w:spacing w:line="100" w:lineRule="atLeast"/>
              <w:rPr>
                <w:b/>
                <w:bCs/>
              </w:rPr>
            </w:pPr>
          </w:p>
        </w:tc>
        <w:tc>
          <w:tcPr>
            <w:tcW w:w="1952" w:type="dxa"/>
            <w:vMerge/>
            <w:tcBorders>
              <w:top w:val="single" w:sz="4" w:space="0" w:color="000000"/>
              <w:left w:val="single" w:sz="4" w:space="0" w:color="000000"/>
              <w:bottom w:val="single" w:sz="4" w:space="0" w:color="000000"/>
            </w:tcBorders>
            <w:shd w:val="clear" w:color="auto" w:fill="auto"/>
          </w:tcPr>
          <w:p w14:paraId="1B1D8BDD" w14:textId="77777777" w:rsidR="00BD6608" w:rsidRDefault="00BD6608" w:rsidP="005D3728">
            <w:pPr>
              <w:snapToGrid w:val="0"/>
              <w:spacing w:line="100" w:lineRule="atLeast"/>
              <w:rPr>
                <w:b/>
                <w:bCs/>
              </w:rPr>
            </w:pPr>
          </w:p>
        </w:tc>
        <w:tc>
          <w:tcPr>
            <w:tcW w:w="1336" w:type="dxa"/>
            <w:tcBorders>
              <w:top w:val="single" w:sz="4" w:space="0" w:color="000000"/>
              <w:left w:val="single" w:sz="4" w:space="0" w:color="000000"/>
              <w:bottom w:val="single" w:sz="4" w:space="0" w:color="000000"/>
            </w:tcBorders>
            <w:shd w:val="clear" w:color="auto" w:fill="auto"/>
          </w:tcPr>
          <w:p w14:paraId="578B5482" w14:textId="77777777" w:rsidR="00BD6608" w:rsidRDefault="00BD6608" w:rsidP="005D3728">
            <w:pPr>
              <w:spacing w:line="100" w:lineRule="atLeast"/>
              <w:rPr>
                <w:b/>
                <w:bCs/>
              </w:rPr>
            </w:pPr>
            <w:r>
              <w:rPr>
                <w:b/>
                <w:bCs/>
              </w:rPr>
              <w:t>Year 2020</w:t>
            </w:r>
          </w:p>
        </w:tc>
        <w:tc>
          <w:tcPr>
            <w:tcW w:w="1171" w:type="dxa"/>
            <w:tcBorders>
              <w:top w:val="single" w:sz="4" w:space="0" w:color="000000"/>
              <w:left w:val="single" w:sz="4" w:space="0" w:color="000000"/>
              <w:bottom w:val="single" w:sz="4" w:space="0" w:color="000000"/>
            </w:tcBorders>
            <w:shd w:val="clear" w:color="auto" w:fill="auto"/>
          </w:tcPr>
          <w:p w14:paraId="1735D40C" w14:textId="77777777" w:rsidR="00BD6608" w:rsidRDefault="00BD6608" w:rsidP="005D3728">
            <w:pPr>
              <w:spacing w:line="100" w:lineRule="atLeast"/>
              <w:rPr>
                <w:b/>
                <w:bCs/>
              </w:rPr>
            </w:pPr>
            <w:r>
              <w:rPr>
                <w:b/>
                <w:bCs/>
              </w:rPr>
              <w:t>Year 2021</w:t>
            </w:r>
          </w:p>
        </w:tc>
        <w:tc>
          <w:tcPr>
            <w:tcW w:w="1089" w:type="dxa"/>
            <w:vMerge/>
            <w:tcBorders>
              <w:top w:val="single" w:sz="4" w:space="0" w:color="000000"/>
              <w:left w:val="single" w:sz="4" w:space="0" w:color="000000"/>
              <w:bottom w:val="single" w:sz="4" w:space="0" w:color="000000"/>
            </w:tcBorders>
            <w:shd w:val="clear" w:color="auto" w:fill="auto"/>
          </w:tcPr>
          <w:p w14:paraId="07149B84" w14:textId="77777777" w:rsidR="00BD6608" w:rsidRDefault="00BD6608" w:rsidP="005D3728">
            <w:pPr>
              <w:snapToGrid w:val="0"/>
              <w:spacing w:line="100" w:lineRule="atLeast"/>
              <w:rPr>
                <w:b/>
                <w:bCs/>
              </w:rPr>
            </w:pPr>
          </w:p>
        </w:tc>
        <w:tc>
          <w:tcPr>
            <w:tcW w:w="1160" w:type="dxa"/>
            <w:vMerge/>
            <w:tcBorders>
              <w:top w:val="single" w:sz="4" w:space="0" w:color="000000"/>
              <w:left w:val="single" w:sz="4" w:space="0" w:color="000000"/>
              <w:bottom w:val="single" w:sz="4" w:space="0" w:color="000000"/>
              <w:right w:val="single" w:sz="4" w:space="0" w:color="000000"/>
            </w:tcBorders>
            <w:shd w:val="clear" w:color="auto" w:fill="auto"/>
          </w:tcPr>
          <w:p w14:paraId="3C9ED18C" w14:textId="77777777" w:rsidR="00BD6608" w:rsidRDefault="00BD6608" w:rsidP="005D3728">
            <w:pPr>
              <w:snapToGrid w:val="0"/>
              <w:spacing w:line="100" w:lineRule="atLeast"/>
              <w:rPr>
                <w:b/>
                <w:bCs/>
              </w:rPr>
            </w:pPr>
          </w:p>
        </w:tc>
      </w:tr>
      <w:tr w:rsidR="00BD6608" w14:paraId="61A35D8D" w14:textId="77777777" w:rsidTr="005D3728">
        <w:trPr>
          <w:trHeight w:val="577"/>
        </w:trPr>
        <w:tc>
          <w:tcPr>
            <w:tcW w:w="801" w:type="dxa"/>
            <w:tcBorders>
              <w:top w:val="single" w:sz="4" w:space="0" w:color="000000"/>
              <w:left w:val="single" w:sz="4" w:space="0" w:color="000000"/>
              <w:bottom w:val="single" w:sz="4" w:space="0" w:color="000000"/>
            </w:tcBorders>
            <w:shd w:val="clear" w:color="auto" w:fill="auto"/>
          </w:tcPr>
          <w:p w14:paraId="4427FEDB" w14:textId="77777777" w:rsidR="00BD6608" w:rsidRDefault="00BD6608" w:rsidP="005D3728">
            <w:pPr>
              <w:spacing w:line="100" w:lineRule="atLeast"/>
            </w:pPr>
            <w:r>
              <w:t>1</w:t>
            </w:r>
          </w:p>
        </w:tc>
        <w:tc>
          <w:tcPr>
            <w:tcW w:w="1706" w:type="dxa"/>
            <w:tcBorders>
              <w:top w:val="single" w:sz="4" w:space="0" w:color="000000"/>
              <w:left w:val="single" w:sz="4" w:space="0" w:color="000000"/>
              <w:bottom w:val="single" w:sz="4" w:space="0" w:color="000000"/>
            </w:tcBorders>
            <w:shd w:val="clear" w:color="auto" w:fill="auto"/>
          </w:tcPr>
          <w:p w14:paraId="4D68E303" w14:textId="77777777" w:rsidR="00BD6608" w:rsidRDefault="00BD6608" w:rsidP="005D3728">
            <w:pPr>
              <w:spacing w:line="100" w:lineRule="atLeast"/>
            </w:pPr>
            <w:r>
              <w:t>ROCE</w:t>
            </w:r>
          </w:p>
        </w:tc>
        <w:tc>
          <w:tcPr>
            <w:tcW w:w="1952" w:type="dxa"/>
            <w:tcBorders>
              <w:top w:val="single" w:sz="4" w:space="0" w:color="000000"/>
              <w:left w:val="single" w:sz="4" w:space="0" w:color="000000"/>
              <w:bottom w:val="single" w:sz="4" w:space="0" w:color="000000"/>
            </w:tcBorders>
            <w:shd w:val="clear" w:color="auto" w:fill="auto"/>
          </w:tcPr>
          <w:p w14:paraId="4BD9C08F" w14:textId="77777777" w:rsidR="00BD6608" w:rsidRDefault="00BD6608" w:rsidP="005D3728">
            <w:pPr>
              <w:spacing w:line="100" w:lineRule="atLeast"/>
            </w:pPr>
            <w:r>
              <w:t>(EBIT/ Average capital employed) *100</w:t>
            </w:r>
          </w:p>
        </w:tc>
        <w:tc>
          <w:tcPr>
            <w:tcW w:w="1336" w:type="dxa"/>
            <w:tcBorders>
              <w:top w:val="single" w:sz="4" w:space="0" w:color="000000"/>
              <w:left w:val="single" w:sz="4" w:space="0" w:color="000000"/>
              <w:bottom w:val="single" w:sz="4" w:space="0" w:color="000000"/>
            </w:tcBorders>
            <w:shd w:val="clear" w:color="auto" w:fill="auto"/>
          </w:tcPr>
          <w:p w14:paraId="7BBCF8F3" w14:textId="77777777" w:rsidR="00BD6608" w:rsidRDefault="00BD6608" w:rsidP="005D3728">
            <w:pPr>
              <w:spacing w:line="100" w:lineRule="atLeast"/>
            </w:pPr>
            <w:proofErr w:type="gramStart"/>
            <w:r>
              <w:t>( 699</w:t>
            </w:r>
            <w:proofErr w:type="gramEnd"/>
            <w:r>
              <w:t xml:space="preserve"> / 7041 ) * 100</w:t>
            </w:r>
          </w:p>
        </w:tc>
        <w:tc>
          <w:tcPr>
            <w:tcW w:w="1171" w:type="dxa"/>
            <w:tcBorders>
              <w:top w:val="single" w:sz="4" w:space="0" w:color="000000"/>
              <w:left w:val="single" w:sz="4" w:space="0" w:color="000000"/>
              <w:bottom w:val="single" w:sz="4" w:space="0" w:color="000000"/>
            </w:tcBorders>
            <w:shd w:val="clear" w:color="auto" w:fill="auto"/>
          </w:tcPr>
          <w:p w14:paraId="1BA77BAA" w14:textId="77777777" w:rsidR="00BD6608" w:rsidRDefault="00BD6608" w:rsidP="005D3728">
            <w:pPr>
              <w:spacing w:line="100" w:lineRule="atLeast"/>
            </w:pPr>
            <w:r>
              <w:t>(805/</w:t>
            </w:r>
            <w:proofErr w:type="gramStart"/>
            <w:r>
              <w:t>7225)*</w:t>
            </w:r>
            <w:proofErr w:type="gramEnd"/>
            <w:r>
              <w:t>100</w:t>
            </w:r>
          </w:p>
        </w:tc>
        <w:tc>
          <w:tcPr>
            <w:tcW w:w="1089" w:type="dxa"/>
            <w:tcBorders>
              <w:top w:val="single" w:sz="4" w:space="0" w:color="000000"/>
              <w:left w:val="single" w:sz="4" w:space="0" w:color="000000"/>
              <w:bottom w:val="single" w:sz="4" w:space="0" w:color="000000"/>
            </w:tcBorders>
            <w:shd w:val="clear" w:color="auto" w:fill="auto"/>
          </w:tcPr>
          <w:p w14:paraId="033FE621" w14:textId="77777777" w:rsidR="00BD6608" w:rsidRDefault="00BD6608" w:rsidP="005D3728">
            <w:pPr>
              <w:spacing w:line="100" w:lineRule="atLeast"/>
            </w:pPr>
            <w:r>
              <w:t>10 %</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14:paraId="456C2A66" w14:textId="77777777" w:rsidR="00BD6608" w:rsidRDefault="00BD6608" w:rsidP="005D3728">
            <w:pPr>
              <w:spacing w:line="100" w:lineRule="atLeast"/>
            </w:pPr>
            <w:r>
              <w:t>11 %</w:t>
            </w:r>
          </w:p>
        </w:tc>
      </w:tr>
      <w:tr w:rsidR="00BD6608" w14:paraId="31C7D7A7" w14:textId="77777777" w:rsidTr="005D3728">
        <w:trPr>
          <w:trHeight w:val="577"/>
        </w:trPr>
        <w:tc>
          <w:tcPr>
            <w:tcW w:w="801" w:type="dxa"/>
            <w:tcBorders>
              <w:top w:val="single" w:sz="4" w:space="0" w:color="000000"/>
              <w:left w:val="single" w:sz="4" w:space="0" w:color="000000"/>
              <w:bottom w:val="single" w:sz="4" w:space="0" w:color="000000"/>
            </w:tcBorders>
            <w:shd w:val="clear" w:color="auto" w:fill="auto"/>
          </w:tcPr>
          <w:p w14:paraId="5348DA8A" w14:textId="77777777" w:rsidR="00BD6608" w:rsidRDefault="00BD6608" w:rsidP="005D3728">
            <w:pPr>
              <w:spacing w:line="100" w:lineRule="atLeast"/>
            </w:pPr>
            <w:r>
              <w:t>2</w:t>
            </w:r>
          </w:p>
        </w:tc>
        <w:tc>
          <w:tcPr>
            <w:tcW w:w="1706" w:type="dxa"/>
            <w:tcBorders>
              <w:top w:val="single" w:sz="4" w:space="0" w:color="000000"/>
              <w:left w:val="single" w:sz="4" w:space="0" w:color="000000"/>
              <w:bottom w:val="single" w:sz="4" w:space="0" w:color="000000"/>
            </w:tcBorders>
            <w:shd w:val="clear" w:color="auto" w:fill="auto"/>
          </w:tcPr>
          <w:p w14:paraId="2CF4C4B0" w14:textId="77777777" w:rsidR="00BD6608" w:rsidRDefault="00BD6608" w:rsidP="005D3728">
            <w:pPr>
              <w:spacing w:line="100" w:lineRule="atLeast"/>
            </w:pPr>
            <w:r>
              <w:t>ROE</w:t>
            </w:r>
          </w:p>
        </w:tc>
        <w:tc>
          <w:tcPr>
            <w:tcW w:w="1952" w:type="dxa"/>
            <w:tcBorders>
              <w:top w:val="single" w:sz="4" w:space="0" w:color="000000"/>
              <w:left w:val="single" w:sz="4" w:space="0" w:color="000000"/>
              <w:bottom w:val="single" w:sz="4" w:space="0" w:color="000000"/>
            </w:tcBorders>
            <w:shd w:val="clear" w:color="auto" w:fill="auto"/>
          </w:tcPr>
          <w:p w14:paraId="452A64A3" w14:textId="77777777" w:rsidR="00BD6608" w:rsidRDefault="00BD6608" w:rsidP="005D3728">
            <w:pPr>
              <w:spacing w:line="100" w:lineRule="atLeast"/>
            </w:pPr>
            <w:r>
              <w:t>(Profit after tax / shareholders equity) * 100</w:t>
            </w:r>
          </w:p>
        </w:tc>
        <w:tc>
          <w:tcPr>
            <w:tcW w:w="1336" w:type="dxa"/>
            <w:tcBorders>
              <w:top w:val="single" w:sz="4" w:space="0" w:color="000000"/>
              <w:left w:val="single" w:sz="4" w:space="0" w:color="000000"/>
              <w:bottom w:val="single" w:sz="4" w:space="0" w:color="000000"/>
            </w:tcBorders>
            <w:shd w:val="clear" w:color="auto" w:fill="auto"/>
          </w:tcPr>
          <w:p w14:paraId="06638CBF" w14:textId="77777777" w:rsidR="00BD6608" w:rsidRDefault="00BD6608" w:rsidP="005D3728">
            <w:pPr>
              <w:spacing w:line="100" w:lineRule="atLeast"/>
            </w:pPr>
            <w:proofErr w:type="gramStart"/>
            <w:r>
              <w:t>( 366</w:t>
            </w:r>
            <w:proofErr w:type="gramEnd"/>
            <w:r>
              <w:t xml:space="preserve"> / 2912 ) * 100</w:t>
            </w:r>
          </w:p>
        </w:tc>
        <w:tc>
          <w:tcPr>
            <w:tcW w:w="1171" w:type="dxa"/>
            <w:tcBorders>
              <w:top w:val="single" w:sz="4" w:space="0" w:color="000000"/>
              <w:left w:val="single" w:sz="4" w:space="0" w:color="000000"/>
              <w:bottom w:val="single" w:sz="4" w:space="0" w:color="000000"/>
            </w:tcBorders>
            <w:shd w:val="clear" w:color="auto" w:fill="auto"/>
          </w:tcPr>
          <w:p w14:paraId="341B3276" w14:textId="77777777" w:rsidR="00BD6608" w:rsidRDefault="00BD6608" w:rsidP="005D3728">
            <w:pPr>
              <w:spacing w:line="100" w:lineRule="atLeast"/>
            </w:pPr>
            <w:r>
              <w:t>(431/</w:t>
            </w:r>
            <w:proofErr w:type="gramStart"/>
            <w:r>
              <w:t>3088)*</w:t>
            </w:r>
            <w:proofErr w:type="gramEnd"/>
            <w:r>
              <w:t>100</w:t>
            </w:r>
          </w:p>
        </w:tc>
        <w:tc>
          <w:tcPr>
            <w:tcW w:w="1089" w:type="dxa"/>
            <w:tcBorders>
              <w:top w:val="single" w:sz="4" w:space="0" w:color="000000"/>
              <w:left w:val="single" w:sz="4" w:space="0" w:color="000000"/>
              <w:bottom w:val="single" w:sz="4" w:space="0" w:color="000000"/>
            </w:tcBorders>
            <w:shd w:val="clear" w:color="auto" w:fill="auto"/>
          </w:tcPr>
          <w:p w14:paraId="126B9FC1" w14:textId="77777777" w:rsidR="00BD6608" w:rsidRDefault="00BD6608" w:rsidP="005D3728">
            <w:pPr>
              <w:spacing w:line="100" w:lineRule="atLeast"/>
            </w:pPr>
            <w:r>
              <w:t>13 %</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14:paraId="45DC5C25" w14:textId="77777777" w:rsidR="00BD6608" w:rsidRDefault="00BD6608" w:rsidP="005D3728">
            <w:pPr>
              <w:spacing w:line="100" w:lineRule="atLeast"/>
            </w:pPr>
            <w:r>
              <w:t>14 %</w:t>
            </w:r>
          </w:p>
        </w:tc>
      </w:tr>
      <w:tr w:rsidR="00BD6608" w14:paraId="662A6F85" w14:textId="77777777" w:rsidTr="005D3728">
        <w:trPr>
          <w:trHeight w:val="577"/>
        </w:trPr>
        <w:tc>
          <w:tcPr>
            <w:tcW w:w="801" w:type="dxa"/>
            <w:tcBorders>
              <w:top w:val="single" w:sz="4" w:space="0" w:color="000000"/>
              <w:left w:val="single" w:sz="4" w:space="0" w:color="000000"/>
              <w:bottom w:val="single" w:sz="4" w:space="0" w:color="000000"/>
            </w:tcBorders>
            <w:shd w:val="clear" w:color="auto" w:fill="auto"/>
          </w:tcPr>
          <w:p w14:paraId="5AA8DDD6" w14:textId="77777777" w:rsidR="00BD6608" w:rsidRDefault="00BD6608" w:rsidP="005D3728">
            <w:pPr>
              <w:spacing w:line="100" w:lineRule="atLeast"/>
            </w:pPr>
            <w:r>
              <w:t>3</w:t>
            </w:r>
          </w:p>
        </w:tc>
        <w:tc>
          <w:tcPr>
            <w:tcW w:w="1706" w:type="dxa"/>
            <w:tcBorders>
              <w:top w:val="single" w:sz="4" w:space="0" w:color="000000"/>
              <w:left w:val="single" w:sz="4" w:space="0" w:color="000000"/>
              <w:bottom w:val="single" w:sz="4" w:space="0" w:color="000000"/>
            </w:tcBorders>
            <w:shd w:val="clear" w:color="auto" w:fill="auto"/>
          </w:tcPr>
          <w:p w14:paraId="1B532F1D" w14:textId="77777777" w:rsidR="00BD6608" w:rsidRDefault="00BD6608" w:rsidP="005D3728">
            <w:pPr>
              <w:spacing w:line="100" w:lineRule="atLeast"/>
            </w:pPr>
            <w:r>
              <w:t>Earnings per share</w:t>
            </w:r>
          </w:p>
        </w:tc>
        <w:tc>
          <w:tcPr>
            <w:tcW w:w="1952" w:type="dxa"/>
            <w:tcBorders>
              <w:top w:val="single" w:sz="4" w:space="0" w:color="000000"/>
              <w:left w:val="single" w:sz="4" w:space="0" w:color="000000"/>
              <w:bottom w:val="single" w:sz="4" w:space="0" w:color="000000"/>
            </w:tcBorders>
            <w:shd w:val="clear" w:color="auto" w:fill="auto"/>
          </w:tcPr>
          <w:p w14:paraId="6143333D" w14:textId="77777777" w:rsidR="00BD6608" w:rsidRDefault="00BD6608" w:rsidP="005D3728">
            <w:pPr>
              <w:spacing w:line="100" w:lineRule="atLeast"/>
            </w:pPr>
            <w:r>
              <w:t>Retained earnings / Outstanding number of shares</w:t>
            </w:r>
          </w:p>
        </w:tc>
        <w:tc>
          <w:tcPr>
            <w:tcW w:w="1336" w:type="dxa"/>
            <w:tcBorders>
              <w:top w:val="single" w:sz="4" w:space="0" w:color="000000"/>
              <w:left w:val="single" w:sz="4" w:space="0" w:color="000000"/>
              <w:bottom w:val="single" w:sz="4" w:space="0" w:color="000000"/>
            </w:tcBorders>
            <w:shd w:val="clear" w:color="auto" w:fill="auto"/>
          </w:tcPr>
          <w:p w14:paraId="6A11A4D7" w14:textId="77777777" w:rsidR="00BD6608" w:rsidRDefault="00BD6608" w:rsidP="005D3728">
            <w:pPr>
              <w:spacing w:line="100" w:lineRule="atLeast"/>
            </w:pPr>
            <w:r>
              <w:t>176 / 600</w:t>
            </w:r>
          </w:p>
        </w:tc>
        <w:tc>
          <w:tcPr>
            <w:tcW w:w="1171" w:type="dxa"/>
            <w:tcBorders>
              <w:top w:val="single" w:sz="4" w:space="0" w:color="000000"/>
              <w:left w:val="single" w:sz="4" w:space="0" w:color="000000"/>
              <w:bottom w:val="single" w:sz="4" w:space="0" w:color="000000"/>
            </w:tcBorders>
            <w:shd w:val="clear" w:color="auto" w:fill="auto"/>
          </w:tcPr>
          <w:p w14:paraId="41EDCBB5" w14:textId="77777777" w:rsidR="00BD6608" w:rsidRDefault="00BD6608" w:rsidP="005D3728">
            <w:pPr>
              <w:spacing w:line="100" w:lineRule="atLeast"/>
            </w:pPr>
            <w:r>
              <w:t>124/600</w:t>
            </w:r>
          </w:p>
        </w:tc>
        <w:tc>
          <w:tcPr>
            <w:tcW w:w="1089" w:type="dxa"/>
            <w:tcBorders>
              <w:top w:val="single" w:sz="4" w:space="0" w:color="000000"/>
              <w:left w:val="single" w:sz="4" w:space="0" w:color="000000"/>
              <w:bottom w:val="single" w:sz="4" w:space="0" w:color="000000"/>
            </w:tcBorders>
            <w:shd w:val="clear" w:color="auto" w:fill="auto"/>
          </w:tcPr>
          <w:p w14:paraId="5AACC568" w14:textId="77777777" w:rsidR="00BD6608" w:rsidRDefault="00BD6608" w:rsidP="005D3728">
            <w:pPr>
              <w:spacing w:line="100" w:lineRule="atLeast"/>
            </w:pPr>
            <w:r>
              <w:t>0.293333 times</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14:paraId="311DFAC7" w14:textId="77777777" w:rsidR="00BD6608" w:rsidRDefault="00BD6608" w:rsidP="005D3728">
            <w:pPr>
              <w:spacing w:line="100" w:lineRule="atLeast"/>
            </w:pPr>
            <w:r>
              <w:t>0.206667 times</w:t>
            </w:r>
          </w:p>
        </w:tc>
      </w:tr>
      <w:tr w:rsidR="00BD6608" w14:paraId="723FBD3A" w14:textId="77777777" w:rsidTr="005D3728">
        <w:trPr>
          <w:trHeight w:val="288"/>
        </w:trPr>
        <w:tc>
          <w:tcPr>
            <w:tcW w:w="801" w:type="dxa"/>
            <w:tcBorders>
              <w:top w:val="single" w:sz="4" w:space="0" w:color="000000"/>
              <w:left w:val="single" w:sz="4" w:space="0" w:color="000000"/>
              <w:bottom w:val="single" w:sz="4" w:space="0" w:color="000000"/>
            </w:tcBorders>
            <w:shd w:val="clear" w:color="auto" w:fill="auto"/>
          </w:tcPr>
          <w:p w14:paraId="0505293F" w14:textId="77777777" w:rsidR="00BD6608" w:rsidRDefault="00BD6608" w:rsidP="005D3728">
            <w:pPr>
              <w:spacing w:line="100" w:lineRule="atLeast"/>
            </w:pPr>
            <w:r>
              <w:t>4</w:t>
            </w:r>
          </w:p>
        </w:tc>
        <w:tc>
          <w:tcPr>
            <w:tcW w:w="1706" w:type="dxa"/>
            <w:tcBorders>
              <w:top w:val="single" w:sz="4" w:space="0" w:color="000000"/>
              <w:left w:val="single" w:sz="4" w:space="0" w:color="000000"/>
              <w:bottom w:val="single" w:sz="4" w:space="0" w:color="000000"/>
            </w:tcBorders>
            <w:shd w:val="clear" w:color="auto" w:fill="auto"/>
          </w:tcPr>
          <w:p w14:paraId="320C06E4" w14:textId="77777777" w:rsidR="00BD6608" w:rsidRDefault="00BD6608" w:rsidP="005D3728">
            <w:pPr>
              <w:spacing w:line="100" w:lineRule="atLeast"/>
            </w:pPr>
            <w:r>
              <w:t>Net profit margin</w:t>
            </w:r>
          </w:p>
        </w:tc>
        <w:tc>
          <w:tcPr>
            <w:tcW w:w="1952" w:type="dxa"/>
            <w:tcBorders>
              <w:top w:val="single" w:sz="4" w:space="0" w:color="000000"/>
              <w:left w:val="single" w:sz="4" w:space="0" w:color="000000"/>
              <w:bottom w:val="single" w:sz="4" w:space="0" w:color="000000"/>
            </w:tcBorders>
            <w:shd w:val="clear" w:color="auto" w:fill="auto"/>
          </w:tcPr>
          <w:p w14:paraId="12712ABA" w14:textId="77777777" w:rsidR="00BD6608" w:rsidRDefault="00BD6608" w:rsidP="005D3728">
            <w:pPr>
              <w:spacing w:line="100" w:lineRule="atLeast"/>
            </w:pPr>
            <w:r>
              <w:t xml:space="preserve">Net profit / net </w:t>
            </w:r>
            <w:proofErr w:type="gramStart"/>
            <w:r>
              <w:t>total  sales</w:t>
            </w:r>
            <w:proofErr w:type="gramEnd"/>
          </w:p>
        </w:tc>
        <w:tc>
          <w:tcPr>
            <w:tcW w:w="1336" w:type="dxa"/>
            <w:tcBorders>
              <w:top w:val="single" w:sz="4" w:space="0" w:color="000000"/>
              <w:left w:val="single" w:sz="4" w:space="0" w:color="000000"/>
              <w:bottom w:val="single" w:sz="4" w:space="0" w:color="000000"/>
            </w:tcBorders>
            <w:shd w:val="clear" w:color="auto" w:fill="auto"/>
          </w:tcPr>
          <w:p w14:paraId="1A80E981" w14:textId="77777777" w:rsidR="00BD6608" w:rsidRDefault="00BD6608" w:rsidP="005D3728">
            <w:pPr>
              <w:spacing w:line="100" w:lineRule="atLeast"/>
            </w:pPr>
            <w:proofErr w:type="gramStart"/>
            <w:r>
              <w:t>( 366</w:t>
            </w:r>
            <w:proofErr w:type="gramEnd"/>
            <w:r>
              <w:t xml:space="preserve"> / 6441 ) * 100</w:t>
            </w:r>
          </w:p>
        </w:tc>
        <w:tc>
          <w:tcPr>
            <w:tcW w:w="1171" w:type="dxa"/>
            <w:tcBorders>
              <w:top w:val="single" w:sz="4" w:space="0" w:color="000000"/>
              <w:left w:val="single" w:sz="4" w:space="0" w:color="000000"/>
              <w:bottom w:val="single" w:sz="4" w:space="0" w:color="000000"/>
            </w:tcBorders>
            <w:shd w:val="clear" w:color="auto" w:fill="auto"/>
          </w:tcPr>
          <w:p w14:paraId="5E8ABBB9" w14:textId="77777777" w:rsidR="00BD6608" w:rsidRDefault="00BD6608" w:rsidP="005D3728">
            <w:pPr>
              <w:spacing w:line="100" w:lineRule="atLeast"/>
            </w:pPr>
            <w:r>
              <w:t>(431/</w:t>
            </w:r>
            <w:proofErr w:type="gramStart"/>
            <w:r>
              <w:t>6738)*</w:t>
            </w:r>
            <w:proofErr w:type="gramEnd"/>
            <w:r>
              <w:t>100</w:t>
            </w:r>
          </w:p>
        </w:tc>
        <w:tc>
          <w:tcPr>
            <w:tcW w:w="1089" w:type="dxa"/>
            <w:tcBorders>
              <w:top w:val="single" w:sz="4" w:space="0" w:color="000000"/>
              <w:left w:val="single" w:sz="4" w:space="0" w:color="000000"/>
              <w:bottom w:val="single" w:sz="4" w:space="0" w:color="000000"/>
            </w:tcBorders>
            <w:shd w:val="clear" w:color="auto" w:fill="auto"/>
          </w:tcPr>
          <w:p w14:paraId="0B509B73" w14:textId="77777777" w:rsidR="00BD6608" w:rsidRDefault="00BD6608" w:rsidP="005D3728">
            <w:pPr>
              <w:spacing w:line="100" w:lineRule="atLeast"/>
            </w:pPr>
            <w:r>
              <w:t>6 %</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14:paraId="2E684C31" w14:textId="77777777" w:rsidR="00BD6608" w:rsidRDefault="00BD6608" w:rsidP="005D3728">
            <w:pPr>
              <w:spacing w:line="100" w:lineRule="atLeast"/>
            </w:pPr>
            <w:r>
              <w:t>6 %</w:t>
            </w:r>
          </w:p>
        </w:tc>
      </w:tr>
      <w:tr w:rsidR="00BD6608" w14:paraId="2892319B" w14:textId="77777777" w:rsidTr="005D3728">
        <w:trPr>
          <w:trHeight w:val="288"/>
        </w:trPr>
        <w:tc>
          <w:tcPr>
            <w:tcW w:w="801" w:type="dxa"/>
            <w:tcBorders>
              <w:top w:val="single" w:sz="4" w:space="0" w:color="000000"/>
              <w:left w:val="single" w:sz="4" w:space="0" w:color="000000"/>
              <w:bottom w:val="single" w:sz="4" w:space="0" w:color="000000"/>
            </w:tcBorders>
            <w:shd w:val="clear" w:color="auto" w:fill="auto"/>
          </w:tcPr>
          <w:p w14:paraId="124B5A93" w14:textId="77777777" w:rsidR="00BD6608" w:rsidRDefault="00BD6608" w:rsidP="005D3728">
            <w:pPr>
              <w:spacing w:line="100" w:lineRule="atLeast"/>
            </w:pPr>
            <w:r>
              <w:t>5</w:t>
            </w:r>
          </w:p>
        </w:tc>
        <w:tc>
          <w:tcPr>
            <w:tcW w:w="1706" w:type="dxa"/>
            <w:tcBorders>
              <w:top w:val="single" w:sz="4" w:space="0" w:color="000000"/>
              <w:left w:val="single" w:sz="4" w:space="0" w:color="000000"/>
              <w:bottom w:val="single" w:sz="4" w:space="0" w:color="000000"/>
            </w:tcBorders>
            <w:shd w:val="clear" w:color="auto" w:fill="auto"/>
          </w:tcPr>
          <w:p w14:paraId="6FDE80A8" w14:textId="77777777" w:rsidR="00BD6608" w:rsidRDefault="00BD6608" w:rsidP="005D3728">
            <w:pPr>
              <w:spacing w:line="100" w:lineRule="atLeast"/>
            </w:pPr>
            <w:r>
              <w:t>Asset turnover</w:t>
            </w:r>
          </w:p>
        </w:tc>
        <w:tc>
          <w:tcPr>
            <w:tcW w:w="1952" w:type="dxa"/>
            <w:tcBorders>
              <w:top w:val="single" w:sz="4" w:space="0" w:color="000000"/>
              <w:left w:val="single" w:sz="4" w:space="0" w:color="000000"/>
              <w:bottom w:val="single" w:sz="4" w:space="0" w:color="000000"/>
            </w:tcBorders>
            <w:shd w:val="clear" w:color="auto" w:fill="auto"/>
          </w:tcPr>
          <w:p w14:paraId="45FAA345" w14:textId="77777777" w:rsidR="00BD6608" w:rsidRDefault="00BD6608" w:rsidP="005D3728">
            <w:pPr>
              <w:spacing w:line="100" w:lineRule="atLeast"/>
            </w:pPr>
            <w:r>
              <w:t>Turnover /Total assets</w:t>
            </w:r>
          </w:p>
        </w:tc>
        <w:tc>
          <w:tcPr>
            <w:tcW w:w="1336" w:type="dxa"/>
            <w:tcBorders>
              <w:top w:val="single" w:sz="4" w:space="0" w:color="000000"/>
              <w:left w:val="single" w:sz="4" w:space="0" w:color="000000"/>
              <w:bottom w:val="single" w:sz="4" w:space="0" w:color="000000"/>
            </w:tcBorders>
            <w:shd w:val="clear" w:color="auto" w:fill="auto"/>
          </w:tcPr>
          <w:p w14:paraId="3B5659D2" w14:textId="77777777" w:rsidR="00BD6608" w:rsidRDefault="00BD6608" w:rsidP="005D3728">
            <w:pPr>
              <w:spacing w:line="100" w:lineRule="atLeast"/>
            </w:pPr>
            <w:r>
              <w:t>6441 / 9736</w:t>
            </w:r>
          </w:p>
        </w:tc>
        <w:tc>
          <w:tcPr>
            <w:tcW w:w="1171" w:type="dxa"/>
            <w:tcBorders>
              <w:top w:val="single" w:sz="4" w:space="0" w:color="000000"/>
              <w:left w:val="single" w:sz="4" w:space="0" w:color="000000"/>
              <w:bottom w:val="single" w:sz="4" w:space="0" w:color="000000"/>
            </w:tcBorders>
            <w:shd w:val="clear" w:color="auto" w:fill="auto"/>
          </w:tcPr>
          <w:p w14:paraId="7AC09943" w14:textId="77777777" w:rsidR="00BD6608" w:rsidRDefault="00BD6608" w:rsidP="005D3728">
            <w:pPr>
              <w:spacing w:line="100" w:lineRule="atLeast"/>
            </w:pPr>
            <w:r>
              <w:t>6738/10087</w:t>
            </w:r>
          </w:p>
        </w:tc>
        <w:tc>
          <w:tcPr>
            <w:tcW w:w="1089" w:type="dxa"/>
            <w:tcBorders>
              <w:top w:val="single" w:sz="4" w:space="0" w:color="000000"/>
              <w:left w:val="single" w:sz="4" w:space="0" w:color="000000"/>
              <w:bottom w:val="single" w:sz="4" w:space="0" w:color="000000"/>
            </w:tcBorders>
            <w:shd w:val="clear" w:color="auto" w:fill="auto"/>
          </w:tcPr>
          <w:p w14:paraId="49C4A696" w14:textId="77777777" w:rsidR="00BD6608" w:rsidRDefault="00BD6608" w:rsidP="005D3728">
            <w:pPr>
              <w:spacing w:line="100" w:lineRule="atLeast"/>
            </w:pPr>
            <w:r>
              <w:t>0.661565 times</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14:paraId="18379D17" w14:textId="77777777" w:rsidR="00BD6608" w:rsidRDefault="00BD6608" w:rsidP="005D3728">
            <w:pPr>
              <w:spacing w:line="100" w:lineRule="atLeast"/>
            </w:pPr>
            <w:r>
              <w:t>0.667989 times</w:t>
            </w:r>
          </w:p>
        </w:tc>
      </w:tr>
      <w:tr w:rsidR="00BD6608" w14:paraId="61F826E6" w14:textId="77777777" w:rsidTr="005D3728">
        <w:trPr>
          <w:trHeight w:val="577"/>
        </w:trPr>
        <w:tc>
          <w:tcPr>
            <w:tcW w:w="801" w:type="dxa"/>
            <w:tcBorders>
              <w:top w:val="single" w:sz="4" w:space="0" w:color="000000"/>
              <w:left w:val="single" w:sz="4" w:space="0" w:color="000000"/>
              <w:bottom w:val="single" w:sz="4" w:space="0" w:color="000000"/>
            </w:tcBorders>
            <w:shd w:val="clear" w:color="auto" w:fill="auto"/>
          </w:tcPr>
          <w:p w14:paraId="0B85CE45" w14:textId="77777777" w:rsidR="00BD6608" w:rsidRDefault="00BD6608" w:rsidP="005D3728">
            <w:pPr>
              <w:spacing w:line="100" w:lineRule="atLeast"/>
            </w:pPr>
            <w:r>
              <w:t>6</w:t>
            </w:r>
          </w:p>
        </w:tc>
        <w:tc>
          <w:tcPr>
            <w:tcW w:w="1706" w:type="dxa"/>
            <w:tcBorders>
              <w:top w:val="single" w:sz="4" w:space="0" w:color="000000"/>
              <w:left w:val="single" w:sz="4" w:space="0" w:color="000000"/>
              <w:bottom w:val="single" w:sz="4" w:space="0" w:color="000000"/>
            </w:tcBorders>
            <w:shd w:val="clear" w:color="auto" w:fill="auto"/>
          </w:tcPr>
          <w:p w14:paraId="2746E112" w14:textId="77777777" w:rsidR="00BD6608" w:rsidRDefault="00BD6608" w:rsidP="005D3728">
            <w:pPr>
              <w:spacing w:line="100" w:lineRule="atLeast"/>
            </w:pPr>
            <w:r>
              <w:t>Stock holding days</w:t>
            </w:r>
          </w:p>
        </w:tc>
        <w:tc>
          <w:tcPr>
            <w:tcW w:w="1952" w:type="dxa"/>
            <w:tcBorders>
              <w:top w:val="single" w:sz="4" w:space="0" w:color="000000"/>
              <w:left w:val="single" w:sz="4" w:space="0" w:color="000000"/>
              <w:bottom w:val="single" w:sz="4" w:space="0" w:color="000000"/>
            </w:tcBorders>
            <w:shd w:val="clear" w:color="auto" w:fill="auto"/>
          </w:tcPr>
          <w:p w14:paraId="65352543" w14:textId="77777777" w:rsidR="00BD6608" w:rsidRDefault="00BD6608" w:rsidP="005D3728">
            <w:pPr>
              <w:spacing w:line="100" w:lineRule="atLeast"/>
            </w:pPr>
            <w:proofErr w:type="gramStart"/>
            <w:r>
              <w:t>( Average</w:t>
            </w:r>
            <w:proofErr w:type="gramEnd"/>
            <w:r>
              <w:t xml:space="preserve"> inventory / cost of goods sold ) * 365 days</w:t>
            </w:r>
          </w:p>
        </w:tc>
        <w:tc>
          <w:tcPr>
            <w:tcW w:w="1336" w:type="dxa"/>
            <w:tcBorders>
              <w:top w:val="single" w:sz="4" w:space="0" w:color="000000"/>
              <w:left w:val="single" w:sz="4" w:space="0" w:color="000000"/>
              <w:bottom w:val="single" w:sz="4" w:space="0" w:color="000000"/>
            </w:tcBorders>
            <w:shd w:val="clear" w:color="auto" w:fill="auto"/>
          </w:tcPr>
          <w:p w14:paraId="42E35E3F" w14:textId="77777777" w:rsidR="00BD6608" w:rsidRDefault="00BD6608" w:rsidP="005D3728">
            <w:pPr>
              <w:spacing w:line="100" w:lineRule="atLeast"/>
            </w:pPr>
            <w:proofErr w:type="gramStart"/>
            <w:r>
              <w:t>( 659</w:t>
            </w:r>
            <w:proofErr w:type="gramEnd"/>
            <w:r>
              <w:t xml:space="preserve"> / 3096 ) * 365 days</w:t>
            </w:r>
          </w:p>
        </w:tc>
        <w:tc>
          <w:tcPr>
            <w:tcW w:w="1171" w:type="dxa"/>
            <w:tcBorders>
              <w:top w:val="single" w:sz="4" w:space="0" w:color="000000"/>
              <w:left w:val="single" w:sz="4" w:space="0" w:color="000000"/>
              <w:bottom w:val="single" w:sz="4" w:space="0" w:color="000000"/>
            </w:tcBorders>
            <w:shd w:val="clear" w:color="auto" w:fill="auto"/>
          </w:tcPr>
          <w:p w14:paraId="27A367BC" w14:textId="77777777" w:rsidR="00BD6608" w:rsidRDefault="00BD6608" w:rsidP="005D3728">
            <w:pPr>
              <w:spacing w:line="100" w:lineRule="atLeast"/>
            </w:pPr>
            <w:r>
              <w:t>(708/</w:t>
            </w:r>
            <w:proofErr w:type="gramStart"/>
            <w:r>
              <w:t>3235)*</w:t>
            </w:r>
            <w:proofErr w:type="gramEnd"/>
            <w:r>
              <w:t>365 days</w:t>
            </w:r>
          </w:p>
        </w:tc>
        <w:tc>
          <w:tcPr>
            <w:tcW w:w="1089" w:type="dxa"/>
            <w:tcBorders>
              <w:top w:val="single" w:sz="4" w:space="0" w:color="000000"/>
              <w:left w:val="single" w:sz="4" w:space="0" w:color="000000"/>
              <w:bottom w:val="single" w:sz="4" w:space="0" w:color="000000"/>
            </w:tcBorders>
            <w:shd w:val="clear" w:color="auto" w:fill="auto"/>
          </w:tcPr>
          <w:p w14:paraId="42CF70C3" w14:textId="77777777" w:rsidR="00BD6608" w:rsidRDefault="00BD6608" w:rsidP="005D3728">
            <w:pPr>
              <w:spacing w:line="100" w:lineRule="atLeast"/>
            </w:pPr>
            <w:r>
              <w:t>77.69218 days</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14:paraId="2B25BE09" w14:textId="77777777" w:rsidR="00BD6608" w:rsidRDefault="00BD6608" w:rsidP="005D3728">
            <w:pPr>
              <w:spacing w:line="100" w:lineRule="atLeast"/>
            </w:pPr>
            <w:r>
              <w:t>79.88253 days</w:t>
            </w:r>
          </w:p>
        </w:tc>
      </w:tr>
      <w:tr w:rsidR="00BD6608" w14:paraId="2743CE08" w14:textId="77777777" w:rsidTr="005D3728">
        <w:trPr>
          <w:trHeight w:val="577"/>
        </w:trPr>
        <w:tc>
          <w:tcPr>
            <w:tcW w:w="801" w:type="dxa"/>
            <w:tcBorders>
              <w:top w:val="single" w:sz="4" w:space="0" w:color="000000"/>
              <w:left w:val="single" w:sz="4" w:space="0" w:color="000000"/>
              <w:bottom w:val="single" w:sz="4" w:space="0" w:color="000000"/>
            </w:tcBorders>
            <w:shd w:val="clear" w:color="auto" w:fill="auto"/>
          </w:tcPr>
          <w:p w14:paraId="07F93846" w14:textId="77777777" w:rsidR="00BD6608" w:rsidRDefault="00BD6608" w:rsidP="005D3728">
            <w:pPr>
              <w:spacing w:line="100" w:lineRule="atLeast"/>
            </w:pPr>
            <w:r>
              <w:t>7</w:t>
            </w:r>
          </w:p>
        </w:tc>
        <w:tc>
          <w:tcPr>
            <w:tcW w:w="1706" w:type="dxa"/>
            <w:tcBorders>
              <w:top w:val="single" w:sz="4" w:space="0" w:color="000000"/>
              <w:left w:val="single" w:sz="4" w:space="0" w:color="000000"/>
              <w:bottom w:val="single" w:sz="4" w:space="0" w:color="000000"/>
            </w:tcBorders>
            <w:shd w:val="clear" w:color="auto" w:fill="auto"/>
          </w:tcPr>
          <w:p w14:paraId="7EF08C6C" w14:textId="77777777" w:rsidR="00BD6608" w:rsidRDefault="00BD6608" w:rsidP="005D3728">
            <w:pPr>
              <w:spacing w:line="100" w:lineRule="atLeast"/>
            </w:pPr>
            <w:r>
              <w:t>Debtors collection period</w:t>
            </w:r>
          </w:p>
        </w:tc>
        <w:tc>
          <w:tcPr>
            <w:tcW w:w="1952" w:type="dxa"/>
            <w:tcBorders>
              <w:top w:val="single" w:sz="4" w:space="0" w:color="000000"/>
              <w:left w:val="single" w:sz="4" w:space="0" w:color="000000"/>
              <w:bottom w:val="single" w:sz="4" w:space="0" w:color="000000"/>
            </w:tcBorders>
            <w:shd w:val="clear" w:color="auto" w:fill="auto"/>
          </w:tcPr>
          <w:p w14:paraId="6D4817DF" w14:textId="77777777" w:rsidR="00BD6608" w:rsidRDefault="00BD6608" w:rsidP="005D3728">
            <w:pPr>
              <w:spacing w:line="100" w:lineRule="atLeast"/>
            </w:pPr>
            <w:r>
              <w:t>(Accounts receivable / total credit sales) * 365 days</w:t>
            </w:r>
          </w:p>
        </w:tc>
        <w:tc>
          <w:tcPr>
            <w:tcW w:w="1336" w:type="dxa"/>
            <w:tcBorders>
              <w:top w:val="single" w:sz="4" w:space="0" w:color="000000"/>
              <w:left w:val="single" w:sz="4" w:space="0" w:color="000000"/>
              <w:bottom w:val="single" w:sz="4" w:space="0" w:color="000000"/>
            </w:tcBorders>
            <w:shd w:val="clear" w:color="auto" w:fill="auto"/>
          </w:tcPr>
          <w:p w14:paraId="01C8C3F8" w14:textId="77777777" w:rsidR="00BD6608" w:rsidRDefault="00BD6608" w:rsidP="005D3728">
            <w:pPr>
              <w:spacing w:line="100" w:lineRule="atLeast"/>
            </w:pPr>
            <w:proofErr w:type="gramStart"/>
            <w:r>
              <w:t>( 1287</w:t>
            </w:r>
            <w:proofErr w:type="gramEnd"/>
            <w:r>
              <w:t xml:space="preserve"> / 6441 ) * 365 days</w:t>
            </w:r>
          </w:p>
        </w:tc>
        <w:tc>
          <w:tcPr>
            <w:tcW w:w="1171" w:type="dxa"/>
            <w:tcBorders>
              <w:top w:val="single" w:sz="4" w:space="0" w:color="000000"/>
              <w:left w:val="single" w:sz="4" w:space="0" w:color="000000"/>
              <w:bottom w:val="single" w:sz="4" w:space="0" w:color="000000"/>
            </w:tcBorders>
            <w:shd w:val="clear" w:color="auto" w:fill="auto"/>
          </w:tcPr>
          <w:p w14:paraId="0E12C19C" w14:textId="77777777" w:rsidR="00BD6608" w:rsidRDefault="00BD6608" w:rsidP="005D3728">
            <w:pPr>
              <w:spacing w:line="100" w:lineRule="atLeast"/>
            </w:pPr>
            <w:r>
              <w:t>(1249/</w:t>
            </w:r>
            <w:proofErr w:type="gramStart"/>
            <w:r>
              <w:t>6738)*</w:t>
            </w:r>
            <w:proofErr w:type="gramEnd"/>
            <w:r>
              <w:t>365 days</w:t>
            </w:r>
          </w:p>
        </w:tc>
        <w:tc>
          <w:tcPr>
            <w:tcW w:w="1089" w:type="dxa"/>
            <w:tcBorders>
              <w:top w:val="single" w:sz="4" w:space="0" w:color="000000"/>
              <w:left w:val="single" w:sz="4" w:space="0" w:color="000000"/>
              <w:bottom w:val="single" w:sz="4" w:space="0" w:color="000000"/>
            </w:tcBorders>
            <w:shd w:val="clear" w:color="auto" w:fill="auto"/>
          </w:tcPr>
          <w:p w14:paraId="009A4037" w14:textId="77777777" w:rsidR="00BD6608" w:rsidRDefault="00BD6608" w:rsidP="005D3728">
            <w:pPr>
              <w:spacing w:line="100" w:lineRule="atLeast"/>
            </w:pPr>
            <w:r>
              <w:t>72.932 days</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14:paraId="389E2D7C" w14:textId="77777777" w:rsidR="00BD6608" w:rsidRDefault="00BD6608" w:rsidP="005D3728">
            <w:pPr>
              <w:spacing w:line="100" w:lineRule="atLeast"/>
            </w:pPr>
            <w:r>
              <w:t>67.6588 days</w:t>
            </w:r>
          </w:p>
        </w:tc>
      </w:tr>
      <w:tr w:rsidR="00BD6608" w14:paraId="755DF6D8" w14:textId="77777777" w:rsidTr="005D3728">
        <w:trPr>
          <w:trHeight w:val="288"/>
        </w:trPr>
        <w:tc>
          <w:tcPr>
            <w:tcW w:w="801" w:type="dxa"/>
            <w:tcBorders>
              <w:top w:val="single" w:sz="4" w:space="0" w:color="000000"/>
              <w:left w:val="single" w:sz="4" w:space="0" w:color="000000"/>
              <w:bottom w:val="single" w:sz="4" w:space="0" w:color="000000"/>
            </w:tcBorders>
            <w:shd w:val="clear" w:color="auto" w:fill="auto"/>
          </w:tcPr>
          <w:p w14:paraId="6F43E1FE" w14:textId="77777777" w:rsidR="00BD6608" w:rsidRDefault="00BD6608" w:rsidP="005D3728">
            <w:pPr>
              <w:spacing w:line="100" w:lineRule="atLeast"/>
            </w:pPr>
            <w:r>
              <w:t>8</w:t>
            </w:r>
          </w:p>
        </w:tc>
        <w:tc>
          <w:tcPr>
            <w:tcW w:w="1706" w:type="dxa"/>
            <w:tcBorders>
              <w:top w:val="single" w:sz="4" w:space="0" w:color="000000"/>
              <w:left w:val="single" w:sz="4" w:space="0" w:color="000000"/>
              <w:bottom w:val="single" w:sz="4" w:space="0" w:color="000000"/>
            </w:tcBorders>
            <w:shd w:val="clear" w:color="auto" w:fill="auto"/>
          </w:tcPr>
          <w:p w14:paraId="1A41CC5B" w14:textId="77777777" w:rsidR="00BD6608" w:rsidRDefault="00BD6608" w:rsidP="005D3728">
            <w:pPr>
              <w:spacing w:line="100" w:lineRule="atLeast"/>
            </w:pPr>
            <w:r>
              <w:t>Current ratio</w:t>
            </w:r>
          </w:p>
        </w:tc>
        <w:tc>
          <w:tcPr>
            <w:tcW w:w="1952" w:type="dxa"/>
            <w:tcBorders>
              <w:top w:val="single" w:sz="4" w:space="0" w:color="000000"/>
              <w:left w:val="single" w:sz="4" w:space="0" w:color="000000"/>
              <w:bottom w:val="single" w:sz="4" w:space="0" w:color="000000"/>
            </w:tcBorders>
            <w:shd w:val="clear" w:color="auto" w:fill="auto"/>
          </w:tcPr>
          <w:p w14:paraId="694974EE" w14:textId="77777777" w:rsidR="00BD6608" w:rsidRDefault="00BD6608" w:rsidP="005D3728">
            <w:pPr>
              <w:spacing w:line="100" w:lineRule="atLeast"/>
            </w:pPr>
            <w:r>
              <w:t>Current assets / current liabilities</w:t>
            </w:r>
          </w:p>
        </w:tc>
        <w:tc>
          <w:tcPr>
            <w:tcW w:w="1336" w:type="dxa"/>
            <w:tcBorders>
              <w:top w:val="single" w:sz="4" w:space="0" w:color="000000"/>
              <w:left w:val="single" w:sz="4" w:space="0" w:color="000000"/>
              <w:bottom w:val="single" w:sz="4" w:space="0" w:color="000000"/>
            </w:tcBorders>
            <w:shd w:val="clear" w:color="auto" w:fill="auto"/>
          </w:tcPr>
          <w:p w14:paraId="4217BF4E" w14:textId="77777777" w:rsidR="00BD6608" w:rsidRDefault="00BD6608" w:rsidP="005D3728">
            <w:pPr>
              <w:spacing w:line="100" w:lineRule="atLeast"/>
            </w:pPr>
            <w:r>
              <w:t>2355 / 3046</w:t>
            </w:r>
          </w:p>
        </w:tc>
        <w:tc>
          <w:tcPr>
            <w:tcW w:w="1171" w:type="dxa"/>
            <w:tcBorders>
              <w:top w:val="single" w:sz="4" w:space="0" w:color="000000"/>
              <w:left w:val="single" w:sz="4" w:space="0" w:color="000000"/>
              <w:bottom w:val="single" w:sz="4" w:space="0" w:color="000000"/>
            </w:tcBorders>
            <w:shd w:val="clear" w:color="auto" w:fill="auto"/>
          </w:tcPr>
          <w:p w14:paraId="2412DBF2" w14:textId="77777777" w:rsidR="00BD6608" w:rsidRDefault="00BD6608" w:rsidP="005D3728">
            <w:pPr>
              <w:spacing w:line="100" w:lineRule="atLeast"/>
            </w:pPr>
            <w:r>
              <w:t>2303/2511</w:t>
            </w:r>
          </w:p>
        </w:tc>
        <w:tc>
          <w:tcPr>
            <w:tcW w:w="1089" w:type="dxa"/>
            <w:tcBorders>
              <w:top w:val="single" w:sz="4" w:space="0" w:color="000000"/>
              <w:left w:val="single" w:sz="4" w:space="0" w:color="000000"/>
              <w:bottom w:val="single" w:sz="4" w:space="0" w:color="000000"/>
            </w:tcBorders>
            <w:shd w:val="clear" w:color="auto" w:fill="auto"/>
          </w:tcPr>
          <w:p w14:paraId="028C86C5" w14:textId="77777777" w:rsidR="00BD6608" w:rsidRDefault="00BD6608" w:rsidP="005D3728">
            <w:pPr>
              <w:spacing w:line="100" w:lineRule="atLeast"/>
            </w:pPr>
            <w:r>
              <w:t>0.773145 times</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14:paraId="641ADB5A" w14:textId="77777777" w:rsidR="00BD6608" w:rsidRDefault="00BD6608" w:rsidP="005D3728">
            <w:pPr>
              <w:spacing w:line="100" w:lineRule="atLeast"/>
            </w:pPr>
            <w:r>
              <w:t>0.917164 times</w:t>
            </w:r>
          </w:p>
        </w:tc>
      </w:tr>
      <w:tr w:rsidR="00BD6608" w14:paraId="5B047246" w14:textId="77777777" w:rsidTr="005D3728">
        <w:trPr>
          <w:trHeight w:val="288"/>
        </w:trPr>
        <w:tc>
          <w:tcPr>
            <w:tcW w:w="801" w:type="dxa"/>
            <w:tcBorders>
              <w:top w:val="single" w:sz="4" w:space="0" w:color="000000"/>
              <w:left w:val="single" w:sz="4" w:space="0" w:color="000000"/>
              <w:bottom w:val="single" w:sz="4" w:space="0" w:color="000000"/>
            </w:tcBorders>
            <w:shd w:val="clear" w:color="auto" w:fill="auto"/>
          </w:tcPr>
          <w:p w14:paraId="30D3A392" w14:textId="77777777" w:rsidR="00BD6608" w:rsidRDefault="00BD6608" w:rsidP="005D3728">
            <w:pPr>
              <w:spacing w:line="100" w:lineRule="atLeast"/>
            </w:pPr>
            <w:r>
              <w:t>9</w:t>
            </w:r>
          </w:p>
        </w:tc>
        <w:tc>
          <w:tcPr>
            <w:tcW w:w="1706" w:type="dxa"/>
            <w:tcBorders>
              <w:top w:val="single" w:sz="4" w:space="0" w:color="000000"/>
              <w:left w:val="single" w:sz="4" w:space="0" w:color="000000"/>
              <w:bottom w:val="single" w:sz="4" w:space="0" w:color="000000"/>
            </w:tcBorders>
            <w:shd w:val="clear" w:color="auto" w:fill="auto"/>
          </w:tcPr>
          <w:p w14:paraId="4236EF7B" w14:textId="77777777" w:rsidR="00BD6608" w:rsidRDefault="00BD6608" w:rsidP="005D3728">
            <w:pPr>
              <w:spacing w:line="100" w:lineRule="atLeast"/>
            </w:pPr>
            <w:r>
              <w:t>Gearing ratio</w:t>
            </w:r>
          </w:p>
        </w:tc>
        <w:tc>
          <w:tcPr>
            <w:tcW w:w="1952" w:type="dxa"/>
            <w:tcBorders>
              <w:top w:val="single" w:sz="4" w:space="0" w:color="000000"/>
              <w:left w:val="single" w:sz="4" w:space="0" w:color="000000"/>
              <w:bottom w:val="single" w:sz="4" w:space="0" w:color="000000"/>
            </w:tcBorders>
            <w:shd w:val="clear" w:color="auto" w:fill="auto"/>
          </w:tcPr>
          <w:p w14:paraId="508E1A8C" w14:textId="77777777" w:rsidR="00BD6608" w:rsidRDefault="00BD6608" w:rsidP="005D3728">
            <w:pPr>
              <w:spacing w:line="100" w:lineRule="atLeast"/>
            </w:pPr>
            <w:r>
              <w:t>Total debt / total equity</w:t>
            </w:r>
          </w:p>
        </w:tc>
        <w:tc>
          <w:tcPr>
            <w:tcW w:w="1336" w:type="dxa"/>
            <w:tcBorders>
              <w:top w:val="single" w:sz="4" w:space="0" w:color="000000"/>
              <w:left w:val="single" w:sz="4" w:space="0" w:color="000000"/>
              <w:bottom w:val="single" w:sz="4" w:space="0" w:color="000000"/>
            </w:tcBorders>
            <w:shd w:val="clear" w:color="auto" w:fill="auto"/>
          </w:tcPr>
          <w:p w14:paraId="769D5708" w14:textId="77777777" w:rsidR="00BD6608" w:rsidRDefault="00BD6608" w:rsidP="005D3728">
            <w:pPr>
              <w:spacing w:line="100" w:lineRule="atLeast"/>
            </w:pPr>
            <w:r>
              <w:t>4129 / 2912</w:t>
            </w:r>
          </w:p>
        </w:tc>
        <w:tc>
          <w:tcPr>
            <w:tcW w:w="1171" w:type="dxa"/>
            <w:tcBorders>
              <w:top w:val="single" w:sz="4" w:space="0" w:color="000000"/>
              <w:left w:val="single" w:sz="4" w:space="0" w:color="000000"/>
              <w:bottom w:val="single" w:sz="4" w:space="0" w:color="000000"/>
            </w:tcBorders>
            <w:shd w:val="clear" w:color="auto" w:fill="auto"/>
          </w:tcPr>
          <w:p w14:paraId="0D20B682" w14:textId="77777777" w:rsidR="00BD6608" w:rsidRDefault="00BD6608" w:rsidP="005D3728">
            <w:pPr>
              <w:spacing w:line="100" w:lineRule="atLeast"/>
            </w:pPr>
            <w:r>
              <w:t>4137/3088</w:t>
            </w:r>
          </w:p>
        </w:tc>
        <w:tc>
          <w:tcPr>
            <w:tcW w:w="1089" w:type="dxa"/>
            <w:tcBorders>
              <w:top w:val="single" w:sz="4" w:space="0" w:color="000000"/>
              <w:left w:val="single" w:sz="4" w:space="0" w:color="000000"/>
              <w:bottom w:val="single" w:sz="4" w:space="0" w:color="000000"/>
            </w:tcBorders>
            <w:shd w:val="clear" w:color="auto" w:fill="auto"/>
          </w:tcPr>
          <w:p w14:paraId="3B066295" w14:textId="77777777" w:rsidR="00BD6608" w:rsidRDefault="00BD6608" w:rsidP="005D3728">
            <w:pPr>
              <w:spacing w:line="100" w:lineRule="atLeast"/>
            </w:pPr>
            <w:r>
              <w:t>1.417926 times</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14:paraId="7F00C14C" w14:textId="77777777" w:rsidR="00BD6608" w:rsidRDefault="00BD6608" w:rsidP="005D3728">
            <w:pPr>
              <w:spacing w:line="100" w:lineRule="atLeast"/>
            </w:pPr>
            <w:r>
              <w:t>1.339702 times</w:t>
            </w:r>
          </w:p>
        </w:tc>
      </w:tr>
      <w:tr w:rsidR="00BD6608" w14:paraId="4C272F87" w14:textId="77777777" w:rsidTr="005D3728">
        <w:trPr>
          <w:trHeight w:val="288"/>
        </w:trPr>
        <w:tc>
          <w:tcPr>
            <w:tcW w:w="801" w:type="dxa"/>
            <w:tcBorders>
              <w:top w:val="single" w:sz="4" w:space="0" w:color="000000"/>
              <w:left w:val="single" w:sz="4" w:space="0" w:color="000000"/>
              <w:bottom w:val="single" w:sz="4" w:space="0" w:color="000000"/>
            </w:tcBorders>
            <w:shd w:val="clear" w:color="auto" w:fill="auto"/>
          </w:tcPr>
          <w:p w14:paraId="54A0D666" w14:textId="77777777" w:rsidR="00BD6608" w:rsidRDefault="00BD6608" w:rsidP="005D3728">
            <w:pPr>
              <w:spacing w:line="100" w:lineRule="atLeast"/>
            </w:pPr>
            <w:r>
              <w:lastRenderedPageBreak/>
              <w:t>10</w:t>
            </w:r>
          </w:p>
        </w:tc>
        <w:tc>
          <w:tcPr>
            <w:tcW w:w="1706" w:type="dxa"/>
            <w:tcBorders>
              <w:top w:val="single" w:sz="4" w:space="0" w:color="000000"/>
              <w:left w:val="single" w:sz="4" w:space="0" w:color="000000"/>
              <w:bottom w:val="single" w:sz="4" w:space="0" w:color="000000"/>
            </w:tcBorders>
            <w:shd w:val="clear" w:color="auto" w:fill="auto"/>
          </w:tcPr>
          <w:p w14:paraId="394DE145" w14:textId="77777777" w:rsidR="00BD6608" w:rsidRDefault="00BD6608" w:rsidP="005D3728">
            <w:pPr>
              <w:spacing w:line="100" w:lineRule="atLeast"/>
            </w:pPr>
            <w:r>
              <w:t>Interest cover</w:t>
            </w:r>
          </w:p>
        </w:tc>
        <w:tc>
          <w:tcPr>
            <w:tcW w:w="1952" w:type="dxa"/>
            <w:tcBorders>
              <w:top w:val="single" w:sz="4" w:space="0" w:color="000000"/>
              <w:left w:val="single" w:sz="4" w:space="0" w:color="000000"/>
              <w:bottom w:val="single" w:sz="4" w:space="0" w:color="000000"/>
            </w:tcBorders>
            <w:shd w:val="clear" w:color="auto" w:fill="auto"/>
          </w:tcPr>
          <w:p w14:paraId="7BC7E237" w14:textId="77777777" w:rsidR="00BD6608" w:rsidRDefault="00BD6608" w:rsidP="005D3728">
            <w:pPr>
              <w:spacing w:line="100" w:lineRule="atLeast"/>
            </w:pPr>
            <w:r>
              <w:t>EBIT / Interest expense</w:t>
            </w:r>
          </w:p>
        </w:tc>
        <w:tc>
          <w:tcPr>
            <w:tcW w:w="1336" w:type="dxa"/>
            <w:tcBorders>
              <w:top w:val="single" w:sz="4" w:space="0" w:color="000000"/>
              <w:left w:val="single" w:sz="4" w:space="0" w:color="000000"/>
              <w:bottom w:val="single" w:sz="4" w:space="0" w:color="000000"/>
            </w:tcBorders>
            <w:shd w:val="clear" w:color="auto" w:fill="auto"/>
          </w:tcPr>
          <w:p w14:paraId="3E3E4321" w14:textId="77777777" w:rsidR="00BD6608" w:rsidRDefault="00BD6608" w:rsidP="005D3728">
            <w:pPr>
              <w:spacing w:line="100" w:lineRule="atLeast"/>
            </w:pPr>
            <w:r>
              <w:t>699 / 181</w:t>
            </w:r>
          </w:p>
        </w:tc>
        <w:tc>
          <w:tcPr>
            <w:tcW w:w="1171" w:type="dxa"/>
            <w:tcBorders>
              <w:top w:val="single" w:sz="4" w:space="0" w:color="000000"/>
              <w:left w:val="single" w:sz="4" w:space="0" w:color="000000"/>
              <w:bottom w:val="single" w:sz="4" w:space="0" w:color="000000"/>
            </w:tcBorders>
            <w:shd w:val="clear" w:color="auto" w:fill="auto"/>
          </w:tcPr>
          <w:p w14:paraId="75A2193C" w14:textId="77777777" w:rsidR="00BD6608" w:rsidRDefault="00BD6608" w:rsidP="005D3728">
            <w:pPr>
              <w:spacing w:line="100" w:lineRule="atLeast"/>
            </w:pPr>
            <w:r>
              <w:t>805/226</w:t>
            </w:r>
          </w:p>
        </w:tc>
        <w:tc>
          <w:tcPr>
            <w:tcW w:w="1089" w:type="dxa"/>
            <w:tcBorders>
              <w:top w:val="single" w:sz="4" w:space="0" w:color="000000"/>
              <w:left w:val="single" w:sz="4" w:space="0" w:color="000000"/>
              <w:bottom w:val="single" w:sz="4" w:space="0" w:color="000000"/>
            </w:tcBorders>
            <w:shd w:val="clear" w:color="auto" w:fill="auto"/>
          </w:tcPr>
          <w:p w14:paraId="66AF013D" w14:textId="77777777" w:rsidR="00BD6608" w:rsidRDefault="00BD6608" w:rsidP="005D3728">
            <w:pPr>
              <w:spacing w:line="100" w:lineRule="atLeast"/>
            </w:pPr>
            <w:r>
              <w:t>3.861878 times</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14:paraId="62CF7778" w14:textId="77777777" w:rsidR="00BD6608" w:rsidRDefault="00BD6608" w:rsidP="005D3728">
            <w:pPr>
              <w:spacing w:line="100" w:lineRule="atLeast"/>
            </w:pPr>
            <w:r>
              <w:t>3.561947 times</w:t>
            </w:r>
          </w:p>
        </w:tc>
      </w:tr>
    </w:tbl>
    <w:p w14:paraId="16572E54" w14:textId="77777777" w:rsidR="00BD6608" w:rsidRDefault="00BD6608" w:rsidP="00BD6608"/>
    <w:p w14:paraId="29990FA7" w14:textId="77777777" w:rsidR="00BD6608" w:rsidRDefault="00BD6608" w:rsidP="00BD6608">
      <w:pPr>
        <w:pStyle w:val="Heading2"/>
        <w:rPr>
          <w:b/>
        </w:rPr>
      </w:pPr>
      <w:r>
        <w:rPr>
          <w:bCs w:val="0"/>
        </w:rPr>
        <w:t>b) Financial position of Sweets Plc</w:t>
      </w:r>
    </w:p>
    <w:p w14:paraId="6FFA49EA" w14:textId="77777777" w:rsidR="00BD6608" w:rsidRDefault="00BD6608" w:rsidP="00BD6608">
      <w:pPr>
        <w:rPr>
          <w:b/>
          <w:bCs/>
        </w:rPr>
      </w:pPr>
      <w:r>
        <w:rPr>
          <w:b/>
          <w:bCs/>
        </w:rPr>
        <w:t>Return on capital:</w:t>
      </w:r>
      <w:r>
        <w:t xml:space="preserve"> It calculates the ability of firm in generating profits through employing capital into the business </w:t>
      </w:r>
      <w:r>
        <w:rPr>
          <w:color w:val="222222"/>
          <w:szCs w:val="24"/>
          <w:shd w:val="clear" w:color="auto" w:fill="FFFFFF"/>
        </w:rPr>
        <w:t>(Haider, Singh and Sultana, 2021)</w:t>
      </w:r>
      <w:r>
        <w:t xml:space="preserve">. The ratio calculated for the year 2020 and 2021 are 10% and 11%. This shows that the ability of firm has increased in increasing the level of profit with the help of efficiently utilizing the value of capital which is being employed in the entity. </w:t>
      </w:r>
    </w:p>
    <w:p w14:paraId="6FF28473" w14:textId="77777777" w:rsidR="00BD6608" w:rsidRDefault="00BD6608" w:rsidP="00BD6608">
      <w:pPr>
        <w:rPr>
          <w:b/>
          <w:bCs/>
        </w:rPr>
      </w:pPr>
      <w:r>
        <w:rPr>
          <w:b/>
          <w:bCs/>
        </w:rPr>
        <w:t>Return on assets</w:t>
      </w:r>
      <w:r>
        <w:t xml:space="preserve">: It shows how much return firm is able to generate by fully using the value of assets of business. The ratio for the year 2020 and 2021 came out to be 13% and 14%. This increase shows that organization is trying to improve its capacity of maximizing the profits through using assets' value. </w:t>
      </w:r>
    </w:p>
    <w:p w14:paraId="45D02617" w14:textId="77777777" w:rsidR="00BD6608" w:rsidRDefault="00BD6608" w:rsidP="00BD6608">
      <w:pPr>
        <w:rPr>
          <w:b/>
          <w:bCs/>
        </w:rPr>
      </w:pPr>
      <w:r>
        <w:rPr>
          <w:b/>
          <w:bCs/>
        </w:rPr>
        <w:t>Earnings per share</w:t>
      </w:r>
      <w:r>
        <w:t>: It calculates the ability of business in generating profits from money generated from each share which is being issued. The calculation shows a reduction in the ratio from 0.29 times in 2020 to 0.21 times in 2021. Such reduction demonstrates that investors would be provided with lesser return for the investment they have made or for the shares they have purchased.</w:t>
      </w:r>
    </w:p>
    <w:p w14:paraId="5D521300" w14:textId="77777777" w:rsidR="00BD6608" w:rsidRDefault="00BD6608" w:rsidP="00BD6608">
      <w:pPr>
        <w:rPr>
          <w:b/>
          <w:bCs/>
        </w:rPr>
      </w:pPr>
      <w:r>
        <w:rPr>
          <w:b/>
          <w:bCs/>
        </w:rPr>
        <w:t>Net profit margin</w:t>
      </w:r>
      <w:r>
        <w:t xml:space="preserve">: It calculates the amount of profit being generated by the entity by maximizing the sales and reducing the overall cost of business. The net profit ratio calculated for the business is 6% for both the years. This shows that firm does not have made any efforts to increase the profit by increasing the sales. </w:t>
      </w:r>
    </w:p>
    <w:p w14:paraId="30AFCE41" w14:textId="77777777" w:rsidR="00BD6608" w:rsidRDefault="00BD6608" w:rsidP="00BD6608">
      <w:pPr>
        <w:rPr>
          <w:b/>
          <w:bCs/>
        </w:rPr>
      </w:pPr>
      <w:r>
        <w:rPr>
          <w:b/>
          <w:bCs/>
        </w:rPr>
        <w:t>Asset turnover ratio</w:t>
      </w:r>
      <w:r>
        <w:t xml:space="preserve">: It calculates the ability of business in generating sales through employing assets of business. The ratio calculated for the business was recorded at 0.61 times for the year 2020 and 0.67 times for the year 2021. Such increase in ratio shows that firm is trying its best to bring improvement in its ability of utilizing the asset such that revenue could be generated. </w:t>
      </w:r>
    </w:p>
    <w:p w14:paraId="638852A0" w14:textId="77777777" w:rsidR="00BD6608" w:rsidRDefault="00BD6608" w:rsidP="00BD6608">
      <w:pPr>
        <w:rPr>
          <w:b/>
          <w:bCs/>
        </w:rPr>
      </w:pPr>
      <w:r>
        <w:rPr>
          <w:b/>
          <w:bCs/>
        </w:rPr>
        <w:t>Inventory turnover</w:t>
      </w:r>
      <w:r>
        <w:t>: It refers to time period within which the company is able to sell off their assets. Lower the inventory days are considered to be better. In the given case, the inventory turnover days are decreasing from 2020 to 2021. The turnover days in 2020 were 8 days while it decreased to 3 days in 2021. This means that company efficiency to sell its assets are increasing.</w:t>
      </w:r>
    </w:p>
    <w:p w14:paraId="7FD6BB1C" w14:textId="77777777" w:rsidR="00BD6608" w:rsidRDefault="00BD6608" w:rsidP="00BD6608">
      <w:pPr>
        <w:rPr>
          <w:b/>
          <w:bCs/>
        </w:rPr>
      </w:pPr>
      <w:r>
        <w:rPr>
          <w:b/>
          <w:bCs/>
        </w:rPr>
        <w:lastRenderedPageBreak/>
        <w:t>Debtors collection period</w:t>
      </w:r>
      <w:r>
        <w:t>: It refers to the ability to collect money from debtors as quickly as possible. Increase in debtor’s period indicates lower efficiency and vice versa. The debtor’s collection period during 2020 were about 73 days which diminished to 67.65 days in 2021. This means that company is collecting its debts quickly which would help to increase company liquidity.</w:t>
      </w:r>
    </w:p>
    <w:p w14:paraId="6BD50C18" w14:textId="77777777" w:rsidR="00BD6608" w:rsidRDefault="00BD6608" w:rsidP="00BD6608">
      <w:pPr>
        <w:rPr>
          <w:b/>
          <w:bCs/>
        </w:rPr>
      </w:pPr>
      <w:r>
        <w:rPr>
          <w:b/>
          <w:bCs/>
        </w:rPr>
        <w:t>Current ratio</w:t>
      </w:r>
      <w:r>
        <w:t>: It refers to the comparison between the current assets and current liabilities. Current assets refer to the assets which are held for 1 year or less. Current liabilities are those obligations which are needed to me met within the year period. The desired ratio for CR is 2:1. The current ratio according to the above computation is found to be 0.77 during 2020 which increased to 0.91 in 2021. This means that current liquidity of company has been increased.</w:t>
      </w:r>
    </w:p>
    <w:p w14:paraId="673DD659" w14:textId="77777777" w:rsidR="00BD6608" w:rsidRDefault="00BD6608" w:rsidP="00BD6608">
      <w:pPr>
        <w:rPr>
          <w:b/>
          <w:bCs/>
        </w:rPr>
      </w:pPr>
      <w:r>
        <w:rPr>
          <w:b/>
          <w:bCs/>
        </w:rPr>
        <w:t>Gearing ratio</w:t>
      </w:r>
      <w:r>
        <w:t>: It is discussed here is debt to equity ratio. It provides the comparison between total debt employed to total equity. Its desired ratio is 2:1. It means that debt capital must not exceed two times of equity. The current debt equity ratio for company is 1.41 in 2020 which decreased to 1.33 during 2021. This means that the company use of debt is decreasing which would decrease risk factor within the company.</w:t>
      </w:r>
    </w:p>
    <w:p w14:paraId="4A55083F" w14:textId="77777777" w:rsidR="00BD6608" w:rsidRDefault="00BD6608" w:rsidP="00BD6608">
      <w:r>
        <w:rPr>
          <w:b/>
          <w:bCs/>
        </w:rPr>
        <w:t>Interest coverage ratio:</w:t>
      </w:r>
      <w:r>
        <w:t xml:space="preserve"> It helps to compute the ability of the company to meet its interest obligations. It is calculated by dividing EBIT by interest expenses incurred during the period. The Interest coverage ratio is considered to be higher as better. The ICR in 2020 was 3.86 times during 2020 which increased to 3.56 in 2021 which shows company ability to meet its interest liability is decreasing.</w:t>
      </w:r>
    </w:p>
    <w:p w14:paraId="3B2A32A7" w14:textId="77777777" w:rsidR="00BD6608" w:rsidRDefault="00BD6608" w:rsidP="00BD6608"/>
    <w:p w14:paraId="5CE5FB5F" w14:textId="77777777" w:rsidR="00BD6608" w:rsidRDefault="00BD6608" w:rsidP="00BD6608">
      <w:pPr>
        <w:pStyle w:val="Heading1"/>
        <w:rPr>
          <w:szCs w:val="24"/>
        </w:rPr>
      </w:pPr>
      <w:r>
        <w:rPr>
          <w:shd w:val="clear" w:color="auto" w:fill="FFFFFF"/>
        </w:rPr>
        <w:t xml:space="preserve">CONCLUSION </w:t>
      </w:r>
    </w:p>
    <w:p w14:paraId="7DE94905" w14:textId="77777777" w:rsidR="00BD6608" w:rsidRDefault="00BD6608" w:rsidP="00BD6608">
      <w:r>
        <w:rPr>
          <w:szCs w:val="24"/>
        </w:rPr>
        <w:tab/>
        <w:t xml:space="preserve">From the above report it can be concluded that the financial statements are crucial part for the organization to evaluate the financial performance. Financial information is helpful to get overview of the financial health of the organization. Financial ratio </w:t>
      </w:r>
      <w:proofErr w:type="gramStart"/>
      <w:r>
        <w:rPr>
          <w:szCs w:val="24"/>
        </w:rPr>
        <w:t>are</w:t>
      </w:r>
      <w:proofErr w:type="gramEnd"/>
      <w:r>
        <w:rPr>
          <w:szCs w:val="24"/>
        </w:rPr>
        <w:t xml:space="preserve"> easiest way to get financial position overview of the business. Accounting principles are </w:t>
      </w:r>
      <w:proofErr w:type="spellStart"/>
      <w:r>
        <w:rPr>
          <w:szCs w:val="24"/>
        </w:rPr>
        <w:t>use</w:t>
      </w:r>
      <w:proofErr w:type="spellEnd"/>
      <w:r>
        <w:rPr>
          <w:szCs w:val="24"/>
        </w:rPr>
        <w:t xml:space="preserve"> to preparation of the financial statements.</w:t>
      </w:r>
    </w:p>
    <w:p w14:paraId="79A33907" w14:textId="77777777" w:rsidR="00BD6608" w:rsidRDefault="00BD6608" w:rsidP="00BD6608"/>
    <w:p w14:paraId="05CFB742" w14:textId="77777777" w:rsidR="00BD6608" w:rsidRDefault="00BD6608" w:rsidP="00BD6608">
      <w:pPr>
        <w:pStyle w:val="Heading1"/>
        <w:pageBreakBefore/>
        <w:rPr>
          <w:u w:val="single"/>
        </w:rPr>
      </w:pPr>
      <w:r>
        <w:lastRenderedPageBreak/>
        <w:t>REFERENCES</w:t>
      </w:r>
    </w:p>
    <w:p w14:paraId="0CB6203E" w14:textId="77777777" w:rsidR="00BD6608" w:rsidRDefault="00BD6608" w:rsidP="00BD6608">
      <w:pPr>
        <w:rPr>
          <w:color w:val="222222"/>
          <w:szCs w:val="24"/>
          <w:shd w:val="clear" w:color="auto" w:fill="FFFFFF"/>
        </w:rPr>
      </w:pPr>
      <w:r>
        <w:rPr>
          <w:u w:val="single"/>
        </w:rPr>
        <w:t>Books and Journals</w:t>
      </w:r>
    </w:p>
    <w:p w14:paraId="41FFA604" w14:textId="77777777" w:rsidR="00BD6608" w:rsidRDefault="00BD6608" w:rsidP="00BD6608">
      <w:pPr>
        <w:spacing w:line="100" w:lineRule="atLeast"/>
        <w:ind w:left="863" w:hanging="884"/>
        <w:rPr>
          <w:color w:val="222222"/>
          <w:szCs w:val="24"/>
          <w:shd w:val="clear" w:color="auto" w:fill="FFFFFF"/>
        </w:rPr>
      </w:pPr>
      <w:proofErr w:type="spellStart"/>
      <w:r>
        <w:rPr>
          <w:color w:val="222222"/>
          <w:szCs w:val="24"/>
          <w:shd w:val="clear" w:color="auto" w:fill="FFFFFF"/>
        </w:rPr>
        <w:t>Anagnostopoulou</w:t>
      </w:r>
      <w:proofErr w:type="spellEnd"/>
      <w:r>
        <w:rPr>
          <w:color w:val="222222"/>
          <w:szCs w:val="24"/>
          <w:shd w:val="clear" w:color="auto" w:fill="FFFFFF"/>
        </w:rPr>
        <w:t xml:space="preserve">, S.C., </w:t>
      </w:r>
      <w:proofErr w:type="spellStart"/>
      <w:r>
        <w:rPr>
          <w:color w:val="222222"/>
          <w:szCs w:val="24"/>
          <w:shd w:val="clear" w:color="auto" w:fill="FFFFFF"/>
        </w:rPr>
        <w:t>Tsekrekos</w:t>
      </w:r>
      <w:proofErr w:type="spellEnd"/>
      <w:r>
        <w:rPr>
          <w:color w:val="222222"/>
          <w:szCs w:val="24"/>
          <w:shd w:val="clear" w:color="auto" w:fill="FFFFFF"/>
        </w:rPr>
        <w:t>, A.E. and Voulgaris, G., 2021. Accounting conservatism and corporate social responsibility. </w:t>
      </w:r>
      <w:r>
        <w:rPr>
          <w:i/>
          <w:color w:val="222222"/>
          <w:szCs w:val="24"/>
          <w:shd w:val="clear" w:color="auto" w:fill="FFFFFF"/>
        </w:rPr>
        <w:t>The British Accounting Review</w:t>
      </w:r>
      <w:r>
        <w:rPr>
          <w:color w:val="222222"/>
          <w:szCs w:val="24"/>
          <w:shd w:val="clear" w:color="auto" w:fill="FFFFFF"/>
        </w:rPr>
        <w:t>, </w:t>
      </w:r>
      <w:r>
        <w:rPr>
          <w:i/>
          <w:color w:val="222222"/>
          <w:szCs w:val="24"/>
          <w:shd w:val="clear" w:color="auto" w:fill="FFFFFF"/>
        </w:rPr>
        <w:t>53</w:t>
      </w:r>
      <w:r>
        <w:rPr>
          <w:color w:val="222222"/>
          <w:szCs w:val="24"/>
          <w:shd w:val="clear" w:color="auto" w:fill="FFFFFF"/>
        </w:rPr>
        <w:t>(4), p.100942.</w:t>
      </w:r>
    </w:p>
    <w:p w14:paraId="0790C9D6" w14:textId="77777777" w:rsidR="00BD6608" w:rsidRDefault="00BD6608" w:rsidP="00BD6608">
      <w:pPr>
        <w:spacing w:line="100" w:lineRule="atLeast"/>
        <w:ind w:left="863" w:hanging="884"/>
        <w:rPr>
          <w:color w:val="222222"/>
          <w:szCs w:val="24"/>
          <w:shd w:val="clear" w:color="auto" w:fill="FFFFFF"/>
        </w:rPr>
      </w:pPr>
      <w:r>
        <w:rPr>
          <w:color w:val="222222"/>
          <w:szCs w:val="24"/>
          <w:shd w:val="clear" w:color="auto" w:fill="FFFFFF"/>
        </w:rPr>
        <w:t>Carnegie, G.D., 2022. Accounting 101: redefining accounting for </w:t>
      </w:r>
      <w:bookmarkStart w:id="1" w:name="OBJ_PREFIX_DWT60_com_zimbra_date"/>
      <w:bookmarkStart w:id="2" w:name="OBJ_PREFIX_DWT61_com_zimbra_date"/>
      <w:bookmarkEnd w:id="1"/>
      <w:bookmarkEnd w:id="2"/>
      <w:r>
        <w:rPr>
          <w:color w:val="6F1616"/>
        </w:rPr>
        <w:t>tomorrow</w:t>
      </w:r>
      <w:r>
        <w:rPr>
          <w:color w:val="222222"/>
          <w:szCs w:val="24"/>
          <w:shd w:val="clear" w:color="auto" w:fill="FFFFFF"/>
        </w:rPr>
        <w:t>. </w:t>
      </w:r>
      <w:r>
        <w:rPr>
          <w:i/>
          <w:color w:val="222222"/>
          <w:szCs w:val="24"/>
          <w:shd w:val="clear" w:color="auto" w:fill="FFFFFF"/>
        </w:rPr>
        <w:t>Accounting Education</w:t>
      </w:r>
      <w:r>
        <w:rPr>
          <w:color w:val="222222"/>
          <w:szCs w:val="24"/>
          <w:shd w:val="clear" w:color="auto" w:fill="FFFFFF"/>
        </w:rPr>
        <w:t>, </w:t>
      </w:r>
      <w:r>
        <w:rPr>
          <w:i/>
          <w:color w:val="222222"/>
          <w:szCs w:val="24"/>
          <w:shd w:val="clear" w:color="auto" w:fill="FFFFFF"/>
        </w:rPr>
        <w:t>31</w:t>
      </w:r>
      <w:r>
        <w:rPr>
          <w:color w:val="222222"/>
          <w:szCs w:val="24"/>
          <w:shd w:val="clear" w:color="auto" w:fill="FFFFFF"/>
        </w:rPr>
        <w:t>(6), pp.615-628.</w:t>
      </w:r>
    </w:p>
    <w:p w14:paraId="589BDD2C" w14:textId="77777777" w:rsidR="00BD6608" w:rsidRDefault="00BD6608" w:rsidP="00BD6608">
      <w:pPr>
        <w:spacing w:line="100" w:lineRule="atLeast"/>
        <w:ind w:left="863" w:hanging="884"/>
        <w:rPr>
          <w:szCs w:val="24"/>
          <w:shd w:val="clear" w:color="auto" w:fill="FFFFFF"/>
        </w:rPr>
      </w:pPr>
      <w:r>
        <w:rPr>
          <w:color w:val="222222"/>
          <w:szCs w:val="24"/>
          <w:shd w:val="clear" w:color="auto" w:fill="FFFFFF"/>
        </w:rPr>
        <w:t xml:space="preserve">Conley, K., </w:t>
      </w:r>
      <w:proofErr w:type="spellStart"/>
      <w:r>
        <w:rPr>
          <w:color w:val="222222"/>
          <w:szCs w:val="24"/>
          <w:shd w:val="clear" w:color="auto" w:fill="FFFFFF"/>
        </w:rPr>
        <w:t>Natarajarathinam</w:t>
      </w:r>
      <w:proofErr w:type="spellEnd"/>
      <w:r>
        <w:rPr>
          <w:color w:val="222222"/>
          <w:szCs w:val="24"/>
          <w:shd w:val="clear" w:color="auto" w:fill="FFFFFF"/>
        </w:rPr>
        <w:t xml:space="preserve">, M., Lu, W. and </w:t>
      </w:r>
      <w:proofErr w:type="spellStart"/>
      <w:r>
        <w:rPr>
          <w:color w:val="222222"/>
          <w:szCs w:val="24"/>
          <w:shd w:val="clear" w:color="auto" w:fill="FFFFFF"/>
        </w:rPr>
        <w:t>Rangan</w:t>
      </w:r>
      <w:proofErr w:type="spellEnd"/>
      <w:r>
        <w:rPr>
          <w:color w:val="222222"/>
          <w:szCs w:val="24"/>
          <w:shd w:val="clear" w:color="auto" w:fill="FFFFFF"/>
        </w:rPr>
        <w:t>, S., 2019. Effect of accounting policies on effectiveness of inventory management strategies. </w:t>
      </w:r>
      <w:r>
        <w:rPr>
          <w:i/>
          <w:color w:val="222222"/>
          <w:szCs w:val="24"/>
          <w:shd w:val="clear" w:color="auto" w:fill="FFFFFF"/>
        </w:rPr>
        <w:t>Engineering Management Journal</w:t>
      </w:r>
      <w:r>
        <w:rPr>
          <w:color w:val="222222"/>
          <w:szCs w:val="24"/>
          <w:shd w:val="clear" w:color="auto" w:fill="FFFFFF"/>
        </w:rPr>
        <w:t>, </w:t>
      </w:r>
      <w:r>
        <w:rPr>
          <w:i/>
          <w:color w:val="222222"/>
          <w:szCs w:val="24"/>
          <w:shd w:val="clear" w:color="auto" w:fill="FFFFFF"/>
        </w:rPr>
        <w:t>31</w:t>
      </w:r>
      <w:r>
        <w:rPr>
          <w:color w:val="222222"/>
          <w:szCs w:val="24"/>
          <w:shd w:val="clear" w:color="auto" w:fill="FFFFFF"/>
        </w:rPr>
        <w:t>(4), pp.246-256.</w:t>
      </w:r>
    </w:p>
    <w:p w14:paraId="6E80D74B" w14:textId="77777777" w:rsidR="00BD6608" w:rsidRDefault="00BD6608" w:rsidP="00BD6608">
      <w:pPr>
        <w:spacing w:line="100" w:lineRule="atLeast"/>
        <w:ind w:left="851" w:hanging="851"/>
        <w:rPr>
          <w:color w:val="222222"/>
          <w:szCs w:val="24"/>
          <w:shd w:val="clear" w:color="auto" w:fill="FFFFFF"/>
        </w:rPr>
      </w:pPr>
      <w:r>
        <w:rPr>
          <w:szCs w:val="24"/>
          <w:shd w:val="clear" w:color="auto" w:fill="FFFFFF"/>
        </w:rPr>
        <w:t xml:space="preserve">de Souza, J.A.S., </w:t>
      </w:r>
      <w:proofErr w:type="spellStart"/>
      <w:r>
        <w:rPr>
          <w:szCs w:val="24"/>
          <w:shd w:val="clear" w:color="auto" w:fill="FFFFFF"/>
        </w:rPr>
        <w:t>Rissatti</w:t>
      </w:r>
      <w:proofErr w:type="spellEnd"/>
      <w:r>
        <w:rPr>
          <w:szCs w:val="24"/>
          <w:shd w:val="clear" w:color="auto" w:fill="FFFFFF"/>
        </w:rPr>
        <w:t xml:space="preserve">, J.C., Rover, S. and </w:t>
      </w:r>
      <w:proofErr w:type="spellStart"/>
      <w:r>
        <w:rPr>
          <w:szCs w:val="24"/>
          <w:shd w:val="clear" w:color="auto" w:fill="FFFFFF"/>
        </w:rPr>
        <w:t>Borba</w:t>
      </w:r>
      <w:proofErr w:type="spellEnd"/>
      <w:r>
        <w:rPr>
          <w:szCs w:val="24"/>
          <w:shd w:val="clear" w:color="auto" w:fill="FFFFFF"/>
        </w:rPr>
        <w:t>, J.A., 2019. The linguistic complexities of narrative accounting disclosure on financial statements: An analysis based on readability characteristics. </w:t>
      </w:r>
      <w:r>
        <w:rPr>
          <w:i/>
          <w:szCs w:val="24"/>
          <w:shd w:val="clear" w:color="auto" w:fill="FFFFFF"/>
        </w:rPr>
        <w:t>Research in International Business and Finance</w:t>
      </w:r>
      <w:r>
        <w:rPr>
          <w:szCs w:val="24"/>
          <w:shd w:val="clear" w:color="auto" w:fill="FFFFFF"/>
        </w:rPr>
        <w:t>, </w:t>
      </w:r>
      <w:r>
        <w:rPr>
          <w:i/>
          <w:szCs w:val="24"/>
          <w:shd w:val="clear" w:color="auto" w:fill="FFFFFF"/>
        </w:rPr>
        <w:t>48</w:t>
      </w:r>
      <w:r>
        <w:rPr>
          <w:szCs w:val="24"/>
          <w:shd w:val="clear" w:color="auto" w:fill="FFFFFF"/>
        </w:rPr>
        <w:t>, pp.59-74.</w:t>
      </w:r>
    </w:p>
    <w:p w14:paraId="5FD0512E" w14:textId="77777777" w:rsidR="00BD6608" w:rsidRDefault="00BD6608" w:rsidP="00BD6608">
      <w:pPr>
        <w:spacing w:line="100" w:lineRule="atLeast"/>
        <w:ind w:left="842" w:hanging="863"/>
        <w:rPr>
          <w:color w:val="222222"/>
          <w:szCs w:val="24"/>
          <w:shd w:val="clear" w:color="auto" w:fill="FFFFFF"/>
        </w:rPr>
      </w:pPr>
      <w:r>
        <w:rPr>
          <w:color w:val="222222"/>
          <w:szCs w:val="24"/>
          <w:shd w:val="clear" w:color="auto" w:fill="FFFFFF"/>
        </w:rPr>
        <w:t>Gayathri, C., Kamala, V., Gajanand, M.S. and Yamini, S., 2022. Analysis of operational and financial performance of ports: an integrated fuzzy DEMATEL-TOPSIS approach. </w:t>
      </w:r>
      <w:r>
        <w:rPr>
          <w:i/>
          <w:color w:val="222222"/>
          <w:szCs w:val="24"/>
          <w:shd w:val="clear" w:color="auto" w:fill="FFFFFF"/>
        </w:rPr>
        <w:t>Benchmarking: An International Journal</w:t>
      </w:r>
      <w:r>
        <w:rPr>
          <w:color w:val="222222"/>
          <w:szCs w:val="24"/>
          <w:shd w:val="clear" w:color="auto" w:fill="FFFFFF"/>
        </w:rPr>
        <w:t>, </w:t>
      </w:r>
      <w:r>
        <w:rPr>
          <w:i/>
          <w:color w:val="222222"/>
          <w:szCs w:val="24"/>
          <w:shd w:val="clear" w:color="auto" w:fill="FFFFFF"/>
        </w:rPr>
        <w:t>29</w:t>
      </w:r>
      <w:r>
        <w:rPr>
          <w:color w:val="222222"/>
          <w:szCs w:val="24"/>
          <w:shd w:val="clear" w:color="auto" w:fill="FFFFFF"/>
        </w:rPr>
        <w:t>(3), pp.1046-1066.</w:t>
      </w:r>
    </w:p>
    <w:p w14:paraId="55C73225" w14:textId="77777777" w:rsidR="00BD6608" w:rsidRDefault="00BD6608" w:rsidP="00BD6608">
      <w:pPr>
        <w:spacing w:line="100" w:lineRule="atLeast"/>
        <w:ind w:left="842" w:hanging="863"/>
        <w:rPr>
          <w:color w:val="222222"/>
          <w:szCs w:val="24"/>
          <w:shd w:val="clear" w:color="auto" w:fill="FFFFFF"/>
        </w:rPr>
      </w:pPr>
      <w:r>
        <w:rPr>
          <w:color w:val="222222"/>
          <w:szCs w:val="24"/>
          <w:shd w:val="clear" w:color="auto" w:fill="FFFFFF"/>
        </w:rPr>
        <w:t>Haider, I., Singh, H. and Sultana, N., 2021. Managerial ability and accounting conservatism. </w:t>
      </w:r>
      <w:r>
        <w:rPr>
          <w:i/>
          <w:color w:val="222222"/>
          <w:szCs w:val="24"/>
          <w:shd w:val="clear" w:color="auto" w:fill="FFFFFF"/>
        </w:rPr>
        <w:t>Journal of Contemporary Accounting &amp; Economics</w:t>
      </w:r>
      <w:r>
        <w:rPr>
          <w:color w:val="222222"/>
          <w:szCs w:val="24"/>
          <w:shd w:val="clear" w:color="auto" w:fill="FFFFFF"/>
        </w:rPr>
        <w:t>, </w:t>
      </w:r>
      <w:r>
        <w:rPr>
          <w:i/>
          <w:color w:val="222222"/>
          <w:szCs w:val="24"/>
          <w:shd w:val="clear" w:color="auto" w:fill="FFFFFF"/>
        </w:rPr>
        <w:t>17</w:t>
      </w:r>
      <w:r>
        <w:rPr>
          <w:color w:val="222222"/>
          <w:szCs w:val="24"/>
          <w:shd w:val="clear" w:color="auto" w:fill="FFFFFF"/>
        </w:rPr>
        <w:t>(1), p.100242.</w:t>
      </w:r>
    </w:p>
    <w:p w14:paraId="55DB8683" w14:textId="77777777" w:rsidR="00BD6608" w:rsidRDefault="00BD6608" w:rsidP="00BD6608">
      <w:pPr>
        <w:spacing w:line="100" w:lineRule="atLeast"/>
        <w:ind w:left="842" w:hanging="863"/>
        <w:rPr>
          <w:color w:val="222222"/>
          <w:szCs w:val="24"/>
          <w:shd w:val="clear" w:color="auto" w:fill="FFFFFF"/>
        </w:rPr>
      </w:pPr>
      <w:proofErr w:type="spellStart"/>
      <w:r>
        <w:rPr>
          <w:color w:val="222222"/>
          <w:szCs w:val="24"/>
          <w:shd w:val="clear" w:color="auto" w:fill="FFFFFF"/>
        </w:rPr>
        <w:t>Hutahayan</w:t>
      </w:r>
      <w:proofErr w:type="spellEnd"/>
      <w:r>
        <w:rPr>
          <w:color w:val="222222"/>
          <w:szCs w:val="24"/>
          <w:shd w:val="clear" w:color="auto" w:fill="FFFFFF"/>
        </w:rPr>
        <w:t>, B., 2020. The mediating role of human capital and management accounting information system in the relationship between innovation strategy and internal process performance and the impact on corporate financial performance. </w:t>
      </w:r>
      <w:r>
        <w:rPr>
          <w:i/>
          <w:color w:val="222222"/>
          <w:szCs w:val="24"/>
          <w:shd w:val="clear" w:color="auto" w:fill="FFFFFF"/>
        </w:rPr>
        <w:t>Benchmarking: An International Journal</w:t>
      </w:r>
      <w:r>
        <w:rPr>
          <w:color w:val="222222"/>
          <w:szCs w:val="24"/>
          <w:shd w:val="clear" w:color="auto" w:fill="FFFFFF"/>
        </w:rPr>
        <w:t>, </w:t>
      </w:r>
      <w:r>
        <w:rPr>
          <w:i/>
          <w:color w:val="222222"/>
          <w:szCs w:val="24"/>
          <w:shd w:val="clear" w:color="auto" w:fill="FFFFFF"/>
        </w:rPr>
        <w:t>27</w:t>
      </w:r>
      <w:r>
        <w:rPr>
          <w:color w:val="222222"/>
          <w:szCs w:val="24"/>
          <w:shd w:val="clear" w:color="auto" w:fill="FFFFFF"/>
        </w:rPr>
        <w:t>(4), pp.1289-1318.</w:t>
      </w:r>
    </w:p>
    <w:p w14:paraId="61C43DF5" w14:textId="77777777" w:rsidR="00BD6608" w:rsidRDefault="00BD6608" w:rsidP="00BD6608">
      <w:pPr>
        <w:spacing w:line="100" w:lineRule="atLeast"/>
        <w:ind w:left="842" w:hanging="863"/>
        <w:rPr>
          <w:color w:val="222222"/>
          <w:szCs w:val="24"/>
          <w:shd w:val="clear" w:color="auto" w:fill="FFFFFF"/>
        </w:rPr>
      </w:pPr>
      <w:r>
        <w:rPr>
          <w:color w:val="222222"/>
          <w:szCs w:val="24"/>
          <w:shd w:val="clear" w:color="auto" w:fill="FFFFFF"/>
        </w:rPr>
        <w:t>Moses, O. and Hopper, T., 2022. Accounting articles on developing countries in ranked English language journals: a meta-review. </w:t>
      </w:r>
      <w:r>
        <w:rPr>
          <w:i/>
          <w:color w:val="222222"/>
          <w:szCs w:val="24"/>
          <w:shd w:val="clear" w:color="auto" w:fill="FFFFFF"/>
        </w:rPr>
        <w:t>Accounting, Auditing &amp; Accountability Journal</w:t>
      </w:r>
      <w:r>
        <w:rPr>
          <w:color w:val="222222"/>
          <w:szCs w:val="24"/>
          <w:shd w:val="clear" w:color="auto" w:fill="FFFFFF"/>
        </w:rPr>
        <w:t>, </w:t>
      </w:r>
      <w:r>
        <w:rPr>
          <w:i/>
          <w:color w:val="222222"/>
          <w:szCs w:val="24"/>
          <w:shd w:val="clear" w:color="auto" w:fill="FFFFFF"/>
        </w:rPr>
        <w:t>35</w:t>
      </w:r>
      <w:r>
        <w:rPr>
          <w:color w:val="222222"/>
          <w:szCs w:val="24"/>
          <w:shd w:val="clear" w:color="auto" w:fill="FFFFFF"/>
        </w:rPr>
        <w:t>(4), pp.1035-1060.</w:t>
      </w:r>
    </w:p>
    <w:p w14:paraId="4089CF33" w14:textId="77777777" w:rsidR="00BD6608" w:rsidRDefault="00BD6608" w:rsidP="00BD6608">
      <w:pPr>
        <w:spacing w:line="100" w:lineRule="atLeast"/>
        <w:ind w:left="842" w:hanging="863"/>
        <w:rPr>
          <w:color w:val="222222"/>
          <w:szCs w:val="24"/>
          <w:shd w:val="clear" w:color="auto" w:fill="FFFFFF"/>
        </w:rPr>
      </w:pPr>
      <w:proofErr w:type="spellStart"/>
      <w:r>
        <w:rPr>
          <w:color w:val="222222"/>
          <w:szCs w:val="24"/>
          <w:shd w:val="clear" w:color="auto" w:fill="FFFFFF"/>
        </w:rPr>
        <w:t>Özcan</w:t>
      </w:r>
      <w:proofErr w:type="spellEnd"/>
      <w:r>
        <w:rPr>
          <w:color w:val="222222"/>
          <w:szCs w:val="24"/>
          <w:shd w:val="clear" w:color="auto" w:fill="FFFFFF"/>
        </w:rPr>
        <w:t xml:space="preserve">, A., 2021. Accounting Conservatism and Corporate Governance: Firm-Level Evidence </w:t>
      </w:r>
      <w:proofErr w:type="gramStart"/>
      <w:r>
        <w:rPr>
          <w:color w:val="222222"/>
          <w:szCs w:val="24"/>
          <w:shd w:val="clear" w:color="auto" w:fill="FFFFFF"/>
        </w:rPr>
        <w:t>From</w:t>
      </w:r>
      <w:proofErr w:type="gramEnd"/>
      <w:r>
        <w:rPr>
          <w:color w:val="222222"/>
          <w:szCs w:val="24"/>
          <w:shd w:val="clear" w:color="auto" w:fill="FFFFFF"/>
        </w:rPr>
        <w:t xml:space="preserve"> Turkey. In </w:t>
      </w:r>
      <w:r>
        <w:rPr>
          <w:i/>
          <w:color w:val="222222"/>
          <w:szCs w:val="24"/>
          <w:shd w:val="clear" w:color="auto" w:fill="FFFFFF"/>
        </w:rPr>
        <w:t>Comparative Research on Earnings Management, Corporate Governance, and Economic Value</w:t>
      </w:r>
      <w:r>
        <w:rPr>
          <w:color w:val="222222"/>
          <w:szCs w:val="24"/>
          <w:shd w:val="clear" w:color="auto" w:fill="FFFFFF"/>
        </w:rPr>
        <w:t> (pp. 284-295). IGI Global.</w:t>
      </w:r>
    </w:p>
    <w:p w14:paraId="01DEA049" w14:textId="77777777" w:rsidR="00BD6608" w:rsidRDefault="00BD6608" w:rsidP="00BD6608">
      <w:pPr>
        <w:spacing w:line="100" w:lineRule="atLeast"/>
        <w:ind w:left="842" w:hanging="863"/>
        <w:rPr>
          <w:szCs w:val="24"/>
          <w:shd w:val="clear" w:color="auto" w:fill="FFFFFF"/>
        </w:rPr>
      </w:pPr>
      <w:proofErr w:type="spellStart"/>
      <w:r>
        <w:rPr>
          <w:color w:val="222222"/>
          <w:szCs w:val="24"/>
          <w:shd w:val="clear" w:color="auto" w:fill="FFFFFF"/>
        </w:rPr>
        <w:t>Shodiyev</w:t>
      </w:r>
      <w:proofErr w:type="spellEnd"/>
      <w:r>
        <w:rPr>
          <w:color w:val="222222"/>
          <w:szCs w:val="24"/>
          <w:shd w:val="clear" w:color="auto" w:fill="FFFFFF"/>
        </w:rPr>
        <w:t>, A.A., 2020. ACCOUNTING IN UZBEKISTAN (ACCOUNTS). </w:t>
      </w:r>
      <w:r>
        <w:rPr>
          <w:i/>
          <w:color w:val="222222"/>
          <w:szCs w:val="24"/>
          <w:shd w:val="clear" w:color="auto" w:fill="FFFFFF"/>
        </w:rPr>
        <w:t>Theoretical &amp; Applied Science</w:t>
      </w:r>
      <w:r>
        <w:rPr>
          <w:color w:val="222222"/>
          <w:szCs w:val="24"/>
          <w:shd w:val="clear" w:color="auto" w:fill="FFFFFF"/>
        </w:rPr>
        <w:t>, (11), pp.55-58.</w:t>
      </w:r>
    </w:p>
    <w:p w14:paraId="54B7D24E" w14:textId="77777777" w:rsidR="00BD6608" w:rsidRDefault="00BD6608" w:rsidP="00BD6608">
      <w:pPr>
        <w:spacing w:line="100" w:lineRule="atLeast"/>
        <w:ind w:left="851" w:hanging="851"/>
        <w:rPr>
          <w:szCs w:val="24"/>
          <w:shd w:val="clear" w:color="auto" w:fill="FFFFFF"/>
        </w:rPr>
      </w:pPr>
    </w:p>
    <w:p w14:paraId="2B0BE69C" w14:textId="77777777" w:rsidR="00BD6608" w:rsidRDefault="00BD6608" w:rsidP="00BD6608">
      <w:pPr>
        <w:spacing w:line="100" w:lineRule="atLeast"/>
        <w:ind w:left="851" w:hanging="851"/>
        <w:rPr>
          <w:szCs w:val="24"/>
          <w:shd w:val="clear" w:color="auto" w:fill="FFFFFF"/>
        </w:rPr>
      </w:pPr>
    </w:p>
    <w:p w14:paraId="029ACB36" w14:textId="77777777" w:rsidR="00BD6608" w:rsidRDefault="00BD6608" w:rsidP="00BD6608">
      <w:pPr>
        <w:pStyle w:val="BodyText"/>
        <w:ind w:left="851" w:hanging="851"/>
        <w:rPr>
          <w:color w:val="222222"/>
          <w:szCs w:val="24"/>
          <w:shd w:val="clear" w:color="auto" w:fill="FFFFFF"/>
        </w:rPr>
      </w:pPr>
    </w:p>
    <w:p w14:paraId="0772969C" w14:textId="77777777" w:rsidR="00BD6608" w:rsidRDefault="00BD6608" w:rsidP="00BD6608">
      <w:pPr>
        <w:ind w:left="851" w:hanging="851"/>
        <w:rPr>
          <w:szCs w:val="24"/>
          <w:shd w:val="clear" w:color="auto" w:fill="FFFFFF"/>
        </w:rPr>
      </w:pPr>
    </w:p>
    <w:p w14:paraId="6FE66CEB" w14:textId="77777777" w:rsidR="003A0006" w:rsidRDefault="001E151D"/>
    <w:sectPr w:rsidR="003A0006">
      <w:pgSz w:w="12240" w:h="15840"/>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charset w:val="80"/>
    <w:family w:val="auto"/>
    <w:pitch w:val="variable"/>
  </w:font>
  <w:font w:name="Tinos">
    <w:altName w:val="Yu Gothic"/>
    <w:charset w:val="80"/>
    <w:family w:val="roman"/>
    <w:pitch w:val="variable"/>
  </w:font>
  <w:font w:name="DejaVu Sans">
    <w:altName w:val="Yu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11E"/>
    <w:rsid w:val="001E151D"/>
    <w:rsid w:val="00466A92"/>
    <w:rsid w:val="00591115"/>
    <w:rsid w:val="00BD6608"/>
    <w:rsid w:val="00EC3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76CD2"/>
  <w15:chartTrackingRefBased/>
  <w15:docId w15:val="{50334AD3-161E-4612-B2F1-EF4ABA5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6608"/>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BD6608"/>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BD6608"/>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6608"/>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BD6608"/>
    <w:rPr>
      <w:rFonts w:ascii="Times New Roman" w:eastAsia="Times New Roman" w:hAnsi="Times New Roman" w:cs="Times New Roman"/>
      <w:bCs/>
      <w:color w:val="000000"/>
      <w:sz w:val="24"/>
      <w:szCs w:val="26"/>
      <w:u w:val="single"/>
      <w:lang w:eastAsia="ar-SA"/>
    </w:rPr>
  </w:style>
  <w:style w:type="paragraph" w:styleId="BodyText">
    <w:name w:val="Body Text"/>
    <w:basedOn w:val="Normal"/>
    <w:link w:val="BodyTextChar"/>
    <w:rsid w:val="00BD6608"/>
  </w:style>
  <w:style w:type="character" w:customStyle="1" w:styleId="BodyTextChar">
    <w:name w:val="Body Text Char"/>
    <w:basedOn w:val="DefaultParagraphFont"/>
    <w:link w:val="BodyText"/>
    <w:rsid w:val="00BD6608"/>
    <w:rPr>
      <w:rFonts w:ascii="Times New Roman" w:eastAsia="Calibri" w:hAnsi="Times New Roman" w:cs="Times New Roman"/>
      <w:color w:val="000000"/>
      <w:sz w:val="24"/>
      <w:lang w:eastAsia="ar-SA"/>
    </w:rPr>
  </w:style>
  <w:style w:type="paragraph" w:customStyle="1" w:styleId="ContentsHeading">
    <w:name w:val="Contents Heading"/>
    <w:basedOn w:val="Normal"/>
    <w:rsid w:val="00BD6608"/>
    <w:pPr>
      <w:keepNext/>
      <w:suppressLineNumbers/>
      <w:spacing w:before="240" w:after="120"/>
      <w:jc w:val="center"/>
    </w:pPr>
    <w:rPr>
      <w:rFonts w:eastAsia="Droid Sans"/>
      <w:b/>
      <w:bCs/>
      <w:sz w:val="28"/>
      <w:szCs w:val="32"/>
    </w:rPr>
  </w:style>
  <w:style w:type="paragraph" w:styleId="NoSpacing">
    <w:name w:val="No Spacing"/>
    <w:qFormat/>
    <w:rsid w:val="00BD6608"/>
    <w:pPr>
      <w:suppressAutoHyphens/>
      <w:spacing w:after="0" w:line="100" w:lineRule="atLeast"/>
    </w:pPr>
    <w:rPr>
      <w:rFonts w:ascii="Tinos" w:eastAsia="Droid Sans" w:hAnsi="Tinos" w:cs="DejaVu Sans"/>
      <w:sz w:val="24"/>
      <w:szCs w:val="24"/>
      <w:lang w:eastAsia="hi-IN" w:bidi="hi-IN"/>
    </w:rPr>
  </w:style>
  <w:style w:type="paragraph" w:styleId="TOC1">
    <w:name w:val="toc 1"/>
    <w:basedOn w:val="Normal"/>
    <w:rsid w:val="00BD6608"/>
    <w:pPr>
      <w:suppressLineNumbers/>
      <w:tabs>
        <w:tab w:val="right" w:leader="dot" w:pos="9360"/>
      </w:tabs>
    </w:pPr>
    <w:rPr>
      <w:rFonts w:cs="DejaVu Sans"/>
    </w:rPr>
  </w:style>
  <w:style w:type="paragraph" w:styleId="TOC2">
    <w:name w:val="toc 2"/>
    <w:basedOn w:val="Normal"/>
    <w:rsid w:val="00BD6608"/>
    <w:pPr>
      <w:suppressLineNumbers/>
      <w:tabs>
        <w:tab w:val="right" w:leader="dot" w:pos="9077"/>
      </w:tabs>
      <w:ind w:left="283"/>
    </w:pPr>
    <w:rPr>
      <w:rFonts w:cs="DejaVu Sans"/>
    </w:rPr>
  </w:style>
  <w:style w:type="character" w:styleId="Emphasis">
    <w:name w:val="Emphasis"/>
    <w:basedOn w:val="DefaultParagraphFont"/>
    <w:uiPriority w:val="20"/>
    <w:qFormat/>
    <w:rsid w:val="00BD66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2845</Words>
  <Characters>16221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Dana (2215984)</dc:creator>
  <cp:keywords/>
  <dc:description/>
  <cp:lastModifiedBy>Petrica Dana (2215984)</cp:lastModifiedBy>
  <cp:revision>3</cp:revision>
  <dcterms:created xsi:type="dcterms:W3CDTF">2023-08-17T20:57:00Z</dcterms:created>
  <dcterms:modified xsi:type="dcterms:W3CDTF">2023-08-17T21:01:00Z</dcterms:modified>
</cp:coreProperties>
</file>