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sdt>
      <w:sdtPr>
        <w:id w:val="-1565338151"/>
        <w:docPartObj>
          <w:docPartGallery w:val="Cover Pages"/>
          <w:docPartUnique/>
        </w:docPartObj>
      </w:sdtPr>
      <w:sdtEndPr>
        <w:rPr>
          <w:rFonts w:ascii="Arial" w:hAnsi="Arial" w:cs="Arial"/>
          <w:b/>
          <w:bCs/>
          <w:i/>
          <w:iCs/>
          <w:sz w:val="24"/>
          <w:szCs w:val="24"/>
        </w:rPr>
      </w:sdtEndPr>
      <w:sdtContent>
        <w:p w14:paraId="5E85AD0B" w14:textId="77777777" w:rsidR="00EC2D90" w:rsidRDefault="00EC2D90" w:rsidP="00EC2D90"/>
        <w:p w14:paraId="494C59CF" w14:textId="77777777" w:rsidR="00EC2D90" w:rsidRDefault="00EC2D90" w:rsidP="00EC2D90">
          <w:pPr>
            <w:rPr>
              <w:b/>
              <w:noProof/>
              <w:lang w:val="en-GB"/>
            </w:rPr>
          </w:pPr>
        </w:p>
        <w:p w14:paraId="111E39BC" w14:textId="77777777" w:rsidR="00EC2D90" w:rsidRDefault="00EC2D90" w:rsidP="00EC2D90">
          <w:pPr>
            <w:rPr>
              <w:b/>
              <w:noProof/>
              <w:lang w:val="en-GB"/>
            </w:rPr>
          </w:pPr>
        </w:p>
        <w:p w14:paraId="4F99AB7A" w14:textId="77777777" w:rsidR="00EC2D90" w:rsidRDefault="00EC2D90" w:rsidP="00EC2D90">
          <w:pPr>
            <w:rPr>
              <w:b/>
              <w:noProof/>
              <w:lang w:val="en-GB"/>
            </w:rPr>
          </w:pPr>
        </w:p>
        <w:p w14:paraId="55543A6A" w14:textId="77777777" w:rsidR="00EC2D90" w:rsidRDefault="00EC2D90" w:rsidP="00EC2D90">
          <w:pPr>
            <w:rPr>
              <w:b/>
              <w:noProof/>
              <w:lang w:val="en-GB"/>
            </w:rPr>
          </w:pPr>
        </w:p>
        <w:p w14:paraId="1B51DF35" w14:textId="77777777" w:rsidR="00EC2D90" w:rsidRDefault="00EC2D90" w:rsidP="00EC2D90">
          <w:pPr>
            <w:rPr>
              <w:b/>
              <w:noProof/>
              <w:lang w:val="en-GB"/>
            </w:rPr>
          </w:pPr>
        </w:p>
        <w:p w14:paraId="2EECC0E8" w14:textId="77777777" w:rsidR="00EC2D90" w:rsidRDefault="00EC2D90" w:rsidP="00EC2D90">
          <w:pPr>
            <w:rPr>
              <w:b/>
              <w:noProof/>
              <w:lang w:val="en-GB"/>
            </w:rPr>
          </w:pPr>
        </w:p>
        <w:p w14:paraId="4BB15727" w14:textId="77777777" w:rsidR="00EC2D90" w:rsidRDefault="00EC2D90" w:rsidP="00EC2D90">
          <w:pPr>
            <w:rPr>
              <w:b/>
              <w:noProof/>
              <w:lang w:val="en-GB"/>
            </w:rPr>
          </w:pPr>
        </w:p>
        <w:p w14:paraId="6D6948F5" w14:textId="77777777" w:rsidR="00EC2D90" w:rsidRDefault="00EC2D90" w:rsidP="00EC2D90">
          <w:pPr>
            <w:rPr>
              <w:b/>
              <w:noProof/>
              <w:lang w:val="en-GB"/>
            </w:rPr>
          </w:pPr>
        </w:p>
        <w:p w14:paraId="7B20DE61" w14:textId="6F573496" w:rsidR="00EC2D90" w:rsidRDefault="00EC2D90" w:rsidP="00EC2D90">
          <w:pPr>
            <w:rPr>
              <w:b/>
              <w:bCs/>
              <w:lang w:val="en-GB"/>
            </w:rPr>
          </w:pPr>
          <w:r>
            <w:rPr>
              <w:b/>
              <w:noProof/>
              <w:lang w:val="en-GB"/>
            </w:rPr>
            <w:drawing>
              <wp:inline distT="0" distB="0" distL="0" distR="0" wp14:anchorId="1FA6D6A8" wp14:editId="3CCF14A1">
                <wp:extent cx="5166360" cy="1714500"/>
                <wp:effectExtent l="0" t="0" r="0" b="0"/>
                <wp:docPr id="1804045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6360" cy="1714500"/>
                        </a:xfrm>
                        <a:prstGeom prst="rect">
                          <a:avLst/>
                        </a:prstGeom>
                        <a:noFill/>
                        <a:ln>
                          <a:noFill/>
                        </a:ln>
                      </pic:spPr>
                    </pic:pic>
                  </a:graphicData>
                </a:graphic>
              </wp:inline>
            </w:drawing>
          </w:r>
        </w:p>
        <w:p w14:paraId="37002759" w14:textId="77777777" w:rsidR="00EC2D90" w:rsidRDefault="00EC2D90" w:rsidP="00EC2D90">
          <w:pPr>
            <w:rPr>
              <w:b/>
              <w:bCs/>
              <w:lang w:val="en-GB"/>
            </w:rPr>
          </w:pPr>
        </w:p>
        <w:p w14:paraId="1BF261C4" w14:textId="77777777" w:rsidR="00EC2D90" w:rsidRDefault="00EC2D90" w:rsidP="00EC2D90">
          <w:pPr>
            <w:rPr>
              <w:b/>
              <w:bCs/>
              <w:lang w:val="en-GB"/>
            </w:rPr>
          </w:pPr>
        </w:p>
        <w:p w14:paraId="3C9D6D47" w14:textId="77777777" w:rsidR="00EC2D90" w:rsidRDefault="00EC2D90" w:rsidP="00EC2D90">
          <w:pPr>
            <w:rPr>
              <w:b/>
              <w:bCs/>
              <w:lang w:val="en-GB"/>
            </w:rPr>
          </w:pPr>
        </w:p>
        <w:p w14:paraId="7E7604CC" w14:textId="77777777" w:rsidR="00EC2D90" w:rsidRDefault="00EC2D90" w:rsidP="00EC2D90">
          <w:pPr>
            <w:rPr>
              <w:b/>
              <w:bCs/>
              <w:lang w:val="en-GB"/>
            </w:rPr>
          </w:pPr>
        </w:p>
        <w:p w14:paraId="10A2F54E" w14:textId="77777777" w:rsidR="00EC2D90" w:rsidRDefault="00EC2D90" w:rsidP="00EC2D90">
          <w:pPr>
            <w:rPr>
              <w:b/>
              <w:bCs/>
              <w:lang w:val="en-GB"/>
            </w:rPr>
          </w:pPr>
        </w:p>
        <w:p w14:paraId="56A97A17" w14:textId="77777777" w:rsidR="00EC2D90" w:rsidRDefault="00EC2D90" w:rsidP="00EC2D90">
          <w:pPr>
            <w:rPr>
              <w:b/>
              <w:bCs/>
              <w:lang w:val="en-GB"/>
            </w:rPr>
          </w:pPr>
        </w:p>
        <w:p w14:paraId="3EBDAC82" w14:textId="77777777" w:rsidR="00EC2D90" w:rsidRDefault="00EC2D90" w:rsidP="00EC2D90">
          <w:pPr>
            <w:rPr>
              <w:b/>
              <w:bCs/>
              <w:lang w:val="en-GB"/>
            </w:rPr>
          </w:pPr>
        </w:p>
        <w:p w14:paraId="0D8FBD23" w14:textId="77777777" w:rsidR="00EC2D90" w:rsidRDefault="00EC2D90" w:rsidP="00EC2D90">
          <w:pPr>
            <w:rPr>
              <w:b/>
              <w:bCs/>
              <w:lang w:val="en-GB"/>
            </w:rPr>
          </w:pPr>
        </w:p>
        <w:p w14:paraId="5E57AD3F" w14:textId="77777777" w:rsidR="00EC2D90" w:rsidRDefault="00EC2D90" w:rsidP="00EC2D90">
          <w:pPr>
            <w:rPr>
              <w:b/>
              <w:bCs/>
              <w:lang w:val="en-GB"/>
            </w:rPr>
          </w:pPr>
        </w:p>
        <w:p w14:paraId="649E394E" w14:textId="77777777" w:rsidR="00EC2D90" w:rsidRDefault="00EC2D90" w:rsidP="00EC2D90">
          <w:pPr>
            <w:jc w:val="center"/>
            <w:rPr>
              <w:b/>
              <w:bCs/>
              <w:lang w:val="en-GB"/>
            </w:rPr>
          </w:pPr>
        </w:p>
        <w:p w14:paraId="25094300" w14:textId="77777777" w:rsidR="00EC2D90" w:rsidRDefault="00EC2D90" w:rsidP="00EC2D90">
          <w:pPr>
            <w:jc w:val="center"/>
            <w:rPr>
              <w:b/>
              <w:bCs/>
              <w:lang w:val="en-GB"/>
            </w:rPr>
          </w:pPr>
        </w:p>
        <w:p w14:paraId="6F5C0C6C" w14:textId="77777777" w:rsidR="00EC2D90" w:rsidRDefault="00EC2D90" w:rsidP="00EC2D90">
          <w:pPr>
            <w:jc w:val="center"/>
            <w:rPr>
              <w:b/>
              <w:bCs/>
              <w:lang w:val="en-GB"/>
            </w:rPr>
          </w:pPr>
        </w:p>
        <w:p w14:paraId="395578A1" w14:textId="77777777" w:rsidR="00EC2D90" w:rsidRDefault="00EC2D90" w:rsidP="00EC2D90">
          <w:pPr>
            <w:jc w:val="center"/>
            <w:rPr>
              <w:b/>
              <w:bCs/>
              <w:lang w:val="en-GB"/>
            </w:rPr>
          </w:pPr>
        </w:p>
        <w:p w14:paraId="1F0199D3" w14:textId="77777777" w:rsidR="00EC2D90" w:rsidRDefault="00EC2D90" w:rsidP="00EC2D90">
          <w:pPr>
            <w:jc w:val="center"/>
            <w:rPr>
              <w:b/>
              <w:bCs/>
              <w:lang w:val="en-GB"/>
            </w:rPr>
          </w:pPr>
        </w:p>
        <w:p w14:paraId="1B76E542" w14:textId="77777777" w:rsidR="00EC2D90" w:rsidRDefault="00EC2D90" w:rsidP="00EC2D90">
          <w:pPr>
            <w:jc w:val="center"/>
            <w:rPr>
              <w:b/>
              <w:bCs/>
              <w:lang w:val="en-GB"/>
            </w:rPr>
          </w:pPr>
        </w:p>
        <w:p w14:paraId="3B45D1E5" w14:textId="77777777" w:rsidR="00EC2D90" w:rsidRDefault="00EC2D90" w:rsidP="00EC2D90">
          <w:pPr>
            <w:jc w:val="center"/>
            <w:rPr>
              <w:rFonts w:ascii="Arial" w:hAnsi="Arial" w:cs="Arial"/>
              <w:b/>
              <w:bCs/>
              <w:sz w:val="32"/>
              <w:szCs w:val="32"/>
              <w:lang w:val="en-GB"/>
            </w:rPr>
          </w:pPr>
          <w:r>
            <w:rPr>
              <w:rFonts w:ascii="Arial" w:hAnsi="Arial" w:cs="Arial"/>
              <w:b/>
              <w:bCs/>
              <w:sz w:val="32"/>
              <w:szCs w:val="32"/>
              <w:lang w:val="en-GB"/>
            </w:rPr>
            <w:t>Assignment 2</w:t>
          </w:r>
        </w:p>
        <w:p w14:paraId="00920B86" w14:textId="77777777" w:rsidR="00EC2D90" w:rsidRDefault="00EC2D90" w:rsidP="00EC2D90">
          <w:pPr>
            <w:jc w:val="center"/>
            <w:rPr>
              <w:rFonts w:ascii="Arial" w:hAnsi="Arial" w:cs="Arial"/>
              <w:b/>
              <w:bCs/>
              <w:sz w:val="32"/>
              <w:szCs w:val="32"/>
              <w:lang w:val="en-GB"/>
            </w:rPr>
          </w:pPr>
          <w:r>
            <w:rPr>
              <w:rFonts w:ascii="Arial" w:hAnsi="Arial" w:cs="Arial"/>
              <w:b/>
              <w:bCs/>
              <w:sz w:val="32"/>
              <w:szCs w:val="32"/>
              <w:lang w:val="en-GB"/>
            </w:rPr>
            <w:t>Subject Name: Marketing Management</w:t>
          </w:r>
        </w:p>
        <w:p w14:paraId="7DD0B22C" w14:textId="77777777" w:rsidR="00EC2D90" w:rsidRDefault="00EC2D90" w:rsidP="00EC2D90">
          <w:pPr>
            <w:jc w:val="center"/>
            <w:rPr>
              <w:rFonts w:ascii="Arial" w:hAnsi="Arial" w:cs="Arial"/>
              <w:b/>
              <w:bCs/>
              <w:sz w:val="32"/>
              <w:szCs w:val="32"/>
              <w:lang w:val="en-GB"/>
            </w:rPr>
          </w:pPr>
          <w:r>
            <w:rPr>
              <w:rFonts w:ascii="Arial" w:hAnsi="Arial" w:cs="Arial"/>
              <w:b/>
              <w:bCs/>
              <w:sz w:val="32"/>
              <w:szCs w:val="32"/>
              <w:lang w:val="en-GB"/>
            </w:rPr>
            <w:t>Subject Code: LCMB7024</w:t>
          </w:r>
        </w:p>
        <w:p w14:paraId="4A503F6A" w14:textId="77777777" w:rsidR="00EC2D90" w:rsidRDefault="00EC2D90" w:rsidP="00EC2D90">
          <w:pPr>
            <w:jc w:val="center"/>
            <w:rPr>
              <w:rFonts w:ascii="Arial" w:hAnsi="Arial" w:cs="Arial"/>
              <w:b/>
              <w:bCs/>
              <w:sz w:val="32"/>
              <w:szCs w:val="32"/>
            </w:rPr>
          </w:pPr>
          <w:r>
            <w:rPr>
              <w:rFonts w:ascii="Arial" w:hAnsi="Arial" w:cs="Arial"/>
              <w:b/>
              <w:bCs/>
              <w:sz w:val="32"/>
              <w:szCs w:val="32"/>
            </w:rPr>
            <w:t xml:space="preserve">Lecturer: Dr Laila </w:t>
          </w:r>
          <w:proofErr w:type="spellStart"/>
          <w:r>
            <w:rPr>
              <w:rFonts w:ascii="Arial" w:hAnsi="Arial" w:cs="Arial"/>
              <w:b/>
              <w:bCs/>
              <w:sz w:val="32"/>
              <w:szCs w:val="32"/>
            </w:rPr>
            <w:t>Maazouz</w:t>
          </w:r>
          <w:proofErr w:type="spellEnd"/>
        </w:p>
        <w:p w14:paraId="039DAD70" w14:textId="77777777" w:rsidR="00EC2D90" w:rsidRDefault="00EC2D90" w:rsidP="00EC2D90">
          <w:pPr>
            <w:jc w:val="center"/>
            <w:rPr>
              <w:rFonts w:ascii="Arial" w:hAnsi="Arial" w:cs="Arial"/>
              <w:b/>
              <w:bCs/>
              <w:sz w:val="32"/>
              <w:szCs w:val="32"/>
            </w:rPr>
          </w:pPr>
          <w:r>
            <w:rPr>
              <w:rFonts w:ascii="Arial" w:hAnsi="Arial" w:cs="Arial"/>
              <w:b/>
              <w:bCs/>
              <w:sz w:val="32"/>
              <w:szCs w:val="32"/>
            </w:rPr>
            <w:t>Course: MBA</w:t>
          </w:r>
        </w:p>
        <w:p w14:paraId="531352B1" w14:textId="697088CD" w:rsidR="00EC2D90" w:rsidRDefault="00EC2D90" w:rsidP="00EC2D90">
          <w:pPr>
            <w:jc w:val="center"/>
            <w:rPr>
              <w:rFonts w:ascii="Arial" w:hAnsi="Arial" w:cs="Arial"/>
              <w:b/>
              <w:bCs/>
              <w:sz w:val="32"/>
              <w:szCs w:val="32"/>
              <w:lang w:val="en-GB"/>
            </w:rPr>
          </w:pPr>
          <w:r>
            <w:rPr>
              <w:rFonts w:ascii="Arial" w:hAnsi="Arial" w:cs="Arial"/>
              <w:b/>
              <w:bCs/>
              <w:sz w:val="32"/>
              <w:szCs w:val="32"/>
              <w:lang w:val="en-GB"/>
            </w:rPr>
            <w:t xml:space="preserve">Term : </w:t>
          </w:r>
          <w:r w:rsidRPr="00EC2D90">
            <w:rPr>
              <w:rFonts w:ascii="Arial" w:hAnsi="Arial" w:cs="Arial"/>
              <w:b/>
              <w:bCs/>
              <w:sz w:val="32"/>
              <w:szCs w:val="32"/>
              <w:lang w:val="en-GB"/>
            </w:rPr>
            <w:t>February 2025</w:t>
          </w:r>
        </w:p>
        <w:p w14:paraId="27582233" w14:textId="77777777" w:rsidR="00EC2D90" w:rsidRDefault="00EC2D90" w:rsidP="00EC2D90">
          <w:pPr>
            <w:jc w:val="center"/>
            <w:rPr>
              <w:rFonts w:ascii="Arial" w:hAnsi="Arial" w:cs="Arial"/>
              <w:b/>
              <w:bCs/>
              <w:sz w:val="32"/>
              <w:szCs w:val="32"/>
              <w:lang w:val="en-GB"/>
            </w:rPr>
          </w:pPr>
        </w:p>
        <w:p w14:paraId="7B24C675" w14:textId="77777777" w:rsidR="00EC2D90" w:rsidRDefault="00EC2D90" w:rsidP="00EC2D90">
          <w:pPr>
            <w:jc w:val="center"/>
            <w:rPr>
              <w:rFonts w:ascii="Arial" w:hAnsi="Arial" w:cs="Arial"/>
              <w:b/>
              <w:bCs/>
              <w:sz w:val="32"/>
              <w:szCs w:val="32"/>
              <w:lang w:val="en-GB"/>
            </w:rPr>
          </w:pPr>
        </w:p>
        <w:p w14:paraId="4CDE5EBB" w14:textId="77777777" w:rsidR="00EC2D90" w:rsidRDefault="00EC2D90" w:rsidP="00EC2D90">
          <w:pPr>
            <w:jc w:val="center"/>
            <w:rPr>
              <w:rFonts w:ascii="Arial" w:hAnsi="Arial" w:cs="Arial"/>
              <w:b/>
              <w:bCs/>
              <w:sz w:val="32"/>
              <w:szCs w:val="32"/>
              <w:lang w:val="en-GB"/>
            </w:rPr>
          </w:pPr>
        </w:p>
        <w:p w14:paraId="45541E24" w14:textId="4877D128" w:rsidR="00EC2D90" w:rsidRDefault="00EC2D90" w:rsidP="00EC2D90">
          <w:pPr>
            <w:jc w:val="center"/>
            <w:rPr>
              <w:rFonts w:ascii="Arial" w:hAnsi="Arial" w:cs="Arial"/>
              <w:b/>
              <w:bCs/>
              <w:sz w:val="32"/>
              <w:szCs w:val="32"/>
              <w:lang w:val="en-GB"/>
            </w:rPr>
          </w:pPr>
          <w:r>
            <w:rPr>
              <w:rFonts w:ascii="Arial" w:hAnsi="Arial" w:cs="Arial"/>
              <w:b/>
              <w:bCs/>
              <w:sz w:val="32"/>
              <w:szCs w:val="32"/>
              <w:lang w:val="en-GB"/>
            </w:rPr>
            <w:t xml:space="preserve">Student Name: </w:t>
          </w:r>
          <w:r w:rsidRPr="00EC2D90">
            <w:rPr>
              <w:rFonts w:ascii="Arial" w:hAnsi="Arial" w:cs="Arial"/>
              <w:b/>
              <w:bCs/>
              <w:sz w:val="32"/>
              <w:szCs w:val="32"/>
              <w:lang w:val="en-GB"/>
            </w:rPr>
            <w:t xml:space="preserve">Miyani </w:t>
          </w:r>
          <w:r>
            <w:rPr>
              <w:rFonts w:ascii="Arial" w:hAnsi="Arial" w:cs="Arial"/>
              <w:b/>
              <w:bCs/>
              <w:sz w:val="32"/>
              <w:szCs w:val="32"/>
              <w:lang w:val="en-GB"/>
            </w:rPr>
            <w:t>T</w:t>
          </w:r>
          <w:r w:rsidRPr="00EC2D90">
            <w:rPr>
              <w:rFonts w:ascii="Arial" w:hAnsi="Arial" w:cs="Arial"/>
              <w:b/>
              <w:bCs/>
              <w:sz w:val="32"/>
              <w:szCs w:val="32"/>
              <w:lang w:val="en-GB"/>
            </w:rPr>
            <w:t xml:space="preserve">irth </w:t>
          </w:r>
          <w:proofErr w:type="spellStart"/>
          <w:r>
            <w:rPr>
              <w:rFonts w:ascii="Arial" w:hAnsi="Arial" w:cs="Arial"/>
              <w:b/>
              <w:bCs/>
              <w:sz w:val="32"/>
              <w:szCs w:val="32"/>
              <w:lang w:val="en-GB"/>
            </w:rPr>
            <w:t>P</w:t>
          </w:r>
          <w:r w:rsidRPr="00EC2D90">
            <w:rPr>
              <w:rFonts w:ascii="Arial" w:hAnsi="Arial" w:cs="Arial"/>
              <w:b/>
              <w:bCs/>
              <w:sz w:val="32"/>
              <w:szCs w:val="32"/>
              <w:lang w:val="en-GB"/>
            </w:rPr>
            <w:t>ravinbhai</w:t>
          </w:r>
          <w:proofErr w:type="spellEnd"/>
        </w:p>
        <w:p w14:paraId="47152597" w14:textId="18B45B23" w:rsidR="00EC2D90" w:rsidRDefault="00EC2D90" w:rsidP="00EC2D90">
          <w:pPr>
            <w:jc w:val="center"/>
            <w:rPr>
              <w:rFonts w:ascii="Arial" w:hAnsi="Arial" w:cs="Arial"/>
              <w:b/>
              <w:bCs/>
              <w:sz w:val="32"/>
              <w:szCs w:val="32"/>
              <w:lang w:val="en-GB"/>
            </w:rPr>
          </w:pPr>
          <w:r>
            <w:rPr>
              <w:rFonts w:ascii="Arial" w:hAnsi="Arial" w:cs="Arial"/>
              <w:b/>
              <w:bCs/>
              <w:sz w:val="32"/>
              <w:szCs w:val="32"/>
              <w:lang w:val="en-GB"/>
            </w:rPr>
            <w:t xml:space="preserve">Student Number: </w:t>
          </w:r>
          <w:r w:rsidRPr="00EC2D90">
            <w:rPr>
              <w:rFonts w:ascii="Arial" w:hAnsi="Arial" w:cs="Arial"/>
              <w:b/>
              <w:bCs/>
              <w:sz w:val="32"/>
              <w:szCs w:val="32"/>
              <w:lang w:val="en-GB"/>
            </w:rPr>
            <w:t>2419607</w:t>
          </w:r>
        </w:p>
        <w:p w14:paraId="6719D214" w14:textId="77777777" w:rsidR="00EC2D90" w:rsidRDefault="00EC2D90" w:rsidP="00EC2D90">
          <w:pPr>
            <w:jc w:val="center"/>
            <w:rPr>
              <w:rFonts w:ascii="Arial" w:hAnsi="Arial" w:cs="Arial"/>
              <w:b/>
              <w:bCs/>
              <w:sz w:val="32"/>
              <w:szCs w:val="32"/>
              <w:lang w:val="en-GB"/>
            </w:rPr>
          </w:pPr>
          <w:r>
            <w:rPr>
              <w:rFonts w:ascii="Arial" w:hAnsi="Arial" w:cs="Arial"/>
              <w:b/>
              <w:bCs/>
              <w:sz w:val="32"/>
              <w:szCs w:val="32"/>
              <w:lang w:val="en-GB"/>
            </w:rPr>
            <w:t>Word Count: 2</w:t>
          </w:r>
          <w:r>
            <w:rPr>
              <w:rFonts w:ascii="Arial" w:hAnsi="Arial" w:cs="Arial"/>
              <w:b/>
              <w:bCs/>
              <w:sz w:val="32"/>
              <w:szCs w:val="32"/>
              <w:lang w:val="en-GB"/>
            </w:rPr>
            <w:t xml:space="preserve">823 </w:t>
          </w:r>
        </w:p>
        <w:p w14:paraId="114FFBE2" w14:textId="3730C1B6" w:rsidR="00EC2D90" w:rsidRDefault="00EC2D90" w:rsidP="00EC2D90">
          <w:pPr>
            <w:jc w:val="center"/>
            <w:rPr>
              <w:rFonts w:ascii="Arial" w:hAnsi="Arial" w:cs="Arial"/>
              <w:b/>
              <w:bCs/>
              <w:sz w:val="32"/>
              <w:szCs w:val="32"/>
              <w:lang w:val="en-GB"/>
            </w:rPr>
          </w:pPr>
          <w:r w:rsidRPr="00EC2D90">
            <w:rPr>
              <w:rFonts w:ascii="Arial" w:hAnsi="Arial" w:cs="Arial"/>
              <w:b/>
              <w:bCs/>
              <w:sz w:val="32"/>
              <w:szCs w:val="32"/>
              <w:lang w:val="en-GB"/>
            </w:rPr>
            <w:t>Submission Deadline: 28th April 14:00 (2PM)</w:t>
          </w:r>
        </w:p>
        <w:p w14:paraId="1F4374DC" w14:textId="447EC167" w:rsidR="009621A9" w:rsidRDefault="009621A9">
          <w:r>
            <w:br w:type="page"/>
          </w:r>
        </w:p>
        <w:sdt>
          <w:sdtPr>
            <w:rPr>
              <w:rFonts w:ascii="Times New Roman" w:eastAsia="Times New Roman" w:hAnsi="Times New Roman" w:cs="Times New Roman"/>
              <w:color w:val="auto"/>
              <w:sz w:val="20"/>
              <w:szCs w:val="20"/>
              <w:lang w:val="en-IN" w:eastAsia="en-IN"/>
            </w:rPr>
            <w:id w:val="954677816"/>
            <w:docPartObj>
              <w:docPartGallery w:val="Table of Contents"/>
              <w:docPartUnique/>
            </w:docPartObj>
          </w:sdtPr>
          <w:sdtEndPr>
            <w:rPr>
              <w:b/>
              <w:bCs/>
              <w:noProof/>
            </w:rPr>
          </w:sdtEndPr>
          <w:sdtContent>
            <w:p w14:paraId="556A0F37" w14:textId="57C7862F" w:rsidR="009621A9" w:rsidRDefault="009621A9">
              <w:pPr>
                <w:pStyle w:val="TOCHeading"/>
              </w:pPr>
              <w:r>
                <w:t>Table of Contents</w:t>
              </w:r>
            </w:p>
            <w:p w14:paraId="43C8739F" w14:textId="6F6DA55E" w:rsidR="00797661" w:rsidRDefault="009621A9">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6737756" w:history="1">
                <w:r w:rsidR="00797661" w:rsidRPr="0091339F">
                  <w:rPr>
                    <w:rStyle w:val="Hyperlink"/>
                    <w:rFonts w:ascii="Arial" w:hAnsi="Arial" w:cs="Arial"/>
                    <w:b/>
                    <w:bCs/>
                    <w:i/>
                    <w:iCs/>
                    <w:noProof/>
                  </w:rPr>
                  <w:t>1. Introduction</w:t>
                </w:r>
                <w:r w:rsidR="00797661">
                  <w:rPr>
                    <w:noProof/>
                    <w:webHidden/>
                  </w:rPr>
                  <w:tab/>
                </w:r>
                <w:r w:rsidR="00797661">
                  <w:rPr>
                    <w:noProof/>
                    <w:webHidden/>
                  </w:rPr>
                  <w:fldChar w:fldCharType="begin"/>
                </w:r>
                <w:r w:rsidR="00797661">
                  <w:rPr>
                    <w:noProof/>
                    <w:webHidden/>
                  </w:rPr>
                  <w:instrText xml:space="preserve"> PAGEREF _Toc196737756 \h </w:instrText>
                </w:r>
                <w:r w:rsidR="00797661">
                  <w:rPr>
                    <w:noProof/>
                    <w:webHidden/>
                  </w:rPr>
                </w:r>
                <w:r w:rsidR="00797661">
                  <w:rPr>
                    <w:noProof/>
                    <w:webHidden/>
                  </w:rPr>
                  <w:fldChar w:fldCharType="separate"/>
                </w:r>
                <w:r w:rsidR="00797661">
                  <w:rPr>
                    <w:noProof/>
                    <w:webHidden/>
                  </w:rPr>
                  <w:t>2</w:t>
                </w:r>
                <w:r w:rsidR="00797661">
                  <w:rPr>
                    <w:noProof/>
                    <w:webHidden/>
                  </w:rPr>
                  <w:fldChar w:fldCharType="end"/>
                </w:r>
              </w:hyperlink>
            </w:p>
            <w:p w14:paraId="7C08836F" w14:textId="7B812217"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57" w:history="1">
                <w:r w:rsidRPr="0091339F">
                  <w:rPr>
                    <w:rStyle w:val="Hyperlink"/>
                    <w:rFonts w:ascii="Arial" w:eastAsiaTheme="minorHAnsi" w:hAnsi="Arial" w:cs="Arial"/>
                    <w:b/>
                    <w:bCs/>
                    <w:i/>
                    <w:iCs/>
                    <w:noProof/>
                  </w:rPr>
                  <w:t>1.1 Overview of Sony Electronics</w:t>
                </w:r>
                <w:r>
                  <w:rPr>
                    <w:noProof/>
                    <w:webHidden/>
                  </w:rPr>
                  <w:tab/>
                </w:r>
                <w:r>
                  <w:rPr>
                    <w:noProof/>
                    <w:webHidden/>
                  </w:rPr>
                  <w:fldChar w:fldCharType="begin"/>
                </w:r>
                <w:r>
                  <w:rPr>
                    <w:noProof/>
                    <w:webHidden/>
                  </w:rPr>
                  <w:instrText xml:space="preserve"> PAGEREF _Toc196737757 \h </w:instrText>
                </w:r>
                <w:r>
                  <w:rPr>
                    <w:noProof/>
                    <w:webHidden/>
                  </w:rPr>
                </w:r>
                <w:r>
                  <w:rPr>
                    <w:noProof/>
                    <w:webHidden/>
                  </w:rPr>
                  <w:fldChar w:fldCharType="separate"/>
                </w:r>
                <w:r>
                  <w:rPr>
                    <w:noProof/>
                    <w:webHidden/>
                  </w:rPr>
                  <w:t>2</w:t>
                </w:r>
                <w:r>
                  <w:rPr>
                    <w:noProof/>
                    <w:webHidden/>
                  </w:rPr>
                  <w:fldChar w:fldCharType="end"/>
                </w:r>
              </w:hyperlink>
            </w:p>
            <w:p w14:paraId="6DA73002" w14:textId="67A8FB6D"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58" w:history="1">
                <w:r w:rsidRPr="0091339F">
                  <w:rPr>
                    <w:rStyle w:val="Hyperlink"/>
                    <w:rFonts w:ascii="Arial" w:eastAsiaTheme="minorHAnsi" w:hAnsi="Arial" w:cs="Arial"/>
                    <w:b/>
                    <w:bCs/>
                    <w:i/>
                    <w:iCs/>
                    <w:noProof/>
                  </w:rPr>
                  <w:t>1.2 New Brand Extension</w:t>
                </w:r>
                <w:r>
                  <w:rPr>
                    <w:noProof/>
                    <w:webHidden/>
                  </w:rPr>
                  <w:tab/>
                </w:r>
                <w:r>
                  <w:rPr>
                    <w:noProof/>
                    <w:webHidden/>
                  </w:rPr>
                  <w:fldChar w:fldCharType="begin"/>
                </w:r>
                <w:r>
                  <w:rPr>
                    <w:noProof/>
                    <w:webHidden/>
                  </w:rPr>
                  <w:instrText xml:space="preserve"> PAGEREF _Toc196737758 \h </w:instrText>
                </w:r>
                <w:r>
                  <w:rPr>
                    <w:noProof/>
                    <w:webHidden/>
                  </w:rPr>
                </w:r>
                <w:r>
                  <w:rPr>
                    <w:noProof/>
                    <w:webHidden/>
                  </w:rPr>
                  <w:fldChar w:fldCharType="separate"/>
                </w:r>
                <w:r>
                  <w:rPr>
                    <w:noProof/>
                    <w:webHidden/>
                  </w:rPr>
                  <w:t>3</w:t>
                </w:r>
                <w:r>
                  <w:rPr>
                    <w:noProof/>
                    <w:webHidden/>
                  </w:rPr>
                  <w:fldChar w:fldCharType="end"/>
                </w:r>
              </w:hyperlink>
            </w:p>
            <w:p w14:paraId="41E9B224" w14:textId="388D2AD5"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59" w:history="1">
                <w:r w:rsidRPr="0091339F">
                  <w:rPr>
                    <w:rStyle w:val="Hyperlink"/>
                    <w:rFonts w:ascii="Arial" w:hAnsi="Arial" w:cs="Arial"/>
                    <w:b/>
                    <w:bCs/>
                    <w:i/>
                    <w:iCs/>
                    <w:noProof/>
                  </w:rPr>
                  <w:t>2. Development of the New Brand Extension</w:t>
                </w:r>
                <w:r>
                  <w:rPr>
                    <w:noProof/>
                    <w:webHidden/>
                  </w:rPr>
                  <w:tab/>
                </w:r>
                <w:r>
                  <w:rPr>
                    <w:noProof/>
                    <w:webHidden/>
                  </w:rPr>
                  <w:fldChar w:fldCharType="begin"/>
                </w:r>
                <w:r>
                  <w:rPr>
                    <w:noProof/>
                    <w:webHidden/>
                  </w:rPr>
                  <w:instrText xml:space="preserve"> PAGEREF _Toc196737759 \h </w:instrText>
                </w:r>
                <w:r>
                  <w:rPr>
                    <w:noProof/>
                    <w:webHidden/>
                  </w:rPr>
                </w:r>
                <w:r>
                  <w:rPr>
                    <w:noProof/>
                    <w:webHidden/>
                  </w:rPr>
                  <w:fldChar w:fldCharType="separate"/>
                </w:r>
                <w:r>
                  <w:rPr>
                    <w:noProof/>
                    <w:webHidden/>
                  </w:rPr>
                  <w:t>3</w:t>
                </w:r>
                <w:r>
                  <w:rPr>
                    <w:noProof/>
                    <w:webHidden/>
                  </w:rPr>
                  <w:fldChar w:fldCharType="end"/>
                </w:r>
              </w:hyperlink>
            </w:p>
            <w:p w14:paraId="3D63DAD5" w14:textId="334D72CA"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0" w:history="1">
                <w:r w:rsidRPr="0091339F">
                  <w:rPr>
                    <w:rStyle w:val="Hyperlink"/>
                    <w:rFonts w:ascii="Arial" w:eastAsiaTheme="minorHAnsi" w:hAnsi="Arial" w:cs="Arial"/>
                    <w:b/>
                    <w:bCs/>
                    <w:i/>
                    <w:iCs/>
                    <w:noProof/>
                  </w:rPr>
                  <w:t>2.1 Rationale</w:t>
                </w:r>
                <w:r>
                  <w:rPr>
                    <w:noProof/>
                    <w:webHidden/>
                  </w:rPr>
                  <w:tab/>
                </w:r>
                <w:r>
                  <w:rPr>
                    <w:noProof/>
                    <w:webHidden/>
                  </w:rPr>
                  <w:fldChar w:fldCharType="begin"/>
                </w:r>
                <w:r>
                  <w:rPr>
                    <w:noProof/>
                    <w:webHidden/>
                  </w:rPr>
                  <w:instrText xml:space="preserve"> PAGEREF _Toc196737760 \h </w:instrText>
                </w:r>
                <w:r>
                  <w:rPr>
                    <w:noProof/>
                    <w:webHidden/>
                  </w:rPr>
                </w:r>
                <w:r>
                  <w:rPr>
                    <w:noProof/>
                    <w:webHidden/>
                  </w:rPr>
                  <w:fldChar w:fldCharType="separate"/>
                </w:r>
                <w:r>
                  <w:rPr>
                    <w:noProof/>
                    <w:webHidden/>
                  </w:rPr>
                  <w:t>3</w:t>
                </w:r>
                <w:r>
                  <w:rPr>
                    <w:noProof/>
                    <w:webHidden/>
                  </w:rPr>
                  <w:fldChar w:fldCharType="end"/>
                </w:r>
              </w:hyperlink>
            </w:p>
            <w:p w14:paraId="3ACEE95B" w14:textId="5EB24159"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1" w:history="1">
                <w:r w:rsidRPr="0091339F">
                  <w:rPr>
                    <w:rStyle w:val="Hyperlink"/>
                    <w:rFonts w:ascii="Arial" w:eastAsiaTheme="minorHAnsi" w:hAnsi="Arial" w:cs="Arial"/>
                    <w:b/>
                    <w:bCs/>
                    <w:i/>
                    <w:iCs/>
                    <w:noProof/>
                  </w:rPr>
                  <w:t>2.2 Unique Selling Proposition (USP)</w:t>
                </w:r>
                <w:r>
                  <w:rPr>
                    <w:noProof/>
                    <w:webHidden/>
                  </w:rPr>
                  <w:tab/>
                </w:r>
                <w:r>
                  <w:rPr>
                    <w:noProof/>
                    <w:webHidden/>
                  </w:rPr>
                  <w:fldChar w:fldCharType="begin"/>
                </w:r>
                <w:r>
                  <w:rPr>
                    <w:noProof/>
                    <w:webHidden/>
                  </w:rPr>
                  <w:instrText xml:space="preserve"> PAGEREF _Toc196737761 \h </w:instrText>
                </w:r>
                <w:r>
                  <w:rPr>
                    <w:noProof/>
                    <w:webHidden/>
                  </w:rPr>
                </w:r>
                <w:r>
                  <w:rPr>
                    <w:noProof/>
                    <w:webHidden/>
                  </w:rPr>
                  <w:fldChar w:fldCharType="separate"/>
                </w:r>
                <w:r>
                  <w:rPr>
                    <w:noProof/>
                    <w:webHidden/>
                  </w:rPr>
                  <w:t>5</w:t>
                </w:r>
                <w:r>
                  <w:rPr>
                    <w:noProof/>
                    <w:webHidden/>
                  </w:rPr>
                  <w:fldChar w:fldCharType="end"/>
                </w:r>
              </w:hyperlink>
            </w:p>
            <w:p w14:paraId="2EDB28F1" w14:textId="1FB06C0F"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62" w:history="1">
                <w:r w:rsidRPr="0091339F">
                  <w:rPr>
                    <w:rStyle w:val="Hyperlink"/>
                    <w:rFonts w:ascii="Arial" w:hAnsi="Arial" w:cs="Arial"/>
                    <w:b/>
                    <w:bCs/>
                    <w:i/>
                    <w:iCs/>
                    <w:noProof/>
                  </w:rPr>
                  <w:t>3. Segmentation, Targeting, and Positioning (STP)</w:t>
                </w:r>
                <w:r>
                  <w:rPr>
                    <w:noProof/>
                    <w:webHidden/>
                  </w:rPr>
                  <w:tab/>
                </w:r>
                <w:r>
                  <w:rPr>
                    <w:noProof/>
                    <w:webHidden/>
                  </w:rPr>
                  <w:fldChar w:fldCharType="begin"/>
                </w:r>
                <w:r>
                  <w:rPr>
                    <w:noProof/>
                    <w:webHidden/>
                  </w:rPr>
                  <w:instrText xml:space="preserve"> PAGEREF _Toc196737762 \h </w:instrText>
                </w:r>
                <w:r>
                  <w:rPr>
                    <w:noProof/>
                    <w:webHidden/>
                  </w:rPr>
                </w:r>
                <w:r>
                  <w:rPr>
                    <w:noProof/>
                    <w:webHidden/>
                  </w:rPr>
                  <w:fldChar w:fldCharType="separate"/>
                </w:r>
                <w:r>
                  <w:rPr>
                    <w:noProof/>
                    <w:webHidden/>
                  </w:rPr>
                  <w:t>6</w:t>
                </w:r>
                <w:r>
                  <w:rPr>
                    <w:noProof/>
                    <w:webHidden/>
                  </w:rPr>
                  <w:fldChar w:fldCharType="end"/>
                </w:r>
              </w:hyperlink>
            </w:p>
            <w:p w14:paraId="28BE7A12" w14:textId="0C3BDA79"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3" w:history="1">
                <w:r w:rsidRPr="0091339F">
                  <w:rPr>
                    <w:rStyle w:val="Hyperlink"/>
                    <w:rFonts w:ascii="Arial" w:eastAsiaTheme="minorHAnsi" w:hAnsi="Arial" w:cs="Arial"/>
                    <w:b/>
                    <w:bCs/>
                    <w:i/>
                    <w:iCs/>
                    <w:noProof/>
                  </w:rPr>
                  <w:t>3.1 Segmentation</w:t>
                </w:r>
                <w:r>
                  <w:rPr>
                    <w:noProof/>
                    <w:webHidden/>
                  </w:rPr>
                  <w:tab/>
                </w:r>
                <w:r>
                  <w:rPr>
                    <w:noProof/>
                    <w:webHidden/>
                  </w:rPr>
                  <w:fldChar w:fldCharType="begin"/>
                </w:r>
                <w:r>
                  <w:rPr>
                    <w:noProof/>
                    <w:webHidden/>
                  </w:rPr>
                  <w:instrText xml:space="preserve"> PAGEREF _Toc196737763 \h </w:instrText>
                </w:r>
                <w:r>
                  <w:rPr>
                    <w:noProof/>
                    <w:webHidden/>
                  </w:rPr>
                </w:r>
                <w:r>
                  <w:rPr>
                    <w:noProof/>
                    <w:webHidden/>
                  </w:rPr>
                  <w:fldChar w:fldCharType="separate"/>
                </w:r>
                <w:r>
                  <w:rPr>
                    <w:noProof/>
                    <w:webHidden/>
                  </w:rPr>
                  <w:t>6</w:t>
                </w:r>
                <w:r>
                  <w:rPr>
                    <w:noProof/>
                    <w:webHidden/>
                  </w:rPr>
                  <w:fldChar w:fldCharType="end"/>
                </w:r>
              </w:hyperlink>
            </w:p>
            <w:p w14:paraId="2E5DDA2F" w14:textId="39796F91"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4" w:history="1">
                <w:r w:rsidRPr="0091339F">
                  <w:rPr>
                    <w:rStyle w:val="Hyperlink"/>
                    <w:rFonts w:ascii="Arial" w:eastAsiaTheme="minorHAnsi" w:hAnsi="Arial" w:cs="Arial"/>
                    <w:b/>
                    <w:bCs/>
                    <w:i/>
                    <w:iCs/>
                    <w:noProof/>
                  </w:rPr>
                  <w:t>3.2 Targeting</w:t>
                </w:r>
                <w:r>
                  <w:rPr>
                    <w:noProof/>
                    <w:webHidden/>
                  </w:rPr>
                  <w:tab/>
                </w:r>
                <w:r>
                  <w:rPr>
                    <w:noProof/>
                    <w:webHidden/>
                  </w:rPr>
                  <w:fldChar w:fldCharType="begin"/>
                </w:r>
                <w:r>
                  <w:rPr>
                    <w:noProof/>
                    <w:webHidden/>
                  </w:rPr>
                  <w:instrText xml:space="preserve"> PAGEREF _Toc196737764 \h </w:instrText>
                </w:r>
                <w:r>
                  <w:rPr>
                    <w:noProof/>
                    <w:webHidden/>
                  </w:rPr>
                </w:r>
                <w:r>
                  <w:rPr>
                    <w:noProof/>
                    <w:webHidden/>
                  </w:rPr>
                  <w:fldChar w:fldCharType="separate"/>
                </w:r>
                <w:r>
                  <w:rPr>
                    <w:noProof/>
                    <w:webHidden/>
                  </w:rPr>
                  <w:t>8</w:t>
                </w:r>
                <w:r>
                  <w:rPr>
                    <w:noProof/>
                    <w:webHidden/>
                  </w:rPr>
                  <w:fldChar w:fldCharType="end"/>
                </w:r>
              </w:hyperlink>
            </w:p>
            <w:p w14:paraId="61880827" w14:textId="52010404"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5" w:history="1">
                <w:r w:rsidRPr="0091339F">
                  <w:rPr>
                    <w:rStyle w:val="Hyperlink"/>
                    <w:rFonts w:ascii="Arial" w:eastAsiaTheme="minorHAnsi" w:hAnsi="Arial" w:cs="Arial"/>
                    <w:b/>
                    <w:bCs/>
                    <w:i/>
                    <w:iCs/>
                    <w:noProof/>
                  </w:rPr>
                  <w:t>3.3 Positioning</w:t>
                </w:r>
                <w:r>
                  <w:rPr>
                    <w:noProof/>
                    <w:webHidden/>
                  </w:rPr>
                  <w:tab/>
                </w:r>
                <w:r>
                  <w:rPr>
                    <w:noProof/>
                    <w:webHidden/>
                  </w:rPr>
                  <w:fldChar w:fldCharType="begin"/>
                </w:r>
                <w:r>
                  <w:rPr>
                    <w:noProof/>
                    <w:webHidden/>
                  </w:rPr>
                  <w:instrText xml:space="preserve"> PAGEREF _Toc196737765 \h </w:instrText>
                </w:r>
                <w:r>
                  <w:rPr>
                    <w:noProof/>
                    <w:webHidden/>
                  </w:rPr>
                </w:r>
                <w:r>
                  <w:rPr>
                    <w:noProof/>
                    <w:webHidden/>
                  </w:rPr>
                  <w:fldChar w:fldCharType="separate"/>
                </w:r>
                <w:r>
                  <w:rPr>
                    <w:noProof/>
                    <w:webHidden/>
                  </w:rPr>
                  <w:t>9</w:t>
                </w:r>
                <w:r>
                  <w:rPr>
                    <w:noProof/>
                    <w:webHidden/>
                  </w:rPr>
                  <w:fldChar w:fldCharType="end"/>
                </w:r>
              </w:hyperlink>
            </w:p>
            <w:p w14:paraId="3AAD9A28" w14:textId="146D93A7"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66" w:history="1">
                <w:r w:rsidRPr="0091339F">
                  <w:rPr>
                    <w:rStyle w:val="Hyperlink"/>
                    <w:rFonts w:ascii="Arial" w:hAnsi="Arial" w:cs="Arial"/>
                    <w:b/>
                    <w:bCs/>
                    <w:i/>
                    <w:iCs/>
                    <w:noProof/>
                  </w:rPr>
                  <w:t>4. Customer Persona</w:t>
                </w:r>
                <w:r>
                  <w:rPr>
                    <w:noProof/>
                    <w:webHidden/>
                  </w:rPr>
                  <w:tab/>
                </w:r>
                <w:r>
                  <w:rPr>
                    <w:noProof/>
                    <w:webHidden/>
                  </w:rPr>
                  <w:fldChar w:fldCharType="begin"/>
                </w:r>
                <w:r>
                  <w:rPr>
                    <w:noProof/>
                    <w:webHidden/>
                  </w:rPr>
                  <w:instrText xml:space="preserve"> PAGEREF _Toc196737766 \h </w:instrText>
                </w:r>
                <w:r>
                  <w:rPr>
                    <w:noProof/>
                    <w:webHidden/>
                  </w:rPr>
                </w:r>
                <w:r>
                  <w:rPr>
                    <w:noProof/>
                    <w:webHidden/>
                  </w:rPr>
                  <w:fldChar w:fldCharType="separate"/>
                </w:r>
                <w:r>
                  <w:rPr>
                    <w:noProof/>
                    <w:webHidden/>
                  </w:rPr>
                  <w:t>11</w:t>
                </w:r>
                <w:r>
                  <w:rPr>
                    <w:noProof/>
                    <w:webHidden/>
                  </w:rPr>
                  <w:fldChar w:fldCharType="end"/>
                </w:r>
              </w:hyperlink>
            </w:p>
            <w:p w14:paraId="30FFD024" w14:textId="576FB43F"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7" w:history="1">
                <w:r w:rsidRPr="0091339F">
                  <w:rPr>
                    <w:rStyle w:val="Hyperlink"/>
                    <w:rFonts w:ascii="Arial" w:eastAsiaTheme="minorHAnsi" w:hAnsi="Arial" w:cs="Arial"/>
                    <w:b/>
                    <w:bCs/>
                    <w:i/>
                    <w:iCs/>
                    <w:noProof/>
                  </w:rPr>
                  <w:t>4.1 Demographic Characteristics</w:t>
                </w:r>
                <w:r>
                  <w:rPr>
                    <w:noProof/>
                    <w:webHidden/>
                  </w:rPr>
                  <w:tab/>
                </w:r>
                <w:r>
                  <w:rPr>
                    <w:noProof/>
                    <w:webHidden/>
                  </w:rPr>
                  <w:fldChar w:fldCharType="begin"/>
                </w:r>
                <w:r>
                  <w:rPr>
                    <w:noProof/>
                    <w:webHidden/>
                  </w:rPr>
                  <w:instrText xml:space="preserve"> PAGEREF _Toc196737767 \h </w:instrText>
                </w:r>
                <w:r>
                  <w:rPr>
                    <w:noProof/>
                    <w:webHidden/>
                  </w:rPr>
                </w:r>
                <w:r>
                  <w:rPr>
                    <w:noProof/>
                    <w:webHidden/>
                  </w:rPr>
                  <w:fldChar w:fldCharType="separate"/>
                </w:r>
                <w:r>
                  <w:rPr>
                    <w:noProof/>
                    <w:webHidden/>
                  </w:rPr>
                  <w:t>11</w:t>
                </w:r>
                <w:r>
                  <w:rPr>
                    <w:noProof/>
                    <w:webHidden/>
                  </w:rPr>
                  <w:fldChar w:fldCharType="end"/>
                </w:r>
              </w:hyperlink>
            </w:p>
            <w:p w14:paraId="60E0C639" w14:textId="76F19383"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8" w:history="1">
                <w:r w:rsidRPr="0091339F">
                  <w:rPr>
                    <w:rStyle w:val="Hyperlink"/>
                    <w:rFonts w:ascii="Arial" w:eastAsiaTheme="minorHAnsi" w:hAnsi="Arial" w:cs="Arial"/>
                    <w:b/>
                    <w:bCs/>
                    <w:i/>
                    <w:iCs/>
                    <w:noProof/>
                  </w:rPr>
                  <w:t>4.2 Psychographic Characteristics</w:t>
                </w:r>
                <w:r>
                  <w:rPr>
                    <w:noProof/>
                    <w:webHidden/>
                  </w:rPr>
                  <w:tab/>
                </w:r>
                <w:r>
                  <w:rPr>
                    <w:noProof/>
                    <w:webHidden/>
                  </w:rPr>
                  <w:fldChar w:fldCharType="begin"/>
                </w:r>
                <w:r>
                  <w:rPr>
                    <w:noProof/>
                    <w:webHidden/>
                  </w:rPr>
                  <w:instrText xml:space="preserve"> PAGEREF _Toc196737768 \h </w:instrText>
                </w:r>
                <w:r>
                  <w:rPr>
                    <w:noProof/>
                    <w:webHidden/>
                  </w:rPr>
                </w:r>
                <w:r>
                  <w:rPr>
                    <w:noProof/>
                    <w:webHidden/>
                  </w:rPr>
                  <w:fldChar w:fldCharType="separate"/>
                </w:r>
                <w:r>
                  <w:rPr>
                    <w:noProof/>
                    <w:webHidden/>
                  </w:rPr>
                  <w:t>12</w:t>
                </w:r>
                <w:r>
                  <w:rPr>
                    <w:noProof/>
                    <w:webHidden/>
                  </w:rPr>
                  <w:fldChar w:fldCharType="end"/>
                </w:r>
              </w:hyperlink>
            </w:p>
            <w:p w14:paraId="2A216E0C" w14:textId="29F5FCEC"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69" w:history="1">
                <w:r w:rsidRPr="0091339F">
                  <w:rPr>
                    <w:rStyle w:val="Hyperlink"/>
                    <w:rFonts w:ascii="Arial" w:eastAsiaTheme="minorHAnsi" w:hAnsi="Arial" w:cs="Arial"/>
                    <w:b/>
                    <w:bCs/>
                    <w:i/>
                    <w:iCs/>
                    <w:noProof/>
                  </w:rPr>
                  <w:t>4.3 Customer Pain Points</w:t>
                </w:r>
                <w:r>
                  <w:rPr>
                    <w:noProof/>
                    <w:webHidden/>
                  </w:rPr>
                  <w:tab/>
                </w:r>
                <w:r>
                  <w:rPr>
                    <w:noProof/>
                    <w:webHidden/>
                  </w:rPr>
                  <w:fldChar w:fldCharType="begin"/>
                </w:r>
                <w:r>
                  <w:rPr>
                    <w:noProof/>
                    <w:webHidden/>
                  </w:rPr>
                  <w:instrText xml:space="preserve"> PAGEREF _Toc196737769 \h </w:instrText>
                </w:r>
                <w:r>
                  <w:rPr>
                    <w:noProof/>
                    <w:webHidden/>
                  </w:rPr>
                </w:r>
                <w:r>
                  <w:rPr>
                    <w:noProof/>
                    <w:webHidden/>
                  </w:rPr>
                  <w:fldChar w:fldCharType="separate"/>
                </w:r>
                <w:r>
                  <w:rPr>
                    <w:noProof/>
                    <w:webHidden/>
                  </w:rPr>
                  <w:t>12</w:t>
                </w:r>
                <w:r>
                  <w:rPr>
                    <w:noProof/>
                    <w:webHidden/>
                  </w:rPr>
                  <w:fldChar w:fldCharType="end"/>
                </w:r>
              </w:hyperlink>
            </w:p>
            <w:p w14:paraId="5F878711" w14:textId="721B5EDF"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70" w:history="1">
                <w:r w:rsidRPr="0091339F">
                  <w:rPr>
                    <w:rStyle w:val="Hyperlink"/>
                    <w:rFonts w:ascii="Arial" w:hAnsi="Arial" w:cs="Arial"/>
                    <w:b/>
                    <w:bCs/>
                    <w:i/>
                    <w:iCs/>
                    <w:noProof/>
                  </w:rPr>
                  <w:t>5. Marketing Mix Strategy</w:t>
                </w:r>
                <w:r>
                  <w:rPr>
                    <w:noProof/>
                    <w:webHidden/>
                  </w:rPr>
                  <w:tab/>
                </w:r>
                <w:r>
                  <w:rPr>
                    <w:noProof/>
                    <w:webHidden/>
                  </w:rPr>
                  <w:fldChar w:fldCharType="begin"/>
                </w:r>
                <w:r>
                  <w:rPr>
                    <w:noProof/>
                    <w:webHidden/>
                  </w:rPr>
                  <w:instrText xml:space="preserve"> PAGEREF _Toc196737770 \h </w:instrText>
                </w:r>
                <w:r>
                  <w:rPr>
                    <w:noProof/>
                    <w:webHidden/>
                  </w:rPr>
                </w:r>
                <w:r>
                  <w:rPr>
                    <w:noProof/>
                    <w:webHidden/>
                  </w:rPr>
                  <w:fldChar w:fldCharType="separate"/>
                </w:r>
                <w:r>
                  <w:rPr>
                    <w:noProof/>
                    <w:webHidden/>
                  </w:rPr>
                  <w:t>13</w:t>
                </w:r>
                <w:r>
                  <w:rPr>
                    <w:noProof/>
                    <w:webHidden/>
                  </w:rPr>
                  <w:fldChar w:fldCharType="end"/>
                </w:r>
              </w:hyperlink>
            </w:p>
            <w:p w14:paraId="6D5586AB" w14:textId="257AD5B8"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1" w:history="1">
                <w:r w:rsidRPr="0091339F">
                  <w:rPr>
                    <w:rStyle w:val="Hyperlink"/>
                    <w:rFonts w:ascii="Arial" w:eastAsiaTheme="minorHAnsi" w:hAnsi="Arial" w:cs="Arial"/>
                    <w:b/>
                    <w:bCs/>
                    <w:i/>
                    <w:iCs/>
                    <w:noProof/>
                  </w:rPr>
                  <w:t>5.1 Product</w:t>
                </w:r>
                <w:r>
                  <w:rPr>
                    <w:noProof/>
                    <w:webHidden/>
                  </w:rPr>
                  <w:tab/>
                </w:r>
                <w:r>
                  <w:rPr>
                    <w:noProof/>
                    <w:webHidden/>
                  </w:rPr>
                  <w:fldChar w:fldCharType="begin"/>
                </w:r>
                <w:r>
                  <w:rPr>
                    <w:noProof/>
                    <w:webHidden/>
                  </w:rPr>
                  <w:instrText xml:space="preserve"> PAGEREF _Toc196737771 \h </w:instrText>
                </w:r>
                <w:r>
                  <w:rPr>
                    <w:noProof/>
                    <w:webHidden/>
                  </w:rPr>
                </w:r>
                <w:r>
                  <w:rPr>
                    <w:noProof/>
                    <w:webHidden/>
                  </w:rPr>
                  <w:fldChar w:fldCharType="separate"/>
                </w:r>
                <w:r>
                  <w:rPr>
                    <w:noProof/>
                    <w:webHidden/>
                  </w:rPr>
                  <w:t>13</w:t>
                </w:r>
                <w:r>
                  <w:rPr>
                    <w:noProof/>
                    <w:webHidden/>
                  </w:rPr>
                  <w:fldChar w:fldCharType="end"/>
                </w:r>
              </w:hyperlink>
            </w:p>
            <w:p w14:paraId="051C32C1" w14:textId="6536FADB"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2" w:history="1">
                <w:r w:rsidRPr="0091339F">
                  <w:rPr>
                    <w:rStyle w:val="Hyperlink"/>
                    <w:rFonts w:ascii="Arial" w:eastAsiaTheme="minorHAnsi" w:hAnsi="Arial" w:cs="Arial"/>
                    <w:b/>
                    <w:bCs/>
                    <w:i/>
                    <w:iCs/>
                    <w:noProof/>
                  </w:rPr>
                  <w:t>5.2 Price</w:t>
                </w:r>
                <w:r>
                  <w:rPr>
                    <w:noProof/>
                    <w:webHidden/>
                  </w:rPr>
                  <w:tab/>
                </w:r>
                <w:r>
                  <w:rPr>
                    <w:noProof/>
                    <w:webHidden/>
                  </w:rPr>
                  <w:fldChar w:fldCharType="begin"/>
                </w:r>
                <w:r>
                  <w:rPr>
                    <w:noProof/>
                    <w:webHidden/>
                  </w:rPr>
                  <w:instrText xml:space="preserve"> PAGEREF _Toc196737772 \h </w:instrText>
                </w:r>
                <w:r>
                  <w:rPr>
                    <w:noProof/>
                    <w:webHidden/>
                  </w:rPr>
                </w:r>
                <w:r>
                  <w:rPr>
                    <w:noProof/>
                    <w:webHidden/>
                  </w:rPr>
                  <w:fldChar w:fldCharType="separate"/>
                </w:r>
                <w:r>
                  <w:rPr>
                    <w:noProof/>
                    <w:webHidden/>
                  </w:rPr>
                  <w:t>14</w:t>
                </w:r>
                <w:r>
                  <w:rPr>
                    <w:noProof/>
                    <w:webHidden/>
                  </w:rPr>
                  <w:fldChar w:fldCharType="end"/>
                </w:r>
              </w:hyperlink>
            </w:p>
            <w:p w14:paraId="25D3C77E" w14:textId="45D66BCA"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3" w:history="1">
                <w:r w:rsidRPr="0091339F">
                  <w:rPr>
                    <w:rStyle w:val="Hyperlink"/>
                    <w:rFonts w:ascii="Arial" w:eastAsiaTheme="minorHAnsi" w:hAnsi="Arial" w:cs="Arial"/>
                    <w:b/>
                    <w:bCs/>
                    <w:i/>
                    <w:iCs/>
                    <w:noProof/>
                  </w:rPr>
                  <w:t>5.3 Place</w:t>
                </w:r>
                <w:r>
                  <w:rPr>
                    <w:noProof/>
                    <w:webHidden/>
                  </w:rPr>
                  <w:tab/>
                </w:r>
                <w:r>
                  <w:rPr>
                    <w:noProof/>
                    <w:webHidden/>
                  </w:rPr>
                  <w:fldChar w:fldCharType="begin"/>
                </w:r>
                <w:r>
                  <w:rPr>
                    <w:noProof/>
                    <w:webHidden/>
                  </w:rPr>
                  <w:instrText xml:space="preserve"> PAGEREF _Toc196737773 \h </w:instrText>
                </w:r>
                <w:r>
                  <w:rPr>
                    <w:noProof/>
                    <w:webHidden/>
                  </w:rPr>
                </w:r>
                <w:r>
                  <w:rPr>
                    <w:noProof/>
                    <w:webHidden/>
                  </w:rPr>
                  <w:fldChar w:fldCharType="separate"/>
                </w:r>
                <w:r>
                  <w:rPr>
                    <w:noProof/>
                    <w:webHidden/>
                  </w:rPr>
                  <w:t>15</w:t>
                </w:r>
                <w:r>
                  <w:rPr>
                    <w:noProof/>
                    <w:webHidden/>
                  </w:rPr>
                  <w:fldChar w:fldCharType="end"/>
                </w:r>
              </w:hyperlink>
            </w:p>
            <w:p w14:paraId="4898FB26" w14:textId="26B68AA3"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4" w:history="1">
                <w:r w:rsidRPr="0091339F">
                  <w:rPr>
                    <w:rStyle w:val="Hyperlink"/>
                    <w:rFonts w:ascii="Arial" w:eastAsiaTheme="minorHAnsi" w:hAnsi="Arial" w:cs="Arial"/>
                    <w:b/>
                    <w:bCs/>
                    <w:i/>
                    <w:iCs/>
                    <w:noProof/>
                  </w:rPr>
                  <w:t>5.4 Promotion</w:t>
                </w:r>
                <w:r>
                  <w:rPr>
                    <w:noProof/>
                    <w:webHidden/>
                  </w:rPr>
                  <w:tab/>
                </w:r>
                <w:r>
                  <w:rPr>
                    <w:noProof/>
                    <w:webHidden/>
                  </w:rPr>
                  <w:fldChar w:fldCharType="begin"/>
                </w:r>
                <w:r>
                  <w:rPr>
                    <w:noProof/>
                    <w:webHidden/>
                  </w:rPr>
                  <w:instrText xml:space="preserve"> PAGEREF _Toc196737774 \h </w:instrText>
                </w:r>
                <w:r>
                  <w:rPr>
                    <w:noProof/>
                    <w:webHidden/>
                  </w:rPr>
                </w:r>
                <w:r>
                  <w:rPr>
                    <w:noProof/>
                    <w:webHidden/>
                  </w:rPr>
                  <w:fldChar w:fldCharType="separate"/>
                </w:r>
                <w:r>
                  <w:rPr>
                    <w:noProof/>
                    <w:webHidden/>
                  </w:rPr>
                  <w:t>16</w:t>
                </w:r>
                <w:r>
                  <w:rPr>
                    <w:noProof/>
                    <w:webHidden/>
                  </w:rPr>
                  <w:fldChar w:fldCharType="end"/>
                </w:r>
              </w:hyperlink>
            </w:p>
            <w:p w14:paraId="2FE7BA7F" w14:textId="3FBA57E5"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5" w:history="1">
                <w:r w:rsidRPr="0091339F">
                  <w:rPr>
                    <w:rStyle w:val="Hyperlink"/>
                    <w:rFonts w:ascii="Arial" w:eastAsiaTheme="minorHAnsi" w:hAnsi="Arial" w:cs="Arial"/>
                    <w:b/>
                    <w:bCs/>
                    <w:i/>
                    <w:iCs/>
                    <w:noProof/>
                  </w:rPr>
                  <w:t>5.5 People</w:t>
                </w:r>
                <w:r>
                  <w:rPr>
                    <w:noProof/>
                    <w:webHidden/>
                  </w:rPr>
                  <w:tab/>
                </w:r>
                <w:r>
                  <w:rPr>
                    <w:noProof/>
                    <w:webHidden/>
                  </w:rPr>
                  <w:fldChar w:fldCharType="begin"/>
                </w:r>
                <w:r>
                  <w:rPr>
                    <w:noProof/>
                    <w:webHidden/>
                  </w:rPr>
                  <w:instrText xml:space="preserve"> PAGEREF _Toc196737775 \h </w:instrText>
                </w:r>
                <w:r>
                  <w:rPr>
                    <w:noProof/>
                    <w:webHidden/>
                  </w:rPr>
                </w:r>
                <w:r>
                  <w:rPr>
                    <w:noProof/>
                    <w:webHidden/>
                  </w:rPr>
                  <w:fldChar w:fldCharType="separate"/>
                </w:r>
                <w:r>
                  <w:rPr>
                    <w:noProof/>
                    <w:webHidden/>
                  </w:rPr>
                  <w:t>16</w:t>
                </w:r>
                <w:r>
                  <w:rPr>
                    <w:noProof/>
                    <w:webHidden/>
                  </w:rPr>
                  <w:fldChar w:fldCharType="end"/>
                </w:r>
              </w:hyperlink>
            </w:p>
            <w:p w14:paraId="67EA5DDF" w14:textId="00247959"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6" w:history="1">
                <w:r w:rsidRPr="0091339F">
                  <w:rPr>
                    <w:rStyle w:val="Hyperlink"/>
                    <w:rFonts w:ascii="Arial" w:eastAsiaTheme="minorHAnsi" w:hAnsi="Arial" w:cs="Arial"/>
                    <w:b/>
                    <w:bCs/>
                    <w:i/>
                    <w:iCs/>
                    <w:noProof/>
                  </w:rPr>
                  <w:t>5.6 Process</w:t>
                </w:r>
                <w:r>
                  <w:rPr>
                    <w:noProof/>
                    <w:webHidden/>
                  </w:rPr>
                  <w:tab/>
                </w:r>
                <w:r>
                  <w:rPr>
                    <w:noProof/>
                    <w:webHidden/>
                  </w:rPr>
                  <w:fldChar w:fldCharType="begin"/>
                </w:r>
                <w:r>
                  <w:rPr>
                    <w:noProof/>
                    <w:webHidden/>
                  </w:rPr>
                  <w:instrText xml:space="preserve"> PAGEREF _Toc196737776 \h </w:instrText>
                </w:r>
                <w:r>
                  <w:rPr>
                    <w:noProof/>
                    <w:webHidden/>
                  </w:rPr>
                </w:r>
                <w:r>
                  <w:rPr>
                    <w:noProof/>
                    <w:webHidden/>
                  </w:rPr>
                  <w:fldChar w:fldCharType="separate"/>
                </w:r>
                <w:r>
                  <w:rPr>
                    <w:noProof/>
                    <w:webHidden/>
                  </w:rPr>
                  <w:t>17</w:t>
                </w:r>
                <w:r>
                  <w:rPr>
                    <w:noProof/>
                    <w:webHidden/>
                  </w:rPr>
                  <w:fldChar w:fldCharType="end"/>
                </w:r>
              </w:hyperlink>
            </w:p>
            <w:p w14:paraId="252015A5" w14:textId="35B3D3C3" w:rsidR="00797661" w:rsidRDefault="0079766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737777" w:history="1">
                <w:r w:rsidRPr="0091339F">
                  <w:rPr>
                    <w:rStyle w:val="Hyperlink"/>
                    <w:rFonts w:ascii="Arial" w:eastAsiaTheme="minorHAnsi" w:hAnsi="Arial" w:cs="Arial"/>
                    <w:b/>
                    <w:bCs/>
                    <w:i/>
                    <w:iCs/>
                    <w:noProof/>
                  </w:rPr>
                  <w:t>5.7 Physical Evidence</w:t>
                </w:r>
                <w:r>
                  <w:rPr>
                    <w:noProof/>
                    <w:webHidden/>
                  </w:rPr>
                  <w:tab/>
                </w:r>
                <w:r>
                  <w:rPr>
                    <w:noProof/>
                    <w:webHidden/>
                  </w:rPr>
                  <w:fldChar w:fldCharType="begin"/>
                </w:r>
                <w:r>
                  <w:rPr>
                    <w:noProof/>
                    <w:webHidden/>
                  </w:rPr>
                  <w:instrText xml:space="preserve"> PAGEREF _Toc196737777 \h </w:instrText>
                </w:r>
                <w:r>
                  <w:rPr>
                    <w:noProof/>
                    <w:webHidden/>
                  </w:rPr>
                </w:r>
                <w:r>
                  <w:rPr>
                    <w:noProof/>
                    <w:webHidden/>
                  </w:rPr>
                  <w:fldChar w:fldCharType="separate"/>
                </w:r>
                <w:r>
                  <w:rPr>
                    <w:noProof/>
                    <w:webHidden/>
                  </w:rPr>
                  <w:t>17</w:t>
                </w:r>
                <w:r>
                  <w:rPr>
                    <w:noProof/>
                    <w:webHidden/>
                  </w:rPr>
                  <w:fldChar w:fldCharType="end"/>
                </w:r>
              </w:hyperlink>
            </w:p>
            <w:p w14:paraId="5AEB286A" w14:textId="5481D4A2"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78" w:history="1">
                <w:r w:rsidRPr="0091339F">
                  <w:rPr>
                    <w:rStyle w:val="Hyperlink"/>
                    <w:rFonts w:ascii="Arial" w:hAnsi="Arial" w:cs="Arial"/>
                    <w:b/>
                    <w:bCs/>
                    <w:i/>
                    <w:iCs/>
                    <w:noProof/>
                  </w:rPr>
                  <w:t>6. Conclusion</w:t>
                </w:r>
                <w:r>
                  <w:rPr>
                    <w:noProof/>
                    <w:webHidden/>
                  </w:rPr>
                  <w:tab/>
                </w:r>
                <w:r>
                  <w:rPr>
                    <w:noProof/>
                    <w:webHidden/>
                  </w:rPr>
                  <w:fldChar w:fldCharType="begin"/>
                </w:r>
                <w:r>
                  <w:rPr>
                    <w:noProof/>
                    <w:webHidden/>
                  </w:rPr>
                  <w:instrText xml:space="preserve"> PAGEREF _Toc196737778 \h </w:instrText>
                </w:r>
                <w:r>
                  <w:rPr>
                    <w:noProof/>
                    <w:webHidden/>
                  </w:rPr>
                </w:r>
                <w:r>
                  <w:rPr>
                    <w:noProof/>
                    <w:webHidden/>
                  </w:rPr>
                  <w:fldChar w:fldCharType="separate"/>
                </w:r>
                <w:r>
                  <w:rPr>
                    <w:noProof/>
                    <w:webHidden/>
                  </w:rPr>
                  <w:t>18</w:t>
                </w:r>
                <w:r>
                  <w:rPr>
                    <w:noProof/>
                    <w:webHidden/>
                  </w:rPr>
                  <w:fldChar w:fldCharType="end"/>
                </w:r>
              </w:hyperlink>
            </w:p>
            <w:p w14:paraId="0A7A63AC" w14:textId="11151481" w:rsidR="00797661" w:rsidRDefault="0079766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6737779" w:history="1">
                <w:r w:rsidRPr="0091339F">
                  <w:rPr>
                    <w:rStyle w:val="Hyperlink"/>
                    <w:rFonts w:ascii="Arial" w:hAnsi="Arial" w:cs="Arial"/>
                    <w:b/>
                    <w:bCs/>
                    <w:i/>
                    <w:iCs/>
                    <w:noProof/>
                  </w:rPr>
                  <w:t>References</w:t>
                </w:r>
                <w:r>
                  <w:rPr>
                    <w:noProof/>
                    <w:webHidden/>
                  </w:rPr>
                  <w:tab/>
                </w:r>
                <w:r>
                  <w:rPr>
                    <w:noProof/>
                    <w:webHidden/>
                  </w:rPr>
                  <w:fldChar w:fldCharType="begin"/>
                </w:r>
                <w:r>
                  <w:rPr>
                    <w:noProof/>
                    <w:webHidden/>
                  </w:rPr>
                  <w:instrText xml:space="preserve"> PAGEREF _Toc196737779 \h </w:instrText>
                </w:r>
                <w:r>
                  <w:rPr>
                    <w:noProof/>
                    <w:webHidden/>
                  </w:rPr>
                </w:r>
                <w:r>
                  <w:rPr>
                    <w:noProof/>
                    <w:webHidden/>
                  </w:rPr>
                  <w:fldChar w:fldCharType="separate"/>
                </w:r>
                <w:r>
                  <w:rPr>
                    <w:noProof/>
                    <w:webHidden/>
                  </w:rPr>
                  <w:t>19</w:t>
                </w:r>
                <w:r>
                  <w:rPr>
                    <w:noProof/>
                    <w:webHidden/>
                  </w:rPr>
                  <w:fldChar w:fldCharType="end"/>
                </w:r>
              </w:hyperlink>
            </w:p>
            <w:p w14:paraId="60D68439" w14:textId="144E65F3" w:rsidR="009621A9" w:rsidRDefault="009621A9">
              <w:r>
                <w:rPr>
                  <w:b/>
                  <w:bCs/>
                  <w:noProof/>
                </w:rPr>
                <w:fldChar w:fldCharType="end"/>
              </w:r>
            </w:p>
          </w:sdtContent>
        </w:sdt>
        <w:p w14:paraId="678A60E7" w14:textId="51227074" w:rsidR="009621A9" w:rsidRDefault="009621A9"/>
        <w:p w14:paraId="1347195A" w14:textId="56CA55CF" w:rsidR="009621A9" w:rsidRPr="009621A9" w:rsidRDefault="009621A9">
          <w:r>
            <w:br w:type="page"/>
          </w:r>
        </w:p>
      </w:sdtContent>
    </w:sdt>
    <w:p w14:paraId="7A568D96" w14:textId="5413B657" w:rsidR="009621A9" w:rsidRPr="009621A9" w:rsidRDefault="009621A9" w:rsidP="009621A9">
      <w:pPr>
        <w:pStyle w:val="Heading1"/>
        <w:spacing w:after="240"/>
        <w:rPr>
          <w:rFonts w:ascii="Arial" w:hAnsi="Arial" w:cs="Arial"/>
          <w:b/>
          <w:bCs/>
          <w:i/>
          <w:iCs/>
          <w:sz w:val="24"/>
          <w:szCs w:val="24"/>
        </w:rPr>
      </w:pPr>
      <w:bookmarkStart w:id="0" w:name="_Toc196737756"/>
      <w:r w:rsidRPr="009621A9">
        <w:rPr>
          <w:rFonts w:ascii="Arial" w:hAnsi="Arial" w:cs="Arial"/>
          <w:b/>
          <w:bCs/>
          <w:i/>
          <w:iCs/>
          <w:sz w:val="24"/>
          <w:szCs w:val="24"/>
        </w:rPr>
        <w:lastRenderedPageBreak/>
        <w:t>1. Introduction</w:t>
      </w:r>
      <w:bookmarkEnd w:id="0"/>
    </w:p>
    <w:p w14:paraId="739A558E" w14:textId="1327D657" w:rsidR="009621A9" w:rsidRPr="009621A9" w:rsidRDefault="009621A9" w:rsidP="009621A9">
      <w:pPr>
        <w:pStyle w:val="Heading2"/>
        <w:spacing w:after="240"/>
        <w:rPr>
          <w:rFonts w:ascii="Arial" w:eastAsiaTheme="minorHAnsi" w:hAnsi="Arial" w:cs="Arial"/>
          <w:b/>
          <w:bCs/>
          <w:i/>
          <w:iCs/>
          <w:color w:val="auto"/>
          <w:sz w:val="24"/>
          <w:szCs w:val="24"/>
        </w:rPr>
      </w:pPr>
      <w:bookmarkStart w:id="1" w:name="_Toc196737757"/>
      <w:r w:rsidRPr="009621A9">
        <w:rPr>
          <w:rFonts w:ascii="Arial" w:eastAsiaTheme="minorHAnsi" w:hAnsi="Arial" w:cs="Arial"/>
          <w:b/>
          <w:bCs/>
          <w:i/>
          <w:iCs/>
          <w:color w:val="auto"/>
          <w:sz w:val="24"/>
          <w:szCs w:val="24"/>
        </w:rPr>
        <w:t>1.1 Overview of Sony Electronics</w:t>
      </w:r>
      <w:bookmarkEnd w:id="1"/>
    </w:p>
    <w:p w14:paraId="06FB001C" w14:textId="3A33DD98"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A global leader in technology innovation, entertainment, and consumer electronics, Sony Corporation is headquartered in the Minato district of Tokyo. Sony generated nearly 87 billion U.S. dollars in total revenue in 2023, with approximately one-third of this revenue coming from its game and network segment, particularly through the prominent PlayStation brand</w:t>
      </w:r>
      <w:r w:rsidR="00CF73E4">
        <w:rPr>
          <w:rFonts w:ascii="Arial" w:hAnsi="Arial" w:cs="Arial"/>
          <w:sz w:val="24"/>
          <w:szCs w:val="24"/>
        </w:rPr>
        <w:t xml:space="preserve"> </w:t>
      </w:r>
      <w:r w:rsidR="00CF73E4" w:rsidRPr="00CF73E4">
        <w:rPr>
          <w:rFonts w:ascii="Arial" w:hAnsi="Arial" w:cs="Arial"/>
          <w:sz w:val="24"/>
          <w:szCs w:val="24"/>
        </w:rPr>
        <w:t>(Laricchia, 2024)</w:t>
      </w:r>
      <w:r w:rsidRPr="009621A9">
        <w:rPr>
          <w:rFonts w:ascii="Arial" w:hAnsi="Arial" w:cs="Arial"/>
          <w:sz w:val="24"/>
          <w:szCs w:val="24"/>
        </w:rPr>
        <w:t xml:space="preserve">. </w:t>
      </w:r>
    </w:p>
    <w:p w14:paraId="17915284" w14:textId="1192CDCE" w:rsidR="00010EBD" w:rsidRPr="00C24589" w:rsidRDefault="007E0F4C" w:rsidP="00C24589">
      <w:pPr>
        <w:spacing w:after="240" w:line="360" w:lineRule="auto"/>
        <w:jc w:val="center"/>
        <w:rPr>
          <w:rFonts w:ascii="Arial" w:hAnsi="Arial" w:cs="Arial"/>
          <w:i/>
          <w:iCs/>
        </w:rPr>
      </w:pPr>
      <w:r w:rsidRPr="00C24589">
        <w:rPr>
          <w:i/>
          <w:iCs/>
          <w:noProof/>
        </w:rPr>
        <w:drawing>
          <wp:inline distT="0" distB="0" distL="0" distR="0" wp14:anchorId="0A554409" wp14:editId="4A0EF368">
            <wp:extent cx="5731510" cy="4259580"/>
            <wp:effectExtent l="0" t="0" r="2540" b="7620"/>
            <wp:docPr id="518197548" name="Picture 4" descr="Sony sales by business segments 2011-2023|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ny sales by business segments 2011-2023|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59580"/>
                    </a:xfrm>
                    <a:prstGeom prst="rect">
                      <a:avLst/>
                    </a:prstGeom>
                    <a:noFill/>
                    <a:ln>
                      <a:noFill/>
                    </a:ln>
                  </pic:spPr>
                </pic:pic>
              </a:graphicData>
            </a:graphic>
          </wp:inline>
        </w:drawing>
      </w:r>
    </w:p>
    <w:p w14:paraId="2A80F324" w14:textId="66DBC8F6"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https://www.statista.com/statistics/297533/sony-sales-worldwide-by-business-segment/</w:t>
      </w:r>
    </w:p>
    <w:p w14:paraId="3DFD9018" w14:textId="44F3EB03"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company also manufactures a wide variety of products, such as semiconductors, smartphones, digital cameras, and televisions. Sony Semiconductor Solutions is a leader in imaging and sensing technology, while Sony Entertainment Inc. continues to broaden its portfolio through music, television, and motion pictures</w:t>
      </w:r>
      <w:r w:rsidR="00CF73E4">
        <w:rPr>
          <w:rFonts w:ascii="Arial" w:hAnsi="Arial" w:cs="Arial"/>
          <w:sz w:val="24"/>
          <w:szCs w:val="24"/>
        </w:rPr>
        <w:t xml:space="preserve"> </w:t>
      </w:r>
      <w:r w:rsidR="00CF73E4" w:rsidRPr="00CF73E4">
        <w:rPr>
          <w:rFonts w:ascii="Arial" w:hAnsi="Arial" w:cs="Arial"/>
          <w:sz w:val="24"/>
          <w:szCs w:val="24"/>
        </w:rPr>
        <w:t>(Laricchia, 2024)</w:t>
      </w:r>
      <w:r w:rsidRPr="009621A9">
        <w:rPr>
          <w:rFonts w:ascii="Arial" w:hAnsi="Arial" w:cs="Arial"/>
          <w:sz w:val="24"/>
          <w:szCs w:val="24"/>
        </w:rPr>
        <w:t xml:space="preserve">. </w:t>
      </w:r>
    </w:p>
    <w:p w14:paraId="35E39135" w14:textId="3FC0363B"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Sony continues to be a dominant force, selling nearly 22 million PlayStation 5 units globally in 2023, despite a decrease in personnel numbers from over 160,000 to </w:t>
      </w:r>
      <w:r w:rsidRPr="009621A9">
        <w:rPr>
          <w:rFonts w:ascii="Arial" w:hAnsi="Arial" w:cs="Arial"/>
          <w:sz w:val="24"/>
          <w:szCs w:val="24"/>
        </w:rPr>
        <w:lastRenderedPageBreak/>
        <w:t>approximately 113,000 over the past decade</w:t>
      </w:r>
      <w:r w:rsidR="00CF73E4">
        <w:rPr>
          <w:rFonts w:ascii="Arial" w:hAnsi="Arial" w:cs="Arial"/>
          <w:sz w:val="24"/>
          <w:szCs w:val="24"/>
        </w:rPr>
        <w:t xml:space="preserve"> </w:t>
      </w:r>
      <w:r w:rsidR="00CF73E4" w:rsidRPr="00CF73E4">
        <w:rPr>
          <w:rFonts w:ascii="Arial" w:hAnsi="Arial" w:cs="Arial"/>
          <w:sz w:val="24"/>
          <w:szCs w:val="24"/>
        </w:rPr>
        <w:t>(Laricchia, 2024)</w:t>
      </w:r>
      <w:r w:rsidRPr="009621A9">
        <w:rPr>
          <w:rFonts w:ascii="Arial" w:hAnsi="Arial" w:cs="Arial"/>
          <w:sz w:val="24"/>
          <w:szCs w:val="24"/>
        </w:rPr>
        <w:t>. Sony Mobility Inc. was established to facilitate the company's entrance into the electric vehicle (EV) market with the Vision-S models, as part of its ongoing commitment to innovation.</w:t>
      </w:r>
    </w:p>
    <w:p w14:paraId="76466FB3" w14:textId="41EE63CE" w:rsidR="00FD66D7" w:rsidRPr="009621A9" w:rsidRDefault="00000000" w:rsidP="009621A9">
      <w:pPr>
        <w:pStyle w:val="Heading2"/>
        <w:spacing w:after="240"/>
        <w:rPr>
          <w:rFonts w:ascii="Arial" w:eastAsiaTheme="minorHAnsi" w:hAnsi="Arial" w:cs="Arial"/>
          <w:b/>
          <w:bCs/>
          <w:i/>
          <w:iCs/>
          <w:color w:val="auto"/>
          <w:sz w:val="24"/>
          <w:szCs w:val="24"/>
        </w:rPr>
      </w:pPr>
      <w:bookmarkStart w:id="2" w:name="_Toc196737758"/>
      <w:r w:rsidRPr="009621A9">
        <w:rPr>
          <w:rFonts w:ascii="Arial" w:eastAsiaTheme="minorHAnsi" w:hAnsi="Arial" w:cs="Arial"/>
          <w:b/>
          <w:bCs/>
          <w:i/>
          <w:iCs/>
          <w:color w:val="auto"/>
          <w:sz w:val="24"/>
          <w:szCs w:val="24"/>
        </w:rPr>
        <w:t>1.2 New Brand Extension</w:t>
      </w:r>
      <w:bookmarkEnd w:id="2"/>
    </w:p>
    <w:p w14:paraId="1DCA6B29" w14:textId="0CF40443"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intends to introduce Sony EV Batteries, a state-of-the-art line of lithium-ion batteries that are expressly engineered for electric vehicles, in addition to its recent expansion into the EV sector and technological excellence. With the global demand for lithium-ion batteries anticipated to increase by nearly sevenfold by 2030, reaching 4.7 terawatt-hours</w:t>
      </w:r>
      <w:r w:rsidR="00CF73E4">
        <w:rPr>
          <w:rFonts w:ascii="Arial" w:hAnsi="Arial" w:cs="Arial"/>
          <w:sz w:val="24"/>
          <w:szCs w:val="24"/>
        </w:rPr>
        <w:t xml:space="preserve"> </w:t>
      </w:r>
      <w:r w:rsidR="00CF73E4" w:rsidRPr="00CF73E4">
        <w:rPr>
          <w:rFonts w:ascii="Arial" w:hAnsi="Arial" w:cs="Arial"/>
          <w:sz w:val="24"/>
          <w:szCs w:val="24"/>
        </w:rPr>
        <w:t>(Statista, 2025)</w:t>
      </w:r>
      <w:r w:rsidR="00010EBD">
        <w:rPr>
          <w:rFonts w:ascii="Arial" w:hAnsi="Arial" w:cs="Arial"/>
          <w:sz w:val="24"/>
          <w:szCs w:val="24"/>
        </w:rPr>
        <w:t>.</w:t>
      </w:r>
      <w:r w:rsidRPr="009621A9">
        <w:rPr>
          <w:rFonts w:ascii="Arial" w:hAnsi="Arial" w:cs="Arial"/>
          <w:sz w:val="24"/>
          <w:szCs w:val="24"/>
        </w:rPr>
        <w:t xml:space="preserve"> </w:t>
      </w:r>
    </w:p>
    <w:p w14:paraId="1CB6CCB6" w14:textId="42718814" w:rsidR="007E0F4C" w:rsidRPr="00C24589" w:rsidRDefault="007E0F4C" w:rsidP="00C24589">
      <w:pPr>
        <w:spacing w:after="240" w:line="360" w:lineRule="auto"/>
        <w:jc w:val="center"/>
        <w:rPr>
          <w:rFonts w:ascii="Arial" w:hAnsi="Arial" w:cs="Arial"/>
          <w:i/>
          <w:iCs/>
        </w:rPr>
      </w:pPr>
      <w:r w:rsidRPr="00C24589">
        <w:rPr>
          <w:i/>
          <w:iCs/>
          <w:noProof/>
        </w:rPr>
        <w:drawing>
          <wp:inline distT="0" distB="0" distL="0" distR="0" wp14:anchorId="6D9D0A42" wp14:editId="765C14F2">
            <wp:extent cx="5731510" cy="2689860"/>
            <wp:effectExtent l="0" t="0" r="2540" b="0"/>
            <wp:docPr id="520257451" name="Picture 5" descr="IEA's 2024 EV Outlook: Key Trends in the EV Battery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EA's 2024 EV Outlook: Key Trends in the EV Battery Market"/>
                    <pic:cNvPicPr>
                      <a:picLocks noChangeAspect="1" noChangeArrowheads="1"/>
                    </pic:cNvPicPr>
                  </pic:nvPicPr>
                  <pic:blipFill rotWithShape="1">
                    <a:blip r:embed="rId10">
                      <a:extLst>
                        <a:ext uri="{28A0092B-C50C-407E-A947-70E740481C1C}">
                          <a14:useLocalDpi xmlns:a14="http://schemas.microsoft.com/office/drawing/2010/main" val="0"/>
                        </a:ext>
                      </a:extLst>
                    </a:blip>
                    <a:srcRect t="10167" b="6364"/>
                    <a:stretch/>
                  </pic:blipFill>
                  <pic:spPr bwMode="auto">
                    <a:xfrm>
                      <a:off x="0" y="0"/>
                      <a:ext cx="5731510" cy="2689860"/>
                    </a:xfrm>
                    <a:prstGeom prst="rect">
                      <a:avLst/>
                    </a:prstGeom>
                    <a:noFill/>
                    <a:ln>
                      <a:noFill/>
                    </a:ln>
                    <a:extLst>
                      <a:ext uri="{53640926-AAD7-44D8-BBD7-CCE9431645EC}">
                        <a14:shadowObscured xmlns:a14="http://schemas.microsoft.com/office/drawing/2010/main"/>
                      </a:ext>
                    </a:extLst>
                  </pic:spPr>
                </pic:pic>
              </a:graphicData>
            </a:graphic>
          </wp:inline>
        </w:drawing>
      </w:r>
    </w:p>
    <w:p w14:paraId="21C29133" w14:textId="0FC9510C"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https://www.batterytechonline.com/ev-batteries/iea-s-2024-ev-outlook-key-trends-in-the-ev-battery-market</w:t>
      </w:r>
    </w:p>
    <w:p w14:paraId="073810E1" w14:textId="742588E6" w:rsidR="00FD66D7" w:rsidRPr="009621A9" w:rsidRDefault="00010EBD" w:rsidP="009621A9">
      <w:pPr>
        <w:spacing w:after="240" w:line="360" w:lineRule="auto"/>
        <w:jc w:val="both"/>
        <w:rPr>
          <w:rFonts w:ascii="Arial" w:hAnsi="Arial" w:cs="Arial"/>
          <w:sz w:val="24"/>
          <w:szCs w:val="24"/>
        </w:rPr>
      </w:pPr>
      <w:r>
        <w:rPr>
          <w:rFonts w:ascii="Arial" w:hAnsi="Arial" w:cs="Arial"/>
          <w:sz w:val="24"/>
          <w:szCs w:val="24"/>
        </w:rPr>
        <w:t xml:space="preserve">Also, as </w:t>
      </w:r>
      <w:r w:rsidRPr="009621A9">
        <w:rPr>
          <w:rFonts w:ascii="Arial" w:hAnsi="Arial" w:cs="Arial"/>
          <w:sz w:val="24"/>
          <w:szCs w:val="24"/>
        </w:rPr>
        <w:t>the market size projected to reach 200 billion U.S. dollars by 2025, Sony is in a prime position to enter this burgeoning industry</w:t>
      </w:r>
      <w:r w:rsidR="00CF73E4">
        <w:rPr>
          <w:rFonts w:ascii="Arial" w:hAnsi="Arial" w:cs="Arial"/>
          <w:sz w:val="24"/>
          <w:szCs w:val="24"/>
        </w:rPr>
        <w:t xml:space="preserve"> </w:t>
      </w:r>
      <w:r w:rsidR="00CF73E4" w:rsidRPr="00CF73E4">
        <w:rPr>
          <w:rFonts w:ascii="Arial" w:hAnsi="Arial" w:cs="Arial"/>
          <w:sz w:val="24"/>
          <w:szCs w:val="24"/>
        </w:rPr>
        <w:t>(Statista, 2025)</w:t>
      </w:r>
      <w:r w:rsidRPr="009621A9">
        <w:rPr>
          <w:rFonts w:ascii="Arial" w:hAnsi="Arial" w:cs="Arial"/>
          <w:sz w:val="24"/>
          <w:szCs w:val="24"/>
        </w:rPr>
        <w:t>. In order to provide the next generation of electric mobility with high-efficiency, fast-charging, and sustainable battery solutions, Sony EV Batteries will capitalise on the company's expertise in energy storage, imaging sensors, and intelligent systems.</w:t>
      </w:r>
    </w:p>
    <w:p w14:paraId="66F94CF6" w14:textId="77777777" w:rsidR="009621A9" w:rsidRPr="009621A9" w:rsidRDefault="009621A9" w:rsidP="009621A9">
      <w:pPr>
        <w:pStyle w:val="Heading1"/>
        <w:spacing w:after="240"/>
        <w:rPr>
          <w:rFonts w:ascii="Arial" w:hAnsi="Arial" w:cs="Arial"/>
          <w:b/>
          <w:bCs/>
          <w:i/>
          <w:iCs/>
          <w:sz w:val="24"/>
          <w:szCs w:val="24"/>
        </w:rPr>
      </w:pPr>
      <w:bookmarkStart w:id="3" w:name="_Toc196737759"/>
      <w:r w:rsidRPr="009621A9">
        <w:rPr>
          <w:rFonts w:ascii="Arial" w:hAnsi="Arial" w:cs="Arial"/>
          <w:b/>
          <w:bCs/>
          <w:i/>
          <w:iCs/>
          <w:sz w:val="24"/>
          <w:szCs w:val="24"/>
        </w:rPr>
        <w:t xml:space="preserve">2. </w:t>
      </w:r>
      <w:r w:rsidRPr="00AE39B5">
        <w:rPr>
          <w:rFonts w:ascii="Arial" w:hAnsi="Arial" w:cs="Arial"/>
          <w:b/>
          <w:bCs/>
          <w:i/>
          <w:iCs/>
          <w:sz w:val="24"/>
          <w:szCs w:val="24"/>
        </w:rPr>
        <w:t>Development of the New Brand Extension</w:t>
      </w:r>
      <w:bookmarkEnd w:id="3"/>
    </w:p>
    <w:p w14:paraId="39D7FEDA" w14:textId="6034DC6E" w:rsidR="009621A9" w:rsidRPr="009621A9" w:rsidRDefault="009621A9" w:rsidP="009621A9">
      <w:pPr>
        <w:pStyle w:val="Heading2"/>
        <w:spacing w:after="240"/>
        <w:rPr>
          <w:rFonts w:ascii="Arial" w:eastAsiaTheme="minorHAnsi" w:hAnsi="Arial" w:cs="Arial"/>
          <w:b/>
          <w:bCs/>
          <w:i/>
          <w:iCs/>
          <w:color w:val="auto"/>
          <w:sz w:val="24"/>
          <w:szCs w:val="24"/>
        </w:rPr>
      </w:pPr>
      <w:bookmarkStart w:id="4" w:name="_Toc196737760"/>
      <w:r w:rsidRPr="009621A9">
        <w:rPr>
          <w:rFonts w:ascii="Arial" w:eastAsiaTheme="minorHAnsi" w:hAnsi="Arial" w:cs="Arial"/>
          <w:b/>
          <w:bCs/>
          <w:i/>
          <w:iCs/>
          <w:color w:val="auto"/>
          <w:sz w:val="24"/>
          <w:szCs w:val="24"/>
        </w:rPr>
        <w:t>2.1 Rationale</w:t>
      </w:r>
      <w:bookmarkEnd w:id="4"/>
    </w:p>
    <w:p w14:paraId="66720EDF" w14:textId="1001F216"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Sony's strategic response to the anticipated rapid and transformative development in the global lithium-ion battery sector is its entry into the electric vehicle battery market. </w:t>
      </w:r>
      <w:r w:rsidRPr="009621A9">
        <w:rPr>
          <w:rFonts w:ascii="Arial" w:hAnsi="Arial" w:cs="Arial"/>
          <w:sz w:val="24"/>
          <w:szCs w:val="24"/>
        </w:rPr>
        <w:lastRenderedPageBreak/>
        <w:t>It is anticipated that the global demand for lithium-ion batteries will rise from approximately 700 GWh in 2022 to approximately 4.7 TWh by 2030, as per projections</w:t>
      </w:r>
      <w:r w:rsidR="00CF73E4">
        <w:rPr>
          <w:rFonts w:ascii="Arial" w:hAnsi="Arial" w:cs="Arial"/>
          <w:sz w:val="24"/>
          <w:szCs w:val="24"/>
        </w:rPr>
        <w:t xml:space="preserve"> </w:t>
      </w:r>
      <w:r w:rsidR="00CF73E4" w:rsidRPr="00CF73E4">
        <w:rPr>
          <w:rFonts w:ascii="Arial" w:hAnsi="Arial" w:cs="Arial"/>
          <w:sz w:val="24"/>
          <w:szCs w:val="24"/>
        </w:rPr>
        <w:t xml:space="preserve">(Fleischmann </w:t>
      </w:r>
      <w:r w:rsidR="00CF73E4" w:rsidRPr="00CF73E4">
        <w:rPr>
          <w:rFonts w:ascii="Arial" w:hAnsi="Arial" w:cs="Arial"/>
          <w:i/>
          <w:iCs/>
          <w:sz w:val="24"/>
          <w:szCs w:val="24"/>
        </w:rPr>
        <w:t>et al.</w:t>
      </w:r>
      <w:r w:rsidR="00CF73E4" w:rsidRPr="00CF73E4">
        <w:rPr>
          <w:rFonts w:ascii="Arial" w:hAnsi="Arial" w:cs="Arial"/>
          <w:sz w:val="24"/>
          <w:szCs w:val="24"/>
        </w:rPr>
        <w:t>, 2023)</w:t>
      </w:r>
      <w:r w:rsidRPr="009621A9">
        <w:rPr>
          <w:rFonts w:ascii="Arial" w:hAnsi="Arial" w:cs="Arial"/>
          <w:sz w:val="24"/>
          <w:szCs w:val="24"/>
        </w:rPr>
        <w:t xml:space="preserve">. </w:t>
      </w:r>
    </w:p>
    <w:p w14:paraId="0A4589A2" w14:textId="210520EF" w:rsidR="007E0F4C" w:rsidRPr="00C24589" w:rsidRDefault="007E0F4C" w:rsidP="00C24589">
      <w:pPr>
        <w:spacing w:after="240" w:line="360" w:lineRule="auto"/>
        <w:jc w:val="center"/>
        <w:rPr>
          <w:rFonts w:ascii="Arial" w:hAnsi="Arial" w:cs="Arial"/>
          <w:i/>
          <w:iCs/>
        </w:rPr>
      </w:pPr>
      <w:r w:rsidRPr="00C24589">
        <w:rPr>
          <w:i/>
          <w:iCs/>
          <w:noProof/>
        </w:rPr>
        <w:drawing>
          <wp:inline distT="0" distB="0" distL="0" distR="0" wp14:anchorId="20BEFF8F" wp14:editId="549D0DDC">
            <wp:extent cx="5731510" cy="5731510"/>
            <wp:effectExtent l="0" t="0" r="2540" b="2540"/>
            <wp:docPr id="855500450" name="Picture 6" descr="Chart: High Demand for Lithium-Ion Batteri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High Demand for Lithium-Ion Batteries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5E3E5B2E" w14:textId="51622289"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https://www.statista.com/chart/23808/lithium-ion-battery-demand/</w:t>
      </w:r>
    </w:p>
    <w:p w14:paraId="4F5C9CBF" w14:textId="7C6797F4" w:rsidR="00FD66D7"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The growth of electric vehicles is the primary driver of this surge, with mobility applications alone anticipated to account for approximately 4,300 GWh of the total demand. This expansion is bolstered by a number of critical factors, including a global regulatory movement towards sustainability, as evidenced by initiatives such as the "Fit for 55" program in Europe and the U.S Inflation Reduction Act and India's Faster </w:t>
      </w:r>
      <w:r w:rsidRPr="009621A9">
        <w:rPr>
          <w:rFonts w:ascii="Arial" w:hAnsi="Arial" w:cs="Arial"/>
          <w:sz w:val="24"/>
          <w:szCs w:val="24"/>
        </w:rPr>
        <w:lastRenderedPageBreak/>
        <w:t>Adoption and Manufacture of Hybrid and Electric Vehicles scheme</w:t>
      </w:r>
      <w:r w:rsidR="00CF73E4">
        <w:rPr>
          <w:rFonts w:ascii="Arial" w:hAnsi="Arial" w:cs="Arial"/>
          <w:sz w:val="24"/>
          <w:szCs w:val="24"/>
        </w:rPr>
        <w:t xml:space="preserve"> </w:t>
      </w:r>
      <w:r w:rsidR="00CF73E4" w:rsidRPr="00CF73E4">
        <w:rPr>
          <w:rFonts w:ascii="Arial" w:hAnsi="Arial" w:cs="Arial"/>
          <w:sz w:val="24"/>
          <w:szCs w:val="24"/>
        </w:rPr>
        <w:t>(Fleischmann et al., 2023)</w:t>
      </w:r>
      <w:r w:rsidRPr="009621A9">
        <w:rPr>
          <w:rFonts w:ascii="Arial" w:hAnsi="Arial" w:cs="Arial"/>
          <w:sz w:val="24"/>
          <w:szCs w:val="24"/>
        </w:rPr>
        <w:t xml:space="preserve">. </w:t>
      </w:r>
    </w:p>
    <w:p w14:paraId="22807975" w14:textId="7AC710FB" w:rsidR="007E0F4C" w:rsidRPr="00C24589" w:rsidRDefault="007E0F4C" w:rsidP="00C24589">
      <w:pPr>
        <w:spacing w:after="240" w:line="360" w:lineRule="auto"/>
        <w:jc w:val="center"/>
        <w:rPr>
          <w:rFonts w:ascii="Arial" w:hAnsi="Arial" w:cs="Arial"/>
          <w:i/>
          <w:iCs/>
          <w:sz w:val="18"/>
          <w:szCs w:val="18"/>
        </w:rPr>
      </w:pPr>
      <w:r w:rsidRPr="00C24589">
        <w:rPr>
          <w:rFonts w:ascii="Arial" w:hAnsi="Arial" w:cs="Arial"/>
          <w:i/>
          <w:iCs/>
          <w:noProof/>
          <w:sz w:val="18"/>
          <w:szCs w:val="18"/>
        </w:rPr>
        <w:drawing>
          <wp:inline distT="0" distB="0" distL="0" distR="0" wp14:anchorId="4ED2581C" wp14:editId="30B6DE84">
            <wp:extent cx="5760720" cy="3026628"/>
            <wp:effectExtent l="0" t="0" r="0" b="2540"/>
            <wp:docPr id="21359952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8483" cy="3035961"/>
                    </a:xfrm>
                    <a:prstGeom prst="rect">
                      <a:avLst/>
                    </a:prstGeom>
                    <a:noFill/>
                  </pic:spPr>
                </pic:pic>
              </a:graphicData>
            </a:graphic>
          </wp:inline>
        </w:drawing>
      </w:r>
    </w:p>
    <w:p w14:paraId="2D77F5AF" w14:textId="748246CF" w:rsidR="007E0F4C" w:rsidRPr="00C24589" w:rsidRDefault="007E0F4C" w:rsidP="00C24589">
      <w:pPr>
        <w:spacing w:after="240" w:line="360" w:lineRule="auto"/>
        <w:jc w:val="center"/>
        <w:rPr>
          <w:rFonts w:ascii="Arial" w:hAnsi="Arial" w:cs="Arial"/>
          <w:i/>
          <w:iCs/>
          <w:sz w:val="18"/>
          <w:szCs w:val="18"/>
        </w:rPr>
      </w:pPr>
      <w:r w:rsidRPr="00C24589">
        <w:rPr>
          <w:rFonts w:ascii="Arial" w:hAnsi="Arial" w:cs="Arial"/>
          <w:i/>
          <w:iCs/>
          <w:sz w:val="18"/>
          <w:szCs w:val="18"/>
        </w:rPr>
        <w:t>Source: https://www.evengineeringonline.com/demand-for-ev-batteries-projected-six-fold-increase-by-2030/</w:t>
      </w:r>
    </w:p>
    <w:p w14:paraId="7318FF46" w14:textId="32ABEE00"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financial incentives for entering this market are substantial. The lithium-ion battery value chain is expected to experience a fivefold increase in revenues, from approximately $85 billion in 2022 to over $400 billion by 2030</w:t>
      </w:r>
      <w:r w:rsidR="00CF73E4">
        <w:rPr>
          <w:rFonts w:ascii="Arial" w:hAnsi="Arial" w:cs="Arial"/>
          <w:sz w:val="24"/>
          <w:szCs w:val="24"/>
        </w:rPr>
        <w:t xml:space="preserve"> </w:t>
      </w:r>
      <w:r w:rsidR="00CF73E4" w:rsidRPr="00CF73E4">
        <w:rPr>
          <w:rFonts w:ascii="Arial" w:hAnsi="Arial" w:cs="Arial"/>
          <w:sz w:val="24"/>
          <w:szCs w:val="24"/>
        </w:rPr>
        <w:t>(Fleischmann et al., 2023)</w:t>
      </w:r>
      <w:r w:rsidRPr="009621A9">
        <w:rPr>
          <w:rFonts w:ascii="Arial" w:hAnsi="Arial" w:cs="Arial"/>
          <w:sz w:val="24"/>
          <w:szCs w:val="24"/>
        </w:rPr>
        <w:t xml:space="preserve">. The European and U.S. markets are anticipated to experience the most robust growth, despite China's current position as the global production leader. This growth is being driven by regulatory changes and a focus on localising supply chains. </w:t>
      </w:r>
    </w:p>
    <w:p w14:paraId="2EF61E1C" w14:textId="6C24DBC5"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Nevertheless, the industry is not without its obstacles. Environmental, social, and governance (ESG) hazards, including the ecological impact of raw material extraction, labour rights violations, and governance transparency issues, continue to be significant concerns</w:t>
      </w:r>
      <w:r w:rsidR="00CF73E4">
        <w:rPr>
          <w:rFonts w:ascii="Arial" w:hAnsi="Arial" w:cs="Arial"/>
          <w:sz w:val="24"/>
          <w:szCs w:val="24"/>
        </w:rPr>
        <w:t xml:space="preserve"> </w:t>
      </w:r>
      <w:r w:rsidR="00CF73E4" w:rsidRPr="00CF73E4">
        <w:rPr>
          <w:rFonts w:ascii="Arial" w:hAnsi="Arial" w:cs="Arial"/>
          <w:sz w:val="24"/>
          <w:szCs w:val="24"/>
        </w:rPr>
        <w:t>(Fleischmann et al., 2023)</w:t>
      </w:r>
      <w:r w:rsidRPr="009621A9">
        <w:rPr>
          <w:rFonts w:ascii="Arial" w:hAnsi="Arial" w:cs="Arial"/>
          <w:sz w:val="24"/>
          <w:szCs w:val="24"/>
        </w:rPr>
        <w:t xml:space="preserve">. Addressing these obstacles is evolving into a significant competitive advantage, rather than a cost burden. </w:t>
      </w:r>
    </w:p>
    <w:p w14:paraId="32EDE007" w14:textId="6CD636E9" w:rsidR="00FD66D7" w:rsidRPr="009621A9" w:rsidRDefault="00000000" w:rsidP="009621A9">
      <w:pPr>
        <w:pStyle w:val="Heading2"/>
        <w:spacing w:after="240"/>
        <w:rPr>
          <w:rFonts w:ascii="Arial" w:eastAsiaTheme="minorHAnsi" w:hAnsi="Arial" w:cs="Arial"/>
          <w:b/>
          <w:bCs/>
          <w:i/>
          <w:iCs/>
          <w:color w:val="auto"/>
          <w:sz w:val="24"/>
          <w:szCs w:val="24"/>
        </w:rPr>
      </w:pPr>
      <w:bookmarkStart w:id="5" w:name="_Toc196737761"/>
      <w:r w:rsidRPr="009621A9">
        <w:rPr>
          <w:rFonts w:ascii="Arial" w:eastAsiaTheme="minorHAnsi" w:hAnsi="Arial" w:cs="Arial"/>
          <w:b/>
          <w:bCs/>
          <w:i/>
          <w:iCs/>
          <w:color w:val="auto"/>
          <w:sz w:val="24"/>
          <w:szCs w:val="24"/>
        </w:rPr>
        <w:t>2.2 Unique Selling Proposition (USP)</w:t>
      </w:r>
      <w:bookmarkEnd w:id="5"/>
      <w:r w:rsidRPr="009621A9">
        <w:rPr>
          <w:rFonts w:ascii="Arial" w:eastAsiaTheme="minorHAnsi" w:hAnsi="Arial" w:cs="Arial"/>
          <w:b/>
          <w:bCs/>
          <w:i/>
          <w:iCs/>
          <w:color w:val="auto"/>
          <w:sz w:val="24"/>
          <w:szCs w:val="24"/>
        </w:rPr>
        <w:t xml:space="preserve"> </w:t>
      </w:r>
    </w:p>
    <w:p w14:paraId="34FFE4B7" w14:textId="517F74B8" w:rsidR="00CF73E4"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EV Batteries will differentiate themselves in a fiercely competitive market by providing exceptional energy solutions that are based on Sony's expertise in semiconductors, energy storage, and sustainable innovation. In response to the growing demand for environmentally friendly, high-performance battery solutions</w:t>
      </w:r>
      <w:r w:rsidR="00CF73E4">
        <w:rPr>
          <w:rFonts w:ascii="Arial" w:hAnsi="Arial" w:cs="Arial"/>
          <w:sz w:val="24"/>
          <w:szCs w:val="24"/>
        </w:rPr>
        <w:t xml:space="preserve">, </w:t>
      </w:r>
      <w:r w:rsidRPr="009621A9">
        <w:rPr>
          <w:rFonts w:ascii="Arial" w:hAnsi="Arial" w:cs="Arial"/>
          <w:sz w:val="24"/>
          <w:szCs w:val="24"/>
        </w:rPr>
        <w:lastRenderedPageBreak/>
        <w:t>Sony's electric vehicle (EV) batteries will offer an extended life cycle, faster charging capabilities, and a higher energy density than their conventional counterparts</w:t>
      </w:r>
      <w:r w:rsidR="00CF73E4">
        <w:rPr>
          <w:rFonts w:ascii="Arial" w:hAnsi="Arial" w:cs="Arial"/>
          <w:sz w:val="24"/>
          <w:szCs w:val="24"/>
        </w:rPr>
        <w:t xml:space="preserve"> </w:t>
      </w:r>
      <w:r w:rsidR="00CF73E4" w:rsidRPr="00CF73E4">
        <w:rPr>
          <w:rFonts w:ascii="Arial" w:hAnsi="Arial" w:cs="Arial"/>
          <w:sz w:val="24"/>
          <w:szCs w:val="24"/>
        </w:rPr>
        <w:t>(Fleischmann et al., 2023)</w:t>
      </w:r>
      <w:r w:rsidRPr="009621A9">
        <w:rPr>
          <w:rFonts w:ascii="Arial" w:hAnsi="Arial" w:cs="Arial"/>
          <w:sz w:val="24"/>
          <w:szCs w:val="24"/>
        </w:rPr>
        <w:t xml:space="preserve">. </w:t>
      </w:r>
    </w:p>
    <w:p w14:paraId="2DB0AAF0" w14:textId="689257CF" w:rsidR="007E0F4C" w:rsidRPr="00C24589" w:rsidRDefault="007E0F4C" w:rsidP="00C24589">
      <w:pPr>
        <w:spacing w:after="240" w:line="360" w:lineRule="auto"/>
        <w:jc w:val="center"/>
        <w:rPr>
          <w:rFonts w:ascii="Arial" w:hAnsi="Arial" w:cs="Arial"/>
          <w:i/>
          <w:iCs/>
        </w:rPr>
      </w:pPr>
      <w:r w:rsidRPr="00C24589">
        <w:rPr>
          <w:i/>
          <w:iCs/>
          <w:noProof/>
        </w:rPr>
        <w:drawing>
          <wp:inline distT="0" distB="0" distL="0" distR="0" wp14:anchorId="78BCF0B7" wp14:editId="18429CE1">
            <wp:extent cx="5731510" cy="2385060"/>
            <wp:effectExtent l="0" t="0" r="2540" b="0"/>
            <wp:docPr id="2097236899" name="Picture 10" descr="EV Battery Disposal Sparks ESG Risks | Maplecr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V Battery Disposal Sparks ESG Risks | Maplecrof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85060"/>
                    </a:xfrm>
                    <a:prstGeom prst="rect">
                      <a:avLst/>
                    </a:prstGeom>
                    <a:noFill/>
                    <a:ln>
                      <a:noFill/>
                    </a:ln>
                  </pic:spPr>
                </pic:pic>
              </a:graphicData>
            </a:graphic>
          </wp:inline>
        </w:drawing>
      </w:r>
    </w:p>
    <w:p w14:paraId="7B5535C5" w14:textId="3215F1E7"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https://www.maplecroft.com/insights/analysis/ev-battery-disposal-sparks-esg-risks/</w:t>
      </w:r>
    </w:p>
    <w:p w14:paraId="3B8D8279" w14:textId="2D712FAB"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These attributes are directly in response to the market's demand for convenience and efficiency, particularly as electric vehicles become more prevalent on a global scale</w:t>
      </w:r>
      <w:r w:rsidR="00CF73E4">
        <w:rPr>
          <w:rFonts w:ascii="Arial" w:hAnsi="Arial" w:cs="Arial"/>
          <w:sz w:val="24"/>
          <w:szCs w:val="24"/>
        </w:rPr>
        <w:t xml:space="preserve"> </w:t>
      </w:r>
      <w:r w:rsidR="00CF73E4" w:rsidRPr="00CF73E4">
        <w:rPr>
          <w:rFonts w:ascii="Arial" w:hAnsi="Arial" w:cs="Arial"/>
          <w:sz w:val="24"/>
          <w:szCs w:val="24"/>
        </w:rPr>
        <w:t>(Fleischmann et al., 2023)</w:t>
      </w:r>
      <w:r w:rsidRPr="009621A9">
        <w:rPr>
          <w:rFonts w:ascii="Arial" w:hAnsi="Arial" w:cs="Arial"/>
          <w:sz w:val="24"/>
          <w:szCs w:val="24"/>
        </w:rPr>
        <w:t xml:space="preserve">. </w:t>
      </w:r>
      <w:r w:rsidR="00CF73E4">
        <w:rPr>
          <w:rFonts w:ascii="Arial" w:hAnsi="Arial" w:cs="Arial"/>
          <w:sz w:val="24"/>
          <w:szCs w:val="24"/>
        </w:rPr>
        <w:t xml:space="preserve"> </w:t>
      </w:r>
      <w:r w:rsidRPr="009621A9">
        <w:rPr>
          <w:rFonts w:ascii="Arial" w:hAnsi="Arial" w:cs="Arial"/>
          <w:sz w:val="24"/>
          <w:szCs w:val="24"/>
        </w:rPr>
        <w:t xml:space="preserve">Additionally, Sony's emphasis on sustainable procurement and recycling is consistent with the rapidly evolving strategies for the supply of battery materials. It is anticipated that recycling will increase by threefold over the next decade as an increasing number of batteries reach their end-of-life. </w:t>
      </w:r>
    </w:p>
    <w:p w14:paraId="3ED31CFF" w14:textId="77777777" w:rsidR="00FD66D7" w:rsidRPr="009621A9" w:rsidRDefault="00000000" w:rsidP="009621A9">
      <w:pPr>
        <w:pStyle w:val="Heading1"/>
        <w:spacing w:after="240"/>
        <w:rPr>
          <w:rFonts w:ascii="Arial" w:hAnsi="Arial" w:cs="Arial"/>
          <w:b/>
          <w:bCs/>
          <w:i/>
          <w:iCs/>
          <w:sz w:val="24"/>
          <w:szCs w:val="24"/>
        </w:rPr>
      </w:pPr>
      <w:bookmarkStart w:id="6" w:name="_Toc196737762"/>
      <w:r w:rsidRPr="009621A9">
        <w:rPr>
          <w:rFonts w:ascii="Arial" w:hAnsi="Arial" w:cs="Arial"/>
          <w:b/>
          <w:bCs/>
          <w:i/>
          <w:iCs/>
          <w:sz w:val="24"/>
          <w:szCs w:val="24"/>
        </w:rPr>
        <w:t>3. Segmentation, Targeting, and Positioning (STP)</w:t>
      </w:r>
      <w:bookmarkEnd w:id="6"/>
    </w:p>
    <w:p w14:paraId="440C2F97" w14:textId="71057669" w:rsidR="00FD66D7" w:rsidRPr="009621A9" w:rsidRDefault="00000000" w:rsidP="009621A9">
      <w:pPr>
        <w:pStyle w:val="Heading2"/>
        <w:spacing w:after="240"/>
        <w:rPr>
          <w:rFonts w:ascii="Arial" w:eastAsiaTheme="minorHAnsi" w:hAnsi="Arial" w:cs="Arial"/>
          <w:b/>
          <w:bCs/>
          <w:i/>
          <w:iCs/>
          <w:color w:val="auto"/>
          <w:sz w:val="24"/>
          <w:szCs w:val="24"/>
        </w:rPr>
      </w:pPr>
      <w:bookmarkStart w:id="7" w:name="_Toc196737763"/>
      <w:r w:rsidRPr="009621A9">
        <w:rPr>
          <w:rFonts w:ascii="Arial" w:eastAsiaTheme="minorHAnsi" w:hAnsi="Arial" w:cs="Arial"/>
          <w:b/>
          <w:bCs/>
          <w:i/>
          <w:iCs/>
          <w:color w:val="auto"/>
          <w:sz w:val="24"/>
          <w:szCs w:val="24"/>
        </w:rPr>
        <w:t>3.1 Segmentation</w:t>
      </w:r>
      <w:bookmarkEnd w:id="7"/>
    </w:p>
    <w:p w14:paraId="73589093" w14:textId="57368AD0"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market for Sony EV Batteries can be segmented according to consumer priorities, geography, and vehicle type, including cost, performance, and sustainability. China, Europe, and the United States accounted for 95% of the nearly 14 million new electric cars sold globally as of 2023</w:t>
      </w:r>
      <w:r w:rsidR="00CF73E4">
        <w:rPr>
          <w:rFonts w:ascii="Arial" w:hAnsi="Arial" w:cs="Arial"/>
          <w:sz w:val="24"/>
          <w:szCs w:val="24"/>
        </w:rPr>
        <w:t xml:space="preserve"> </w:t>
      </w:r>
      <w:r w:rsidR="00CF73E4" w:rsidRPr="00CF73E4">
        <w:rPr>
          <w:rFonts w:ascii="Arial" w:hAnsi="Arial" w:cs="Arial"/>
          <w:sz w:val="24"/>
          <w:szCs w:val="24"/>
        </w:rPr>
        <w:t xml:space="preserve">(Gül </w:t>
      </w:r>
      <w:r w:rsidR="00CF73E4" w:rsidRPr="00CF73E4">
        <w:rPr>
          <w:rFonts w:ascii="Arial" w:hAnsi="Arial" w:cs="Arial"/>
          <w:i/>
          <w:iCs/>
          <w:sz w:val="24"/>
          <w:szCs w:val="24"/>
        </w:rPr>
        <w:t>et al.</w:t>
      </w:r>
      <w:r w:rsidR="00CF73E4" w:rsidRPr="00CF73E4">
        <w:rPr>
          <w:rFonts w:ascii="Arial" w:hAnsi="Arial" w:cs="Arial"/>
          <w:sz w:val="24"/>
          <w:szCs w:val="24"/>
        </w:rPr>
        <w:t>, 2024)</w:t>
      </w:r>
      <w:r w:rsidRPr="009621A9">
        <w:rPr>
          <w:rFonts w:ascii="Arial" w:hAnsi="Arial" w:cs="Arial"/>
          <w:sz w:val="24"/>
          <w:szCs w:val="24"/>
        </w:rPr>
        <w:t xml:space="preserve">. Electric two- and three-wheelers are expanding rapidly in emerging economies, and electric buses and trucks are gaining traction, accounting for approximately 3% of total bus and truck sales in China and Europe. </w:t>
      </w:r>
    </w:p>
    <w:p w14:paraId="58E39E8F" w14:textId="0B503B20" w:rsidR="007E0F4C" w:rsidRPr="00C24589" w:rsidRDefault="007E0F4C" w:rsidP="00C24589">
      <w:pPr>
        <w:spacing w:after="240" w:line="360" w:lineRule="auto"/>
        <w:jc w:val="center"/>
        <w:rPr>
          <w:rFonts w:ascii="Arial" w:hAnsi="Arial" w:cs="Arial"/>
          <w:i/>
          <w:iCs/>
        </w:rPr>
      </w:pPr>
      <w:r w:rsidRPr="00C24589">
        <w:rPr>
          <w:i/>
          <w:iCs/>
          <w:noProof/>
        </w:rPr>
        <w:lastRenderedPageBreak/>
        <w:drawing>
          <wp:inline distT="0" distB="0" distL="0" distR="0" wp14:anchorId="28FF9E35" wp14:editId="0253B2FB">
            <wp:extent cx="5731510" cy="5731510"/>
            <wp:effectExtent l="0" t="0" r="2540" b="2540"/>
            <wp:docPr id="1936901925" name="Picture 11" descr="Chart: Asian Batteries Power Global EV Fle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hart: Asian Batteries Power Global EV Fleet | Statis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5D9C7787" w14:textId="21C9A044"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https://www.statista.com/chart/26584/worldwide-market-share-of-the-biggest-electric-vehicle-battery-makers/</w:t>
      </w:r>
    </w:p>
    <w:p w14:paraId="0BF7701D" w14:textId="5D65FB42"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Growth is not restricted to passenger vehicles. Sony has the option to further segment its user base by type, with a focus on automotive manufacturers for direct battery supply, fleet operators, and OEMs that are investing significantly in electrification. Affordability is a</w:t>
      </w:r>
      <w:r w:rsidR="009D4B31">
        <w:rPr>
          <w:rFonts w:ascii="Arial" w:hAnsi="Arial" w:cs="Arial"/>
          <w:sz w:val="24"/>
          <w:szCs w:val="24"/>
        </w:rPr>
        <w:t>nother</w:t>
      </w:r>
      <w:r w:rsidRPr="009621A9">
        <w:rPr>
          <w:rFonts w:ascii="Arial" w:hAnsi="Arial" w:cs="Arial"/>
          <w:sz w:val="24"/>
          <w:szCs w:val="24"/>
        </w:rPr>
        <w:t xml:space="preserve"> critical factor: in 2023, over 60% of electric vehicles (EVs) sold in China were less costly than combustion engine vehicles, whereas in Europe and the United States, EVs were still 10%-50% more expensive</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w:t>
      </w:r>
    </w:p>
    <w:p w14:paraId="228A7C3D" w14:textId="6A5F2D96"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Furthermore, the battery recycling sector is experiencing substantial growth, with the global recycling capacity anticipated to reach 1,500 GWh by 2030</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w:t>
      </w:r>
      <w:r w:rsidRPr="009621A9">
        <w:rPr>
          <w:rFonts w:ascii="Arial" w:hAnsi="Arial" w:cs="Arial"/>
          <w:sz w:val="24"/>
          <w:szCs w:val="24"/>
        </w:rPr>
        <w:lastRenderedPageBreak/>
        <w:t>This will enable Sony to target environmentally conscious markets that are focused on circular economies.</w:t>
      </w:r>
    </w:p>
    <w:p w14:paraId="35CCF578" w14:textId="12684861" w:rsidR="00FD66D7" w:rsidRPr="009621A9" w:rsidRDefault="00000000" w:rsidP="009621A9">
      <w:pPr>
        <w:pStyle w:val="Heading2"/>
        <w:spacing w:after="240"/>
        <w:rPr>
          <w:rFonts w:ascii="Arial" w:eastAsiaTheme="minorHAnsi" w:hAnsi="Arial" w:cs="Arial"/>
          <w:b/>
          <w:bCs/>
          <w:i/>
          <w:iCs/>
          <w:color w:val="auto"/>
          <w:sz w:val="24"/>
          <w:szCs w:val="24"/>
        </w:rPr>
      </w:pPr>
      <w:bookmarkStart w:id="8" w:name="_Toc196737764"/>
      <w:r w:rsidRPr="009621A9">
        <w:rPr>
          <w:rFonts w:ascii="Arial" w:eastAsiaTheme="minorHAnsi" w:hAnsi="Arial" w:cs="Arial"/>
          <w:b/>
          <w:bCs/>
          <w:i/>
          <w:iCs/>
          <w:color w:val="auto"/>
          <w:sz w:val="24"/>
          <w:szCs w:val="24"/>
        </w:rPr>
        <w:t>3.2 Target</w:t>
      </w:r>
      <w:r w:rsidR="009621A9" w:rsidRPr="009621A9">
        <w:rPr>
          <w:rFonts w:ascii="Arial" w:eastAsiaTheme="minorHAnsi" w:hAnsi="Arial" w:cs="Arial"/>
          <w:b/>
          <w:bCs/>
          <w:i/>
          <w:iCs/>
          <w:color w:val="auto"/>
          <w:sz w:val="24"/>
          <w:szCs w:val="24"/>
        </w:rPr>
        <w:t>ing</w:t>
      </w:r>
      <w:bookmarkEnd w:id="8"/>
    </w:p>
    <w:p w14:paraId="19348554" w14:textId="32A61B2F"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primary focus of Sony EV Batteries will be on manufacturers in the United States and Europe, where the EV market is expanding at a rapid pace. In 2023, the number of electric cars registered in the United States increased by over 40% year-over-year, reaching 1.4 million units. It is anticipated that sales will surpass 11% market share in 2024</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w:t>
      </w:r>
    </w:p>
    <w:p w14:paraId="1DB62756" w14:textId="4161335A" w:rsidR="007E0F4C" w:rsidRPr="00C24589" w:rsidRDefault="007E0F4C" w:rsidP="00C24589">
      <w:pPr>
        <w:spacing w:after="240" w:line="360" w:lineRule="auto"/>
        <w:jc w:val="center"/>
        <w:rPr>
          <w:rFonts w:ascii="Arial" w:hAnsi="Arial" w:cs="Arial"/>
          <w:i/>
          <w:iCs/>
        </w:rPr>
      </w:pPr>
      <w:r w:rsidRPr="00C24589">
        <w:rPr>
          <w:rFonts w:ascii="Arial" w:hAnsi="Arial" w:cs="Arial"/>
          <w:i/>
          <w:iCs/>
          <w:noProof/>
        </w:rPr>
        <w:drawing>
          <wp:inline distT="0" distB="0" distL="0" distR="0" wp14:anchorId="14929021" wp14:editId="7FE61116">
            <wp:extent cx="5756044" cy="3908425"/>
            <wp:effectExtent l="0" t="0" r="0" b="0"/>
            <wp:docPr id="2897188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75951" cy="3921942"/>
                    </a:xfrm>
                    <a:prstGeom prst="rect">
                      <a:avLst/>
                    </a:prstGeom>
                    <a:noFill/>
                  </pic:spPr>
                </pic:pic>
              </a:graphicData>
            </a:graphic>
          </wp:inline>
        </w:drawing>
      </w:r>
    </w:p>
    <w:p w14:paraId="1FA7B8B2" w14:textId="47A2C609"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https://www.bloomberg.com/news/features/2018-06-27/where-3-million-electric-vehicle-batteries-will-go-when-they-retire</w:t>
      </w:r>
    </w:p>
    <w:p w14:paraId="000A6F6C" w14:textId="3C43B66B"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Additionally, Europe is experiencing robust growth, with 3.2 million electric vehicle registrations in 2023, which accounts for more than 25% of new car sales</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The demand for high-quality batteries is on the rise as a result of stringent regulations, such as the newest CO</w:t>
      </w:r>
      <w:r w:rsidRPr="009621A9">
        <w:rPr>
          <w:rFonts w:ascii="Cambria Math" w:hAnsi="Cambria Math" w:cs="Cambria Math"/>
          <w:sz w:val="24"/>
          <w:szCs w:val="24"/>
        </w:rPr>
        <w:t>₂</w:t>
      </w:r>
      <w:r w:rsidRPr="009621A9">
        <w:rPr>
          <w:rFonts w:ascii="Arial" w:hAnsi="Arial" w:cs="Arial"/>
          <w:sz w:val="24"/>
          <w:szCs w:val="24"/>
        </w:rPr>
        <w:t xml:space="preserve"> emission standards in the EU and the U.S. </w:t>
      </w:r>
      <w:r w:rsidR="009D4B31">
        <w:rPr>
          <w:rFonts w:ascii="Arial" w:hAnsi="Arial" w:cs="Arial"/>
          <w:sz w:val="24"/>
          <w:szCs w:val="24"/>
        </w:rPr>
        <w:t>i</w:t>
      </w:r>
      <w:r w:rsidRPr="009621A9">
        <w:rPr>
          <w:rFonts w:ascii="Arial" w:hAnsi="Arial" w:cs="Arial"/>
          <w:sz w:val="24"/>
          <w:szCs w:val="24"/>
        </w:rPr>
        <w:t>ncentives for localised production under the Inflation Reduction Act</w:t>
      </w:r>
      <w:r w:rsidR="009D4B31">
        <w:rPr>
          <w:rFonts w:ascii="Arial" w:hAnsi="Arial" w:cs="Arial"/>
          <w:sz w:val="24"/>
          <w:szCs w:val="24"/>
        </w:rPr>
        <w:t xml:space="preserve"> </w:t>
      </w:r>
      <w:r w:rsidR="009D4B31" w:rsidRPr="009D4B31">
        <w:rPr>
          <w:rFonts w:ascii="Arial" w:hAnsi="Arial" w:cs="Arial"/>
          <w:sz w:val="24"/>
          <w:szCs w:val="24"/>
        </w:rPr>
        <w:t>(Sandrin-</w:t>
      </w:r>
      <w:proofErr w:type="spellStart"/>
      <w:r w:rsidR="009D4B31" w:rsidRPr="009D4B31">
        <w:rPr>
          <w:rFonts w:ascii="Arial" w:hAnsi="Arial" w:cs="Arial"/>
          <w:sz w:val="24"/>
          <w:szCs w:val="24"/>
        </w:rPr>
        <w:t>Deforge</w:t>
      </w:r>
      <w:proofErr w:type="spellEnd"/>
      <w:r w:rsidR="009D4B31" w:rsidRPr="009D4B31">
        <w:rPr>
          <w:rFonts w:ascii="Arial" w:hAnsi="Arial" w:cs="Arial"/>
          <w:sz w:val="24"/>
          <w:szCs w:val="24"/>
        </w:rPr>
        <w:t>, 2024</w:t>
      </w:r>
      <w:r w:rsidR="009D4B31">
        <w:rPr>
          <w:rFonts w:ascii="Arial" w:hAnsi="Arial" w:cs="Arial"/>
          <w:sz w:val="24"/>
          <w:szCs w:val="24"/>
        </w:rPr>
        <w:t xml:space="preserve">; </w:t>
      </w:r>
      <w:r w:rsidR="009D4B31" w:rsidRPr="009D4B31">
        <w:rPr>
          <w:rFonts w:ascii="Arial" w:hAnsi="Arial" w:cs="Arial"/>
          <w:sz w:val="24"/>
          <w:szCs w:val="24"/>
        </w:rPr>
        <w:t>McKinsey &amp; Company, 2022)</w:t>
      </w:r>
      <w:r w:rsidRPr="009621A9">
        <w:rPr>
          <w:rFonts w:ascii="Arial" w:hAnsi="Arial" w:cs="Arial"/>
          <w:sz w:val="24"/>
          <w:szCs w:val="24"/>
        </w:rPr>
        <w:t xml:space="preserve">. </w:t>
      </w:r>
    </w:p>
    <w:p w14:paraId="4AE762CD" w14:textId="4F28E3A3" w:rsidR="007824D6" w:rsidRPr="00C24589" w:rsidRDefault="007824D6" w:rsidP="00C24589">
      <w:pPr>
        <w:spacing w:after="240" w:line="360" w:lineRule="auto"/>
        <w:jc w:val="center"/>
        <w:rPr>
          <w:rFonts w:ascii="Arial" w:hAnsi="Arial" w:cs="Arial"/>
          <w:i/>
          <w:iCs/>
          <w:sz w:val="18"/>
          <w:szCs w:val="18"/>
        </w:rPr>
      </w:pPr>
      <w:r w:rsidRPr="00C24589">
        <w:rPr>
          <w:rFonts w:ascii="Arial" w:hAnsi="Arial" w:cs="Arial"/>
          <w:i/>
          <w:iCs/>
          <w:noProof/>
          <w:sz w:val="18"/>
          <w:szCs w:val="18"/>
        </w:rPr>
        <w:lastRenderedPageBreak/>
        <w:drawing>
          <wp:inline distT="0" distB="0" distL="0" distR="0" wp14:anchorId="6EB1B68F" wp14:editId="59AB6D78">
            <wp:extent cx="5731510" cy="3108960"/>
            <wp:effectExtent l="0" t="0" r="2540" b="0"/>
            <wp:docPr id="50181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15740" name=""/>
                    <pic:cNvPicPr/>
                  </pic:nvPicPr>
                  <pic:blipFill>
                    <a:blip r:embed="rId16"/>
                    <a:stretch>
                      <a:fillRect/>
                    </a:stretch>
                  </pic:blipFill>
                  <pic:spPr>
                    <a:xfrm>
                      <a:off x="0" y="0"/>
                      <a:ext cx="5731510" cy="3108960"/>
                    </a:xfrm>
                    <a:prstGeom prst="rect">
                      <a:avLst/>
                    </a:prstGeom>
                  </pic:spPr>
                </pic:pic>
              </a:graphicData>
            </a:graphic>
          </wp:inline>
        </w:drawing>
      </w:r>
    </w:p>
    <w:p w14:paraId="3BEA71A1" w14:textId="5957BA48" w:rsidR="007824D6" w:rsidRPr="00C24589" w:rsidRDefault="007824D6" w:rsidP="00C24589">
      <w:pPr>
        <w:spacing w:after="240" w:line="360" w:lineRule="auto"/>
        <w:jc w:val="center"/>
        <w:rPr>
          <w:rFonts w:ascii="Arial" w:hAnsi="Arial" w:cs="Arial"/>
          <w:i/>
          <w:iCs/>
          <w:sz w:val="18"/>
          <w:szCs w:val="18"/>
        </w:rPr>
      </w:pPr>
      <w:r w:rsidRPr="00C24589">
        <w:rPr>
          <w:rFonts w:ascii="Arial" w:hAnsi="Arial" w:cs="Arial"/>
          <w:i/>
          <w:iCs/>
          <w:sz w:val="18"/>
          <w:szCs w:val="18"/>
        </w:rPr>
        <w:t>Source: https://www.mckinsey.com/industries/automotive-and-assembly/our-insights/battery-2030-resilient-sustainable-and-circular</w:t>
      </w:r>
    </w:p>
    <w:p w14:paraId="12F1D71C" w14:textId="01EC67EA"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By 2030, the demand for lithium-ion batteries is anticipated to increase by sevenfold to approximately 4.7 TWh on a global scale. Sony can capitalise on this growth by providing high-density, fast-charging solutions. In 2023, India's EV market expanded by 70%, with the FAME II subsidy and other government initiatives propelling adoption</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Additionally, emerging markets such as Brazil, Thailand, and India will receive special attention, as affordable EV models are gaining traction.</w:t>
      </w:r>
    </w:p>
    <w:p w14:paraId="62D610D5" w14:textId="45AD79EB" w:rsidR="00FD66D7" w:rsidRPr="009621A9" w:rsidRDefault="00000000" w:rsidP="009621A9">
      <w:pPr>
        <w:pStyle w:val="Heading2"/>
        <w:spacing w:after="240"/>
        <w:rPr>
          <w:rFonts w:ascii="Arial" w:eastAsiaTheme="minorHAnsi" w:hAnsi="Arial" w:cs="Arial"/>
          <w:b/>
          <w:bCs/>
          <w:i/>
          <w:iCs/>
          <w:color w:val="auto"/>
          <w:sz w:val="24"/>
          <w:szCs w:val="24"/>
        </w:rPr>
      </w:pPr>
      <w:bookmarkStart w:id="9" w:name="_Toc196737765"/>
      <w:r w:rsidRPr="009621A9">
        <w:rPr>
          <w:rFonts w:ascii="Arial" w:eastAsiaTheme="minorHAnsi" w:hAnsi="Arial" w:cs="Arial"/>
          <w:b/>
          <w:bCs/>
          <w:i/>
          <w:iCs/>
          <w:color w:val="auto"/>
          <w:sz w:val="24"/>
          <w:szCs w:val="24"/>
        </w:rPr>
        <w:t>3.3 Positioning</w:t>
      </w:r>
      <w:bookmarkEnd w:id="9"/>
    </w:p>
    <w:p w14:paraId="4CA6A9A9" w14:textId="34AE6A0B"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EV Batteries will be marketed as an eco-conscious, intelligent, and premium solution for the future of mobility. The brand will prioritise ultra-high energy density, faster charging times, and extended life cycles as key differentiators, capitalising on Sony's technological leadership in semiconductors and energy systems. Sony will emphasise both cost competitiveness and performance superiority in a market where average battery prices decreased by nearly 14% year-over-year in 2023</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w:t>
      </w:r>
    </w:p>
    <w:p w14:paraId="2E9EEE2A" w14:textId="4962896B" w:rsidR="007E0F4C" w:rsidRPr="00C24589" w:rsidRDefault="007E0F4C" w:rsidP="00C24589">
      <w:pPr>
        <w:spacing w:after="240" w:line="360" w:lineRule="auto"/>
        <w:jc w:val="center"/>
        <w:rPr>
          <w:rFonts w:ascii="Arial" w:hAnsi="Arial" w:cs="Arial"/>
          <w:i/>
          <w:iCs/>
        </w:rPr>
      </w:pPr>
      <w:r w:rsidRPr="00C24589">
        <w:rPr>
          <w:i/>
          <w:iCs/>
          <w:noProof/>
        </w:rPr>
        <w:lastRenderedPageBreak/>
        <w:drawing>
          <wp:inline distT="0" distB="0" distL="0" distR="0" wp14:anchorId="75C9A3AF" wp14:editId="17B97301">
            <wp:extent cx="5731510" cy="5518785"/>
            <wp:effectExtent l="0" t="0" r="2540" b="5715"/>
            <wp:docPr id="1064267993" name="Picture 14" descr="BYD surpassed LG in global battery market | EVBo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BYD surpassed LG in global battery market | EVBooster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5518785"/>
                    </a:xfrm>
                    <a:prstGeom prst="rect">
                      <a:avLst/>
                    </a:prstGeom>
                    <a:noFill/>
                    <a:ln>
                      <a:noFill/>
                    </a:ln>
                  </pic:spPr>
                </pic:pic>
              </a:graphicData>
            </a:graphic>
          </wp:inline>
        </w:drawing>
      </w:r>
    </w:p>
    <w:p w14:paraId="32F13757" w14:textId="0FB3397D" w:rsidR="007E0F4C" w:rsidRPr="00C24589" w:rsidRDefault="007E0F4C" w:rsidP="00C24589">
      <w:pPr>
        <w:spacing w:after="240" w:line="360" w:lineRule="auto"/>
        <w:jc w:val="center"/>
        <w:rPr>
          <w:rFonts w:ascii="Arial" w:hAnsi="Arial" w:cs="Arial"/>
          <w:i/>
          <w:iCs/>
        </w:rPr>
      </w:pPr>
      <w:r w:rsidRPr="00C24589">
        <w:rPr>
          <w:rFonts w:ascii="Arial" w:hAnsi="Arial" w:cs="Arial"/>
          <w:i/>
          <w:iCs/>
        </w:rPr>
        <w:t>Source: https://evboosters.com/ev-charging-news/byd-surpassed-lg-in-global-battery-market/</w:t>
      </w:r>
    </w:p>
    <w:p w14:paraId="71F74857" w14:textId="6D98442D"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Sustainability will be a significant component of Sony's positioning strategy. The company will emphasise its dedication to recycled materials, which are expected to contribute more than 10% of the global battery demand by 2030, thereby fostering a circular battery economy</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In order to attract OEMs and tech-savvy consumers who are interested in predictive maintenance, range optimisation, and enhanced safety, smart features such as AI-driven battery management systems will be prioritised</w:t>
      </w:r>
      <w:r w:rsidR="009D4B31">
        <w:rPr>
          <w:rFonts w:ascii="Arial" w:hAnsi="Arial" w:cs="Arial"/>
          <w:sz w:val="24"/>
          <w:szCs w:val="24"/>
        </w:rPr>
        <w:t xml:space="preserve"> </w:t>
      </w:r>
      <w:r w:rsidR="009D4B31" w:rsidRPr="009D4B31">
        <w:rPr>
          <w:rFonts w:ascii="Arial" w:hAnsi="Arial" w:cs="Arial"/>
          <w:sz w:val="24"/>
          <w:szCs w:val="24"/>
        </w:rPr>
        <w:t>(Cavus, Dissanayake and Bell, 2025)</w:t>
      </w:r>
      <w:r w:rsidRPr="009621A9">
        <w:rPr>
          <w:rFonts w:ascii="Arial" w:hAnsi="Arial" w:cs="Arial"/>
          <w:sz w:val="24"/>
          <w:szCs w:val="24"/>
        </w:rPr>
        <w:t xml:space="preserve">. </w:t>
      </w:r>
    </w:p>
    <w:p w14:paraId="13C42364" w14:textId="77777777" w:rsidR="001E4685" w:rsidRDefault="001E4685" w:rsidP="009621A9">
      <w:pPr>
        <w:spacing w:after="240" w:line="360" w:lineRule="auto"/>
        <w:jc w:val="both"/>
        <w:rPr>
          <w:rFonts w:ascii="Arial" w:hAnsi="Arial" w:cs="Arial"/>
          <w:sz w:val="24"/>
          <w:szCs w:val="24"/>
        </w:rPr>
      </w:pPr>
    </w:p>
    <w:p w14:paraId="15FFC0F0" w14:textId="77777777" w:rsidR="001E4685" w:rsidRDefault="001E4685" w:rsidP="009621A9">
      <w:pPr>
        <w:spacing w:after="240" w:line="360" w:lineRule="auto"/>
        <w:jc w:val="both"/>
        <w:rPr>
          <w:rFonts w:ascii="Arial" w:hAnsi="Arial" w:cs="Arial"/>
          <w:sz w:val="24"/>
          <w:szCs w:val="24"/>
        </w:rPr>
      </w:pPr>
    </w:p>
    <w:p w14:paraId="3398F598" w14:textId="2A913254" w:rsidR="00FD66D7" w:rsidRPr="009621A9" w:rsidRDefault="00000000" w:rsidP="009621A9">
      <w:pPr>
        <w:pStyle w:val="Heading1"/>
        <w:spacing w:after="240"/>
        <w:rPr>
          <w:rFonts w:ascii="Arial" w:hAnsi="Arial" w:cs="Arial"/>
          <w:b/>
          <w:bCs/>
          <w:i/>
          <w:iCs/>
          <w:sz w:val="24"/>
          <w:szCs w:val="24"/>
        </w:rPr>
      </w:pPr>
      <w:bookmarkStart w:id="10" w:name="_Toc196737766"/>
      <w:r w:rsidRPr="009621A9">
        <w:rPr>
          <w:rFonts w:ascii="Arial" w:hAnsi="Arial" w:cs="Arial"/>
          <w:b/>
          <w:bCs/>
          <w:i/>
          <w:iCs/>
          <w:sz w:val="24"/>
          <w:szCs w:val="24"/>
        </w:rPr>
        <w:lastRenderedPageBreak/>
        <w:t>4. Customer Persona</w:t>
      </w:r>
      <w:bookmarkEnd w:id="10"/>
      <w:r w:rsidRPr="009621A9">
        <w:rPr>
          <w:rFonts w:ascii="Arial" w:hAnsi="Arial" w:cs="Arial"/>
          <w:b/>
          <w:bCs/>
          <w:i/>
          <w:iCs/>
          <w:sz w:val="24"/>
          <w:szCs w:val="24"/>
        </w:rPr>
        <w:t xml:space="preserve"> </w:t>
      </w:r>
    </w:p>
    <w:p w14:paraId="0E129AA5" w14:textId="77777777" w:rsidR="00FD66D7" w:rsidRPr="009621A9" w:rsidRDefault="00000000" w:rsidP="009621A9">
      <w:pPr>
        <w:pStyle w:val="Heading2"/>
        <w:spacing w:after="240"/>
        <w:rPr>
          <w:rFonts w:ascii="Arial" w:eastAsiaTheme="minorHAnsi" w:hAnsi="Arial" w:cs="Arial"/>
          <w:b/>
          <w:bCs/>
          <w:i/>
          <w:iCs/>
          <w:color w:val="auto"/>
          <w:sz w:val="24"/>
          <w:szCs w:val="24"/>
        </w:rPr>
      </w:pPr>
      <w:bookmarkStart w:id="11" w:name="_Toc196737767"/>
      <w:r w:rsidRPr="009621A9">
        <w:rPr>
          <w:rFonts w:ascii="Arial" w:eastAsiaTheme="minorHAnsi" w:hAnsi="Arial" w:cs="Arial"/>
          <w:b/>
          <w:bCs/>
          <w:i/>
          <w:iCs/>
          <w:color w:val="auto"/>
          <w:sz w:val="24"/>
          <w:szCs w:val="24"/>
        </w:rPr>
        <w:t>4.1 Demographic Characteristics</w:t>
      </w:r>
      <w:bookmarkEnd w:id="11"/>
    </w:p>
    <w:p w14:paraId="25C0E2B7" w14:textId="77777777" w:rsidR="007824D6" w:rsidRDefault="00000000" w:rsidP="009621A9">
      <w:pPr>
        <w:spacing w:after="240" w:line="360" w:lineRule="auto"/>
        <w:jc w:val="both"/>
        <w:rPr>
          <w:rFonts w:ascii="Arial" w:hAnsi="Arial" w:cs="Arial"/>
          <w:sz w:val="24"/>
          <w:szCs w:val="24"/>
        </w:rPr>
      </w:pPr>
      <w:r w:rsidRPr="009621A9">
        <w:rPr>
          <w:rFonts w:ascii="Arial" w:hAnsi="Arial" w:cs="Arial"/>
          <w:sz w:val="24"/>
          <w:szCs w:val="24"/>
        </w:rPr>
        <w:t>Electric vehicle manufacturers, fleet managers, and technologically sophisticated automobile companies are the primary customers of Sony EV Batteries, which are primarily situated in regions with a high adoption of electric vehicles. In 2023, China, Europe, and the United States collectively accounted for 95% of global EV sales</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China alone registered 8.1 million electric vehicles, Europe approximately 3.2 million, and the United States approximately 1.4 million.</w:t>
      </w:r>
    </w:p>
    <w:p w14:paraId="6E15DA6E" w14:textId="77777777" w:rsidR="007824D6" w:rsidRPr="00C24589" w:rsidRDefault="007824D6" w:rsidP="00C24589">
      <w:pPr>
        <w:spacing w:after="240" w:line="360" w:lineRule="auto"/>
        <w:jc w:val="center"/>
        <w:rPr>
          <w:rFonts w:ascii="Arial" w:hAnsi="Arial" w:cs="Arial"/>
          <w:i/>
          <w:iCs/>
        </w:rPr>
      </w:pPr>
      <w:r w:rsidRPr="00C24589">
        <w:rPr>
          <w:i/>
          <w:iCs/>
          <w:noProof/>
        </w:rPr>
        <w:drawing>
          <wp:inline distT="0" distB="0" distL="0" distR="0" wp14:anchorId="645780DA" wp14:editId="6A39041B">
            <wp:extent cx="5731510" cy="5584825"/>
            <wp:effectExtent l="0" t="0" r="2540" b="0"/>
            <wp:docPr id="1196493995" name="Picture 15" descr="A chart ranks car manufacturers by their electric vehicle targets. It lists the maker, target for all types of electric vehicles, year of target, battery electric vehicles target, year of target, and net-zero commitment. Polestar ranks 1st, Isuzu 13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chart ranks car manufacturers by their electric vehicle targets. It lists the maker, target for all types of electric vehicles, year of target, battery electric vehicles target, year of target, and net-zero commitment. Polestar ranks 1st, Isuzu 13th."/>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584825"/>
                    </a:xfrm>
                    <a:prstGeom prst="rect">
                      <a:avLst/>
                    </a:prstGeom>
                    <a:noFill/>
                    <a:ln>
                      <a:noFill/>
                    </a:ln>
                  </pic:spPr>
                </pic:pic>
              </a:graphicData>
            </a:graphic>
          </wp:inline>
        </w:drawing>
      </w:r>
    </w:p>
    <w:p w14:paraId="107DEF9B" w14:textId="03A96466" w:rsidR="00010EBD" w:rsidRPr="00C24589" w:rsidRDefault="007824D6" w:rsidP="00C24589">
      <w:pPr>
        <w:spacing w:after="240" w:line="360" w:lineRule="auto"/>
        <w:jc w:val="center"/>
        <w:rPr>
          <w:rFonts w:ascii="Arial" w:hAnsi="Arial" w:cs="Arial"/>
          <w:i/>
          <w:iCs/>
        </w:rPr>
      </w:pPr>
      <w:r w:rsidRPr="00C24589">
        <w:rPr>
          <w:rFonts w:ascii="Arial" w:hAnsi="Arial" w:cs="Arial"/>
          <w:i/>
          <w:iCs/>
        </w:rPr>
        <w:t>Source: https://evboosters.com/ev-charging-news/global-ev-transition-goals-major-car-manufacturers/</w:t>
      </w:r>
    </w:p>
    <w:p w14:paraId="7AC357EC" w14:textId="29279CE0"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lastRenderedPageBreak/>
        <w:t>Typically, target consumers are large corporations with annual revenues exceeding $1 billion, such as Tesla, Ford, BMW, and Hyundai, which have already committed to aggressive EV production initiatives</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In 2023, the sales of electric cars in India and Thailand increased by 70% and 400%, respectively, and customers include medium-sized automotive startups and corporations in emerging markets. </w:t>
      </w:r>
    </w:p>
    <w:p w14:paraId="3310EA7A" w14:textId="77777777" w:rsidR="00FD66D7" w:rsidRPr="009621A9" w:rsidRDefault="00000000" w:rsidP="009621A9">
      <w:pPr>
        <w:pStyle w:val="Heading2"/>
        <w:spacing w:after="240"/>
        <w:rPr>
          <w:rFonts w:ascii="Arial" w:eastAsiaTheme="minorHAnsi" w:hAnsi="Arial" w:cs="Arial"/>
          <w:b/>
          <w:bCs/>
          <w:i/>
          <w:iCs/>
          <w:color w:val="auto"/>
          <w:sz w:val="24"/>
          <w:szCs w:val="24"/>
        </w:rPr>
      </w:pPr>
      <w:bookmarkStart w:id="12" w:name="_Toc196737768"/>
      <w:r w:rsidRPr="009621A9">
        <w:rPr>
          <w:rFonts w:ascii="Arial" w:eastAsiaTheme="minorHAnsi" w:hAnsi="Arial" w:cs="Arial"/>
          <w:b/>
          <w:bCs/>
          <w:i/>
          <w:iCs/>
          <w:color w:val="auto"/>
          <w:sz w:val="24"/>
          <w:szCs w:val="24"/>
        </w:rPr>
        <w:t>4.2 Psychographic Characteristics</w:t>
      </w:r>
      <w:bookmarkEnd w:id="12"/>
    </w:p>
    <w:p w14:paraId="71EDBE74" w14:textId="72838778"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Target consumers are distinguished by their dedication to performance excellence, sustainability, and innovation. Automakers that are investing in electrification consider battery technology to be a critical component of their future competitiveness, particularly in light of the tightening regulatory environments in Europe and North America. Electrification targets for 2030 have been announced by over 20 major car manufacturers, which collectively account for 90% of global sales</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w:t>
      </w:r>
    </w:p>
    <w:p w14:paraId="2B0019F8" w14:textId="17790615"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However, these consumers prioritise technological advancement. Another critical characteristic is environmental consciousness; customers are actively striving to achieve net-zero carbon emissions and are enthusiastic about utilising batteries that are manufactured using sustainable practices and ethical procurement</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Value perception is also essential: clients require solutions that are consistent with the growing consumer demand for eco-friendly, dependable vehicles, in addition to high performance. </w:t>
      </w:r>
    </w:p>
    <w:p w14:paraId="3DF11C28" w14:textId="2B2B0D8E" w:rsidR="00FD66D7" w:rsidRPr="009621A9" w:rsidRDefault="00000000" w:rsidP="009621A9">
      <w:pPr>
        <w:pStyle w:val="Heading2"/>
        <w:spacing w:after="240"/>
        <w:rPr>
          <w:rFonts w:ascii="Arial" w:eastAsiaTheme="minorHAnsi" w:hAnsi="Arial" w:cs="Arial"/>
          <w:b/>
          <w:bCs/>
          <w:i/>
          <w:iCs/>
          <w:color w:val="auto"/>
          <w:sz w:val="24"/>
          <w:szCs w:val="24"/>
        </w:rPr>
      </w:pPr>
      <w:bookmarkStart w:id="13" w:name="_Toc196737769"/>
      <w:r w:rsidRPr="009621A9">
        <w:rPr>
          <w:rFonts w:ascii="Arial" w:eastAsiaTheme="minorHAnsi" w:hAnsi="Arial" w:cs="Arial"/>
          <w:b/>
          <w:bCs/>
          <w:i/>
          <w:iCs/>
          <w:color w:val="auto"/>
          <w:sz w:val="24"/>
          <w:szCs w:val="24"/>
        </w:rPr>
        <w:t>4.3 Customer Pain Points</w:t>
      </w:r>
      <w:bookmarkEnd w:id="13"/>
      <w:r w:rsidRPr="009621A9">
        <w:rPr>
          <w:rFonts w:ascii="Arial" w:eastAsiaTheme="minorHAnsi" w:hAnsi="Arial" w:cs="Arial"/>
          <w:b/>
          <w:bCs/>
          <w:i/>
          <w:iCs/>
          <w:color w:val="auto"/>
          <w:sz w:val="24"/>
          <w:szCs w:val="24"/>
        </w:rPr>
        <w:t xml:space="preserve"> </w:t>
      </w:r>
    </w:p>
    <w:p w14:paraId="2FEB3603" w14:textId="6F9DF685"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In order to satisfy the increasing demands of consumers and comply with government regulations, batteries must provide a greater energy density, faster charging periods, and longer life cycles. However, cost parity with internal combustion vehicles has not yet been achieved in key markets outside of China, despite a 14% decrease in average battery pack prices in 2023</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xml:space="preserve">. Battery price sensitivity remains a significant concern. </w:t>
      </w:r>
    </w:p>
    <w:p w14:paraId="1D895F6E" w14:textId="3456D7FC" w:rsidR="007824D6" w:rsidRPr="00C24589" w:rsidRDefault="007824D6" w:rsidP="00C24589">
      <w:pPr>
        <w:spacing w:after="240" w:line="360" w:lineRule="auto"/>
        <w:jc w:val="center"/>
        <w:rPr>
          <w:rFonts w:ascii="Arial" w:hAnsi="Arial" w:cs="Arial"/>
          <w:i/>
          <w:iCs/>
          <w:sz w:val="18"/>
          <w:szCs w:val="18"/>
        </w:rPr>
      </w:pPr>
      <w:r w:rsidRPr="00C24589">
        <w:rPr>
          <w:rFonts w:ascii="Arial" w:hAnsi="Arial" w:cs="Arial"/>
          <w:i/>
          <w:iCs/>
          <w:noProof/>
          <w:sz w:val="18"/>
          <w:szCs w:val="18"/>
        </w:rPr>
        <w:lastRenderedPageBreak/>
        <w:drawing>
          <wp:inline distT="0" distB="0" distL="0" distR="0" wp14:anchorId="02A8B7F1" wp14:editId="3D4CC7A7">
            <wp:extent cx="5731510" cy="3310890"/>
            <wp:effectExtent l="0" t="0" r="2540" b="3810"/>
            <wp:docPr id="793566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566869" name=""/>
                    <pic:cNvPicPr/>
                  </pic:nvPicPr>
                  <pic:blipFill>
                    <a:blip r:embed="rId19"/>
                    <a:stretch>
                      <a:fillRect/>
                    </a:stretch>
                  </pic:blipFill>
                  <pic:spPr>
                    <a:xfrm>
                      <a:off x="0" y="0"/>
                      <a:ext cx="5731510" cy="3310890"/>
                    </a:xfrm>
                    <a:prstGeom prst="rect">
                      <a:avLst/>
                    </a:prstGeom>
                  </pic:spPr>
                </pic:pic>
              </a:graphicData>
            </a:graphic>
          </wp:inline>
        </w:drawing>
      </w:r>
    </w:p>
    <w:p w14:paraId="5FB21345" w14:textId="34CBE280" w:rsidR="007824D6" w:rsidRPr="00C24589" w:rsidRDefault="007824D6" w:rsidP="00C24589">
      <w:pPr>
        <w:spacing w:after="240" w:line="360" w:lineRule="auto"/>
        <w:jc w:val="center"/>
        <w:rPr>
          <w:rFonts w:ascii="Arial" w:hAnsi="Arial" w:cs="Arial"/>
          <w:i/>
          <w:iCs/>
          <w:sz w:val="18"/>
          <w:szCs w:val="18"/>
        </w:rPr>
      </w:pPr>
      <w:r w:rsidRPr="00C24589">
        <w:rPr>
          <w:rFonts w:ascii="Arial" w:hAnsi="Arial" w:cs="Arial"/>
          <w:i/>
          <w:iCs/>
          <w:sz w:val="18"/>
          <w:szCs w:val="18"/>
        </w:rPr>
        <w:t>Source: https://www.mckinsey.com/industries/automotive-and-assembly/our-insights/battery-2030-resilient-sustainable-and-circular</w:t>
      </w:r>
    </w:p>
    <w:p w14:paraId="65D1F4EF" w14:textId="633E1DA1"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Additionally, supply chain hazards, such as the availability of raw materials and the need for ESG compliance, present significant obstacles</w:t>
      </w:r>
      <w:r w:rsidR="00CF73E4">
        <w:rPr>
          <w:rFonts w:ascii="Arial" w:hAnsi="Arial" w:cs="Arial"/>
          <w:sz w:val="24"/>
          <w:szCs w:val="24"/>
        </w:rPr>
        <w:t xml:space="preserve"> </w:t>
      </w:r>
      <w:r w:rsidR="00CF73E4" w:rsidRPr="00CF73E4">
        <w:rPr>
          <w:rFonts w:ascii="Arial" w:hAnsi="Arial" w:cs="Arial"/>
          <w:sz w:val="24"/>
          <w:szCs w:val="24"/>
        </w:rPr>
        <w:t>(Gül et al., 2024)</w:t>
      </w:r>
      <w:r w:rsidRPr="009621A9">
        <w:rPr>
          <w:rFonts w:ascii="Arial" w:hAnsi="Arial" w:cs="Arial"/>
          <w:sz w:val="24"/>
          <w:szCs w:val="24"/>
        </w:rPr>
        <w:t>. Companies are in search of suppliers such as Sony who can ensure ethical sourcing, transparency, and stability. An additional challenge is the incorporation of intelligent features, such as AI-driven battery management systems, which are becoming more necessary as vehicle software systems become more intricate</w:t>
      </w:r>
      <w:r w:rsidR="009D4B31">
        <w:rPr>
          <w:rFonts w:ascii="Arial" w:hAnsi="Arial" w:cs="Arial"/>
          <w:sz w:val="24"/>
          <w:szCs w:val="24"/>
        </w:rPr>
        <w:t xml:space="preserve"> </w:t>
      </w:r>
      <w:r w:rsidR="009D4B31" w:rsidRPr="009D4B31">
        <w:rPr>
          <w:rFonts w:ascii="Arial" w:hAnsi="Arial" w:cs="Arial"/>
          <w:sz w:val="24"/>
          <w:szCs w:val="24"/>
        </w:rPr>
        <w:t>(Cavus, Dissanayake and Bell, 2025)</w:t>
      </w:r>
      <w:r w:rsidRPr="009621A9">
        <w:rPr>
          <w:rFonts w:ascii="Arial" w:hAnsi="Arial" w:cs="Arial"/>
          <w:sz w:val="24"/>
          <w:szCs w:val="24"/>
        </w:rPr>
        <w:t xml:space="preserve">. </w:t>
      </w:r>
    </w:p>
    <w:p w14:paraId="42AE5CD3" w14:textId="77777777" w:rsidR="00FD66D7" w:rsidRPr="009621A9" w:rsidRDefault="00000000" w:rsidP="009621A9">
      <w:pPr>
        <w:pStyle w:val="Heading1"/>
        <w:spacing w:after="240"/>
        <w:rPr>
          <w:rFonts w:ascii="Arial" w:hAnsi="Arial" w:cs="Arial"/>
          <w:b/>
          <w:bCs/>
          <w:i/>
          <w:iCs/>
          <w:sz w:val="24"/>
          <w:szCs w:val="24"/>
        </w:rPr>
      </w:pPr>
      <w:bookmarkStart w:id="14" w:name="_Toc196737770"/>
      <w:r w:rsidRPr="009621A9">
        <w:rPr>
          <w:rFonts w:ascii="Arial" w:hAnsi="Arial" w:cs="Arial"/>
          <w:b/>
          <w:bCs/>
          <w:i/>
          <w:iCs/>
          <w:sz w:val="24"/>
          <w:szCs w:val="24"/>
        </w:rPr>
        <w:t>5. Marketing Mix Strategy</w:t>
      </w:r>
      <w:bookmarkEnd w:id="14"/>
    </w:p>
    <w:p w14:paraId="362BE8FD" w14:textId="2DB3CA9E" w:rsidR="00FD66D7" w:rsidRPr="009621A9" w:rsidRDefault="00000000" w:rsidP="009621A9">
      <w:pPr>
        <w:pStyle w:val="Heading2"/>
        <w:spacing w:after="240"/>
        <w:rPr>
          <w:rFonts w:ascii="Arial" w:eastAsiaTheme="minorHAnsi" w:hAnsi="Arial" w:cs="Arial"/>
          <w:b/>
          <w:bCs/>
          <w:i/>
          <w:iCs/>
          <w:color w:val="auto"/>
          <w:sz w:val="24"/>
          <w:szCs w:val="24"/>
        </w:rPr>
      </w:pPr>
      <w:bookmarkStart w:id="15" w:name="_Toc196737771"/>
      <w:r w:rsidRPr="009621A9">
        <w:rPr>
          <w:rFonts w:ascii="Arial" w:eastAsiaTheme="minorHAnsi" w:hAnsi="Arial" w:cs="Arial"/>
          <w:b/>
          <w:bCs/>
          <w:i/>
          <w:iCs/>
          <w:color w:val="auto"/>
          <w:sz w:val="24"/>
          <w:szCs w:val="24"/>
        </w:rPr>
        <w:t>5.1 Product</w:t>
      </w:r>
      <w:bookmarkEnd w:id="15"/>
      <w:r w:rsidRPr="009621A9">
        <w:rPr>
          <w:rFonts w:ascii="Arial" w:eastAsiaTheme="minorHAnsi" w:hAnsi="Arial" w:cs="Arial"/>
          <w:b/>
          <w:bCs/>
          <w:i/>
          <w:iCs/>
          <w:color w:val="auto"/>
          <w:sz w:val="24"/>
          <w:szCs w:val="24"/>
        </w:rPr>
        <w:t xml:space="preserve"> </w:t>
      </w:r>
    </w:p>
    <w:p w14:paraId="3E5C6FA4" w14:textId="5EC99EB5"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Premium, high-performance lithium-ion battery solutions that are specifically designed for electric vehicles will be introduced as Sony EV Batteries. The batteries will boast extended lifespans, quicker charging capabilities, and a higher energy density in comparison to conventional offerings, as they are constructed on Sony's expertise in energy storage, sensing, and imaging technologies</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xml:space="preserve">. The production of durable, cutting-edge products is facilitated by Sony's investment of approximately 1.5 trillion yen in semiconductor innovation over the course of six years. </w:t>
      </w:r>
    </w:p>
    <w:p w14:paraId="5CE8C487" w14:textId="5915E5FE" w:rsidR="007824D6" w:rsidRPr="00C24589" w:rsidRDefault="007824D6" w:rsidP="00C24589">
      <w:pPr>
        <w:spacing w:after="240" w:line="360" w:lineRule="auto"/>
        <w:jc w:val="center"/>
        <w:rPr>
          <w:rFonts w:ascii="Arial" w:hAnsi="Arial" w:cs="Arial"/>
          <w:i/>
          <w:iCs/>
        </w:rPr>
      </w:pPr>
      <w:r w:rsidRPr="00C24589">
        <w:rPr>
          <w:i/>
          <w:iCs/>
          <w:noProof/>
        </w:rPr>
        <w:lastRenderedPageBreak/>
        <w:drawing>
          <wp:inline distT="0" distB="0" distL="0" distR="0" wp14:anchorId="5DA1E043" wp14:editId="618EE18E">
            <wp:extent cx="5731510" cy="3820795"/>
            <wp:effectExtent l="0" t="0" r="2540" b="8255"/>
            <wp:docPr id="1949842778" name="Picture 16" descr="How Ford, GM, and Tesla are building better EV batteries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ow Ford, GM, and Tesla are building better EV batteries | Vox"/>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8963F6F" w14:textId="2A691292" w:rsidR="007824D6" w:rsidRPr="00C24589" w:rsidRDefault="007824D6" w:rsidP="00C24589">
      <w:pPr>
        <w:spacing w:after="240" w:line="360" w:lineRule="auto"/>
        <w:jc w:val="center"/>
        <w:rPr>
          <w:rFonts w:ascii="Arial" w:hAnsi="Arial" w:cs="Arial"/>
          <w:i/>
          <w:iCs/>
        </w:rPr>
      </w:pPr>
      <w:r w:rsidRPr="00C24589">
        <w:rPr>
          <w:rFonts w:ascii="Arial" w:hAnsi="Arial" w:cs="Arial"/>
          <w:i/>
          <w:iCs/>
        </w:rPr>
        <w:t>Source: https://www.vox.com/recode/23027110/solid-state-lithium-battery-tesla-gm-ford</w:t>
      </w:r>
    </w:p>
    <w:p w14:paraId="4D95FFAF" w14:textId="0431AC21"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Additionally, sustainability will be a fundamental product attribute; Sony's corporate commitment to its 2024 Sustainability Vision emphasises the reduction of lifecycle carbon emissions, the integration of the circular economy, and ethical procurement</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Predictive diagnostics, safety monitoring, and optimised vehicle performance will be enabled by smart battery management systems, which are fuelled by AI and IoT connectivity</w:t>
      </w:r>
      <w:r w:rsidR="00CC080C">
        <w:rPr>
          <w:rFonts w:ascii="Arial" w:hAnsi="Arial" w:cs="Arial"/>
          <w:sz w:val="24"/>
          <w:szCs w:val="24"/>
        </w:rPr>
        <w:t xml:space="preserve"> </w:t>
      </w:r>
      <w:r w:rsidR="00CC080C" w:rsidRPr="00CC080C">
        <w:rPr>
          <w:rFonts w:ascii="Arial" w:hAnsi="Arial" w:cs="Arial"/>
          <w:sz w:val="24"/>
          <w:szCs w:val="24"/>
        </w:rPr>
        <w:t>(Cavus, Dissanayake and Bell, 2025)</w:t>
      </w:r>
      <w:r w:rsidRPr="009621A9">
        <w:rPr>
          <w:rFonts w:ascii="Arial" w:hAnsi="Arial" w:cs="Arial"/>
          <w:sz w:val="24"/>
          <w:szCs w:val="24"/>
        </w:rPr>
        <w:t>. This technology is particularly appealing to automakers that are developing intelligent electric mobility solutions.</w:t>
      </w:r>
    </w:p>
    <w:p w14:paraId="0E7ECB3F" w14:textId="28628C4D" w:rsidR="00FD66D7" w:rsidRPr="009621A9" w:rsidRDefault="00000000" w:rsidP="009621A9">
      <w:pPr>
        <w:pStyle w:val="Heading2"/>
        <w:spacing w:after="240"/>
        <w:rPr>
          <w:rFonts w:ascii="Arial" w:eastAsiaTheme="minorHAnsi" w:hAnsi="Arial" w:cs="Arial"/>
          <w:b/>
          <w:bCs/>
          <w:i/>
          <w:iCs/>
          <w:color w:val="auto"/>
          <w:sz w:val="24"/>
          <w:szCs w:val="24"/>
        </w:rPr>
      </w:pPr>
      <w:bookmarkStart w:id="16" w:name="_Toc196737772"/>
      <w:r w:rsidRPr="009621A9">
        <w:rPr>
          <w:rFonts w:ascii="Arial" w:eastAsiaTheme="minorHAnsi" w:hAnsi="Arial" w:cs="Arial"/>
          <w:b/>
          <w:bCs/>
          <w:i/>
          <w:iCs/>
          <w:color w:val="auto"/>
          <w:sz w:val="24"/>
          <w:szCs w:val="24"/>
        </w:rPr>
        <w:t>5.2 Pric</w:t>
      </w:r>
      <w:r w:rsidR="009621A9" w:rsidRPr="009621A9">
        <w:rPr>
          <w:rFonts w:ascii="Arial" w:eastAsiaTheme="minorHAnsi" w:hAnsi="Arial" w:cs="Arial"/>
          <w:b/>
          <w:bCs/>
          <w:i/>
          <w:iCs/>
          <w:color w:val="auto"/>
          <w:sz w:val="24"/>
          <w:szCs w:val="24"/>
        </w:rPr>
        <w:t>e</w:t>
      </w:r>
      <w:bookmarkEnd w:id="16"/>
    </w:p>
    <w:p w14:paraId="0AF69FB8" w14:textId="77777777"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Sony will introduce a value-based pricing model that underscores the long-term advantages and technological superiority of its EV Batteries. Although the price of global battery packs decreased by 14% in 2023, premium segments, such as luxury electric vehicles (EVs), continue to demand superior quality and reliability, which provides an opportunity for a slightly higher price point. </w:t>
      </w:r>
    </w:p>
    <w:p w14:paraId="4446AA35" w14:textId="5EC66FE9" w:rsidR="007824D6" w:rsidRPr="00C24589" w:rsidRDefault="007824D6" w:rsidP="00C24589">
      <w:pPr>
        <w:spacing w:after="240" w:line="360" w:lineRule="auto"/>
        <w:jc w:val="center"/>
        <w:rPr>
          <w:rFonts w:ascii="Arial" w:hAnsi="Arial" w:cs="Arial"/>
          <w:i/>
          <w:iCs/>
        </w:rPr>
      </w:pPr>
      <w:r w:rsidRPr="00C24589">
        <w:rPr>
          <w:i/>
          <w:iCs/>
          <w:noProof/>
        </w:rPr>
        <w:lastRenderedPageBreak/>
        <w:drawing>
          <wp:inline distT="0" distB="0" distL="0" distR="0" wp14:anchorId="5FA562BE" wp14:editId="26010A0E">
            <wp:extent cx="5731510" cy="3225165"/>
            <wp:effectExtent l="0" t="0" r="2540" b="0"/>
            <wp:docPr id="1868929563" name="Picture 17" descr="A Beginner's Guide to [Value-Based Pricing] | Cosm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Beginner's Guide to [Value-Based Pricing] | Cosmic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81C2103" w14:textId="06DAF390" w:rsidR="007824D6" w:rsidRPr="00C24589" w:rsidRDefault="007824D6" w:rsidP="00C24589">
      <w:pPr>
        <w:spacing w:after="240" w:line="360" w:lineRule="auto"/>
        <w:jc w:val="center"/>
        <w:rPr>
          <w:rFonts w:ascii="Arial" w:hAnsi="Arial" w:cs="Arial"/>
          <w:i/>
          <w:iCs/>
        </w:rPr>
      </w:pPr>
      <w:r w:rsidRPr="00C24589">
        <w:rPr>
          <w:rFonts w:ascii="Arial" w:hAnsi="Arial" w:cs="Arial"/>
          <w:i/>
          <w:iCs/>
        </w:rPr>
        <w:t>Source: https://www.cosmico.org/a-beginners-guide-to-value-based-pricing/</w:t>
      </w:r>
    </w:p>
    <w:p w14:paraId="3147EE3A" w14:textId="7D9F3E5E"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During its fourth mid-range plan, Sony's broader business approach was characterised by a commitment to attaining operating income margins of 10% or higher</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This strategy will be implemented in this instance by providing products with improved value to justify their pricing. The value offering will include warranty extensions, sustainability certifications, and efficiency benefits, which will enable Sony to address cost-sensitive consumers with scalable solutions for various vehicle classes and maintain healthy margins.</w:t>
      </w:r>
    </w:p>
    <w:p w14:paraId="2F8B05B5" w14:textId="67AD3492" w:rsidR="00FD66D7" w:rsidRPr="009621A9" w:rsidRDefault="00000000" w:rsidP="009621A9">
      <w:pPr>
        <w:pStyle w:val="Heading2"/>
        <w:spacing w:after="240"/>
        <w:rPr>
          <w:rFonts w:ascii="Arial" w:eastAsiaTheme="minorHAnsi" w:hAnsi="Arial" w:cs="Arial"/>
          <w:b/>
          <w:bCs/>
          <w:i/>
          <w:iCs/>
          <w:color w:val="auto"/>
          <w:sz w:val="24"/>
          <w:szCs w:val="24"/>
        </w:rPr>
      </w:pPr>
      <w:bookmarkStart w:id="17" w:name="_Toc196737773"/>
      <w:r w:rsidRPr="009621A9">
        <w:rPr>
          <w:rFonts w:ascii="Arial" w:eastAsiaTheme="minorHAnsi" w:hAnsi="Arial" w:cs="Arial"/>
          <w:b/>
          <w:bCs/>
          <w:i/>
          <w:iCs/>
          <w:color w:val="auto"/>
          <w:sz w:val="24"/>
          <w:szCs w:val="24"/>
        </w:rPr>
        <w:t>5.3 Place</w:t>
      </w:r>
      <w:bookmarkEnd w:id="17"/>
      <w:r w:rsidRPr="009621A9">
        <w:rPr>
          <w:rFonts w:ascii="Arial" w:eastAsiaTheme="minorHAnsi" w:hAnsi="Arial" w:cs="Arial"/>
          <w:b/>
          <w:bCs/>
          <w:i/>
          <w:iCs/>
          <w:color w:val="auto"/>
          <w:sz w:val="24"/>
          <w:szCs w:val="24"/>
        </w:rPr>
        <w:t xml:space="preserve"> </w:t>
      </w:r>
    </w:p>
    <w:p w14:paraId="4DD26B41" w14:textId="2B434829"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EV Batteries will implement a direct B2B distribution strategy, with a primary focus on Original Equipment Manufacturers (OEMs) in the United States, Europe, and China. In 2023, these regions accounted for 95% of global EV sales, with Europe attaining 25% EV market penetration and China selling over 8 million EVs. Sony intends to capitalise on its substantial manufacturing and supply chain expertise, which were generated by its ET&amp;S and I&amp;SS segments in 2023, respectively, and which accounted for 18% and 12% of Group sales</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xml:space="preserve">. </w:t>
      </w:r>
    </w:p>
    <w:p w14:paraId="0366B40B" w14:textId="388FD386"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In order to comply with local content regulations, such as those in the United States, regional production centres are being investigated. The Inflation Reduction Act, which promotes the development of localised manufacturing</w:t>
      </w:r>
      <w:r w:rsidR="009D4B31">
        <w:rPr>
          <w:rFonts w:ascii="Arial" w:hAnsi="Arial" w:cs="Arial"/>
          <w:sz w:val="24"/>
          <w:szCs w:val="24"/>
        </w:rPr>
        <w:t xml:space="preserve"> </w:t>
      </w:r>
      <w:r w:rsidR="009D4B31" w:rsidRPr="009D4B31">
        <w:rPr>
          <w:rFonts w:ascii="Arial" w:hAnsi="Arial" w:cs="Arial"/>
          <w:sz w:val="24"/>
          <w:szCs w:val="24"/>
        </w:rPr>
        <w:t>(McKinsey &amp; Company, 2022)</w:t>
      </w:r>
      <w:r w:rsidRPr="009621A9">
        <w:rPr>
          <w:rFonts w:ascii="Arial" w:hAnsi="Arial" w:cs="Arial"/>
          <w:sz w:val="24"/>
          <w:szCs w:val="24"/>
        </w:rPr>
        <w:t xml:space="preserve">. </w:t>
      </w:r>
      <w:r w:rsidRPr="009621A9">
        <w:rPr>
          <w:rFonts w:ascii="Arial" w:hAnsi="Arial" w:cs="Arial"/>
          <w:sz w:val="24"/>
          <w:szCs w:val="24"/>
        </w:rPr>
        <w:lastRenderedPageBreak/>
        <w:t>Sony will also leverage its current partnerships, including Sony Honda Mobility, to broaden its distribution in the automotive sector.</w:t>
      </w:r>
    </w:p>
    <w:p w14:paraId="1615C1D2" w14:textId="7936C607" w:rsidR="00FD66D7" w:rsidRPr="009621A9" w:rsidRDefault="00000000" w:rsidP="009621A9">
      <w:pPr>
        <w:pStyle w:val="Heading2"/>
        <w:spacing w:after="240"/>
        <w:rPr>
          <w:rFonts w:ascii="Arial" w:eastAsiaTheme="minorHAnsi" w:hAnsi="Arial" w:cs="Arial"/>
          <w:b/>
          <w:bCs/>
          <w:i/>
          <w:iCs/>
          <w:color w:val="auto"/>
          <w:sz w:val="24"/>
          <w:szCs w:val="24"/>
        </w:rPr>
      </w:pPr>
      <w:bookmarkStart w:id="18" w:name="_Toc196737774"/>
      <w:r w:rsidRPr="009621A9">
        <w:rPr>
          <w:rFonts w:ascii="Arial" w:eastAsiaTheme="minorHAnsi" w:hAnsi="Arial" w:cs="Arial"/>
          <w:b/>
          <w:bCs/>
          <w:i/>
          <w:iCs/>
          <w:color w:val="auto"/>
          <w:sz w:val="24"/>
          <w:szCs w:val="24"/>
        </w:rPr>
        <w:t>5.4 Promotion</w:t>
      </w:r>
      <w:bookmarkEnd w:id="18"/>
    </w:p>
    <w:p w14:paraId="15C9A81E" w14:textId="551098E9"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Sony will implement a hybrid promotional strategy that integrates digital campaigns, strategic co-branding with automotive partners, and industry exhibitions. Sony's promotional initiatives will emphasise sustainability leadership, technological excellence, and smart mobility, drawing on its demonstrated capacity to captivate global audiences, as evidenced by its CES 2024 display, which was themed "Powering Creativity with Technology" </w:t>
      </w:r>
      <w:r w:rsidR="009D4B31" w:rsidRPr="009D4B31">
        <w:rPr>
          <w:rFonts w:ascii="Arial" w:hAnsi="Arial" w:cs="Arial"/>
          <w:sz w:val="24"/>
          <w:szCs w:val="24"/>
        </w:rPr>
        <w:t>(Sony, 2024)</w:t>
      </w:r>
      <w:r w:rsidR="009D4B31">
        <w:rPr>
          <w:rFonts w:ascii="Arial" w:hAnsi="Arial" w:cs="Arial"/>
          <w:sz w:val="24"/>
          <w:szCs w:val="24"/>
        </w:rPr>
        <w:t>.</w:t>
      </w:r>
    </w:p>
    <w:p w14:paraId="5BB95520" w14:textId="7551E4A2"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will also partner with early-adopter OEM clients to co-market vehicles that are powered by Sony EV Batteries. Furthermore, the integration of recycled materials and AI-driven performance optimisation will be underscored through case studies, customer testimonials, and educational content, further emphasising the importance of storytelling</w:t>
      </w:r>
      <w:r w:rsidR="00CC080C">
        <w:rPr>
          <w:rFonts w:ascii="Arial" w:hAnsi="Arial" w:cs="Arial"/>
          <w:sz w:val="24"/>
          <w:szCs w:val="24"/>
        </w:rPr>
        <w:t xml:space="preserve"> </w:t>
      </w:r>
      <w:r w:rsidR="00CC080C" w:rsidRPr="00CC080C">
        <w:rPr>
          <w:rFonts w:ascii="Arial" w:hAnsi="Arial" w:cs="Arial"/>
          <w:sz w:val="24"/>
          <w:szCs w:val="24"/>
        </w:rPr>
        <w:t>(Houghton, 2021)</w:t>
      </w:r>
      <w:r w:rsidRPr="009621A9">
        <w:rPr>
          <w:rFonts w:ascii="Arial" w:hAnsi="Arial" w:cs="Arial"/>
          <w:sz w:val="24"/>
          <w:szCs w:val="24"/>
        </w:rPr>
        <w:t>. Sony's global media strength, which encompasses its Music and Pictures segments, which collectively contributed to 23% of Group sales, will be leveraged to execute comprehensive, impactful communication campaigns</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w:t>
      </w:r>
    </w:p>
    <w:p w14:paraId="7003A389" w14:textId="07079EF6" w:rsidR="00FD66D7" w:rsidRPr="009621A9" w:rsidRDefault="009621A9" w:rsidP="009621A9">
      <w:pPr>
        <w:pStyle w:val="Heading2"/>
        <w:spacing w:after="240"/>
        <w:rPr>
          <w:rFonts w:ascii="Arial" w:eastAsiaTheme="minorHAnsi" w:hAnsi="Arial" w:cs="Arial"/>
          <w:b/>
          <w:bCs/>
          <w:i/>
          <w:iCs/>
          <w:color w:val="auto"/>
          <w:sz w:val="24"/>
          <w:szCs w:val="24"/>
        </w:rPr>
      </w:pPr>
      <w:bookmarkStart w:id="19" w:name="_Toc196737775"/>
      <w:r w:rsidRPr="009621A9">
        <w:rPr>
          <w:rFonts w:ascii="Arial" w:eastAsiaTheme="minorHAnsi" w:hAnsi="Arial" w:cs="Arial"/>
          <w:b/>
          <w:bCs/>
          <w:i/>
          <w:iCs/>
          <w:color w:val="auto"/>
          <w:sz w:val="24"/>
          <w:szCs w:val="24"/>
        </w:rPr>
        <w:t>5.5 People</w:t>
      </w:r>
      <w:bookmarkEnd w:id="19"/>
      <w:r w:rsidRPr="009621A9">
        <w:rPr>
          <w:rFonts w:ascii="Arial" w:eastAsiaTheme="minorHAnsi" w:hAnsi="Arial" w:cs="Arial"/>
          <w:b/>
          <w:bCs/>
          <w:i/>
          <w:iCs/>
          <w:color w:val="auto"/>
          <w:sz w:val="24"/>
          <w:szCs w:val="24"/>
        </w:rPr>
        <w:t xml:space="preserve"> </w:t>
      </w:r>
    </w:p>
    <w:p w14:paraId="51BEAB13" w14:textId="2FEAD0FA"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success of Sony EV Batteries will be significantly influenced by the company's global workforce of approximately 110,000 employees, who are already highly skilled in semiconductors, AI, and creative entertainment</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xml:space="preserve">. Specialised training programs will be implemented for engineers, sales teams, and customer service representatives to guarantee a customer-centric approach and a comprehensive understanding of the product. </w:t>
      </w:r>
    </w:p>
    <w:p w14:paraId="56A5A2B9" w14:textId="3C261937"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Sony's dedication to talent diversity, as evidenced by their global People Strategy to attract and engage employees from diverse backgrounds, guarantees that customer engagement will be conducted with a focus on innovation, technical proficiency, and cultural sensitivity</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Additionally, regional clients in Europe, North America, and Asia-Pacific will receive expedited support through the deployment of localised support teams.</w:t>
      </w:r>
    </w:p>
    <w:p w14:paraId="2B607909" w14:textId="4A6A08D3" w:rsidR="00FD66D7" w:rsidRPr="009621A9" w:rsidRDefault="00000000" w:rsidP="009621A9">
      <w:pPr>
        <w:pStyle w:val="Heading2"/>
        <w:spacing w:after="240"/>
        <w:rPr>
          <w:rFonts w:ascii="Arial" w:eastAsiaTheme="minorHAnsi" w:hAnsi="Arial" w:cs="Arial"/>
          <w:b/>
          <w:bCs/>
          <w:i/>
          <w:iCs/>
          <w:color w:val="auto"/>
          <w:sz w:val="24"/>
          <w:szCs w:val="24"/>
        </w:rPr>
      </w:pPr>
      <w:bookmarkStart w:id="20" w:name="_Toc196737776"/>
      <w:r w:rsidRPr="009621A9">
        <w:rPr>
          <w:rFonts w:ascii="Arial" w:eastAsiaTheme="minorHAnsi" w:hAnsi="Arial" w:cs="Arial"/>
          <w:b/>
          <w:bCs/>
          <w:i/>
          <w:iCs/>
          <w:color w:val="auto"/>
          <w:sz w:val="24"/>
          <w:szCs w:val="24"/>
        </w:rPr>
        <w:lastRenderedPageBreak/>
        <w:t>5.6 Process</w:t>
      </w:r>
      <w:bookmarkEnd w:id="20"/>
      <w:r w:rsidRPr="009621A9">
        <w:rPr>
          <w:rFonts w:ascii="Arial" w:eastAsiaTheme="minorHAnsi" w:hAnsi="Arial" w:cs="Arial"/>
          <w:b/>
          <w:bCs/>
          <w:i/>
          <w:iCs/>
          <w:color w:val="auto"/>
          <w:sz w:val="24"/>
          <w:szCs w:val="24"/>
        </w:rPr>
        <w:t xml:space="preserve"> </w:t>
      </w:r>
    </w:p>
    <w:p w14:paraId="4ACC4840" w14:textId="2C8797B4"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The Group's dedication to efficiency and innovation will be evident in the production and delivery processes of Sony EV Batteries. Sony will incorporate real-time monitoring systems into its manufacturing facilities, leveraging the insights gained from its Imaging &amp; Sensing Solutions (I&amp;SS) segment, which demonstrated robust operational improvements with a compound annual growth rate (CAGR) of 9% in operating income</w:t>
      </w:r>
      <w:r w:rsidR="009D4B31">
        <w:rPr>
          <w:rFonts w:ascii="Arial" w:hAnsi="Arial" w:cs="Arial"/>
          <w:sz w:val="24"/>
          <w:szCs w:val="24"/>
        </w:rPr>
        <w:t xml:space="preserve"> </w:t>
      </w:r>
      <w:r w:rsidR="009D4B31" w:rsidRPr="009D4B31">
        <w:rPr>
          <w:rFonts w:ascii="Arial" w:hAnsi="Arial" w:cs="Arial"/>
          <w:sz w:val="24"/>
          <w:szCs w:val="24"/>
        </w:rPr>
        <w:t>(</w:t>
      </w:r>
      <w:r w:rsidR="00CC080C" w:rsidRPr="00CC080C">
        <w:rPr>
          <w:rFonts w:ascii="Arial" w:hAnsi="Arial" w:cs="Arial"/>
          <w:sz w:val="24"/>
          <w:szCs w:val="24"/>
        </w:rPr>
        <w:t>Ali, Shin and Song, 2022</w:t>
      </w:r>
      <w:r w:rsidR="00CC080C">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xml:space="preserve">. </w:t>
      </w:r>
    </w:p>
    <w:p w14:paraId="2F102257" w14:textId="05876006"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t>Superior operational performance will be guaranteed by processes such as predictive maintenance, blockchain-based traceability for ethical procurement, and smart quality control</w:t>
      </w:r>
      <w:r w:rsidR="00CC080C">
        <w:rPr>
          <w:rFonts w:ascii="Arial" w:hAnsi="Arial" w:cs="Arial"/>
          <w:sz w:val="24"/>
          <w:szCs w:val="24"/>
        </w:rPr>
        <w:t xml:space="preserve"> </w:t>
      </w:r>
      <w:r w:rsidR="00CC080C" w:rsidRPr="00CC080C">
        <w:rPr>
          <w:rFonts w:ascii="Arial" w:hAnsi="Arial" w:cs="Arial"/>
          <w:sz w:val="24"/>
          <w:szCs w:val="24"/>
        </w:rPr>
        <w:t xml:space="preserve">(Mosa </w:t>
      </w:r>
      <w:r w:rsidR="00CC080C" w:rsidRPr="00CC080C">
        <w:rPr>
          <w:rFonts w:ascii="Arial" w:hAnsi="Arial" w:cs="Arial"/>
          <w:i/>
          <w:iCs/>
          <w:sz w:val="24"/>
          <w:szCs w:val="24"/>
        </w:rPr>
        <w:t>et al.</w:t>
      </w:r>
      <w:r w:rsidR="00CC080C" w:rsidRPr="00CC080C">
        <w:rPr>
          <w:rFonts w:ascii="Arial" w:hAnsi="Arial" w:cs="Arial"/>
          <w:sz w:val="24"/>
          <w:szCs w:val="24"/>
        </w:rPr>
        <w:t>, 2024)</w:t>
      </w:r>
      <w:r w:rsidRPr="009621A9">
        <w:rPr>
          <w:rFonts w:ascii="Arial" w:hAnsi="Arial" w:cs="Arial"/>
          <w:sz w:val="24"/>
          <w:szCs w:val="24"/>
        </w:rPr>
        <w:t>. Sony will simplify the registration process for customers by providing integrated testing platforms, digital design consultations, and battery customisation options, thereby guaranteeing seamless integration into a variety of vehicle platforms.</w:t>
      </w:r>
    </w:p>
    <w:p w14:paraId="190235CE" w14:textId="60E16F1A" w:rsidR="00FD66D7" w:rsidRPr="009621A9" w:rsidRDefault="00000000" w:rsidP="009621A9">
      <w:pPr>
        <w:pStyle w:val="Heading2"/>
        <w:spacing w:after="240"/>
        <w:rPr>
          <w:rFonts w:ascii="Arial" w:eastAsiaTheme="minorHAnsi" w:hAnsi="Arial" w:cs="Arial"/>
          <w:b/>
          <w:bCs/>
          <w:i/>
          <w:iCs/>
          <w:color w:val="auto"/>
          <w:sz w:val="24"/>
          <w:szCs w:val="24"/>
        </w:rPr>
      </w:pPr>
      <w:bookmarkStart w:id="21" w:name="_Toc196737777"/>
      <w:r w:rsidRPr="009621A9">
        <w:rPr>
          <w:rFonts w:ascii="Arial" w:eastAsiaTheme="minorHAnsi" w:hAnsi="Arial" w:cs="Arial"/>
          <w:b/>
          <w:bCs/>
          <w:i/>
          <w:iCs/>
          <w:color w:val="auto"/>
          <w:sz w:val="24"/>
          <w:szCs w:val="24"/>
        </w:rPr>
        <w:t>5.7 Physical Evidence</w:t>
      </w:r>
      <w:bookmarkEnd w:id="21"/>
    </w:p>
    <w:p w14:paraId="0908AA5C" w14:textId="77DB806C"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Sony will fortify its brand by providing tangible evidence, including certifications, warranty programs, and state-of-the-art physical facilities. Sony's brand is recognised for its exceptional quality, and the EV Batteries division will capitalise on certifications for sustainability, safety (e.g., ISO 26262 for functional safety in automotive applications), and performance superiority</w:t>
      </w:r>
      <w:r w:rsidR="00CC080C">
        <w:rPr>
          <w:rFonts w:ascii="Arial" w:hAnsi="Arial" w:cs="Arial"/>
          <w:sz w:val="24"/>
          <w:szCs w:val="24"/>
        </w:rPr>
        <w:t xml:space="preserve"> </w:t>
      </w:r>
      <w:r w:rsidR="00CC080C" w:rsidRPr="00CC080C">
        <w:rPr>
          <w:rFonts w:ascii="Arial" w:hAnsi="Arial" w:cs="Arial"/>
          <w:sz w:val="24"/>
          <w:szCs w:val="24"/>
        </w:rPr>
        <w:t>(Gosavi, Rhoades and Conrad, 2018)</w:t>
      </w:r>
      <w:r w:rsidRPr="009621A9">
        <w:rPr>
          <w:rFonts w:ascii="Arial" w:hAnsi="Arial" w:cs="Arial"/>
          <w:sz w:val="24"/>
          <w:szCs w:val="24"/>
        </w:rPr>
        <w:t xml:space="preserve">. </w:t>
      </w:r>
    </w:p>
    <w:p w14:paraId="14A83AE7" w14:textId="3F8B0B64" w:rsidR="00C24589" w:rsidRPr="00C24589" w:rsidRDefault="00C24589" w:rsidP="00C24589">
      <w:pPr>
        <w:spacing w:after="240" w:line="360" w:lineRule="auto"/>
        <w:jc w:val="center"/>
        <w:rPr>
          <w:rFonts w:ascii="Arial" w:hAnsi="Arial" w:cs="Arial"/>
          <w:i/>
          <w:iCs/>
        </w:rPr>
      </w:pPr>
      <w:r w:rsidRPr="00C24589">
        <w:rPr>
          <w:rFonts w:ascii="Arial" w:hAnsi="Arial" w:cs="Arial"/>
          <w:i/>
          <w:iCs/>
          <w:noProof/>
        </w:rPr>
        <w:drawing>
          <wp:inline distT="0" distB="0" distL="0" distR="0" wp14:anchorId="5440CE33" wp14:editId="7B009383">
            <wp:extent cx="5731510" cy="2538095"/>
            <wp:effectExtent l="0" t="0" r="2540" b="0"/>
            <wp:docPr id="48568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2739" name=""/>
                    <pic:cNvPicPr/>
                  </pic:nvPicPr>
                  <pic:blipFill>
                    <a:blip r:embed="rId22"/>
                    <a:stretch>
                      <a:fillRect/>
                    </a:stretch>
                  </pic:blipFill>
                  <pic:spPr>
                    <a:xfrm>
                      <a:off x="0" y="0"/>
                      <a:ext cx="5731510" cy="2538095"/>
                    </a:xfrm>
                    <a:prstGeom prst="rect">
                      <a:avLst/>
                    </a:prstGeom>
                  </pic:spPr>
                </pic:pic>
              </a:graphicData>
            </a:graphic>
          </wp:inline>
        </w:drawing>
      </w:r>
    </w:p>
    <w:p w14:paraId="78D81D15" w14:textId="1B297DB3" w:rsidR="00C24589" w:rsidRPr="00C24589" w:rsidRDefault="00C24589" w:rsidP="00C24589">
      <w:pPr>
        <w:spacing w:after="240" w:line="360" w:lineRule="auto"/>
        <w:jc w:val="center"/>
        <w:rPr>
          <w:rFonts w:ascii="Arial" w:hAnsi="Arial" w:cs="Arial"/>
          <w:i/>
          <w:iCs/>
        </w:rPr>
      </w:pPr>
      <w:r w:rsidRPr="00C24589">
        <w:rPr>
          <w:rFonts w:ascii="Arial" w:hAnsi="Arial" w:cs="Arial"/>
          <w:i/>
          <w:iCs/>
        </w:rPr>
        <w:t>Source: Sony Sustainability Small Meeting 2024</w:t>
      </w:r>
    </w:p>
    <w:p w14:paraId="04D6DD48" w14:textId="6DA6CF91" w:rsidR="00FD66D7" w:rsidRPr="009621A9" w:rsidRDefault="00000000" w:rsidP="009621A9">
      <w:pPr>
        <w:spacing w:after="240" w:line="360" w:lineRule="auto"/>
        <w:jc w:val="both"/>
        <w:rPr>
          <w:rFonts w:ascii="Arial" w:hAnsi="Arial" w:cs="Arial"/>
          <w:sz w:val="24"/>
          <w:szCs w:val="24"/>
        </w:rPr>
      </w:pPr>
      <w:r w:rsidRPr="009621A9">
        <w:rPr>
          <w:rFonts w:ascii="Arial" w:hAnsi="Arial" w:cs="Arial"/>
          <w:sz w:val="24"/>
          <w:szCs w:val="24"/>
        </w:rPr>
        <w:lastRenderedPageBreak/>
        <w:t>Living proof of the brand's commitments will be provided by physical touchpoints such as co-branded battery displays at auto shows, virtual reality (VR) demonstrations of battery manufacturing, and reference installations in Sony Honda Mobility vehicles</w:t>
      </w:r>
      <w:r w:rsidR="009D4B31">
        <w:rPr>
          <w:rFonts w:ascii="Arial" w:hAnsi="Arial" w:cs="Arial"/>
          <w:sz w:val="24"/>
          <w:szCs w:val="24"/>
        </w:rPr>
        <w:t xml:space="preserve"> </w:t>
      </w:r>
      <w:r w:rsidR="009D4B31" w:rsidRPr="009D4B31">
        <w:rPr>
          <w:rFonts w:ascii="Arial" w:hAnsi="Arial" w:cs="Arial"/>
          <w:sz w:val="24"/>
          <w:szCs w:val="24"/>
        </w:rPr>
        <w:t>(Sony, 2024)</w:t>
      </w:r>
      <w:r w:rsidRPr="009621A9">
        <w:rPr>
          <w:rFonts w:ascii="Arial" w:hAnsi="Arial" w:cs="Arial"/>
          <w:sz w:val="24"/>
          <w:szCs w:val="24"/>
        </w:rPr>
        <w:t>. Additionally, Sony's investment in both digital and physical spaces, such as the new Torchlight visualisation facility, demonstrates its capacity to develop immersive, state-of-the-art environments that will now be applied to the EV sector.</w:t>
      </w:r>
    </w:p>
    <w:p w14:paraId="41F3C489" w14:textId="0A8032AC" w:rsidR="00FD66D7" w:rsidRPr="009621A9" w:rsidRDefault="00000000" w:rsidP="009621A9">
      <w:pPr>
        <w:pStyle w:val="Heading1"/>
        <w:spacing w:after="240"/>
        <w:rPr>
          <w:rFonts w:ascii="Arial" w:hAnsi="Arial" w:cs="Arial"/>
          <w:b/>
          <w:bCs/>
          <w:i/>
          <w:iCs/>
          <w:sz w:val="24"/>
          <w:szCs w:val="24"/>
        </w:rPr>
      </w:pPr>
      <w:bookmarkStart w:id="22" w:name="_Toc196737778"/>
      <w:r w:rsidRPr="009621A9">
        <w:rPr>
          <w:rFonts w:ascii="Arial" w:hAnsi="Arial" w:cs="Arial"/>
          <w:b/>
          <w:bCs/>
          <w:i/>
          <w:iCs/>
          <w:sz w:val="24"/>
          <w:szCs w:val="24"/>
        </w:rPr>
        <w:t xml:space="preserve">6. </w:t>
      </w:r>
      <w:r w:rsidR="009621A9" w:rsidRPr="009621A9">
        <w:rPr>
          <w:rFonts w:ascii="Arial" w:hAnsi="Arial" w:cs="Arial"/>
          <w:b/>
          <w:bCs/>
          <w:i/>
          <w:iCs/>
          <w:sz w:val="24"/>
          <w:szCs w:val="24"/>
        </w:rPr>
        <w:t>C</w:t>
      </w:r>
      <w:r w:rsidRPr="009621A9">
        <w:rPr>
          <w:rFonts w:ascii="Arial" w:hAnsi="Arial" w:cs="Arial"/>
          <w:b/>
          <w:bCs/>
          <w:i/>
          <w:iCs/>
          <w:sz w:val="24"/>
          <w:szCs w:val="24"/>
        </w:rPr>
        <w:t>onclusion</w:t>
      </w:r>
      <w:bookmarkEnd w:id="22"/>
    </w:p>
    <w:p w14:paraId="37B935E1" w14:textId="77777777" w:rsidR="00010EBD" w:rsidRDefault="00000000" w:rsidP="009621A9">
      <w:pPr>
        <w:spacing w:after="240" w:line="360" w:lineRule="auto"/>
        <w:jc w:val="both"/>
        <w:rPr>
          <w:rFonts w:ascii="Arial" w:hAnsi="Arial" w:cs="Arial"/>
          <w:sz w:val="24"/>
          <w:szCs w:val="24"/>
        </w:rPr>
      </w:pPr>
      <w:r w:rsidRPr="009621A9">
        <w:rPr>
          <w:rFonts w:ascii="Arial" w:hAnsi="Arial" w:cs="Arial"/>
          <w:sz w:val="24"/>
          <w:szCs w:val="24"/>
        </w:rPr>
        <w:t xml:space="preserve">Sony's strategic expansion into the electric vehicle battery market is a logical and daring extension of its sustainability vision and technological leadership. Sony EV Batteries will provide premium, high-performance, and eco-friendly solutions to satisfy the increasing global demand, underpinned by its substantial expertise in semiconductors, energy storage, and smart systems. Sony is well-positioned to secure a substantial market share, as the demand for lithium-ion batteries is anticipated to increase by sevenfold by 2030 and global EV sales reach 14 million units in 2023. </w:t>
      </w:r>
    </w:p>
    <w:p w14:paraId="3FC78A25" w14:textId="0D1B0606" w:rsidR="00FD66D7" w:rsidRDefault="00000000" w:rsidP="009621A9">
      <w:pPr>
        <w:spacing w:after="240" w:line="360" w:lineRule="auto"/>
        <w:jc w:val="both"/>
        <w:rPr>
          <w:rFonts w:ascii="Arial" w:hAnsi="Arial" w:cs="Arial"/>
          <w:sz w:val="24"/>
          <w:szCs w:val="24"/>
        </w:rPr>
      </w:pPr>
      <w:r w:rsidRPr="009621A9">
        <w:rPr>
          <w:rFonts w:ascii="Arial" w:hAnsi="Arial" w:cs="Arial"/>
          <w:sz w:val="24"/>
          <w:szCs w:val="24"/>
        </w:rPr>
        <w:t>The brand's commitment to innovation, sustainability, and customer-centric smart features guarantees that it will satisfy both consumer expectations and regulatory requirements. Sony will become a dominant force in the electric mobility ecosystem by concentrating on premium manufacturers and capitalising on global distribution networks. Sony EV Batteries are poised to revolutionise the electric transportation industry by leveraging a comprehensive marketing blend and a steadfast dedication to "emotionally engaging the world through technology"</w:t>
      </w:r>
      <w:r w:rsidR="00C24589">
        <w:rPr>
          <w:rFonts w:ascii="Arial" w:hAnsi="Arial" w:cs="Arial"/>
          <w:sz w:val="24"/>
          <w:szCs w:val="24"/>
        </w:rPr>
        <w:t>.</w:t>
      </w:r>
    </w:p>
    <w:p w14:paraId="6A79E171" w14:textId="77777777" w:rsidR="00C24589" w:rsidRDefault="00C24589" w:rsidP="009621A9">
      <w:pPr>
        <w:spacing w:after="240" w:line="360" w:lineRule="auto"/>
        <w:jc w:val="both"/>
        <w:rPr>
          <w:rFonts w:ascii="Arial" w:hAnsi="Arial" w:cs="Arial"/>
          <w:sz w:val="24"/>
          <w:szCs w:val="24"/>
        </w:rPr>
      </w:pPr>
    </w:p>
    <w:p w14:paraId="56BB53C3" w14:textId="77777777" w:rsidR="00C24589" w:rsidRDefault="00C24589" w:rsidP="009621A9">
      <w:pPr>
        <w:spacing w:after="240" w:line="360" w:lineRule="auto"/>
        <w:jc w:val="both"/>
        <w:rPr>
          <w:rFonts w:ascii="Arial" w:hAnsi="Arial" w:cs="Arial"/>
          <w:sz w:val="24"/>
          <w:szCs w:val="24"/>
        </w:rPr>
      </w:pPr>
    </w:p>
    <w:p w14:paraId="073F2425" w14:textId="77777777" w:rsidR="00C24589" w:rsidRDefault="00C24589" w:rsidP="009621A9">
      <w:pPr>
        <w:spacing w:after="240" w:line="360" w:lineRule="auto"/>
        <w:jc w:val="both"/>
        <w:rPr>
          <w:rFonts w:ascii="Arial" w:hAnsi="Arial" w:cs="Arial"/>
          <w:sz w:val="24"/>
          <w:szCs w:val="24"/>
        </w:rPr>
      </w:pPr>
    </w:p>
    <w:p w14:paraId="48257C5D" w14:textId="77777777" w:rsidR="00C24589" w:rsidRDefault="00C24589" w:rsidP="009621A9">
      <w:pPr>
        <w:spacing w:after="240" w:line="360" w:lineRule="auto"/>
        <w:jc w:val="both"/>
        <w:rPr>
          <w:rFonts w:ascii="Arial" w:hAnsi="Arial" w:cs="Arial"/>
          <w:sz w:val="24"/>
          <w:szCs w:val="24"/>
        </w:rPr>
      </w:pPr>
    </w:p>
    <w:p w14:paraId="409973CD" w14:textId="77777777" w:rsidR="00C24589" w:rsidRDefault="00C24589" w:rsidP="009621A9">
      <w:pPr>
        <w:spacing w:after="240" w:line="360" w:lineRule="auto"/>
        <w:jc w:val="both"/>
        <w:rPr>
          <w:rFonts w:ascii="Arial" w:hAnsi="Arial" w:cs="Arial"/>
          <w:sz w:val="24"/>
          <w:szCs w:val="24"/>
        </w:rPr>
      </w:pPr>
    </w:p>
    <w:p w14:paraId="23D103F4" w14:textId="77777777" w:rsidR="00C24589" w:rsidRDefault="00C24589" w:rsidP="009621A9">
      <w:pPr>
        <w:spacing w:after="240" w:line="360" w:lineRule="auto"/>
        <w:jc w:val="both"/>
        <w:rPr>
          <w:rFonts w:ascii="Arial" w:hAnsi="Arial" w:cs="Arial"/>
          <w:sz w:val="24"/>
          <w:szCs w:val="24"/>
        </w:rPr>
      </w:pPr>
    </w:p>
    <w:p w14:paraId="44C143D4" w14:textId="77777777" w:rsidR="00C24589" w:rsidRDefault="00C24589" w:rsidP="009621A9">
      <w:pPr>
        <w:spacing w:after="240" w:line="360" w:lineRule="auto"/>
        <w:jc w:val="both"/>
        <w:rPr>
          <w:rFonts w:ascii="Arial" w:hAnsi="Arial" w:cs="Arial"/>
          <w:sz w:val="24"/>
          <w:szCs w:val="24"/>
        </w:rPr>
      </w:pPr>
    </w:p>
    <w:p w14:paraId="650B8721" w14:textId="7001B154" w:rsidR="00FD66D7" w:rsidRDefault="009621A9" w:rsidP="009621A9">
      <w:pPr>
        <w:pStyle w:val="Heading1"/>
        <w:spacing w:after="240"/>
        <w:rPr>
          <w:rFonts w:ascii="Arial" w:hAnsi="Arial" w:cs="Arial"/>
          <w:b/>
          <w:bCs/>
          <w:i/>
          <w:iCs/>
          <w:sz w:val="24"/>
          <w:szCs w:val="24"/>
        </w:rPr>
      </w:pPr>
      <w:bookmarkStart w:id="23" w:name="_Toc196737779"/>
      <w:r w:rsidRPr="009621A9">
        <w:rPr>
          <w:rFonts w:ascii="Arial" w:hAnsi="Arial" w:cs="Arial"/>
          <w:b/>
          <w:bCs/>
          <w:i/>
          <w:iCs/>
          <w:sz w:val="24"/>
          <w:szCs w:val="24"/>
        </w:rPr>
        <w:lastRenderedPageBreak/>
        <w:t>References</w:t>
      </w:r>
      <w:bookmarkEnd w:id="23"/>
    </w:p>
    <w:p w14:paraId="1FEA998E" w14:textId="77777777" w:rsidR="00CC080C" w:rsidRPr="009421D8" w:rsidRDefault="00CC080C" w:rsidP="00CC080C">
      <w:pPr>
        <w:spacing w:after="240" w:line="360" w:lineRule="auto"/>
        <w:rPr>
          <w:rFonts w:ascii="Arial" w:hAnsi="Arial" w:cs="Arial"/>
          <w:sz w:val="24"/>
          <w:szCs w:val="24"/>
        </w:rPr>
      </w:pPr>
      <w:r w:rsidRPr="009421D8">
        <w:rPr>
          <w:rFonts w:ascii="Arial" w:hAnsi="Arial" w:cs="Arial"/>
          <w:sz w:val="24"/>
          <w:szCs w:val="24"/>
        </w:rPr>
        <w:t xml:space="preserve">Ali, S., Shin, W.S. and Song, H. (2022) 'Blockchain-Enabled Open Quality System for Smart Manufacturing: Applications and challenges,' </w:t>
      </w:r>
      <w:r w:rsidRPr="009421D8">
        <w:rPr>
          <w:rFonts w:ascii="Arial" w:hAnsi="Arial" w:cs="Arial"/>
          <w:i/>
          <w:iCs/>
          <w:sz w:val="24"/>
          <w:szCs w:val="24"/>
        </w:rPr>
        <w:t>Sustainability</w:t>
      </w:r>
      <w:r w:rsidRPr="009421D8">
        <w:rPr>
          <w:rFonts w:ascii="Arial" w:hAnsi="Arial" w:cs="Arial"/>
          <w:sz w:val="24"/>
          <w:szCs w:val="24"/>
        </w:rPr>
        <w:t>, 14(18), p. 11677. https://doi.org/10.3390/su141811677.</w:t>
      </w:r>
    </w:p>
    <w:p w14:paraId="061195FC" w14:textId="77777777" w:rsidR="00CC080C" w:rsidRPr="002E45AA" w:rsidRDefault="00CC080C" w:rsidP="00CC080C">
      <w:pPr>
        <w:spacing w:after="240" w:line="360" w:lineRule="auto"/>
        <w:rPr>
          <w:rFonts w:ascii="Arial" w:hAnsi="Arial" w:cs="Arial"/>
          <w:sz w:val="24"/>
          <w:szCs w:val="24"/>
        </w:rPr>
      </w:pPr>
      <w:r w:rsidRPr="002E45AA">
        <w:rPr>
          <w:rFonts w:ascii="Arial" w:hAnsi="Arial" w:cs="Arial"/>
          <w:sz w:val="24"/>
          <w:szCs w:val="24"/>
        </w:rPr>
        <w:t xml:space="preserve">Cavus, M., Dissanayake, D. and Bell, M. (2025) 'Next generation of electric vehicles: AI-Driven approaches for predictive maintenance and battery management,' </w:t>
      </w:r>
      <w:r w:rsidRPr="002E45AA">
        <w:rPr>
          <w:rFonts w:ascii="Arial" w:hAnsi="Arial" w:cs="Arial"/>
          <w:i/>
          <w:iCs/>
          <w:sz w:val="24"/>
          <w:szCs w:val="24"/>
        </w:rPr>
        <w:t>Energies</w:t>
      </w:r>
      <w:r w:rsidRPr="002E45AA">
        <w:rPr>
          <w:rFonts w:ascii="Arial" w:hAnsi="Arial" w:cs="Arial"/>
          <w:sz w:val="24"/>
          <w:szCs w:val="24"/>
        </w:rPr>
        <w:t>, 18(5), p. 1041. https://doi.org/10.3390/en18051041.</w:t>
      </w:r>
    </w:p>
    <w:p w14:paraId="6BB39D44" w14:textId="77777777" w:rsidR="00CC080C" w:rsidRPr="004F17DE" w:rsidRDefault="00CC080C" w:rsidP="00CC080C">
      <w:pPr>
        <w:spacing w:after="240" w:line="360" w:lineRule="auto"/>
        <w:rPr>
          <w:rFonts w:ascii="Arial" w:hAnsi="Arial" w:cs="Arial"/>
          <w:sz w:val="24"/>
          <w:szCs w:val="24"/>
        </w:rPr>
      </w:pPr>
      <w:r w:rsidRPr="004F17DE">
        <w:rPr>
          <w:rFonts w:ascii="Arial" w:hAnsi="Arial" w:cs="Arial"/>
          <w:sz w:val="24"/>
          <w:szCs w:val="24"/>
        </w:rPr>
        <w:t xml:space="preserve">Fleischmann, J. </w:t>
      </w:r>
      <w:r w:rsidRPr="004F17DE">
        <w:rPr>
          <w:rFonts w:ascii="Arial" w:hAnsi="Arial" w:cs="Arial"/>
          <w:i/>
          <w:iCs/>
          <w:sz w:val="24"/>
          <w:szCs w:val="24"/>
        </w:rPr>
        <w:t>et al.</w:t>
      </w:r>
      <w:r w:rsidRPr="004F17DE">
        <w:rPr>
          <w:rFonts w:ascii="Arial" w:hAnsi="Arial" w:cs="Arial"/>
          <w:sz w:val="24"/>
          <w:szCs w:val="24"/>
        </w:rPr>
        <w:t xml:space="preserve"> (2023) </w:t>
      </w:r>
      <w:r w:rsidRPr="004F17DE">
        <w:rPr>
          <w:rFonts w:ascii="Arial" w:hAnsi="Arial" w:cs="Arial"/>
          <w:i/>
          <w:iCs/>
          <w:sz w:val="24"/>
          <w:szCs w:val="24"/>
        </w:rPr>
        <w:t>Battery 2030: Resilient, sustainable, and circular</w:t>
      </w:r>
      <w:r w:rsidRPr="004F17DE">
        <w:rPr>
          <w:rFonts w:ascii="Arial" w:hAnsi="Arial" w:cs="Arial"/>
          <w:sz w:val="24"/>
          <w:szCs w:val="24"/>
        </w:rPr>
        <w:t>. https://www.mckinsey.com/industries/automotive-and-assembly/our-insights/battery-2030-resilient-sustainable-and-circular.</w:t>
      </w:r>
    </w:p>
    <w:p w14:paraId="64A526CC" w14:textId="77777777" w:rsidR="00CC080C" w:rsidRPr="009421D8" w:rsidRDefault="00CC080C" w:rsidP="00CC080C">
      <w:pPr>
        <w:spacing w:after="240" w:line="360" w:lineRule="auto"/>
        <w:rPr>
          <w:rFonts w:ascii="Arial" w:hAnsi="Arial" w:cs="Arial"/>
          <w:sz w:val="24"/>
          <w:szCs w:val="24"/>
        </w:rPr>
      </w:pPr>
      <w:r w:rsidRPr="009421D8">
        <w:rPr>
          <w:rFonts w:ascii="Arial" w:hAnsi="Arial" w:cs="Arial"/>
          <w:sz w:val="24"/>
          <w:szCs w:val="24"/>
        </w:rPr>
        <w:t xml:space="preserve">Gosavi, M.A., Rhoades, B.B. and Conrad, J.M. (2018) 'Application of functional safety in autonomous vehicles using ISO 26262 Standard: a survey,' </w:t>
      </w:r>
      <w:proofErr w:type="spellStart"/>
      <w:r w:rsidRPr="009421D8">
        <w:rPr>
          <w:rFonts w:ascii="Arial" w:hAnsi="Arial" w:cs="Arial"/>
          <w:i/>
          <w:iCs/>
          <w:sz w:val="24"/>
          <w:szCs w:val="24"/>
        </w:rPr>
        <w:t>SoutheastCon</w:t>
      </w:r>
      <w:proofErr w:type="spellEnd"/>
      <w:r w:rsidRPr="009421D8">
        <w:rPr>
          <w:rFonts w:ascii="Arial" w:hAnsi="Arial" w:cs="Arial"/>
          <w:sz w:val="24"/>
          <w:szCs w:val="24"/>
        </w:rPr>
        <w:t>, pp. 1–6. https://doi.org/10.1109/secon.2018.8479057.</w:t>
      </w:r>
    </w:p>
    <w:p w14:paraId="2ECE4BEF" w14:textId="77777777" w:rsidR="00CC080C" w:rsidRPr="004F17DE" w:rsidRDefault="00CC080C" w:rsidP="00CC080C">
      <w:pPr>
        <w:spacing w:after="240" w:line="360" w:lineRule="auto"/>
        <w:rPr>
          <w:rFonts w:ascii="Arial" w:hAnsi="Arial" w:cs="Arial"/>
          <w:sz w:val="24"/>
          <w:szCs w:val="24"/>
        </w:rPr>
      </w:pPr>
      <w:r w:rsidRPr="004F17DE">
        <w:rPr>
          <w:rFonts w:ascii="Arial" w:hAnsi="Arial" w:cs="Arial"/>
          <w:sz w:val="24"/>
          <w:szCs w:val="24"/>
        </w:rPr>
        <w:t xml:space="preserve">Gül, T. </w:t>
      </w:r>
      <w:r w:rsidRPr="004F17DE">
        <w:rPr>
          <w:rFonts w:ascii="Arial" w:hAnsi="Arial" w:cs="Arial"/>
          <w:i/>
          <w:iCs/>
          <w:sz w:val="24"/>
          <w:szCs w:val="24"/>
        </w:rPr>
        <w:t>et al.</w:t>
      </w:r>
      <w:r w:rsidRPr="004F17DE">
        <w:rPr>
          <w:rFonts w:ascii="Arial" w:hAnsi="Arial" w:cs="Arial"/>
          <w:sz w:val="24"/>
          <w:szCs w:val="24"/>
        </w:rPr>
        <w:t xml:space="preserve"> (2024) </w:t>
      </w:r>
      <w:r w:rsidRPr="004F17DE">
        <w:rPr>
          <w:rFonts w:ascii="Arial" w:hAnsi="Arial" w:cs="Arial"/>
          <w:i/>
          <w:iCs/>
          <w:sz w:val="24"/>
          <w:szCs w:val="24"/>
        </w:rPr>
        <w:t>Global EV Outlook 2024</w:t>
      </w:r>
      <w:r w:rsidRPr="004F17DE">
        <w:rPr>
          <w:rFonts w:ascii="Arial" w:hAnsi="Arial" w:cs="Arial"/>
          <w:sz w:val="24"/>
          <w:szCs w:val="24"/>
        </w:rPr>
        <w:t xml:space="preserve">, </w:t>
      </w:r>
      <w:r w:rsidRPr="004F17DE">
        <w:rPr>
          <w:rFonts w:ascii="Arial" w:hAnsi="Arial" w:cs="Arial"/>
          <w:i/>
          <w:iCs/>
          <w:sz w:val="24"/>
          <w:szCs w:val="24"/>
        </w:rPr>
        <w:t>International Energy Agency</w:t>
      </w:r>
      <w:r w:rsidRPr="004F17DE">
        <w:rPr>
          <w:rFonts w:ascii="Arial" w:hAnsi="Arial" w:cs="Arial"/>
          <w:sz w:val="24"/>
          <w:szCs w:val="24"/>
        </w:rPr>
        <w:t>. report. https://iea.blob.core.windows.net/assets/a9e3544b-0b12-4e15-b407-65f5c8ce1b5f/GlobalEVOutlook2024.pdf.</w:t>
      </w:r>
    </w:p>
    <w:p w14:paraId="3B43D1E9" w14:textId="77777777" w:rsidR="00CC080C" w:rsidRPr="009421D8" w:rsidRDefault="00CC080C" w:rsidP="00CC080C">
      <w:pPr>
        <w:spacing w:after="240" w:line="360" w:lineRule="auto"/>
        <w:rPr>
          <w:rFonts w:ascii="Arial" w:hAnsi="Arial" w:cs="Arial"/>
          <w:sz w:val="24"/>
          <w:szCs w:val="24"/>
        </w:rPr>
      </w:pPr>
      <w:r w:rsidRPr="009421D8">
        <w:rPr>
          <w:rFonts w:ascii="Arial" w:hAnsi="Arial" w:cs="Arial"/>
          <w:sz w:val="24"/>
          <w:szCs w:val="24"/>
        </w:rPr>
        <w:t xml:space="preserve">Houghton, D.M. (2021) 'Story elements, narrative transportation, and schema incongruity: a framework for enhancing brand storytelling effectiveness,' </w:t>
      </w:r>
      <w:r w:rsidRPr="009421D8">
        <w:rPr>
          <w:rFonts w:ascii="Arial" w:hAnsi="Arial" w:cs="Arial"/>
          <w:i/>
          <w:iCs/>
          <w:sz w:val="24"/>
          <w:szCs w:val="24"/>
        </w:rPr>
        <w:t>Journal of Strategic Marketing</w:t>
      </w:r>
      <w:r w:rsidRPr="009421D8">
        <w:rPr>
          <w:rFonts w:ascii="Arial" w:hAnsi="Arial" w:cs="Arial"/>
          <w:sz w:val="24"/>
          <w:szCs w:val="24"/>
        </w:rPr>
        <w:t>, 31(7), pp. 1263–1278. https://doi.org/10.1080/0965254x.2021.1916570.</w:t>
      </w:r>
    </w:p>
    <w:p w14:paraId="33D8B96D" w14:textId="77777777" w:rsidR="00CC080C" w:rsidRPr="004F17DE" w:rsidRDefault="00CC080C" w:rsidP="00CC080C">
      <w:pPr>
        <w:spacing w:after="240" w:line="360" w:lineRule="auto"/>
        <w:rPr>
          <w:rFonts w:ascii="Arial" w:hAnsi="Arial" w:cs="Arial"/>
          <w:sz w:val="24"/>
          <w:szCs w:val="24"/>
        </w:rPr>
      </w:pPr>
      <w:r w:rsidRPr="004F17DE">
        <w:rPr>
          <w:rFonts w:ascii="Arial" w:hAnsi="Arial" w:cs="Arial"/>
          <w:sz w:val="24"/>
          <w:szCs w:val="24"/>
        </w:rPr>
        <w:t xml:space="preserve">Laricchia, F. (2024) </w:t>
      </w:r>
      <w:r w:rsidRPr="004F17DE">
        <w:rPr>
          <w:rFonts w:ascii="Arial" w:hAnsi="Arial" w:cs="Arial"/>
          <w:i/>
          <w:iCs/>
          <w:sz w:val="24"/>
          <w:szCs w:val="24"/>
        </w:rPr>
        <w:t>Sony</w:t>
      </w:r>
      <w:r w:rsidRPr="004F17DE">
        <w:rPr>
          <w:rFonts w:ascii="Arial" w:hAnsi="Arial" w:cs="Arial"/>
          <w:sz w:val="24"/>
          <w:szCs w:val="24"/>
        </w:rPr>
        <w:t>. https://www.statista.com/topics/1917/sony/ (Accessed: April 28, 2025).</w:t>
      </w:r>
    </w:p>
    <w:p w14:paraId="1C4E6603" w14:textId="77777777" w:rsidR="00CC080C" w:rsidRPr="002E45AA" w:rsidRDefault="00CC080C" w:rsidP="00CC080C">
      <w:pPr>
        <w:spacing w:after="240" w:line="360" w:lineRule="auto"/>
        <w:rPr>
          <w:rFonts w:ascii="Arial" w:hAnsi="Arial" w:cs="Arial"/>
          <w:sz w:val="24"/>
          <w:szCs w:val="24"/>
        </w:rPr>
      </w:pPr>
      <w:r w:rsidRPr="002E45AA">
        <w:rPr>
          <w:rFonts w:ascii="Arial" w:hAnsi="Arial" w:cs="Arial"/>
          <w:sz w:val="24"/>
          <w:szCs w:val="24"/>
        </w:rPr>
        <w:t xml:space="preserve">McKinsey &amp; Company (2022) </w:t>
      </w:r>
      <w:r w:rsidRPr="002E45AA">
        <w:rPr>
          <w:rFonts w:ascii="Arial" w:hAnsi="Arial" w:cs="Arial"/>
          <w:i/>
          <w:iCs/>
          <w:sz w:val="24"/>
          <w:szCs w:val="24"/>
        </w:rPr>
        <w:t xml:space="preserve">The Inflation Reduction Act: </w:t>
      </w:r>
      <w:proofErr w:type="gramStart"/>
      <w:r w:rsidRPr="002E45AA">
        <w:rPr>
          <w:rFonts w:ascii="Arial" w:hAnsi="Arial" w:cs="Arial"/>
          <w:i/>
          <w:iCs/>
          <w:sz w:val="24"/>
          <w:szCs w:val="24"/>
        </w:rPr>
        <w:t>Here’s</w:t>
      </w:r>
      <w:proofErr w:type="gramEnd"/>
      <w:r w:rsidRPr="002E45AA">
        <w:rPr>
          <w:rFonts w:ascii="Arial" w:hAnsi="Arial" w:cs="Arial"/>
          <w:i/>
          <w:iCs/>
          <w:sz w:val="24"/>
          <w:szCs w:val="24"/>
        </w:rPr>
        <w:t xml:space="preserve"> </w:t>
      </w:r>
      <w:proofErr w:type="gramStart"/>
      <w:r w:rsidRPr="002E45AA">
        <w:rPr>
          <w:rFonts w:ascii="Arial" w:hAnsi="Arial" w:cs="Arial"/>
          <w:i/>
          <w:iCs/>
          <w:sz w:val="24"/>
          <w:szCs w:val="24"/>
        </w:rPr>
        <w:t>what’s</w:t>
      </w:r>
      <w:proofErr w:type="gramEnd"/>
      <w:r w:rsidRPr="002E45AA">
        <w:rPr>
          <w:rFonts w:ascii="Arial" w:hAnsi="Arial" w:cs="Arial"/>
          <w:i/>
          <w:iCs/>
          <w:sz w:val="24"/>
          <w:szCs w:val="24"/>
        </w:rPr>
        <w:t xml:space="preserve"> in it</w:t>
      </w:r>
      <w:r w:rsidRPr="002E45AA">
        <w:rPr>
          <w:rFonts w:ascii="Arial" w:hAnsi="Arial" w:cs="Arial"/>
          <w:sz w:val="24"/>
          <w:szCs w:val="24"/>
        </w:rPr>
        <w:t>. https://www.mckinsey.com/industries/public-sector/our-insights/the-inflation-reduction-act-heres-whats-in-it (Accessed: April 28, 2025).</w:t>
      </w:r>
    </w:p>
    <w:p w14:paraId="06AC4BA6" w14:textId="77777777" w:rsidR="00CC080C" w:rsidRPr="009421D8" w:rsidRDefault="00CC080C" w:rsidP="00CC080C">
      <w:pPr>
        <w:spacing w:after="240" w:line="360" w:lineRule="auto"/>
        <w:rPr>
          <w:rFonts w:ascii="Arial" w:hAnsi="Arial" w:cs="Arial"/>
          <w:sz w:val="24"/>
          <w:szCs w:val="24"/>
        </w:rPr>
      </w:pPr>
      <w:r w:rsidRPr="009421D8">
        <w:rPr>
          <w:rFonts w:ascii="Arial" w:hAnsi="Arial" w:cs="Arial"/>
          <w:sz w:val="24"/>
          <w:szCs w:val="24"/>
        </w:rPr>
        <w:t xml:space="preserve">Mosa, H. </w:t>
      </w:r>
      <w:r w:rsidRPr="009421D8">
        <w:rPr>
          <w:rFonts w:ascii="Arial" w:hAnsi="Arial" w:cs="Arial"/>
          <w:i/>
          <w:iCs/>
          <w:sz w:val="24"/>
          <w:szCs w:val="24"/>
        </w:rPr>
        <w:t>et al.</w:t>
      </w:r>
      <w:r w:rsidRPr="009421D8">
        <w:rPr>
          <w:rFonts w:ascii="Arial" w:hAnsi="Arial" w:cs="Arial"/>
          <w:sz w:val="24"/>
          <w:szCs w:val="24"/>
        </w:rPr>
        <w:t xml:space="preserve"> (2024) 'Leveraging Blockchain for Ethical Sourcing and Sustainability in Supply Chains: A Systematic Review,' </w:t>
      </w:r>
      <w:r w:rsidRPr="009421D8">
        <w:rPr>
          <w:rFonts w:ascii="Arial" w:hAnsi="Arial" w:cs="Arial"/>
          <w:i/>
          <w:iCs/>
          <w:sz w:val="24"/>
          <w:szCs w:val="24"/>
        </w:rPr>
        <w:t>25th International Arab Conference on Information Technology (ACIT)</w:t>
      </w:r>
      <w:r w:rsidRPr="009421D8">
        <w:rPr>
          <w:rFonts w:ascii="Arial" w:hAnsi="Arial" w:cs="Arial"/>
          <w:sz w:val="24"/>
          <w:szCs w:val="24"/>
        </w:rPr>
        <w:t>, pp. 1–7. https://doi.org/10.1109/acit62805.2024.10877059.</w:t>
      </w:r>
    </w:p>
    <w:p w14:paraId="1ADEC885" w14:textId="77777777" w:rsidR="00CC080C" w:rsidRPr="002E45AA" w:rsidRDefault="00CC080C" w:rsidP="00CC080C">
      <w:pPr>
        <w:spacing w:after="240" w:line="360" w:lineRule="auto"/>
        <w:rPr>
          <w:rFonts w:ascii="Arial" w:hAnsi="Arial" w:cs="Arial"/>
          <w:sz w:val="24"/>
          <w:szCs w:val="24"/>
        </w:rPr>
      </w:pPr>
      <w:r w:rsidRPr="002E45AA">
        <w:rPr>
          <w:rFonts w:ascii="Arial" w:hAnsi="Arial" w:cs="Arial"/>
          <w:sz w:val="24"/>
          <w:szCs w:val="24"/>
        </w:rPr>
        <w:lastRenderedPageBreak/>
        <w:t>Sandrin-</w:t>
      </w:r>
      <w:proofErr w:type="spellStart"/>
      <w:r w:rsidRPr="002E45AA">
        <w:rPr>
          <w:rFonts w:ascii="Arial" w:hAnsi="Arial" w:cs="Arial"/>
          <w:sz w:val="24"/>
          <w:szCs w:val="24"/>
        </w:rPr>
        <w:t>Deforge</w:t>
      </w:r>
      <w:proofErr w:type="spellEnd"/>
      <w:r w:rsidRPr="002E45AA">
        <w:rPr>
          <w:rFonts w:ascii="Arial" w:hAnsi="Arial" w:cs="Arial"/>
          <w:sz w:val="24"/>
          <w:szCs w:val="24"/>
        </w:rPr>
        <w:t xml:space="preserve">, A. (2024) 'New CO2 emission standards for cars and vans in the EU,' </w:t>
      </w:r>
      <w:r w:rsidRPr="002E45AA">
        <w:rPr>
          <w:rFonts w:ascii="Arial" w:hAnsi="Arial" w:cs="Arial"/>
          <w:i/>
          <w:iCs/>
          <w:sz w:val="24"/>
          <w:szCs w:val="24"/>
        </w:rPr>
        <w:t>Insights | Jones Day</w:t>
      </w:r>
      <w:r w:rsidRPr="002E45AA">
        <w:rPr>
          <w:rFonts w:ascii="Arial" w:hAnsi="Arial" w:cs="Arial"/>
          <w:sz w:val="24"/>
          <w:szCs w:val="24"/>
        </w:rPr>
        <w:t>, 27 November. https://www.jonesday.com/en/insights/2024/12/new-co-emission-standards-for-cars-and-vans-in-the-eu.</w:t>
      </w:r>
    </w:p>
    <w:p w14:paraId="6FBF460B" w14:textId="77777777" w:rsidR="00CC080C" w:rsidRPr="002E45AA" w:rsidRDefault="00CC080C" w:rsidP="00CC080C">
      <w:pPr>
        <w:spacing w:after="240" w:line="360" w:lineRule="auto"/>
        <w:rPr>
          <w:rFonts w:ascii="Arial" w:hAnsi="Arial" w:cs="Arial"/>
          <w:sz w:val="24"/>
          <w:szCs w:val="24"/>
        </w:rPr>
      </w:pPr>
      <w:r w:rsidRPr="002E45AA">
        <w:rPr>
          <w:rFonts w:ascii="Arial" w:hAnsi="Arial" w:cs="Arial"/>
          <w:sz w:val="24"/>
          <w:szCs w:val="24"/>
        </w:rPr>
        <w:t xml:space="preserve">Sony (2024) </w:t>
      </w:r>
      <w:r w:rsidRPr="002E45AA">
        <w:rPr>
          <w:rFonts w:ascii="Arial" w:hAnsi="Arial" w:cs="Arial"/>
          <w:i/>
          <w:iCs/>
          <w:sz w:val="24"/>
          <w:szCs w:val="24"/>
        </w:rPr>
        <w:t>Corporate Report 2024</w:t>
      </w:r>
      <w:r w:rsidRPr="002E45AA">
        <w:rPr>
          <w:rFonts w:ascii="Arial" w:hAnsi="Arial" w:cs="Arial"/>
          <w:sz w:val="24"/>
          <w:szCs w:val="24"/>
        </w:rPr>
        <w:t xml:space="preserve">, </w:t>
      </w:r>
      <w:r w:rsidRPr="002E45AA">
        <w:rPr>
          <w:rFonts w:ascii="Arial" w:hAnsi="Arial" w:cs="Arial"/>
          <w:i/>
          <w:iCs/>
          <w:sz w:val="24"/>
          <w:szCs w:val="24"/>
        </w:rPr>
        <w:t>Sony Group Corporation</w:t>
      </w:r>
      <w:r w:rsidRPr="002E45AA">
        <w:rPr>
          <w:rFonts w:ascii="Arial" w:hAnsi="Arial" w:cs="Arial"/>
          <w:sz w:val="24"/>
          <w:szCs w:val="24"/>
        </w:rPr>
        <w:t>. https://www.sony.com/en/SonyInfo/IR/library/corporatereport/CorporateReport2024/.</w:t>
      </w:r>
    </w:p>
    <w:p w14:paraId="17EF08E3" w14:textId="77777777" w:rsidR="00CC080C" w:rsidRPr="004F17DE" w:rsidRDefault="00CC080C" w:rsidP="00CC080C">
      <w:pPr>
        <w:spacing w:after="240" w:line="360" w:lineRule="auto"/>
        <w:rPr>
          <w:rFonts w:ascii="Arial" w:hAnsi="Arial" w:cs="Arial"/>
          <w:sz w:val="24"/>
          <w:szCs w:val="24"/>
        </w:rPr>
      </w:pPr>
      <w:r w:rsidRPr="004F17DE">
        <w:rPr>
          <w:rFonts w:ascii="Arial" w:hAnsi="Arial" w:cs="Arial"/>
          <w:sz w:val="24"/>
          <w:szCs w:val="24"/>
        </w:rPr>
        <w:t xml:space="preserve">Statista (2025) </w:t>
      </w:r>
      <w:r w:rsidRPr="004F17DE">
        <w:rPr>
          <w:rFonts w:ascii="Arial" w:hAnsi="Arial" w:cs="Arial"/>
          <w:i/>
          <w:iCs/>
          <w:sz w:val="24"/>
          <w:szCs w:val="24"/>
        </w:rPr>
        <w:t>Lithium-ion battery industry worldwide</w:t>
      </w:r>
      <w:r w:rsidRPr="004F17DE">
        <w:rPr>
          <w:rFonts w:ascii="Arial" w:hAnsi="Arial" w:cs="Arial"/>
          <w:sz w:val="24"/>
          <w:szCs w:val="24"/>
        </w:rPr>
        <w:t>. https://www.statista.com/topics/2049/lithium-ion-battery-industry/ (Accessed: April 28, 2025).</w:t>
      </w:r>
    </w:p>
    <w:sectPr w:rsidR="00CC080C" w:rsidRPr="004F17DE" w:rsidSect="009621A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5AC19" w14:textId="77777777" w:rsidR="00F84B02" w:rsidRDefault="00F84B02" w:rsidP="009621A9">
      <w:r>
        <w:separator/>
      </w:r>
    </w:p>
  </w:endnote>
  <w:endnote w:type="continuationSeparator" w:id="0">
    <w:p w14:paraId="029A3C93" w14:textId="77777777" w:rsidR="00F84B02" w:rsidRDefault="00F84B02" w:rsidP="00962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6992576"/>
      <w:docPartObj>
        <w:docPartGallery w:val="Page Numbers (Bottom of Page)"/>
        <w:docPartUnique/>
      </w:docPartObj>
    </w:sdtPr>
    <w:sdtContent>
      <w:p w14:paraId="6B3D45BC" w14:textId="19B55B88" w:rsidR="009621A9" w:rsidRDefault="009621A9">
        <w:pPr>
          <w:pStyle w:val="Footer"/>
        </w:pPr>
        <w:r>
          <w:rPr>
            <w:noProof/>
          </w:rPr>
          <mc:AlternateContent>
            <mc:Choice Requires="wpg">
              <w:drawing>
                <wp:anchor distT="0" distB="0" distL="114300" distR="114300" simplePos="0" relativeHeight="251659264" behindDoc="0" locked="0" layoutInCell="1" allowOverlap="1" wp14:anchorId="39C8820F" wp14:editId="3D73245F">
                  <wp:simplePos x="0" y="0"/>
                  <wp:positionH relativeFrom="rightMargin">
                    <wp:align>center</wp:align>
                  </wp:positionH>
                  <wp:positionV relativeFrom="bottomMargin">
                    <wp:align>center</wp:align>
                  </wp:positionV>
                  <wp:extent cx="418465" cy="438150"/>
                  <wp:effectExtent l="0" t="0" r="635" b="0"/>
                  <wp:wrapNone/>
                  <wp:docPr id="115589988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1683815731"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1135993530"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1655872303"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3E62" w14:textId="77777777" w:rsidR="009621A9" w:rsidRDefault="009621A9">
                                <w:pPr>
                                  <w:pStyle w:val="Footer"/>
                                  <w:jc w:val="right"/>
                                  <w:rPr>
                                    <w:b/>
                                    <w:bCs/>
                                    <w:i/>
                                    <w:iCs/>
                                    <w:color w:val="FFFFFF" w:themeColor="background1"/>
                                    <w:sz w:val="36"/>
                                    <w:szCs w:val="36"/>
                                  </w:rPr>
                                </w:pPr>
                                <w:r>
                                  <w:rPr>
                                    <w:sz w:val="22"/>
                                    <w:szCs w:val="22"/>
                                  </w:rPr>
                                  <w:fldChar w:fldCharType="begin"/>
                                </w:r>
                                <w:r>
                                  <w:instrText xml:space="preserve"> PAGE    \* MERGEFORMAT </w:instrText>
                                </w:r>
                                <w:r>
                                  <w:rPr>
                                    <w:sz w:val="22"/>
                                    <w:szCs w:val="22"/>
                                  </w:rP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8820F" id="Group 1" o:spid="_x0000_s1026" style="position:absolute;margin-left:0;margin-top:0;width:32.95pt;height:34.5pt;z-index:251659264;mso-position-horizontal:center;mso-position-horizontal-relative:righ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">
                  <v:rect id="Rectangle 53" o:spid="_x0000_s1027" style="position:absolute;left:831;top:14552;width:512;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" fillcolor="#943634" strokecolor="#943634"/>
                  <v:rect id="Rectangle 54" o:spid="_x0000_s1028" style="position:absolute;left:831;top:15117;width:512;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" fillcolor="#943634" strokecolor="#943634"/>
                  <v:shapetype id="_x0000_t202" coordsize="21600,21600" o:spt="202" path="m,l,21600r21600,l21600,xe">
                    <v:stroke joinstyle="miter"/>
                    <v:path gradientshapeok="t" o:connecttype="rect"/>
                  </v:shapetype>
                  <v:shape id="Text Box 55" o:spid="_x0000_s1029" type="#_x0000_t202" style="position:absolute;left:726;top:14496;width:659;height:6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" filled="f" stroked="f">
                    <v:textbox inset="4.32pt,0,4.32pt,0">
                      <w:txbxContent>
                        <w:p w14:paraId="5C323E62" w14:textId="77777777" w:rsidR="009621A9" w:rsidRDefault="009621A9">
                          <w:pPr>
                            <w:pStyle w:val="Footer"/>
                            <w:jc w:val="right"/>
                            <w:rPr>
                              <w:b/>
                              <w:bCs/>
                              <w:i/>
                              <w:iCs/>
                              <w:color w:val="FFFFFF" w:themeColor="background1"/>
                              <w:sz w:val="36"/>
                              <w:szCs w:val="36"/>
                            </w:rPr>
                          </w:pPr>
                          <w:r>
                            <w:rPr>
                              <w:sz w:val="22"/>
                              <w:szCs w:val="22"/>
                            </w:rPr>
                            <w:fldChar w:fldCharType="begin"/>
                          </w:r>
                          <w:r>
                            <w:instrText xml:space="preserve"> PAGE    \* MERGEFORMAT </w:instrText>
                          </w:r>
                          <w:r>
                            <w:rPr>
                              <w:sz w:val="22"/>
                              <w:szCs w:val="22"/>
                            </w:rP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69898" w14:textId="77777777" w:rsidR="00F84B02" w:rsidRDefault="00F84B02" w:rsidP="009621A9">
      <w:r>
        <w:separator/>
      </w:r>
    </w:p>
  </w:footnote>
  <w:footnote w:type="continuationSeparator" w:id="0">
    <w:p w14:paraId="4A93405C" w14:textId="77777777" w:rsidR="00F84B02" w:rsidRDefault="00F84B02" w:rsidP="00962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F099F"/>
    <w:multiLevelType w:val="hybridMultilevel"/>
    <w:tmpl w:val="72FEE4A0"/>
    <w:lvl w:ilvl="0" w:tplc="6CE28420">
      <w:start w:val="1"/>
      <w:numFmt w:val="bullet"/>
      <w:lvlText w:val="●"/>
      <w:lvlJc w:val="left"/>
      <w:pPr>
        <w:ind w:left="720" w:hanging="360"/>
      </w:pPr>
    </w:lvl>
    <w:lvl w:ilvl="1" w:tplc="435A289E">
      <w:start w:val="1"/>
      <w:numFmt w:val="bullet"/>
      <w:lvlText w:val="○"/>
      <w:lvlJc w:val="left"/>
      <w:pPr>
        <w:ind w:left="1440" w:hanging="360"/>
      </w:pPr>
    </w:lvl>
    <w:lvl w:ilvl="2" w:tplc="9614F4D6">
      <w:start w:val="1"/>
      <w:numFmt w:val="bullet"/>
      <w:lvlText w:val="■"/>
      <w:lvlJc w:val="left"/>
      <w:pPr>
        <w:ind w:left="2160" w:hanging="360"/>
      </w:pPr>
    </w:lvl>
    <w:lvl w:ilvl="3" w:tplc="52B08336">
      <w:start w:val="1"/>
      <w:numFmt w:val="bullet"/>
      <w:lvlText w:val="●"/>
      <w:lvlJc w:val="left"/>
      <w:pPr>
        <w:ind w:left="2880" w:hanging="360"/>
      </w:pPr>
    </w:lvl>
    <w:lvl w:ilvl="4" w:tplc="538EFFDC">
      <w:start w:val="1"/>
      <w:numFmt w:val="bullet"/>
      <w:lvlText w:val="○"/>
      <w:lvlJc w:val="left"/>
      <w:pPr>
        <w:ind w:left="3600" w:hanging="360"/>
      </w:pPr>
    </w:lvl>
    <w:lvl w:ilvl="5" w:tplc="69C8A528">
      <w:start w:val="1"/>
      <w:numFmt w:val="bullet"/>
      <w:lvlText w:val="■"/>
      <w:lvlJc w:val="left"/>
      <w:pPr>
        <w:ind w:left="4320" w:hanging="360"/>
      </w:pPr>
    </w:lvl>
    <w:lvl w:ilvl="6" w:tplc="8714A238">
      <w:start w:val="1"/>
      <w:numFmt w:val="bullet"/>
      <w:lvlText w:val="●"/>
      <w:lvlJc w:val="left"/>
      <w:pPr>
        <w:ind w:left="5040" w:hanging="360"/>
      </w:pPr>
    </w:lvl>
    <w:lvl w:ilvl="7" w:tplc="A9EAFE16">
      <w:start w:val="1"/>
      <w:numFmt w:val="bullet"/>
      <w:lvlText w:val="●"/>
      <w:lvlJc w:val="left"/>
      <w:pPr>
        <w:ind w:left="5760" w:hanging="360"/>
      </w:pPr>
    </w:lvl>
    <w:lvl w:ilvl="8" w:tplc="35EE5CE0">
      <w:start w:val="1"/>
      <w:numFmt w:val="bullet"/>
      <w:lvlText w:val="●"/>
      <w:lvlJc w:val="left"/>
      <w:pPr>
        <w:ind w:left="6480" w:hanging="360"/>
      </w:pPr>
    </w:lvl>
  </w:abstractNum>
  <w:num w:numId="1" w16cid:durableId="3018594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6D7"/>
    <w:rsid w:val="00010EBD"/>
    <w:rsid w:val="001E4685"/>
    <w:rsid w:val="004F56E6"/>
    <w:rsid w:val="005B37AE"/>
    <w:rsid w:val="007824D6"/>
    <w:rsid w:val="00797661"/>
    <w:rsid w:val="007E0F4C"/>
    <w:rsid w:val="009621A9"/>
    <w:rsid w:val="009D4B31"/>
    <w:rsid w:val="00A45E71"/>
    <w:rsid w:val="00B83F51"/>
    <w:rsid w:val="00C24589"/>
    <w:rsid w:val="00C27EA7"/>
    <w:rsid w:val="00CC080C"/>
    <w:rsid w:val="00CF73E4"/>
    <w:rsid w:val="00DE070D"/>
    <w:rsid w:val="00EC2D90"/>
    <w:rsid w:val="00F849EB"/>
    <w:rsid w:val="00F84B02"/>
    <w:rsid w:val="00FD66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8F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Spacing">
    <w:name w:val="No Spacing"/>
    <w:link w:val="NoSpacingChar"/>
    <w:uiPriority w:val="1"/>
    <w:qFormat/>
    <w:rsid w:val="009621A9"/>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621A9"/>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9621A9"/>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9621A9"/>
    <w:pPr>
      <w:spacing w:after="100"/>
    </w:pPr>
  </w:style>
  <w:style w:type="paragraph" w:styleId="TOC2">
    <w:name w:val="toc 2"/>
    <w:basedOn w:val="Normal"/>
    <w:next w:val="Normal"/>
    <w:autoRedefine/>
    <w:uiPriority w:val="39"/>
    <w:unhideWhenUsed/>
    <w:rsid w:val="009621A9"/>
    <w:pPr>
      <w:spacing w:after="100"/>
      <w:ind w:left="200"/>
    </w:pPr>
  </w:style>
  <w:style w:type="paragraph" w:styleId="Header">
    <w:name w:val="header"/>
    <w:basedOn w:val="Normal"/>
    <w:link w:val="HeaderChar"/>
    <w:uiPriority w:val="99"/>
    <w:unhideWhenUsed/>
    <w:rsid w:val="009621A9"/>
    <w:pPr>
      <w:tabs>
        <w:tab w:val="center" w:pos="4513"/>
        <w:tab w:val="right" w:pos="9026"/>
      </w:tabs>
    </w:pPr>
  </w:style>
  <w:style w:type="character" w:customStyle="1" w:styleId="HeaderChar">
    <w:name w:val="Header Char"/>
    <w:basedOn w:val="DefaultParagraphFont"/>
    <w:link w:val="Header"/>
    <w:uiPriority w:val="99"/>
    <w:rsid w:val="009621A9"/>
  </w:style>
  <w:style w:type="paragraph" w:styleId="Footer">
    <w:name w:val="footer"/>
    <w:basedOn w:val="Normal"/>
    <w:link w:val="FooterChar"/>
    <w:uiPriority w:val="99"/>
    <w:unhideWhenUsed/>
    <w:rsid w:val="009621A9"/>
    <w:pPr>
      <w:tabs>
        <w:tab w:val="center" w:pos="4513"/>
        <w:tab w:val="right" w:pos="9026"/>
      </w:tabs>
    </w:pPr>
  </w:style>
  <w:style w:type="character" w:customStyle="1" w:styleId="FooterChar">
    <w:name w:val="Footer Char"/>
    <w:basedOn w:val="DefaultParagraphFont"/>
    <w:link w:val="Footer"/>
    <w:uiPriority w:val="99"/>
    <w:rsid w:val="00962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17807">
      <w:bodyDiv w:val="1"/>
      <w:marLeft w:val="0"/>
      <w:marRight w:val="0"/>
      <w:marTop w:val="0"/>
      <w:marBottom w:val="0"/>
      <w:divBdr>
        <w:top w:val="none" w:sz="0" w:space="0" w:color="auto"/>
        <w:left w:val="none" w:sz="0" w:space="0" w:color="auto"/>
        <w:bottom w:val="none" w:sz="0" w:space="0" w:color="auto"/>
        <w:right w:val="none" w:sz="0" w:space="0" w:color="auto"/>
      </w:divBdr>
    </w:div>
    <w:div w:id="95562482">
      <w:bodyDiv w:val="1"/>
      <w:marLeft w:val="0"/>
      <w:marRight w:val="0"/>
      <w:marTop w:val="0"/>
      <w:marBottom w:val="0"/>
      <w:divBdr>
        <w:top w:val="none" w:sz="0" w:space="0" w:color="auto"/>
        <w:left w:val="none" w:sz="0" w:space="0" w:color="auto"/>
        <w:bottom w:val="none" w:sz="0" w:space="0" w:color="auto"/>
        <w:right w:val="none" w:sz="0" w:space="0" w:color="auto"/>
      </w:divBdr>
    </w:div>
    <w:div w:id="267586483">
      <w:bodyDiv w:val="1"/>
      <w:marLeft w:val="0"/>
      <w:marRight w:val="0"/>
      <w:marTop w:val="0"/>
      <w:marBottom w:val="0"/>
      <w:divBdr>
        <w:top w:val="none" w:sz="0" w:space="0" w:color="auto"/>
        <w:left w:val="none" w:sz="0" w:space="0" w:color="auto"/>
        <w:bottom w:val="none" w:sz="0" w:space="0" w:color="auto"/>
        <w:right w:val="none" w:sz="0" w:space="0" w:color="auto"/>
      </w:divBdr>
    </w:div>
    <w:div w:id="368532598">
      <w:bodyDiv w:val="1"/>
      <w:marLeft w:val="0"/>
      <w:marRight w:val="0"/>
      <w:marTop w:val="0"/>
      <w:marBottom w:val="0"/>
      <w:divBdr>
        <w:top w:val="none" w:sz="0" w:space="0" w:color="auto"/>
        <w:left w:val="none" w:sz="0" w:space="0" w:color="auto"/>
        <w:bottom w:val="none" w:sz="0" w:space="0" w:color="auto"/>
        <w:right w:val="none" w:sz="0" w:space="0" w:color="auto"/>
      </w:divBdr>
    </w:div>
    <w:div w:id="388918723">
      <w:bodyDiv w:val="1"/>
      <w:marLeft w:val="0"/>
      <w:marRight w:val="0"/>
      <w:marTop w:val="0"/>
      <w:marBottom w:val="0"/>
      <w:divBdr>
        <w:top w:val="none" w:sz="0" w:space="0" w:color="auto"/>
        <w:left w:val="none" w:sz="0" w:space="0" w:color="auto"/>
        <w:bottom w:val="none" w:sz="0" w:space="0" w:color="auto"/>
        <w:right w:val="none" w:sz="0" w:space="0" w:color="auto"/>
      </w:divBdr>
    </w:div>
    <w:div w:id="422188422">
      <w:bodyDiv w:val="1"/>
      <w:marLeft w:val="0"/>
      <w:marRight w:val="0"/>
      <w:marTop w:val="0"/>
      <w:marBottom w:val="0"/>
      <w:divBdr>
        <w:top w:val="none" w:sz="0" w:space="0" w:color="auto"/>
        <w:left w:val="none" w:sz="0" w:space="0" w:color="auto"/>
        <w:bottom w:val="none" w:sz="0" w:space="0" w:color="auto"/>
        <w:right w:val="none" w:sz="0" w:space="0" w:color="auto"/>
      </w:divBdr>
    </w:div>
    <w:div w:id="594091611">
      <w:bodyDiv w:val="1"/>
      <w:marLeft w:val="0"/>
      <w:marRight w:val="0"/>
      <w:marTop w:val="0"/>
      <w:marBottom w:val="0"/>
      <w:divBdr>
        <w:top w:val="none" w:sz="0" w:space="0" w:color="auto"/>
        <w:left w:val="none" w:sz="0" w:space="0" w:color="auto"/>
        <w:bottom w:val="none" w:sz="0" w:space="0" w:color="auto"/>
        <w:right w:val="none" w:sz="0" w:space="0" w:color="auto"/>
      </w:divBdr>
    </w:div>
    <w:div w:id="631639078">
      <w:bodyDiv w:val="1"/>
      <w:marLeft w:val="0"/>
      <w:marRight w:val="0"/>
      <w:marTop w:val="0"/>
      <w:marBottom w:val="0"/>
      <w:divBdr>
        <w:top w:val="none" w:sz="0" w:space="0" w:color="auto"/>
        <w:left w:val="none" w:sz="0" w:space="0" w:color="auto"/>
        <w:bottom w:val="none" w:sz="0" w:space="0" w:color="auto"/>
        <w:right w:val="none" w:sz="0" w:space="0" w:color="auto"/>
      </w:divBdr>
    </w:div>
    <w:div w:id="681516407">
      <w:bodyDiv w:val="1"/>
      <w:marLeft w:val="0"/>
      <w:marRight w:val="0"/>
      <w:marTop w:val="0"/>
      <w:marBottom w:val="0"/>
      <w:divBdr>
        <w:top w:val="none" w:sz="0" w:space="0" w:color="auto"/>
        <w:left w:val="none" w:sz="0" w:space="0" w:color="auto"/>
        <w:bottom w:val="none" w:sz="0" w:space="0" w:color="auto"/>
        <w:right w:val="none" w:sz="0" w:space="0" w:color="auto"/>
      </w:divBdr>
    </w:div>
    <w:div w:id="759448470">
      <w:bodyDiv w:val="1"/>
      <w:marLeft w:val="0"/>
      <w:marRight w:val="0"/>
      <w:marTop w:val="0"/>
      <w:marBottom w:val="0"/>
      <w:divBdr>
        <w:top w:val="none" w:sz="0" w:space="0" w:color="auto"/>
        <w:left w:val="none" w:sz="0" w:space="0" w:color="auto"/>
        <w:bottom w:val="none" w:sz="0" w:space="0" w:color="auto"/>
        <w:right w:val="none" w:sz="0" w:space="0" w:color="auto"/>
      </w:divBdr>
    </w:div>
    <w:div w:id="793719341">
      <w:bodyDiv w:val="1"/>
      <w:marLeft w:val="0"/>
      <w:marRight w:val="0"/>
      <w:marTop w:val="0"/>
      <w:marBottom w:val="0"/>
      <w:divBdr>
        <w:top w:val="none" w:sz="0" w:space="0" w:color="auto"/>
        <w:left w:val="none" w:sz="0" w:space="0" w:color="auto"/>
        <w:bottom w:val="none" w:sz="0" w:space="0" w:color="auto"/>
        <w:right w:val="none" w:sz="0" w:space="0" w:color="auto"/>
      </w:divBdr>
    </w:div>
    <w:div w:id="857501199">
      <w:bodyDiv w:val="1"/>
      <w:marLeft w:val="0"/>
      <w:marRight w:val="0"/>
      <w:marTop w:val="0"/>
      <w:marBottom w:val="0"/>
      <w:divBdr>
        <w:top w:val="none" w:sz="0" w:space="0" w:color="auto"/>
        <w:left w:val="none" w:sz="0" w:space="0" w:color="auto"/>
        <w:bottom w:val="none" w:sz="0" w:space="0" w:color="auto"/>
        <w:right w:val="none" w:sz="0" w:space="0" w:color="auto"/>
      </w:divBdr>
    </w:div>
    <w:div w:id="864754028">
      <w:bodyDiv w:val="1"/>
      <w:marLeft w:val="0"/>
      <w:marRight w:val="0"/>
      <w:marTop w:val="0"/>
      <w:marBottom w:val="0"/>
      <w:divBdr>
        <w:top w:val="none" w:sz="0" w:space="0" w:color="auto"/>
        <w:left w:val="none" w:sz="0" w:space="0" w:color="auto"/>
        <w:bottom w:val="none" w:sz="0" w:space="0" w:color="auto"/>
        <w:right w:val="none" w:sz="0" w:space="0" w:color="auto"/>
      </w:divBdr>
    </w:div>
    <w:div w:id="913511199">
      <w:bodyDiv w:val="1"/>
      <w:marLeft w:val="0"/>
      <w:marRight w:val="0"/>
      <w:marTop w:val="0"/>
      <w:marBottom w:val="0"/>
      <w:divBdr>
        <w:top w:val="none" w:sz="0" w:space="0" w:color="auto"/>
        <w:left w:val="none" w:sz="0" w:space="0" w:color="auto"/>
        <w:bottom w:val="none" w:sz="0" w:space="0" w:color="auto"/>
        <w:right w:val="none" w:sz="0" w:space="0" w:color="auto"/>
      </w:divBdr>
    </w:div>
    <w:div w:id="966543332">
      <w:bodyDiv w:val="1"/>
      <w:marLeft w:val="0"/>
      <w:marRight w:val="0"/>
      <w:marTop w:val="0"/>
      <w:marBottom w:val="0"/>
      <w:divBdr>
        <w:top w:val="none" w:sz="0" w:space="0" w:color="auto"/>
        <w:left w:val="none" w:sz="0" w:space="0" w:color="auto"/>
        <w:bottom w:val="none" w:sz="0" w:space="0" w:color="auto"/>
        <w:right w:val="none" w:sz="0" w:space="0" w:color="auto"/>
      </w:divBdr>
    </w:div>
    <w:div w:id="1017075216">
      <w:bodyDiv w:val="1"/>
      <w:marLeft w:val="0"/>
      <w:marRight w:val="0"/>
      <w:marTop w:val="0"/>
      <w:marBottom w:val="0"/>
      <w:divBdr>
        <w:top w:val="none" w:sz="0" w:space="0" w:color="auto"/>
        <w:left w:val="none" w:sz="0" w:space="0" w:color="auto"/>
        <w:bottom w:val="none" w:sz="0" w:space="0" w:color="auto"/>
        <w:right w:val="none" w:sz="0" w:space="0" w:color="auto"/>
      </w:divBdr>
    </w:div>
    <w:div w:id="1046834271">
      <w:bodyDiv w:val="1"/>
      <w:marLeft w:val="0"/>
      <w:marRight w:val="0"/>
      <w:marTop w:val="0"/>
      <w:marBottom w:val="0"/>
      <w:divBdr>
        <w:top w:val="none" w:sz="0" w:space="0" w:color="auto"/>
        <w:left w:val="none" w:sz="0" w:space="0" w:color="auto"/>
        <w:bottom w:val="none" w:sz="0" w:space="0" w:color="auto"/>
        <w:right w:val="none" w:sz="0" w:space="0" w:color="auto"/>
      </w:divBdr>
    </w:div>
    <w:div w:id="1175153016">
      <w:bodyDiv w:val="1"/>
      <w:marLeft w:val="0"/>
      <w:marRight w:val="0"/>
      <w:marTop w:val="0"/>
      <w:marBottom w:val="0"/>
      <w:divBdr>
        <w:top w:val="none" w:sz="0" w:space="0" w:color="auto"/>
        <w:left w:val="none" w:sz="0" w:space="0" w:color="auto"/>
        <w:bottom w:val="none" w:sz="0" w:space="0" w:color="auto"/>
        <w:right w:val="none" w:sz="0" w:space="0" w:color="auto"/>
      </w:divBdr>
    </w:div>
    <w:div w:id="1203707424">
      <w:bodyDiv w:val="1"/>
      <w:marLeft w:val="0"/>
      <w:marRight w:val="0"/>
      <w:marTop w:val="0"/>
      <w:marBottom w:val="0"/>
      <w:divBdr>
        <w:top w:val="none" w:sz="0" w:space="0" w:color="auto"/>
        <w:left w:val="none" w:sz="0" w:space="0" w:color="auto"/>
        <w:bottom w:val="none" w:sz="0" w:space="0" w:color="auto"/>
        <w:right w:val="none" w:sz="0" w:space="0" w:color="auto"/>
      </w:divBdr>
    </w:div>
    <w:div w:id="1223517290">
      <w:bodyDiv w:val="1"/>
      <w:marLeft w:val="0"/>
      <w:marRight w:val="0"/>
      <w:marTop w:val="0"/>
      <w:marBottom w:val="0"/>
      <w:divBdr>
        <w:top w:val="none" w:sz="0" w:space="0" w:color="auto"/>
        <w:left w:val="none" w:sz="0" w:space="0" w:color="auto"/>
        <w:bottom w:val="none" w:sz="0" w:space="0" w:color="auto"/>
        <w:right w:val="none" w:sz="0" w:space="0" w:color="auto"/>
      </w:divBdr>
    </w:div>
    <w:div w:id="1237209443">
      <w:bodyDiv w:val="1"/>
      <w:marLeft w:val="0"/>
      <w:marRight w:val="0"/>
      <w:marTop w:val="0"/>
      <w:marBottom w:val="0"/>
      <w:divBdr>
        <w:top w:val="none" w:sz="0" w:space="0" w:color="auto"/>
        <w:left w:val="none" w:sz="0" w:space="0" w:color="auto"/>
        <w:bottom w:val="none" w:sz="0" w:space="0" w:color="auto"/>
        <w:right w:val="none" w:sz="0" w:space="0" w:color="auto"/>
      </w:divBdr>
    </w:div>
    <w:div w:id="1258296588">
      <w:bodyDiv w:val="1"/>
      <w:marLeft w:val="0"/>
      <w:marRight w:val="0"/>
      <w:marTop w:val="0"/>
      <w:marBottom w:val="0"/>
      <w:divBdr>
        <w:top w:val="none" w:sz="0" w:space="0" w:color="auto"/>
        <w:left w:val="none" w:sz="0" w:space="0" w:color="auto"/>
        <w:bottom w:val="none" w:sz="0" w:space="0" w:color="auto"/>
        <w:right w:val="none" w:sz="0" w:space="0" w:color="auto"/>
      </w:divBdr>
    </w:div>
    <w:div w:id="1361131427">
      <w:bodyDiv w:val="1"/>
      <w:marLeft w:val="0"/>
      <w:marRight w:val="0"/>
      <w:marTop w:val="0"/>
      <w:marBottom w:val="0"/>
      <w:divBdr>
        <w:top w:val="none" w:sz="0" w:space="0" w:color="auto"/>
        <w:left w:val="none" w:sz="0" w:space="0" w:color="auto"/>
        <w:bottom w:val="none" w:sz="0" w:space="0" w:color="auto"/>
        <w:right w:val="none" w:sz="0" w:space="0" w:color="auto"/>
      </w:divBdr>
    </w:div>
    <w:div w:id="1406535248">
      <w:bodyDiv w:val="1"/>
      <w:marLeft w:val="0"/>
      <w:marRight w:val="0"/>
      <w:marTop w:val="0"/>
      <w:marBottom w:val="0"/>
      <w:divBdr>
        <w:top w:val="none" w:sz="0" w:space="0" w:color="auto"/>
        <w:left w:val="none" w:sz="0" w:space="0" w:color="auto"/>
        <w:bottom w:val="none" w:sz="0" w:space="0" w:color="auto"/>
        <w:right w:val="none" w:sz="0" w:space="0" w:color="auto"/>
      </w:divBdr>
    </w:div>
    <w:div w:id="1420443035">
      <w:bodyDiv w:val="1"/>
      <w:marLeft w:val="0"/>
      <w:marRight w:val="0"/>
      <w:marTop w:val="0"/>
      <w:marBottom w:val="0"/>
      <w:divBdr>
        <w:top w:val="none" w:sz="0" w:space="0" w:color="auto"/>
        <w:left w:val="none" w:sz="0" w:space="0" w:color="auto"/>
        <w:bottom w:val="none" w:sz="0" w:space="0" w:color="auto"/>
        <w:right w:val="none" w:sz="0" w:space="0" w:color="auto"/>
      </w:divBdr>
    </w:div>
    <w:div w:id="1467090030">
      <w:bodyDiv w:val="1"/>
      <w:marLeft w:val="0"/>
      <w:marRight w:val="0"/>
      <w:marTop w:val="0"/>
      <w:marBottom w:val="0"/>
      <w:divBdr>
        <w:top w:val="none" w:sz="0" w:space="0" w:color="auto"/>
        <w:left w:val="none" w:sz="0" w:space="0" w:color="auto"/>
        <w:bottom w:val="none" w:sz="0" w:space="0" w:color="auto"/>
        <w:right w:val="none" w:sz="0" w:space="0" w:color="auto"/>
      </w:divBdr>
    </w:div>
    <w:div w:id="1507750124">
      <w:bodyDiv w:val="1"/>
      <w:marLeft w:val="0"/>
      <w:marRight w:val="0"/>
      <w:marTop w:val="0"/>
      <w:marBottom w:val="0"/>
      <w:divBdr>
        <w:top w:val="none" w:sz="0" w:space="0" w:color="auto"/>
        <w:left w:val="none" w:sz="0" w:space="0" w:color="auto"/>
        <w:bottom w:val="none" w:sz="0" w:space="0" w:color="auto"/>
        <w:right w:val="none" w:sz="0" w:space="0" w:color="auto"/>
      </w:divBdr>
    </w:div>
    <w:div w:id="1544055285">
      <w:bodyDiv w:val="1"/>
      <w:marLeft w:val="0"/>
      <w:marRight w:val="0"/>
      <w:marTop w:val="0"/>
      <w:marBottom w:val="0"/>
      <w:divBdr>
        <w:top w:val="none" w:sz="0" w:space="0" w:color="auto"/>
        <w:left w:val="none" w:sz="0" w:space="0" w:color="auto"/>
        <w:bottom w:val="none" w:sz="0" w:space="0" w:color="auto"/>
        <w:right w:val="none" w:sz="0" w:space="0" w:color="auto"/>
      </w:divBdr>
    </w:div>
    <w:div w:id="1577325772">
      <w:bodyDiv w:val="1"/>
      <w:marLeft w:val="0"/>
      <w:marRight w:val="0"/>
      <w:marTop w:val="0"/>
      <w:marBottom w:val="0"/>
      <w:divBdr>
        <w:top w:val="none" w:sz="0" w:space="0" w:color="auto"/>
        <w:left w:val="none" w:sz="0" w:space="0" w:color="auto"/>
        <w:bottom w:val="none" w:sz="0" w:space="0" w:color="auto"/>
        <w:right w:val="none" w:sz="0" w:space="0" w:color="auto"/>
      </w:divBdr>
    </w:div>
    <w:div w:id="1640105952">
      <w:bodyDiv w:val="1"/>
      <w:marLeft w:val="0"/>
      <w:marRight w:val="0"/>
      <w:marTop w:val="0"/>
      <w:marBottom w:val="0"/>
      <w:divBdr>
        <w:top w:val="none" w:sz="0" w:space="0" w:color="auto"/>
        <w:left w:val="none" w:sz="0" w:space="0" w:color="auto"/>
        <w:bottom w:val="none" w:sz="0" w:space="0" w:color="auto"/>
        <w:right w:val="none" w:sz="0" w:space="0" w:color="auto"/>
      </w:divBdr>
    </w:div>
    <w:div w:id="1842819261">
      <w:bodyDiv w:val="1"/>
      <w:marLeft w:val="0"/>
      <w:marRight w:val="0"/>
      <w:marTop w:val="0"/>
      <w:marBottom w:val="0"/>
      <w:divBdr>
        <w:top w:val="none" w:sz="0" w:space="0" w:color="auto"/>
        <w:left w:val="none" w:sz="0" w:space="0" w:color="auto"/>
        <w:bottom w:val="none" w:sz="0" w:space="0" w:color="auto"/>
        <w:right w:val="none" w:sz="0" w:space="0" w:color="auto"/>
      </w:divBdr>
    </w:div>
    <w:div w:id="1869103313">
      <w:bodyDiv w:val="1"/>
      <w:marLeft w:val="0"/>
      <w:marRight w:val="0"/>
      <w:marTop w:val="0"/>
      <w:marBottom w:val="0"/>
      <w:divBdr>
        <w:top w:val="none" w:sz="0" w:space="0" w:color="auto"/>
        <w:left w:val="none" w:sz="0" w:space="0" w:color="auto"/>
        <w:bottom w:val="none" w:sz="0" w:space="0" w:color="auto"/>
        <w:right w:val="none" w:sz="0" w:space="0" w:color="auto"/>
      </w:divBdr>
    </w:div>
    <w:div w:id="1914003311">
      <w:bodyDiv w:val="1"/>
      <w:marLeft w:val="0"/>
      <w:marRight w:val="0"/>
      <w:marTop w:val="0"/>
      <w:marBottom w:val="0"/>
      <w:divBdr>
        <w:top w:val="none" w:sz="0" w:space="0" w:color="auto"/>
        <w:left w:val="none" w:sz="0" w:space="0" w:color="auto"/>
        <w:bottom w:val="none" w:sz="0" w:space="0" w:color="auto"/>
        <w:right w:val="none" w:sz="0" w:space="0" w:color="auto"/>
      </w:divBdr>
    </w:div>
    <w:div w:id="2012756916">
      <w:bodyDiv w:val="1"/>
      <w:marLeft w:val="0"/>
      <w:marRight w:val="0"/>
      <w:marTop w:val="0"/>
      <w:marBottom w:val="0"/>
      <w:divBdr>
        <w:top w:val="none" w:sz="0" w:space="0" w:color="auto"/>
        <w:left w:val="none" w:sz="0" w:space="0" w:color="auto"/>
        <w:bottom w:val="none" w:sz="0" w:space="0" w:color="auto"/>
        <w:right w:val="none" w:sz="0" w:space="0" w:color="auto"/>
      </w:divBdr>
    </w:div>
    <w:div w:id="2033799308">
      <w:bodyDiv w:val="1"/>
      <w:marLeft w:val="0"/>
      <w:marRight w:val="0"/>
      <w:marTop w:val="0"/>
      <w:marBottom w:val="0"/>
      <w:divBdr>
        <w:top w:val="none" w:sz="0" w:space="0" w:color="auto"/>
        <w:left w:val="none" w:sz="0" w:space="0" w:color="auto"/>
        <w:bottom w:val="none" w:sz="0" w:space="0" w:color="auto"/>
        <w:right w:val="none" w:sz="0" w:space="0" w:color="auto"/>
      </w:divBdr>
    </w:div>
    <w:div w:id="2051369749">
      <w:bodyDiv w:val="1"/>
      <w:marLeft w:val="0"/>
      <w:marRight w:val="0"/>
      <w:marTop w:val="0"/>
      <w:marBottom w:val="0"/>
      <w:divBdr>
        <w:top w:val="none" w:sz="0" w:space="0" w:color="auto"/>
        <w:left w:val="none" w:sz="0" w:space="0" w:color="auto"/>
        <w:bottom w:val="none" w:sz="0" w:space="0" w:color="auto"/>
        <w:right w:val="none" w:sz="0" w:space="0" w:color="auto"/>
      </w:divBdr>
    </w:div>
    <w:div w:id="2076001368">
      <w:bodyDiv w:val="1"/>
      <w:marLeft w:val="0"/>
      <w:marRight w:val="0"/>
      <w:marTop w:val="0"/>
      <w:marBottom w:val="0"/>
      <w:divBdr>
        <w:top w:val="none" w:sz="0" w:space="0" w:color="auto"/>
        <w:left w:val="none" w:sz="0" w:space="0" w:color="auto"/>
        <w:bottom w:val="none" w:sz="0" w:space="0" w:color="auto"/>
        <w:right w:val="none" w:sz="0" w:space="0" w:color="auto"/>
      </w:divBdr>
    </w:div>
    <w:div w:id="2094156927">
      <w:bodyDiv w:val="1"/>
      <w:marLeft w:val="0"/>
      <w:marRight w:val="0"/>
      <w:marTop w:val="0"/>
      <w:marBottom w:val="0"/>
      <w:divBdr>
        <w:top w:val="none" w:sz="0" w:space="0" w:color="auto"/>
        <w:left w:val="none" w:sz="0" w:space="0" w:color="auto"/>
        <w:bottom w:val="none" w:sz="0" w:space="0" w:color="auto"/>
        <w:right w:val="none" w:sz="0" w:space="0" w:color="auto"/>
      </w:divBdr>
    </w:div>
    <w:div w:id="2097745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3AD96-A384-47E5-B776-EAE894219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3875</Words>
  <Characters>22092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2025-04-28T06:05:00Z</dcterms:created>
  <dcterms:modified xsi:type="dcterms:W3CDTF">2025-04-28T09:13:00Z</dcterms:modified>
</cp:coreProperties>
</file>