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21261" w14:textId="77777777" w:rsidR="00487FD7" w:rsidRDefault="00487FD7" w:rsidP="00487FD7">
      <w:pPr>
        <w:spacing w:line="360" w:lineRule="auto"/>
        <w:jc w:val="both"/>
        <w:rPr>
          <w:rFonts w:ascii="Arial" w:hAnsi="Arial" w:cs="Arial"/>
          <w:sz w:val="24"/>
          <w:szCs w:val="24"/>
        </w:rPr>
      </w:pPr>
    </w:p>
    <w:p w14:paraId="78ADE09F" w14:textId="77777777" w:rsidR="00487FD7" w:rsidRDefault="00487FD7" w:rsidP="00487FD7">
      <w:pPr>
        <w:spacing w:line="360" w:lineRule="auto"/>
        <w:jc w:val="both"/>
        <w:rPr>
          <w:rFonts w:ascii="Arial" w:hAnsi="Arial" w:cs="Arial"/>
          <w:sz w:val="24"/>
          <w:szCs w:val="24"/>
        </w:rPr>
      </w:pPr>
    </w:p>
    <w:p w14:paraId="691542D6" w14:textId="5E642C9A" w:rsidR="00C81956" w:rsidRPr="00900C35" w:rsidRDefault="00C81956" w:rsidP="0020780D">
      <w:pPr>
        <w:autoSpaceDE w:val="0"/>
        <w:autoSpaceDN w:val="0"/>
        <w:adjustRightInd w:val="0"/>
        <w:spacing w:after="0" w:line="240" w:lineRule="auto"/>
        <w:jc w:val="center"/>
        <w:rPr>
          <w:rFonts w:ascii="Arial" w:hAnsi="Arial" w:cs="Arial"/>
          <w:b/>
          <w:bCs/>
          <w:color w:val="000000"/>
          <w:kern w:val="0"/>
          <w:sz w:val="48"/>
          <w:szCs w:val="48"/>
        </w:rPr>
      </w:pPr>
      <w:r>
        <w:rPr>
          <w:rFonts w:ascii="Arial" w:hAnsi="Arial" w:cs="Arial"/>
          <w:b/>
          <w:bCs/>
          <w:color w:val="000000"/>
          <w:kern w:val="0"/>
          <w:sz w:val="48"/>
          <w:szCs w:val="48"/>
        </w:rPr>
        <w:t>The e</w:t>
      </w:r>
      <w:r w:rsidRPr="00900C35">
        <w:rPr>
          <w:rFonts w:ascii="Arial" w:hAnsi="Arial" w:cs="Arial"/>
          <w:b/>
          <w:bCs/>
          <w:color w:val="000000"/>
          <w:kern w:val="0"/>
          <w:sz w:val="48"/>
          <w:szCs w:val="48"/>
        </w:rPr>
        <w:t>volution of HRM</w:t>
      </w:r>
    </w:p>
    <w:p w14:paraId="022E5BAE" w14:textId="77777777" w:rsidR="00487FD7" w:rsidRDefault="00487FD7" w:rsidP="00487FD7">
      <w:pPr>
        <w:spacing w:line="360" w:lineRule="auto"/>
        <w:jc w:val="both"/>
        <w:rPr>
          <w:rFonts w:ascii="Arial" w:hAnsi="Arial" w:cs="Arial"/>
          <w:sz w:val="24"/>
          <w:szCs w:val="24"/>
        </w:rPr>
      </w:pPr>
    </w:p>
    <w:p w14:paraId="7D9E4D40" w14:textId="77777777" w:rsidR="00867B5A" w:rsidRDefault="00867B5A" w:rsidP="00867B5A">
      <w:pPr>
        <w:pStyle w:val="Default"/>
      </w:pPr>
    </w:p>
    <w:p w14:paraId="2AC6BD8C" w14:textId="77777777" w:rsidR="009317B2" w:rsidRDefault="009317B2" w:rsidP="00867B5A">
      <w:pPr>
        <w:pStyle w:val="Default"/>
      </w:pPr>
    </w:p>
    <w:p w14:paraId="4DDEF4D0" w14:textId="77777777" w:rsidR="009317B2" w:rsidRDefault="009317B2" w:rsidP="00867B5A">
      <w:pPr>
        <w:pStyle w:val="Default"/>
      </w:pPr>
    </w:p>
    <w:p w14:paraId="4C714CF2" w14:textId="77777777" w:rsidR="009317B2" w:rsidRDefault="009317B2" w:rsidP="00867B5A">
      <w:pPr>
        <w:pStyle w:val="Default"/>
      </w:pPr>
    </w:p>
    <w:p w14:paraId="228E47BD" w14:textId="77777777" w:rsidR="009317B2" w:rsidRDefault="009317B2" w:rsidP="00867B5A">
      <w:pPr>
        <w:pStyle w:val="Default"/>
      </w:pPr>
    </w:p>
    <w:p w14:paraId="3D067900" w14:textId="3EA9FDBA" w:rsidR="00867B5A" w:rsidRPr="009317B2" w:rsidRDefault="00867B5A" w:rsidP="00867B5A">
      <w:pPr>
        <w:pStyle w:val="Default"/>
        <w:rPr>
          <w:sz w:val="36"/>
          <w:szCs w:val="36"/>
        </w:rPr>
      </w:pPr>
      <w:r w:rsidRPr="009317B2">
        <w:rPr>
          <w:b/>
          <w:bCs/>
          <w:sz w:val="36"/>
          <w:szCs w:val="36"/>
        </w:rPr>
        <w:t xml:space="preserve">BMIH5005 </w:t>
      </w:r>
    </w:p>
    <w:p w14:paraId="3C5CCC71" w14:textId="77777777" w:rsidR="00867B5A" w:rsidRPr="009317B2" w:rsidRDefault="00867B5A" w:rsidP="00867B5A">
      <w:pPr>
        <w:pStyle w:val="Default"/>
        <w:rPr>
          <w:sz w:val="36"/>
          <w:szCs w:val="36"/>
        </w:rPr>
      </w:pPr>
      <w:r w:rsidRPr="009317B2">
        <w:rPr>
          <w:b/>
          <w:bCs/>
          <w:sz w:val="36"/>
          <w:szCs w:val="36"/>
        </w:rPr>
        <w:t xml:space="preserve">Personnel Resourcing and Development </w:t>
      </w:r>
    </w:p>
    <w:p w14:paraId="5B03F9D9" w14:textId="77777777" w:rsidR="009317B2" w:rsidRDefault="009317B2" w:rsidP="00867B5A">
      <w:pPr>
        <w:pStyle w:val="Default"/>
        <w:rPr>
          <w:b/>
          <w:bCs/>
          <w:sz w:val="36"/>
          <w:szCs w:val="36"/>
        </w:rPr>
      </w:pPr>
    </w:p>
    <w:p w14:paraId="62A5FDDC" w14:textId="77777777" w:rsidR="009317B2" w:rsidRDefault="009317B2" w:rsidP="00867B5A">
      <w:pPr>
        <w:pStyle w:val="Default"/>
        <w:rPr>
          <w:b/>
          <w:bCs/>
          <w:sz w:val="36"/>
          <w:szCs w:val="36"/>
        </w:rPr>
      </w:pPr>
    </w:p>
    <w:p w14:paraId="1032DFFE" w14:textId="77777777" w:rsidR="009317B2" w:rsidRDefault="009317B2" w:rsidP="00867B5A">
      <w:pPr>
        <w:pStyle w:val="Default"/>
        <w:rPr>
          <w:sz w:val="36"/>
          <w:szCs w:val="36"/>
        </w:rPr>
      </w:pPr>
    </w:p>
    <w:p w14:paraId="7748AE39" w14:textId="77777777" w:rsidR="009317B2" w:rsidRDefault="009317B2" w:rsidP="00867B5A">
      <w:pPr>
        <w:pStyle w:val="Default"/>
        <w:rPr>
          <w:sz w:val="36"/>
          <w:szCs w:val="36"/>
        </w:rPr>
      </w:pPr>
    </w:p>
    <w:p w14:paraId="4667636E" w14:textId="77777777" w:rsidR="009317B2" w:rsidRPr="009317B2" w:rsidRDefault="009317B2" w:rsidP="00867B5A">
      <w:pPr>
        <w:pStyle w:val="Default"/>
        <w:rPr>
          <w:sz w:val="36"/>
          <w:szCs w:val="36"/>
        </w:rPr>
      </w:pPr>
    </w:p>
    <w:p w14:paraId="7C03722E" w14:textId="77777777" w:rsidR="00867B5A" w:rsidRPr="009317B2" w:rsidRDefault="00867B5A" w:rsidP="00867B5A">
      <w:pPr>
        <w:pStyle w:val="Default"/>
      </w:pPr>
      <w:r w:rsidRPr="009317B2">
        <w:rPr>
          <w:b/>
          <w:bCs/>
        </w:rPr>
        <w:t xml:space="preserve">Module Lead: </w:t>
      </w:r>
    </w:p>
    <w:p w14:paraId="0C8945E2" w14:textId="2B403750" w:rsidR="00487FD7" w:rsidRPr="009317B2" w:rsidRDefault="00867B5A" w:rsidP="00867B5A">
      <w:pPr>
        <w:spacing w:line="360" w:lineRule="auto"/>
        <w:jc w:val="both"/>
        <w:rPr>
          <w:rFonts w:ascii="Arial" w:hAnsi="Arial" w:cs="Arial"/>
          <w:sz w:val="18"/>
          <w:szCs w:val="18"/>
        </w:rPr>
      </w:pPr>
      <w:r w:rsidRPr="009317B2">
        <w:rPr>
          <w:b/>
          <w:bCs/>
          <w:sz w:val="24"/>
          <w:szCs w:val="24"/>
        </w:rPr>
        <w:t>Helen Lee</w:t>
      </w:r>
    </w:p>
    <w:p w14:paraId="12B5B220" w14:textId="77777777" w:rsidR="00487FD7" w:rsidRDefault="00487FD7" w:rsidP="00487FD7">
      <w:pPr>
        <w:spacing w:line="360" w:lineRule="auto"/>
        <w:jc w:val="both"/>
        <w:rPr>
          <w:rFonts w:ascii="Arial" w:hAnsi="Arial" w:cs="Arial"/>
          <w:sz w:val="24"/>
          <w:szCs w:val="24"/>
        </w:rPr>
      </w:pPr>
    </w:p>
    <w:p w14:paraId="2E414622" w14:textId="77777777" w:rsidR="00487FD7" w:rsidRDefault="00487FD7" w:rsidP="00487FD7">
      <w:pPr>
        <w:spacing w:line="360" w:lineRule="auto"/>
        <w:jc w:val="both"/>
        <w:rPr>
          <w:rFonts w:ascii="Arial" w:hAnsi="Arial" w:cs="Arial"/>
          <w:sz w:val="24"/>
          <w:szCs w:val="24"/>
        </w:rPr>
      </w:pPr>
    </w:p>
    <w:p w14:paraId="54E09B94" w14:textId="77777777" w:rsidR="00487FD7" w:rsidRDefault="00487FD7" w:rsidP="00487FD7">
      <w:pPr>
        <w:spacing w:line="360" w:lineRule="auto"/>
        <w:jc w:val="both"/>
        <w:rPr>
          <w:rFonts w:ascii="Arial" w:hAnsi="Arial" w:cs="Arial"/>
          <w:sz w:val="24"/>
          <w:szCs w:val="24"/>
        </w:rPr>
      </w:pPr>
    </w:p>
    <w:p w14:paraId="45D8882B" w14:textId="77777777" w:rsidR="00487FD7" w:rsidRDefault="00487FD7" w:rsidP="00487FD7">
      <w:pPr>
        <w:spacing w:line="360" w:lineRule="auto"/>
        <w:jc w:val="both"/>
        <w:rPr>
          <w:rFonts w:ascii="Arial" w:hAnsi="Arial" w:cs="Arial"/>
          <w:sz w:val="24"/>
          <w:szCs w:val="24"/>
        </w:rPr>
      </w:pPr>
    </w:p>
    <w:p w14:paraId="7C766776" w14:textId="77777777" w:rsidR="00487FD7" w:rsidRDefault="00487FD7" w:rsidP="00487FD7">
      <w:pPr>
        <w:spacing w:line="360" w:lineRule="auto"/>
        <w:jc w:val="both"/>
        <w:rPr>
          <w:rFonts w:ascii="Arial" w:hAnsi="Arial" w:cs="Arial"/>
          <w:sz w:val="24"/>
          <w:szCs w:val="24"/>
        </w:rPr>
      </w:pPr>
    </w:p>
    <w:p w14:paraId="01309F45" w14:textId="77777777" w:rsidR="00487FD7" w:rsidRDefault="00487FD7" w:rsidP="00487FD7">
      <w:pPr>
        <w:spacing w:line="360" w:lineRule="auto"/>
        <w:jc w:val="both"/>
        <w:rPr>
          <w:rFonts w:ascii="Arial" w:hAnsi="Arial" w:cs="Arial"/>
          <w:sz w:val="24"/>
          <w:szCs w:val="24"/>
        </w:rPr>
      </w:pPr>
    </w:p>
    <w:p w14:paraId="53D3FBEF" w14:textId="77777777" w:rsidR="00487FD7" w:rsidRPr="009317B2" w:rsidRDefault="00487FD7" w:rsidP="00487FD7">
      <w:pPr>
        <w:spacing w:line="360" w:lineRule="auto"/>
        <w:jc w:val="both"/>
        <w:rPr>
          <w:rFonts w:ascii="Arial" w:hAnsi="Arial" w:cs="Arial"/>
          <w:b/>
          <w:bCs/>
          <w:sz w:val="24"/>
          <w:szCs w:val="24"/>
        </w:rPr>
      </w:pPr>
    </w:p>
    <w:p w14:paraId="771DDC12" w14:textId="77777777" w:rsidR="00542068" w:rsidRPr="009317B2" w:rsidRDefault="00542068" w:rsidP="00487FD7">
      <w:pPr>
        <w:spacing w:line="360" w:lineRule="auto"/>
        <w:jc w:val="both"/>
        <w:rPr>
          <w:rFonts w:ascii="Arial" w:hAnsi="Arial" w:cs="Arial"/>
          <w:b/>
          <w:bCs/>
          <w:sz w:val="24"/>
          <w:szCs w:val="24"/>
        </w:rPr>
      </w:pPr>
      <w:r w:rsidRPr="009317B2">
        <w:rPr>
          <w:rFonts w:ascii="Arial" w:hAnsi="Arial" w:cs="Arial"/>
          <w:b/>
          <w:bCs/>
          <w:sz w:val="24"/>
          <w:szCs w:val="24"/>
        </w:rPr>
        <w:t xml:space="preserve">Stefan Mihaita Lucian </w:t>
      </w:r>
    </w:p>
    <w:p w14:paraId="4F447899" w14:textId="7281C2DF" w:rsidR="00487FD7" w:rsidRPr="009317B2" w:rsidRDefault="00542068" w:rsidP="00487FD7">
      <w:pPr>
        <w:spacing w:line="360" w:lineRule="auto"/>
        <w:jc w:val="both"/>
        <w:rPr>
          <w:rFonts w:ascii="Arial" w:hAnsi="Arial" w:cs="Arial"/>
          <w:b/>
          <w:bCs/>
          <w:sz w:val="24"/>
          <w:szCs w:val="24"/>
        </w:rPr>
      </w:pPr>
      <w:r w:rsidRPr="009317B2">
        <w:rPr>
          <w:rFonts w:ascii="Arial" w:hAnsi="Arial" w:cs="Arial"/>
          <w:b/>
          <w:bCs/>
          <w:sz w:val="24"/>
          <w:szCs w:val="24"/>
        </w:rPr>
        <w:t>2234126</w:t>
      </w:r>
    </w:p>
    <w:p w14:paraId="1770CA60" w14:textId="77777777" w:rsidR="00487FD7" w:rsidRDefault="00487FD7" w:rsidP="00487FD7">
      <w:pPr>
        <w:spacing w:line="360" w:lineRule="auto"/>
        <w:jc w:val="both"/>
        <w:rPr>
          <w:rFonts w:ascii="Arial" w:hAnsi="Arial" w:cs="Arial"/>
          <w:sz w:val="24"/>
          <w:szCs w:val="24"/>
        </w:rPr>
      </w:pPr>
    </w:p>
    <w:p w14:paraId="5DF6CE92" w14:textId="77777777" w:rsidR="00487FD7" w:rsidRDefault="00487FD7" w:rsidP="00487FD7">
      <w:pPr>
        <w:spacing w:line="360" w:lineRule="auto"/>
        <w:jc w:val="both"/>
        <w:rPr>
          <w:rFonts w:ascii="Arial" w:hAnsi="Arial" w:cs="Arial"/>
          <w:sz w:val="24"/>
          <w:szCs w:val="24"/>
        </w:rPr>
      </w:pPr>
    </w:p>
    <w:p w14:paraId="4C642335" w14:textId="51D15CB0" w:rsidR="00563ABC" w:rsidRPr="00487FD7" w:rsidRDefault="00563ABC" w:rsidP="00487FD7">
      <w:pPr>
        <w:spacing w:line="360" w:lineRule="auto"/>
        <w:jc w:val="both"/>
        <w:rPr>
          <w:rFonts w:ascii="Arial" w:hAnsi="Arial" w:cs="Arial"/>
          <w:sz w:val="24"/>
          <w:szCs w:val="24"/>
        </w:rPr>
      </w:pPr>
      <w:r w:rsidRPr="00487FD7">
        <w:rPr>
          <w:rFonts w:ascii="Arial" w:hAnsi="Arial" w:cs="Arial"/>
          <w:sz w:val="24"/>
          <w:szCs w:val="24"/>
        </w:rPr>
        <w:t>Hilton Hotels' Human Resource Management (HRM) strategy is tightly integrated with its business objectives, with a focus on labour demand forecasting via data analytics to ensure optimal staffing. This strategic approach aligns HR objectives with Hilton's mission of improving customer service and expanding globally. The recruitment process is intended to attract diverse candidates by emphasising cultural fit through rigorous behavioural interviews, ensuring that new hires share Hilton's hospitality values. This meticulous selection process demonstrates Hilton's commitment to developing a workforce capable of providing exceptional guest experiences, strengthening the brand's competitive advantage in the hospitality industry. Hilton's innovative HR practices, such as comprehensive training programmes and the use of digital tools for performance management, demonstrate the company's commitment to employee development and satisfaction. These strategic human resource initiatives are critical to driving Hilton's business growth and market expansion, as well as maintaining the brand's reputation for excellence in the competitive hospitality landscape.</w:t>
      </w:r>
    </w:p>
    <w:p w14:paraId="0377E400" w14:textId="77777777" w:rsidR="00487FD7" w:rsidRDefault="00487FD7" w:rsidP="00487FD7">
      <w:pPr>
        <w:spacing w:line="360" w:lineRule="auto"/>
        <w:jc w:val="both"/>
        <w:rPr>
          <w:rFonts w:ascii="Arial" w:hAnsi="Arial" w:cs="Arial"/>
          <w:b/>
          <w:bCs/>
          <w:sz w:val="24"/>
          <w:szCs w:val="24"/>
        </w:rPr>
      </w:pPr>
    </w:p>
    <w:p w14:paraId="233482FA" w14:textId="2BB96C2E" w:rsidR="007B567B" w:rsidRPr="00487FD7" w:rsidRDefault="007B567B" w:rsidP="00487FD7">
      <w:pPr>
        <w:spacing w:line="360" w:lineRule="auto"/>
        <w:jc w:val="both"/>
        <w:rPr>
          <w:rFonts w:ascii="Arial" w:hAnsi="Arial" w:cs="Arial"/>
          <w:sz w:val="24"/>
          <w:szCs w:val="24"/>
        </w:rPr>
      </w:pPr>
      <w:r w:rsidRPr="00487FD7">
        <w:rPr>
          <w:rFonts w:ascii="Arial" w:hAnsi="Arial" w:cs="Arial"/>
          <w:sz w:val="24"/>
          <w:szCs w:val="24"/>
        </w:rPr>
        <w:t xml:space="preserve">According to </w:t>
      </w:r>
      <w:proofErr w:type="spellStart"/>
      <w:r w:rsidRPr="00487FD7">
        <w:rPr>
          <w:rFonts w:ascii="Arial" w:hAnsi="Arial" w:cs="Arial"/>
          <w:sz w:val="24"/>
          <w:szCs w:val="24"/>
        </w:rPr>
        <w:t>Solnet</w:t>
      </w:r>
      <w:proofErr w:type="spellEnd"/>
      <w:r w:rsidRPr="00487FD7">
        <w:rPr>
          <w:rFonts w:ascii="Arial" w:hAnsi="Arial" w:cs="Arial"/>
          <w:sz w:val="24"/>
          <w:szCs w:val="24"/>
        </w:rPr>
        <w:t xml:space="preserve"> et al. (2015), Human Resource Management (HRM) in the hospitality industry has evolved significantly, transitioning from a basic administrative function to a strategic element within the sector. Bailey et al. (2018) found that HRM in hospitality was primarily administrative, with a focus on essential tasks such as staffing, payroll, and managing basic employee relations. According to Gatto (2020), this period, particularly prior to the 1940s, was marked by practices more aligned with classical management theories, which </w:t>
      </w:r>
      <w:proofErr w:type="spellStart"/>
      <w:r w:rsidRPr="00487FD7">
        <w:rPr>
          <w:rFonts w:ascii="Arial" w:hAnsi="Arial" w:cs="Arial"/>
          <w:sz w:val="24"/>
          <w:szCs w:val="24"/>
        </w:rPr>
        <w:t>prioritised</w:t>
      </w:r>
      <w:proofErr w:type="spellEnd"/>
      <w:r w:rsidRPr="00487FD7">
        <w:rPr>
          <w:rFonts w:ascii="Arial" w:hAnsi="Arial" w:cs="Arial"/>
          <w:sz w:val="24"/>
          <w:szCs w:val="24"/>
        </w:rPr>
        <w:t xml:space="preserve"> productivity and operational efficiency over individual employee well-being and development.</w:t>
      </w:r>
    </w:p>
    <w:p w14:paraId="35D1FE7E" w14:textId="77777777" w:rsidR="007B567B" w:rsidRPr="00487FD7" w:rsidRDefault="007B567B" w:rsidP="00487FD7">
      <w:pPr>
        <w:spacing w:line="360" w:lineRule="auto"/>
        <w:jc w:val="both"/>
        <w:rPr>
          <w:rFonts w:ascii="Arial" w:hAnsi="Arial" w:cs="Arial"/>
          <w:sz w:val="24"/>
          <w:szCs w:val="24"/>
        </w:rPr>
      </w:pPr>
      <w:r w:rsidRPr="00487FD7">
        <w:rPr>
          <w:rFonts w:ascii="Arial" w:hAnsi="Arial" w:cs="Arial"/>
          <w:sz w:val="24"/>
          <w:szCs w:val="24"/>
        </w:rPr>
        <w:t xml:space="preserve">As the industry evolved, particularly after the 1970s, there was a noticeable shift in HRM within the hospitality sector. This era saw the evolution of human resources from a purely administrative function to a more strategic and integral part of business operations. HRM began to integrate more closely with broader business strategies, owing to a variety of factors such as global economic shifts, social changes, the rise of unionism, and advances in behavioural science. The emphasis shifted to employee development, </w:t>
      </w:r>
      <w:r w:rsidRPr="00487FD7">
        <w:rPr>
          <w:rFonts w:ascii="Arial" w:hAnsi="Arial" w:cs="Arial"/>
          <w:sz w:val="24"/>
          <w:szCs w:val="24"/>
        </w:rPr>
        <w:lastRenderedPageBreak/>
        <w:t xml:space="preserve">training, and engagement, </w:t>
      </w:r>
      <w:proofErr w:type="spellStart"/>
      <w:r w:rsidRPr="00487FD7">
        <w:rPr>
          <w:rFonts w:ascii="Arial" w:hAnsi="Arial" w:cs="Arial"/>
          <w:sz w:val="24"/>
          <w:szCs w:val="24"/>
        </w:rPr>
        <w:t>recognising</w:t>
      </w:r>
      <w:proofErr w:type="spellEnd"/>
      <w:r w:rsidRPr="00487FD7">
        <w:rPr>
          <w:rFonts w:ascii="Arial" w:hAnsi="Arial" w:cs="Arial"/>
          <w:sz w:val="24"/>
          <w:szCs w:val="24"/>
        </w:rPr>
        <w:t xml:space="preserve"> the importance of fostering a work culture in which employees are viewed as key contributors to improving organisational performance. This strategic approach to human resource management, heavily influenced by total quality management concepts, sought to create a more harmonious and effective workplace culture (Goss-Tuner, 2014).</w:t>
      </w:r>
    </w:p>
    <w:p w14:paraId="4DF76C53" w14:textId="77777777" w:rsidR="00A9236D" w:rsidRPr="00487FD7" w:rsidRDefault="00A9236D" w:rsidP="00487FD7">
      <w:pPr>
        <w:spacing w:line="360" w:lineRule="auto"/>
        <w:jc w:val="both"/>
        <w:rPr>
          <w:rFonts w:ascii="Arial" w:hAnsi="Arial" w:cs="Arial"/>
          <w:sz w:val="24"/>
          <w:szCs w:val="24"/>
        </w:rPr>
      </w:pPr>
      <w:r w:rsidRPr="00487FD7">
        <w:rPr>
          <w:rFonts w:ascii="Arial" w:hAnsi="Arial" w:cs="Arial"/>
          <w:sz w:val="24"/>
          <w:szCs w:val="24"/>
        </w:rPr>
        <w:t xml:space="preserve">Baykal (2020) discusses how the 21st century brought additional transformation through the integration of digital tools and HR software. This technological revolution in HRM resulted in a redefinition of performance management, recruitment, and employee administration processes, making HR practices more efficient and strategic. Gauche et al. (2017) discuss potential challenges, such as reduced personal interaction and increased employee stress as a result of </w:t>
      </w:r>
      <w:proofErr w:type="spellStart"/>
      <w:r w:rsidRPr="00487FD7">
        <w:rPr>
          <w:rFonts w:ascii="Arial" w:hAnsi="Arial" w:cs="Arial"/>
          <w:sz w:val="24"/>
          <w:szCs w:val="24"/>
        </w:rPr>
        <w:t>depersonalised</w:t>
      </w:r>
      <w:proofErr w:type="spellEnd"/>
      <w:r w:rsidRPr="00487FD7">
        <w:rPr>
          <w:rFonts w:ascii="Arial" w:hAnsi="Arial" w:cs="Arial"/>
          <w:sz w:val="24"/>
          <w:szCs w:val="24"/>
        </w:rPr>
        <w:t xml:space="preserve"> HR processes.</w:t>
      </w:r>
    </w:p>
    <w:p w14:paraId="3D2138F1" w14:textId="77777777" w:rsidR="00A9236D" w:rsidRPr="00487FD7" w:rsidRDefault="00A9236D" w:rsidP="00487FD7">
      <w:pPr>
        <w:spacing w:line="360" w:lineRule="auto"/>
        <w:jc w:val="both"/>
        <w:rPr>
          <w:rFonts w:ascii="Arial" w:hAnsi="Arial" w:cs="Arial"/>
          <w:sz w:val="24"/>
          <w:szCs w:val="24"/>
        </w:rPr>
      </w:pPr>
      <w:r w:rsidRPr="00487FD7">
        <w:rPr>
          <w:rFonts w:ascii="Arial" w:hAnsi="Arial" w:cs="Arial"/>
          <w:sz w:val="24"/>
          <w:szCs w:val="24"/>
        </w:rPr>
        <w:t>Another significant aspect of HRM's evolution in the hospitality industry is the increased emphasis on diversity and inclusion. Given the global nature of the hospitality industry, this shift towards embracing diversity in the workforce has been critical in catering to a diverse customer base. It has improved team creativity and problem-solving skills, as well as fostered a more inclusive culture that resonates with the industry's diverse customer base (Manoharan et al., 2017).</w:t>
      </w:r>
    </w:p>
    <w:p w14:paraId="0D56CABC" w14:textId="13682229" w:rsidR="009F52C2" w:rsidRPr="009F52C2" w:rsidRDefault="006002B3" w:rsidP="00487FD7">
      <w:pPr>
        <w:spacing w:line="360" w:lineRule="auto"/>
        <w:jc w:val="both"/>
        <w:rPr>
          <w:rFonts w:ascii="Arial" w:hAnsi="Arial" w:cs="Arial"/>
          <w:sz w:val="24"/>
          <w:szCs w:val="24"/>
        </w:rPr>
      </w:pPr>
      <w:r w:rsidRPr="00487FD7">
        <w:rPr>
          <w:rFonts w:ascii="Arial" w:hAnsi="Arial" w:cs="Arial"/>
          <w:sz w:val="24"/>
          <w:szCs w:val="24"/>
        </w:rPr>
        <w:t>The change in HRM in the hospitality industry reflects a better understanding of the multifaceted nature of human resources in a service-oriented sector. The implementation of holistic HR strategies has become critical in addressing the industry's unique challenges, such as high employee turnover, seasonal fluctuations in demand, and the need to maintain consistent service quality (</w:t>
      </w:r>
      <w:proofErr w:type="spellStart"/>
      <w:r w:rsidRPr="00487FD7">
        <w:rPr>
          <w:rFonts w:ascii="Arial" w:hAnsi="Arial" w:cs="Arial"/>
          <w:sz w:val="24"/>
          <w:szCs w:val="24"/>
        </w:rPr>
        <w:t>Tajeddini</w:t>
      </w:r>
      <w:proofErr w:type="spellEnd"/>
      <w:r w:rsidRPr="00487FD7">
        <w:rPr>
          <w:rFonts w:ascii="Arial" w:hAnsi="Arial" w:cs="Arial"/>
          <w:sz w:val="24"/>
          <w:szCs w:val="24"/>
        </w:rPr>
        <w:t xml:space="preserve"> and Martin, 2020). Rodríguez-Sánchez et al. (2020) found that implementing employee wellness programmes, flexible working arrangements, and promoting work-life balance are key strategies for attracting and retaining a committed workforce. According to Chams et al. (2019), the industry is increasingly </w:t>
      </w:r>
      <w:proofErr w:type="spellStart"/>
      <w:r w:rsidRPr="00487FD7">
        <w:rPr>
          <w:rFonts w:ascii="Arial" w:hAnsi="Arial" w:cs="Arial"/>
          <w:sz w:val="24"/>
          <w:szCs w:val="24"/>
        </w:rPr>
        <w:t>recognising</w:t>
      </w:r>
      <w:proofErr w:type="spellEnd"/>
      <w:r w:rsidRPr="00487FD7">
        <w:rPr>
          <w:rFonts w:ascii="Arial" w:hAnsi="Arial" w:cs="Arial"/>
          <w:sz w:val="24"/>
          <w:szCs w:val="24"/>
        </w:rPr>
        <w:t xml:space="preserve"> the value of aligning HR policies with environmental and social governance principles, resulting in a more sustainable and ethical approach to employee management. These progressive changes in HRM highlight its critical role in not only improving operational efficiency, but also in cultivating a positive corporate image and ensuring the long-term viability of hospitality companies.</w:t>
      </w:r>
    </w:p>
    <w:p w14:paraId="72242854" w14:textId="77777777" w:rsidR="00AF20D2" w:rsidRPr="00487FD7" w:rsidRDefault="00AF20D2" w:rsidP="00487FD7">
      <w:pPr>
        <w:spacing w:line="360" w:lineRule="auto"/>
        <w:jc w:val="both"/>
        <w:rPr>
          <w:rFonts w:ascii="Arial" w:hAnsi="Arial" w:cs="Arial"/>
          <w:sz w:val="24"/>
          <w:szCs w:val="24"/>
        </w:rPr>
      </w:pPr>
      <w:r w:rsidRPr="00487FD7">
        <w:rPr>
          <w:rFonts w:ascii="Arial" w:hAnsi="Arial" w:cs="Arial"/>
          <w:sz w:val="24"/>
          <w:szCs w:val="24"/>
        </w:rPr>
        <w:lastRenderedPageBreak/>
        <w:t>In the competitive hospitality industry, Hilton Hotels has meticulously integrated HR functions with its overarching business strategies, resulting in a seamless alignment that promotes growth and innovation. The brand's commitment to employee satisfaction and well-being demonstrates its understanding that a satisfied workforce is critical in providing exceptional service and maintaining a competitive edge in the industry (Zhang, 2023).</w:t>
      </w:r>
    </w:p>
    <w:p w14:paraId="1B48E2F5" w14:textId="702C2323" w:rsidR="009F52C2" w:rsidRPr="009F52C2" w:rsidRDefault="00AF20D2" w:rsidP="00487FD7">
      <w:pPr>
        <w:spacing w:line="360" w:lineRule="auto"/>
        <w:jc w:val="both"/>
        <w:rPr>
          <w:rFonts w:ascii="Arial" w:hAnsi="Arial" w:cs="Arial"/>
          <w:sz w:val="24"/>
          <w:szCs w:val="24"/>
        </w:rPr>
      </w:pPr>
      <w:r w:rsidRPr="00487FD7">
        <w:rPr>
          <w:rFonts w:ascii="Arial" w:hAnsi="Arial" w:cs="Arial"/>
          <w:sz w:val="24"/>
          <w:szCs w:val="24"/>
        </w:rPr>
        <w:t xml:space="preserve">Hilton's approach to talent management and development demonstrates the company's strategic integration of HR and business objectives. The organization's recruitment strategies are broad and inclusive, drawing from both traditional and digital platforms to attract a diverse pool of candidates (Zhang, 2023). According to Tracey's (2014) journal, this multifaceted approach ensures the hiring of skilled professionals who share Hilton's values and service expectations. According to Zhang's (2023) research, Hilton places a high value on continuous learning and development, providing extensive training programmes and opportunities for advancement to its employees. According to </w:t>
      </w:r>
      <w:proofErr w:type="spellStart"/>
      <w:r w:rsidRPr="00487FD7">
        <w:rPr>
          <w:rFonts w:ascii="Arial" w:hAnsi="Arial" w:cs="Arial"/>
          <w:sz w:val="24"/>
          <w:szCs w:val="24"/>
        </w:rPr>
        <w:t>Wulur</w:t>
      </w:r>
      <w:proofErr w:type="spellEnd"/>
      <w:r w:rsidRPr="00487FD7">
        <w:rPr>
          <w:rFonts w:ascii="Arial" w:hAnsi="Arial" w:cs="Arial"/>
          <w:sz w:val="24"/>
          <w:szCs w:val="24"/>
        </w:rPr>
        <w:t xml:space="preserve"> and </w:t>
      </w:r>
      <w:proofErr w:type="spellStart"/>
      <w:r w:rsidRPr="00487FD7">
        <w:rPr>
          <w:rFonts w:ascii="Arial" w:hAnsi="Arial" w:cs="Arial"/>
          <w:sz w:val="24"/>
          <w:szCs w:val="24"/>
        </w:rPr>
        <w:t>Mandagi</w:t>
      </w:r>
      <w:proofErr w:type="spellEnd"/>
      <w:r w:rsidRPr="00487FD7">
        <w:rPr>
          <w:rFonts w:ascii="Arial" w:hAnsi="Arial" w:cs="Arial"/>
          <w:sz w:val="24"/>
          <w:szCs w:val="24"/>
        </w:rPr>
        <w:t xml:space="preserve"> (2023), these initiatives not only improve the workforce's skill set but also foster an environment of innovation and professional development, resulting in high levels of employee satisfaction and loyalty.</w:t>
      </w:r>
    </w:p>
    <w:p w14:paraId="16246885" w14:textId="77777777" w:rsidR="0054755D" w:rsidRPr="00487FD7" w:rsidRDefault="0054755D" w:rsidP="00487FD7">
      <w:pPr>
        <w:spacing w:line="360" w:lineRule="auto"/>
        <w:jc w:val="both"/>
        <w:rPr>
          <w:rFonts w:ascii="Arial" w:hAnsi="Arial" w:cs="Arial"/>
          <w:sz w:val="24"/>
          <w:szCs w:val="24"/>
        </w:rPr>
      </w:pPr>
      <w:r w:rsidRPr="00487FD7">
        <w:rPr>
          <w:rFonts w:ascii="Arial" w:hAnsi="Arial" w:cs="Arial"/>
          <w:sz w:val="24"/>
          <w:szCs w:val="24"/>
        </w:rPr>
        <w:t xml:space="preserve">Employee welfare is a key component of Hilton's human resources strategy. The company has launched numerous initiatives to ensure the well-being of its employees. These include comprehensive health and wellness programmes, flexible working arrangements, and a positive work environment that promotes work-life balance. Hilton </w:t>
      </w:r>
      <w:proofErr w:type="spellStart"/>
      <w:proofErr w:type="gramStart"/>
      <w:r w:rsidRPr="00487FD7">
        <w:rPr>
          <w:rFonts w:ascii="Arial" w:hAnsi="Arial" w:cs="Arial"/>
          <w:sz w:val="24"/>
          <w:szCs w:val="24"/>
        </w:rPr>
        <w:t>prioritises</w:t>
      </w:r>
      <w:proofErr w:type="spellEnd"/>
      <w:proofErr w:type="gramEnd"/>
      <w:r w:rsidRPr="00487FD7">
        <w:rPr>
          <w:rFonts w:ascii="Arial" w:hAnsi="Arial" w:cs="Arial"/>
          <w:sz w:val="24"/>
          <w:szCs w:val="24"/>
        </w:rPr>
        <w:t xml:space="preserve"> its employees' health and happiness, which not only increases productivity and efficiency but also fosters a sense of belonging and commitment, which is critical in the service-oriented hospitality industry (Reidhead, 2020).</w:t>
      </w:r>
    </w:p>
    <w:p w14:paraId="2BF7872A" w14:textId="0DCA624D" w:rsidR="009F52C2" w:rsidRPr="009F52C2" w:rsidRDefault="0054755D" w:rsidP="00487FD7">
      <w:pPr>
        <w:spacing w:line="360" w:lineRule="auto"/>
        <w:jc w:val="both"/>
        <w:rPr>
          <w:rFonts w:ascii="Arial" w:hAnsi="Arial" w:cs="Arial"/>
          <w:sz w:val="24"/>
          <w:szCs w:val="24"/>
        </w:rPr>
      </w:pPr>
      <w:r w:rsidRPr="00487FD7">
        <w:rPr>
          <w:rFonts w:ascii="Arial" w:hAnsi="Arial" w:cs="Arial"/>
          <w:sz w:val="24"/>
          <w:szCs w:val="24"/>
        </w:rPr>
        <w:t xml:space="preserve">The competitive advantage in the hospitality industry is largely driven by service quality and customer experience, both of which Hilton excels at thanks to its strategic human resource practices. The brand's emphasis on developing a skilled, motivated, and engaged workforce ensures that guests receive personalised and high-quality service, further reinforcing Hilton's reputation for excellence. Furthermore, Hilton's HR practices are designed to adapt to the market's changing needs, allowing the brand to innovate and </w:t>
      </w:r>
      <w:r w:rsidRPr="00487FD7">
        <w:rPr>
          <w:rFonts w:ascii="Arial" w:hAnsi="Arial" w:cs="Arial"/>
          <w:sz w:val="24"/>
          <w:szCs w:val="24"/>
        </w:rPr>
        <w:lastRenderedPageBreak/>
        <w:t>respond to emerging trends effectively. This agility is critical for Hilton's ability to maintain its industry leadership position (Zhang, 2023).</w:t>
      </w:r>
    </w:p>
    <w:p w14:paraId="4DF82186" w14:textId="77777777" w:rsidR="00487FD7" w:rsidRDefault="00487FD7" w:rsidP="00487FD7">
      <w:pPr>
        <w:spacing w:line="360" w:lineRule="auto"/>
        <w:jc w:val="both"/>
        <w:rPr>
          <w:rFonts w:ascii="Arial" w:hAnsi="Arial" w:cs="Arial"/>
          <w:b/>
          <w:bCs/>
          <w:sz w:val="24"/>
          <w:szCs w:val="24"/>
        </w:rPr>
      </w:pPr>
    </w:p>
    <w:p w14:paraId="15ED63B7" w14:textId="2807CAB4" w:rsidR="00342FD6" w:rsidRPr="00487FD7" w:rsidRDefault="00342FD6" w:rsidP="00487FD7">
      <w:pPr>
        <w:spacing w:line="360" w:lineRule="auto"/>
        <w:jc w:val="both"/>
        <w:rPr>
          <w:rFonts w:ascii="Arial" w:hAnsi="Arial" w:cs="Arial"/>
          <w:sz w:val="24"/>
          <w:szCs w:val="24"/>
        </w:rPr>
      </w:pPr>
      <w:r w:rsidRPr="00487FD7">
        <w:rPr>
          <w:rFonts w:ascii="Arial" w:hAnsi="Arial" w:cs="Arial"/>
          <w:sz w:val="24"/>
          <w:szCs w:val="24"/>
        </w:rPr>
        <w:t>The book Lenox (2023) presents Hilton Hotels' strategic HR planning process as evidence of the company's meticulous approach to aligning HR functions with broader business goals, ensuring the brand's position as a hospitality industry leader. Labour demand forecasting is central to this alignment, as Hilton uses advanced data analytics to anticipate staffing needs, ensuring that each property is optimally staffed to deliver exceptional service while avoiding unnecessary costs. This predictive approach is particularly significant in an industry with seasonal demand fluctuations and variable guest occupancy rates.</w:t>
      </w:r>
    </w:p>
    <w:p w14:paraId="1D6B4C9D" w14:textId="4F1714EF" w:rsidR="009F52C2" w:rsidRPr="009F52C2" w:rsidRDefault="00342FD6" w:rsidP="00487FD7">
      <w:pPr>
        <w:spacing w:line="360" w:lineRule="auto"/>
        <w:jc w:val="both"/>
        <w:rPr>
          <w:rFonts w:ascii="Arial" w:hAnsi="Arial" w:cs="Arial"/>
          <w:sz w:val="24"/>
          <w:szCs w:val="24"/>
        </w:rPr>
      </w:pPr>
      <w:r w:rsidRPr="00487FD7">
        <w:rPr>
          <w:rFonts w:ascii="Arial" w:hAnsi="Arial" w:cs="Arial"/>
          <w:sz w:val="24"/>
          <w:szCs w:val="24"/>
        </w:rPr>
        <w:t>The emphasis on market expansion and improved customer service demonstrates how HR goals are integrated with Hilton's strategic business objectives. For example, Hilton's commitment to expanding its global footprint is strengthened by HR initiatives aimed at developing a culturally diverse and adaptable workforce capable of delivering Hilton's signature hospitality across multiple regions. This workforce planning is about more than just filling positions; it's about building a team that embodies the brand's values and service commitment, directly contributing to Hilton's market presence and brand reputation (Ahmad, 2015).</w:t>
      </w:r>
    </w:p>
    <w:p w14:paraId="5CBC8F8D" w14:textId="77777777" w:rsidR="00E549BD" w:rsidRPr="00487FD7" w:rsidRDefault="00E549BD" w:rsidP="00487FD7">
      <w:pPr>
        <w:spacing w:line="360" w:lineRule="auto"/>
        <w:jc w:val="both"/>
        <w:rPr>
          <w:rFonts w:ascii="Arial" w:hAnsi="Arial" w:cs="Arial"/>
          <w:sz w:val="24"/>
          <w:szCs w:val="24"/>
        </w:rPr>
      </w:pPr>
      <w:r w:rsidRPr="00487FD7">
        <w:rPr>
          <w:rFonts w:ascii="Arial" w:hAnsi="Arial" w:cs="Arial"/>
          <w:sz w:val="24"/>
          <w:szCs w:val="24"/>
        </w:rPr>
        <w:t>According to Ashdown (2018), Hilton's HR programme implementation includes a variety of initiatives with the goal of promoting business growth and employee engagement. A notable example is the Hilton Academy, a comprehensive training and development platform that provides employees with a path for advancement within the company. According to Xu et al. (2018), this initiative not only improves the workforce's skill set but also serves as a retention tool, lowering turnover rates and developing a loyal, experienced team. According to Urquhart et al. (2018), leadership development programmes are critical for preparing employees for managerial roles and ensuring a pipeline of skilled leaders capable of driving Hilton's growth in new and existing markets.</w:t>
      </w:r>
    </w:p>
    <w:p w14:paraId="06DA68A4" w14:textId="48DBF33B" w:rsidR="009F52C2" w:rsidRPr="009F52C2" w:rsidRDefault="00E549BD" w:rsidP="00487FD7">
      <w:pPr>
        <w:spacing w:line="360" w:lineRule="auto"/>
        <w:jc w:val="both"/>
        <w:rPr>
          <w:rFonts w:ascii="Arial" w:hAnsi="Arial" w:cs="Arial"/>
          <w:sz w:val="24"/>
          <w:szCs w:val="24"/>
        </w:rPr>
      </w:pPr>
      <w:r w:rsidRPr="00487FD7">
        <w:rPr>
          <w:rFonts w:ascii="Arial" w:hAnsi="Arial" w:cs="Arial"/>
          <w:sz w:val="24"/>
          <w:szCs w:val="24"/>
        </w:rPr>
        <w:lastRenderedPageBreak/>
        <w:t xml:space="preserve">Furthermore, Hilton's HR strategy </w:t>
      </w:r>
      <w:proofErr w:type="spellStart"/>
      <w:r w:rsidRPr="00487FD7">
        <w:rPr>
          <w:rFonts w:ascii="Arial" w:hAnsi="Arial" w:cs="Arial"/>
          <w:sz w:val="24"/>
          <w:szCs w:val="24"/>
        </w:rPr>
        <w:t>prioritises</w:t>
      </w:r>
      <w:proofErr w:type="spellEnd"/>
      <w:r w:rsidRPr="00487FD7">
        <w:rPr>
          <w:rFonts w:ascii="Arial" w:hAnsi="Arial" w:cs="Arial"/>
          <w:sz w:val="24"/>
          <w:szCs w:val="24"/>
        </w:rPr>
        <w:t xml:space="preserve"> employee satisfaction and well-being. Initiatives intended for creating a supportive work environment, such as wellness programmes, flexible working arrangements, and recognition schemes, demonstrate Hilton's view of its employees as key stakeholders. By investing in the well-being of its team members, Hilton not only improves employee satisfaction but also drives higher levels of service excellence, which directly impacts guest experiences and loyalty as Ashdown (2018) states in his work.</w:t>
      </w:r>
    </w:p>
    <w:p w14:paraId="4119DCCA" w14:textId="77777777" w:rsidR="009A3BE6" w:rsidRPr="00487FD7" w:rsidRDefault="009A3BE6" w:rsidP="00487FD7">
      <w:pPr>
        <w:spacing w:line="360" w:lineRule="auto"/>
        <w:jc w:val="both"/>
        <w:rPr>
          <w:rFonts w:ascii="Arial" w:hAnsi="Arial" w:cs="Arial"/>
          <w:sz w:val="24"/>
          <w:szCs w:val="24"/>
        </w:rPr>
      </w:pPr>
      <w:r w:rsidRPr="00487FD7">
        <w:rPr>
          <w:rFonts w:ascii="Arial" w:hAnsi="Arial" w:cs="Arial"/>
          <w:sz w:val="24"/>
          <w:szCs w:val="24"/>
        </w:rPr>
        <w:t>According to Lenox's (2023) study, these strategic HR practices demonstrate Hilton's understanding that a well-managed, satisfied, and skilled workforce is critical to maintaining a competitive advantage in the hospitality industry. By aligning HR strategies with overarching business objectives, Hilton ensures that human capital is more than just a support function, but a strategic asset driving the brand's success and resilience in a changing industry landscape.</w:t>
      </w:r>
    </w:p>
    <w:p w14:paraId="23053ED2" w14:textId="77777777" w:rsidR="00487FD7" w:rsidRDefault="00487FD7" w:rsidP="00487FD7">
      <w:pPr>
        <w:spacing w:line="360" w:lineRule="auto"/>
        <w:jc w:val="both"/>
        <w:rPr>
          <w:rFonts w:ascii="Arial" w:hAnsi="Arial" w:cs="Arial"/>
          <w:b/>
          <w:bCs/>
          <w:sz w:val="24"/>
          <w:szCs w:val="24"/>
        </w:rPr>
      </w:pPr>
    </w:p>
    <w:p w14:paraId="1FD82F25" w14:textId="05D6F86E" w:rsidR="00E07583" w:rsidRPr="00487FD7" w:rsidRDefault="00E07583" w:rsidP="00487FD7">
      <w:pPr>
        <w:spacing w:line="360" w:lineRule="auto"/>
        <w:jc w:val="both"/>
        <w:rPr>
          <w:rFonts w:ascii="Arial" w:hAnsi="Arial" w:cs="Arial"/>
          <w:sz w:val="24"/>
          <w:szCs w:val="24"/>
        </w:rPr>
      </w:pPr>
      <w:r w:rsidRPr="00487FD7">
        <w:rPr>
          <w:rFonts w:ascii="Arial" w:hAnsi="Arial" w:cs="Arial"/>
          <w:sz w:val="24"/>
          <w:szCs w:val="24"/>
        </w:rPr>
        <w:t>Hilton's recruitment and selection process is well-structured and designed to closely align with the company's strategic business goals, particularly in the areas of business development and market expansion. The recruitment process at Hilton begins with detailed job postings that not only outline the specific requirements of each role but also reflect the company's renowned culture and service ethos. These postings are strategically disseminated across multiple platforms, including Hilton's own career site, online job boards, and social media, to ensure a diverse applicant pool (</w:t>
      </w:r>
      <w:proofErr w:type="spellStart"/>
      <w:r w:rsidRPr="00487FD7">
        <w:rPr>
          <w:rFonts w:ascii="Arial" w:hAnsi="Arial" w:cs="Arial"/>
          <w:sz w:val="24"/>
          <w:szCs w:val="24"/>
        </w:rPr>
        <w:t>Erbakanova</w:t>
      </w:r>
      <w:proofErr w:type="spellEnd"/>
      <w:r w:rsidRPr="00487FD7">
        <w:rPr>
          <w:rFonts w:ascii="Arial" w:hAnsi="Arial" w:cs="Arial"/>
          <w:sz w:val="24"/>
          <w:szCs w:val="24"/>
        </w:rPr>
        <w:t>, 2016).</w:t>
      </w:r>
    </w:p>
    <w:p w14:paraId="10416C63" w14:textId="43956480" w:rsidR="009F52C2" w:rsidRPr="009F52C2" w:rsidRDefault="00E07583" w:rsidP="00487FD7">
      <w:pPr>
        <w:spacing w:line="360" w:lineRule="auto"/>
        <w:jc w:val="both"/>
        <w:rPr>
          <w:rFonts w:ascii="Arial" w:hAnsi="Arial" w:cs="Arial"/>
          <w:sz w:val="24"/>
          <w:szCs w:val="24"/>
        </w:rPr>
      </w:pPr>
      <w:r w:rsidRPr="00487FD7">
        <w:rPr>
          <w:rFonts w:ascii="Arial" w:hAnsi="Arial" w:cs="Arial"/>
          <w:sz w:val="24"/>
          <w:szCs w:val="24"/>
        </w:rPr>
        <w:t>Hilton's screening process is meticulously designed to filter candidates not only based on their professional qualifications and experiences, but also on their ability to connect with and contribute to the company's unique culture. This process consists of a series of steps, beginning with resume screening and progressing to preliminary interviews, which are frequently conducted over the phone or digitally to assess the candidate's communication skills and initial fit. The process progresses to more in-depth behavioural interviews, which are intended to elicit the candidate's problem-solving abilities, customer service orientation, and overall alignment with Hilton's core values (Kilson, 2022).</w:t>
      </w:r>
    </w:p>
    <w:p w14:paraId="0B21BD0F" w14:textId="77777777" w:rsidR="008513B9" w:rsidRPr="00487FD7" w:rsidRDefault="008513B9" w:rsidP="00487FD7">
      <w:pPr>
        <w:spacing w:line="360" w:lineRule="auto"/>
        <w:jc w:val="both"/>
        <w:rPr>
          <w:rFonts w:ascii="Arial" w:hAnsi="Arial" w:cs="Arial"/>
          <w:sz w:val="24"/>
          <w:szCs w:val="24"/>
        </w:rPr>
      </w:pPr>
      <w:r w:rsidRPr="00487FD7">
        <w:rPr>
          <w:rFonts w:ascii="Arial" w:hAnsi="Arial" w:cs="Arial"/>
          <w:sz w:val="24"/>
          <w:szCs w:val="24"/>
        </w:rPr>
        <w:lastRenderedPageBreak/>
        <w:t xml:space="preserve">According to Sealy et al. (2023), Hilton places a high value on cultural fit during the hiring process, </w:t>
      </w:r>
      <w:proofErr w:type="spellStart"/>
      <w:r w:rsidRPr="00487FD7">
        <w:rPr>
          <w:rFonts w:ascii="Arial" w:hAnsi="Arial" w:cs="Arial"/>
          <w:sz w:val="24"/>
          <w:szCs w:val="24"/>
        </w:rPr>
        <w:t>recognising</w:t>
      </w:r>
      <w:proofErr w:type="spellEnd"/>
      <w:r w:rsidRPr="00487FD7">
        <w:rPr>
          <w:rFonts w:ascii="Arial" w:hAnsi="Arial" w:cs="Arial"/>
          <w:sz w:val="24"/>
          <w:szCs w:val="24"/>
        </w:rPr>
        <w:t xml:space="preserve"> that employees who represent the company's values are critical to preserving its legacy of hospitality excellence. This emphasis on cultural congruence ensures that the selected candidates are not only capable of performing their job duties effectively but also play an important role in perpetuating the Hilton ethos, thereby improving the guest </w:t>
      </w:r>
      <w:proofErr w:type="gramStart"/>
      <w:r w:rsidRPr="00487FD7">
        <w:rPr>
          <w:rFonts w:ascii="Arial" w:hAnsi="Arial" w:cs="Arial"/>
          <w:sz w:val="24"/>
          <w:szCs w:val="24"/>
        </w:rPr>
        <w:t>experience</w:t>
      </w:r>
      <w:proofErr w:type="gramEnd"/>
      <w:r w:rsidRPr="00487FD7">
        <w:rPr>
          <w:rFonts w:ascii="Arial" w:hAnsi="Arial" w:cs="Arial"/>
          <w:sz w:val="24"/>
          <w:szCs w:val="24"/>
        </w:rPr>
        <w:t xml:space="preserve"> and contributing to Hilton's esteemed reputation in the hospitality industry.</w:t>
      </w:r>
    </w:p>
    <w:p w14:paraId="50C74250" w14:textId="6E424AB9" w:rsidR="008513B9" w:rsidRPr="00487FD7" w:rsidRDefault="008513B9" w:rsidP="00487FD7">
      <w:pPr>
        <w:spacing w:line="360" w:lineRule="auto"/>
        <w:jc w:val="both"/>
        <w:rPr>
          <w:rFonts w:ascii="Arial" w:hAnsi="Arial" w:cs="Arial"/>
          <w:sz w:val="24"/>
          <w:szCs w:val="24"/>
        </w:rPr>
      </w:pPr>
      <w:r w:rsidRPr="00487FD7">
        <w:rPr>
          <w:rFonts w:ascii="Arial" w:hAnsi="Arial" w:cs="Arial"/>
          <w:sz w:val="24"/>
          <w:szCs w:val="24"/>
        </w:rPr>
        <w:t xml:space="preserve">According to Hassanein and </w:t>
      </w:r>
      <w:proofErr w:type="spellStart"/>
      <w:r w:rsidRPr="00487FD7">
        <w:rPr>
          <w:rFonts w:ascii="Arial" w:hAnsi="Arial" w:cs="Arial"/>
          <w:sz w:val="24"/>
          <w:szCs w:val="24"/>
        </w:rPr>
        <w:t>Ozgit's</w:t>
      </w:r>
      <w:proofErr w:type="spellEnd"/>
      <w:r w:rsidRPr="00487FD7">
        <w:rPr>
          <w:rFonts w:ascii="Arial" w:hAnsi="Arial" w:cs="Arial"/>
          <w:sz w:val="24"/>
          <w:szCs w:val="24"/>
        </w:rPr>
        <w:t xml:space="preserve"> (2022) study, the impact of Hilton's recruitment and selection strategies goes far beyond filling vacancies. The study demonstrates that these strategies are critical to Hilton's overall business development goals and market expansion efforts. By carefully selecting individuals who are not only skilled but also culturally aligned, Hilton ensures that its workforce is prepared to uphold and spread the brand's standards of excellence across all touchpoints. Ruiter (2021) defines strategic alignment between HR practices and business objectives as the creation of a cohesive, motivated, and high-performing team that is critical to Hilton's continued growth, innovation, and competitive advantage in the global hospitality market.</w:t>
      </w:r>
    </w:p>
    <w:p w14:paraId="441EB7FA" w14:textId="2DA9D994" w:rsidR="00BE568F" w:rsidRPr="00487FD7" w:rsidRDefault="008513B9" w:rsidP="00487FD7">
      <w:pPr>
        <w:spacing w:line="360" w:lineRule="auto"/>
        <w:jc w:val="both"/>
        <w:rPr>
          <w:rFonts w:ascii="Arial" w:hAnsi="Arial" w:cs="Arial"/>
          <w:sz w:val="24"/>
          <w:szCs w:val="24"/>
        </w:rPr>
      </w:pPr>
      <w:r w:rsidRPr="00487FD7">
        <w:rPr>
          <w:rFonts w:ascii="Arial" w:hAnsi="Arial" w:cs="Arial"/>
          <w:sz w:val="24"/>
          <w:szCs w:val="24"/>
        </w:rPr>
        <w:t xml:space="preserve">According to Zientara et al. (2020), Hilton's commitment to developing a culturally cohesive and strategically aligned workforce demonstrates its foresight in </w:t>
      </w:r>
      <w:proofErr w:type="spellStart"/>
      <w:r w:rsidRPr="00487FD7">
        <w:rPr>
          <w:rFonts w:ascii="Arial" w:hAnsi="Arial" w:cs="Arial"/>
          <w:sz w:val="24"/>
          <w:szCs w:val="24"/>
        </w:rPr>
        <w:t>recognising</w:t>
      </w:r>
      <w:proofErr w:type="spellEnd"/>
      <w:r w:rsidRPr="00487FD7">
        <w:rPr>
          <w:rFonts w:ascii="Arial" w:hAnsi="Arial" w:cs="Arial"/>
          <w:sz w:val="24"/>
          <w:szCs w:val="24"/>
        </w:rPr>
        <w:t xml:space="preserve"> human capital as a key driver of business success. The company's rigorous recruitment and selection process not only improves operational efficiency but also solidifies its position as a hospitality industry leader capable of adapting to changing market landscapes and exceeding guest expectations around the world.</w:t>
      </w:r>
    </w:p>
    <w:p w14:paraId="2E233024" w14:textId="77777777" w:rsidR="00B117C1" w:rsidRPr="00487FD7" w:rsidRDefault="00B117C1" w:rsidP="00487FD7">
      <w:pPr>
        <w:spacing w:line="360" w:lineRule="auto"/>
        <w:jc w:val="both"/>
        <w:rPr>
          <w:rFonts w:ascii="Arial" w:hAnsi="Arial" w:cs="Arial"/>
          <w:b/>
          <w:bCs/>
          <w:sz w:val="24"/>
          <w:szCs w:val="24"/>
        </w:rPr>
      </w:pPr>
    </w:p>
    <w:p w14:paraId="76551F70" w14:textId="61E520AB" w:rsidR="009F52C2" w:rsidRPr="009F52C2" w:rsidRDefault="00B117C1" w:rsidP="00487FD7">
      <w:pPr>
        <w:spacing w:line="360" w:lineRule="auto"/>
        <w:jc w:val="both"/>
        <w:rPr>
          <w:rFonts w:ascii="Arial" w:hAnsi="Arial" w:cs="Arial"/>
          <w:sz w:val="24"/>
          <w:szCs w:val="24"/>
        </w:rPr>
      </w:pPr>
      <w:r w:rsidRPr="00487FD7">
        <w:rPr>
          <w:rFonts w:ascii="Arial" w:hAnsi="Arial" w:cs="Arial"/>
          <w:sz w:val="24"/>
          <w:szCs w:val="24"/>
        </w:rPr>
        <w:t xml:space="preserve">To </w:t>
      </w:r>
      <w:proofErr w:type="spellStart"/>
      <w:r w:rsidRPr="00487FD7">
        <w:rPr>
          <w:rFonts w:ascii="Arial" w:hAnsi="Arial" w:cs="Arial"/>
          <w:sz w:val="24"/>
          <w:szCs w:val="24"/>
        </w:rPr>
        <w:t>summarise</w:t>
      </w:r>
      <w:proofErr w:type="spellEnd"/>
      <w:r w:rsidRPr="00487FD7">
        <w:rPr>
          <w:rFonts w:ascii="Arial" w:hAnsi="Arial" w:cs="Arial"/>
          <w:sz w:val="24"/>
          <w:szCs w:val="24"/>
        </w:rPr>
        <w:t xml:space="preserve">, Hilton Hotels' strategic HRM approach demonstrates the critical role of human resources in achieving business excellence in the hospitality industry. By aligning HR practices with overarching business objectives, Hilton has successfully developed a workforce that not only meets operational needs but also embodies the brand's core values. Hilton's rigorous recruitment and selection processes, which </w:t>
      </w:r>
      <w:proofErr w:type="spellStart"/>
      <w:r w:rsidRPr="00487FD7">
        <w:rPr>
          <w:rFonts w:ascii="Arial" w:hAnsi="Arial" w:cs="Arial"/>
          <w:sz w:val="24"/>
          <w:szCs w:val="24"/>
        </w:rPr>
        <w:t>prioritise</w:t>
      </w:r>
      <w:proofErr w:type="spellEnd"/>
      <w:r w:rsidRPr="00487FD7">
        <w:rPr>
          <w:rFonts w:ascii="Arial" w:hAnsi="Arial" w:cs="Arial"/>
          <w:sz w:val="24"/>
          <w:szCs w:val="24"/>
        </w:rPr>
        <w:t xml:space="preserve"> cultural fit and diversity, ensure that the company's team is well-equipped to provide exceptional guest experiences. This strategic alignment of HR objectives and business development </w:t>
      </w:r>
      <w:r w:rsidRPr="00487FD7">
        <w:rPr>
          <w:rFonts w:ascii="Arial" w:hAnsi="Arial" w:cs="Arial"/>
          <w:sz w:val="24"/>
          <w:szCs w:val="24"/>
        </w:rPr>
        <w:lastRenderedPageBreak/>
        <w:t>strategies has helped Hilton grow and maintain its market leadership. The brand's commitment to employee development and satisfaction strengthens its competitive advantage, demonstrating that a well-managed, motivated workforce is essential for long-term success in the dynamic hospitality industry. Hilton's HRM strategy serves as a model for excellence, demonstrating the transformative power of strategic human resource management in fostering innovation, increasing guest satisfaction, and achieving long-term business objectives.</w:t>
      </w:r>
    </w:p>
    <w:p w14:paraId="3AA40778" w14:textId="77777777" w:rsidR="009F52C2" w:rsidRPr="009F52C2" w:rsidRDefault="009F52C2" w:rsidP="00487FD7">
      <w:pPr>
        <w:spacing w:line="360" w:lineRule="auto"/>
        <w:jc w:val="both"/>
        <w:rPr>
          <w:rFonts w:ascii="Arial" w:hAnsi="Arial" w:cs="Arial"/>
          <w:sz w:val="24"/>
          <w:szCs w:val="24"/>
        </w:rPr>
      </w:pPr>
    </w:p>
    <w:p w14:paraId="41BF6321" w14:textId="77777777" w:rsidR="009F52C2" w:rsidRPr="009F52C2" w:rsidRDefault="009F52C2" w:rsidP="00487FD7">
      <w:pPr>
        <w:spacing w:line="360" w:lineRule="auto"/>
        <w:jc w:val="both"/>
        <w:rPr>
          <w:rFonts w:ascii="Arial" w:hAnsi="Arial" w:cs="Arial"/>
          <w:sz w:val="24"/>
          <w:szCs w:val="24"/>
        </w:rPr>
      </w:pPr>
    </w:p>
    <w:p w14:paraId="664ACF57" w14:textId="77777777" w:rsidR="009F52C2" w:rsidRPr="009F52C2" w:rsidRDefault="009F52C2" w:rsidP="00487FD7">
      <w:pPr>
        <w:spacing w:line="360" w:lineRule="auto"/>
        <w:jc w:val="both"/>
        <w:rPr>
          <w:rFonts w:ascii="Arial" w:hAnsi="Arial" w:cs="Arial"/>
          <w:sz w:val="24"/>
          <w:szCs w:val="24"/>
        </w:rPr>
      </w:pPr>
    </w:p>
    <w:p w14:paraId="5F011B17" w14:textId="77777777" w:rsidR="009F52C2" w:rsidRPr="009F52C2" w:rsidRDefault="009F52C2" w:rsidP="00487FD7">
      <w:pPr>
        <w:spacing w:line="360" w:lineRule="auto"/>
        <w:jc w:val="both"/>
        <w:rPr>
          <w:rFonts w:ascii="Arial" w:hAnsi="Arial" w:cs="Arial"/>
          <w:sz w:val="24"/>
          <w:szCs w:val="24"/>
        </w:rPr>
      </w:pPr>
    </w:p>
    <w:p w14:paraId="48791D11" w14:textId="77777777" w:rsidR="009F52C2" w:rsidRPr="009F52C2" w:rsidRDefault="009F52C2" w:rsidP="00487FD7">
      <w:pPr>
        <w:spacing w:line="360" w:lineRule="auto"/>
        <w:jc w:val="both"/>
        <w:rPr>
          <w:rFonts w:ascii="Arial" w:hAnsi="Arial" w:cs="Arial"/>
          <w:sz w:val="24"/>
          <w:szCs w:val="24"/>
        </w:rPr>
      </w:pPr>
    </w:p>
    <w:p w14:paraId="695CFB9A" w14:textId="77777777" w:rsidR="009F52C2" w:rsidRPr="009F52C2" w:rsidRDefault="009F52C2" w:rsidP="00487FD7">
      <w:pPr>
        <w:spacing w:line="360" w:lineRule="auto"/>
        <w:jc w:val="both"/>
        <w:rPr>
          <w:rFonts w:ascii="Arial" w:hAnsi="Arial" w:cs="Arial"/>
          <w:sz w:val="24"/>
          <w:szCs w:val="24"/>
        </w:rPr>
      </w:pPr>
    </w:p>
    <w:p w14:paraId="2F2D2866" w14:textId="77777777" w:rsidR="009F52C2" w:rsidRPr="009F52C2" w:rsidRDefault="009F52C2" w:rsidP="00487FD7">
      <w:pPr>
        <w:spacing w:line="360" w:lineRule="auto"/>
        <w:jc w:val="both"/>
        <w:rPr>
          <w:rFonts w:ascii="Arial" w:hAnsi="Arial" w:cs="Arial"/>
          <w:sz w:val="24"/>
          <w:szCs w:val="24"/>
        </w:rPr>
      </w:pPr>
    </w:p>
    <w:p w14:paraId="7273A8A5" w14:textId="77777777" w:rsidR="009F52C2" w:rsidRPr="009F52C2" w:rsidRDefault="009F52C2" w:rsidP="00487FD7">
      <w:pPr>
        <w:spacing w:line="360" w:lineRule="auto"/>
        <w:jc w:val="both"/>
        <w:rPr>
          <w:rFonts w:ascii="Arial" w:hAnsi="Arial" w:cs="Arial"/>
          <w:sz w:val="24"/>
          <w:szCs w:val="24"/>
        </w:rPr>
      </w:pPr>
    </w:p>
    <w:p w14:paraId="5A19A8BE" w14:textId="77777777" w:rsidR="009F52C2" w:rsidRPr="009F52C2" w:rsidRDefault="009F52C2" w:rsidP="00487FD7">
      <w:pPr>
        <w:spacing w:line="360" w:lineRule="auto"/>
        <w:jc w:val="both"/>
        <w:rPr>
          <w:rFonts w:ascii="Arial" w:hAnsi="Arial" w:cs="Arial"/>
          <w:sz w:val="24"/>
          <w:szCs w:val="24"/>
        </w:rPr>
      </w:pPr>
    </w:p>
    <w:p w14:paraId="256B62F5" w14:textId="77777777" w:rsidR="009F52C2" w:rsidRPr="009F52C2" w:rsidRDefault="009F52C2" w:rsidP="00487FD7">
      <w:pPr>
        <w:spacing w:line="360" w:lineRule="auto"/>
        <w:jc w:val="both"/>
        <w:rPr>
          <w:rFonts w:ascii="Arial" w:hAnsi="Arial" w:cs="Arial"/>
          <w:sz w:val="24"/>
          <w:szCs w:val="24"/>
        </w:rPr>
      </w:pPr>
    </w:p>
    <w:p w14:paraId="23C013FE" w14:textId="77777777" w:rsidR="009F52C2" w:rsidRPr="009F52C2" w:rsidRDefault="009F52C2" w:rsidP="00487FD7">
      <w:pPr>
        <w:spacing w:line="360" w:lineRule="auto"/>
        <w:jc w:val="both"/>
        <w:rPr>
          <w:rFonts w:ascii="Arial" w:hAnsi="Arial" w:cs="Arial"/>
          <w:sz w:val="24"/>
          <w:szCs w:val="24"/>
        </w:rPr>
      </w:pPr>
    </w:p>
    <w:p w14:paraId="1ACBB996" w14:textId="77777777" w:rsidR="009F52C2" w:rsidRPr="009F52C2" w:rsidRDefault="009F52C2" w:rsidP="00487FD7">
      <w:pPr>
        <w:spacing w:line="360" w:lineRule="auto"/>
        <w:jc w:val="both"/>
        <w:rPr>
          <w:rFonts w:ascii="Arial" w:hAnsi="Arial" w:cs="Arial"/>
          <w:sz w:val="24"/>
          <w:szCs w:val="24"/>
        </w:rPr>
      </w:pPr>
    </w:p>
    <w:p w14:paraId="149B7FD1" w14:textId="77777777" w:rsidR="009F52C2" w:rsidRPr="009F52C2" w:rsidRDefault="009F52C2" w:rsidP="00487FD7">
      <w:pPr>
        <w:spacing w:line="360" w:lineRule="auto"/>
        <w:jc w:val="both"/>
        <w:rPr>
          <w:rFonts w:ascii="Arial" w:hAnsi="Arial" w:cs="Arial"/>
          <w:sz w:val="24"/>
          <w:szCs w:val="24"/>
        </w:rPr>
      </w:pPr>
    </w:p>
    <w:p w14:paraId="2C8343FA" w14:textId="77777777" w:rsidR="009F52C2" w:rsidRPr="009F52C2" w:rsidRDefault="009F52C2" w:rsidP="00487FD7">
      <w:pPr>
        <w:spacing w:line="360" w:lineRule="auto"/>
        <w:jc w:val="both"/>
        <w:rPr>
          <w:rFonts w:ascii="Arial" w:hAnsi="Arial" w:cs="Arial"/>
          <w:sz w:val="24"/>
          <w:szCs w:val="24"/>
        </w:rPr>
      </w:pPr>
    </w:p>
    <w:p w14:paraId="42D3997F" w14:textId="77777777" w:rsidR="009F52C2" w:rsidRPr="009F52C2" w:rsidRDefault="009F52C2" w:rsidP="00487FD7">
      <w:pPr>
        <w:spacing w:line="360" w:lineRule="auto"/>
        <w:jc w:val="both"/>
        <w:rPr>
          <w:rFonts w:ascii="Arial" w:hAnsi="Arial" w:cs="Arial"/>
          <w:sz w:val="24"/>
          <w:szCs w:val="24"/>
        </w:rPr>
      </w:pPr>
    </w:p>
    <w:p w14:paraId="4AB48882" w14:textId="77777777" w:rsidR="009F52C2" w:rsidRPr="009F52C2" w:rsidRDefault="009F52C2" w:rsidP="00487FD7">
      <w:pPr>
        <w:spacing w:line="360" w:lineRule="auto"/>
        <w:jc w:val="both"/>
        <w:rPr>
          <w:rFonts w:ascii="Arial" w:hAnsi="Arial" w:cs="Arial"/>
          <w:sz w:val="24"/>
          <w:szCs w:val="24"/>
        </w:rPr>
      </w:pPr>
    </w:p>
    <w:p w14:paraId="0AE5C83C" w14:textId="77777777" w:rsidR="009F52C2" w:rsidRPr="009F52C2" w:rsidRDefault="009F52C2" w:rsidP="00487FD7">
      <w:pPr>
        <w:spacing w:line="360" w:lineRule="auto"/>
        <w:jc w:val="both"/>
        <w:rPr>
          <w:rFonts w:ascii="Arial" w:hAnsi="Arial" w:cs="Arial"/>
          <w:sz w:val="24"/>
          <w:szCs w:val="24"/>
        </w:rPr>
      </w:pPr>
    </w:p>
    <w:p w14:paraId="15C09458" w14:textId="77777777" w:rsidR="009F52C2" w:rsidRPr="009F52C2" w:rsidRDefault="009F52C2" w:rsidP="00487FD7">
      <w:pPr>
        <w:spacing w:line="360" w:lineRule="auto"/>
        <w:jc w:val="both"/>
        <w:rPr>
          <w:rFonts w:ascii="Arial" w:hAnsi="Arial" w:cs="Arial"/>
          <w:b/>
          <w:bCs/>
          <w:sz w:val="24"/>
          <w:szCs w:val="24"/>
        </w:rPr>
      </w:pPr>
      <w:bookmarkStart w:id="0" w:name="_Hlk154890174"/>
      <w:r w:rsidRPr="009F52C2">
        <w:rPr>
          <w:rFonts w:ascii="Arial" w:hAnsi="Arial" w:cs="Arial"/>
          <w:b/>
          <w:bCs/>
          <w:sz w:val="24"/>
          <w:szCs w:val="24"/>
        </w:rPr>
        <w:lastRenderedPageBreak/>
        <w:t>References</w:t>
      </w:r>
    </w:p>
    <w:bookmarkEnd w:id="0"/>
    <w:p w14:paraId="1807C3FF"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Ahmad, S., 2015. Green human resource management: Policies and practices. Cogent business &amp; management, 2(1), p.1030817. </w:t>
      </w:r>
      <w:hyperlink r:id="rId8" w:history="1">
        <w:r w:rsidRPr="009F52C2">
          <w:rPr>
            <w:rStyle w:val="Hyperlink"/>
            <w:rFonts w:ascii="Arial" w:hAnsi="Arial" w:cs="Arial"/>
            <w:sz w:val="24"/>
            <w:szCs w:val="24"/>
          </w:rPr>
          <w:t>https://www.tandfonline.com/doi/pdf/10.1080/23311975.2015.1030817</w:t>
        </w:r>
      </w:hyperlink>
      <w:r w:rsidRPr="009F52C2">
        <w:rPr>
          <w:rFonts w:ascii="Arial" w:hAnsi="Arial" w:cs="Arial"/>
          <w:sz w:val="24"/>
          <w:szCs w:val="24"/>
        </w:rPr>
        <w:t xml:space="preserve"> </w:t>
      </w:r>
    </w:p>
    <w:p w14:paraId="7CF6C0CF"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Ashdown, L., 2018. Performance Management: A practical introduction (Vol. 16). Kogan Page Publishers. </w:t>
      </w:r>
      <w:hyperlink r:id="rId9" w:history="1">
        <w:r w:rsidRPr="009F52C2">
          <w:rPr>
            <w:rStyle w:val="Hyperlink"/>
            <w:rFonts w:ascii="Arial" w:hAnsi="Arial" w:cs="Arial"/>
            <w:sz w:val="24"/>
            <w:szCs w:val="24"/>
          </w:rPr>
          <w:t>https://www.google.com/books?hl=en&amp;lr=&amp;id=cQVrDwAAQBAJ&amp;oi=fnd&amp;pg=PP1&amp;dq=A+notable+example+is+the+Hilton+Academy,+a+comprehensive+training+and+development+platform+that+offers+employees+a+path+for+career+progression+within+the+company.&amp;ots=deuCFMCoDR&amp;sig=pxiUBn4hCNbJgzR2uB_ptTekcLo</w:t>
        </w:r>
      </w:hyperlink>
      <w:r w:rsidRPr="009F52C2">
        <w:rPr>
          <w:rFonts w:ascii="Arial" w:hAnsi="Arial" w:cs="Arial"/>
          <w:sz w:val="24"/>
          <w:szCs w:val="24"/>
        </w:rPr>
        <w:t xml:space="preserve"> </w:t>
      </w:r>
    </w:p>
    <w:p w14:paraId="214FC7BA" w14:textId="4CD3E85A"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Bailey, C., Mankin, D., Kelliher, C. and </w:t>
      </w:r>
      <w:proofErr w:type="spellStart"/>
      <w:r w:rsidRPr="009F52C2">
        <w:rPr>
          <w:rFonts w:ascii="Arial" w:hAnsi="Arial" w:cs="Arial"/>
          <w:sz w:val="24"/>
          <w:szCs w:val="24"/>
        </w:rPr>
        <w:t>Garavan</w:t>
      </w:r>
      <w:proofErr w:type="spellEnd"/>
      <w:r w:rsidRPr="009F52C2">
        <w:rPr>
          <w:rFonts w:ascii="Arial" w:hAnsi="Arial" w:cs="Arial"/>
          <w:sz w:val="24"/>
          <w:szCs w:val="24"/>
        </w:rPr>
        <w:t xml:space="preserve">, T., 2018. Strategic human resource management. Oxford </w:t>
      </w:r>
      <w:r w:rsidR="00487FD7">
        <w:rPr>
          <w:rFonts w:ascii="Arial" w:hAnsi="Arial" w:cs="Arial"/>
          <w:sz w:val="24"/>
          <w:szCs w:val="24"/>
        </w:rPr>
        <w:t>University Press</w:t>
      </w:r>
      <w:r w:rsidRPr="009F52C2">
        <w:rPr>
          <w:rFonts w:ascii="Arial" w:hAnsi="Arial" w:cs="Arial"/>
          <w:sz w:val="24"/>
          <w:szCs w:val="24"/>
        </w:rPr>
        <w:t>.</w:t>
      </w:r>
    </w:p>
    <w:p w14:paraId="0CADEE3C"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Baykal, E., 2020. Digitalization of Human Resources: e-HR. </w:t>
      </w:r>
      <w:hyperlink r:id="rId10" w:history="1">
        <w:r w:rsidRPr="009F52C2">
          <w:rPr>
            <w:rStyle w:val="Hyperlink"/>
            <w:rFonts w:ascii="Arial" w:hAnsi="Arial" w:cs="Arial"/>
            <w:sz w:val="24"/>
            <w:szCs w:val="24"/>
          </w:rPr>
          <w:t>https://www.researchgate.net/profile/Elif-Baykal-2/publication/338302648_Digitalization_of_Human_Resources_e-HR/links/5e61529a92851c7d6f25896b/Digitalization-of-Human-Resources-e-HR.pdf?_tp=eyJjb250ZXh0Ijp7ImZpcnN0UGFnZSI6InB1YmxpY2F0aW9uIiwicGFnZSI6InB1YmxpY2F0aW9uIn19</w:t>
        </w:r>
      </w:hyperlink>
      <w:r w:rsidRPr="009F52C2">
        <w:rPr>
          <w:rFonts w:ascii="Arial" w:hAnsi="Arial" w:cs="Arial"/>
          <w:sz w:val="24"/>
          <w:szCs w:val="24"/>
        </w:rPr>
        <w:t xml:space="preserve"> </w:t>
      </w:r>
    </w:p>
    <w:p w14:paraId="0799281A"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Chams, N. and García-Blandón, J., 2019. On the importance of sustainable human resource management for the adoption of sustainable development goals. Resources, Conservation and Recycling, 141, pp.109-122. </w:t>
      </w:r>
      <w:hyperlink r:id="rId11" w:history="1">
        <w:r w:rsidRPr="009F52C2">
          <w:rPr>
            <w:rStyle w:val="Hyperlink"/>
            <w:rFonts w:ascii="Arial" w:hAnsi="Arial" w:cs="Arial"/>
            <w:sz w:val="24"/>
            <w:szCs w:val="24"/>
          </w:rPr>
          <w:t>https://fardapaper.ir/mohavaha/uploads/2018/11/Fardapaper-On-the-importance-of-sustainable-human-resource-management-for-the-adoption-of-sustainable-development-goals.pdf</w:t>
        </w:r>
      </w:hyperlink>
      <w:r w:rsidRPr="009F52C2">
        <w:rPr>
          <w:rFonts w:ascii="Arial" w:hAnsi="Arial" w:cs="Arial"/>
          <w:sz w:val="24"/>
          <w:szCs w:val="24"/>
        </w:rPr>
        <w:t xml:space="preserve"> </w:t>
      </w:r>
    </w:p>
    <w:p w14:paraId="19A418AE"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Chan, J.K.L., Stephen, S.G.A. and Andi Kele, A.T., 2021. Exploring sustainable human resource practices and framework in star-rated hotels. Sustainability, 13(16), p.9024. </w:t>
      </w:r>
      <w:hyperlink r:id="rId12" w:history="1">
        <w:r w:rsidRPr="009F52C2">
          <w:rPr>
            <w:rStyle w:val="Hyperlink"/>
            <w:rFonts w:ascii="Arial" w:hAnsi="Arial" w:cs="Arial"/>
            <w:sz w:val="24"/>
            <w:szCs w:val="24"/>
          </w:rPr>
          <w:t>https://www.mdpi.com/2071-1050/13/16/9024/pdf</w:t>
        </w:r>
      </w:hyperlink>
      <w:r w:rsidRPr="009F52C2">
        <w:rPr>
          <w:rFonts w:ascii="Arial" w:hAnsi="Arial" w:cs="Arial"/>
          <w:sz w:val="24"/>
          <w:szCs w:val="24"/>
        </w:rPr>
        <w:t xml:space="preserve"> </w:t>
      </w:r>
    </w:p>
    <w:p w14:paraId="47539DA2" w14:textId="77777777" w:rsidR="009F52C2" w:rsidRPr="009F52C2" w:rsidRDefault="009F52C2" w:rsidP="00487FD7">
      <w:pPr>
        <w:numPr>
          <w:ilvl w:val="0"/>
          <w:numId w:val="1"/>
        </w:numPr>
        <w:spacing w:line="360" w:lineRule="auto"/>
        <w:jc w:val="both"/>
        <w:rPr>
          <w:rFonts w:ascii="Arial" w:hAnsi="Arial" w:cs="Arial"/>
          <w:sz w:val="24"/>
          <w:szCs w:val="24"/>
        </w:rPr>
      </w:pPr>
      <w:proofErr w:type="spellStart"/>
      <w:r w:rsidRPr="009F52C2">
        <w:rPr>
          <w:rFonts w:ascii="Arial" w:hAnsi="Arial" w:cs="Arial"/>
          <w:sz w:val="24"/>
          <w:szCs w:val="24"/>
        </w:rPr>
        <w:lastRenderedPageBreak/>
        <w:t>Erbakanova</w:t>
      </w:r>
      <w:proofErr w:type="spellEnd"/>
      <w:r w:rsidRPr="009F52C2">
        <w:rPr>
          <w:rFonts w:ascii="Arial" w:hAnsi="Arial" w:cs="Arial"/>
          <w:sz w:val="24"/>
          <w:szCs w:val="24"/>
        </w:rPr>
        <w:t>, I., 2016. Hotel chains and higher education institutions. In The Routledge Handbook of Hotel Chain Management (pp. 449-458). 2 Park Square, Milton Park, Abingdon, Oxon OX14 4RN: Routledge.</w:t>
      </w:r>
    </w:p>
    <w:p w14:paraId="6DD32232"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Gatto, A., 2020. A pluralistic approach to economic and business sustainability: A critical meta</w:t>
      </w:r>
      <w:r w:rsidRPr="009F52C2">
        <w:rPr>
          <w:rFonts w:ascii="Cambria Math" w:hAnsi="Cambria Math" w:cs="Cambria Math"/>
          <w:sz w:val="24"/>
          <w:szCs w:val="24"/>
        </w:rPr>
        <w:t>‐</w:t>
      </w:r>
      <w:r w:rsidRPr="009F52C2">
        <w:rPr>
          <w:rFonts w:ascii="Arial" w:hAnsi="Arial" w:cs="Arial"/>
          <w:sz w:val="24"/>
          <w:szCs w:val="24"/>
        </w:rPr>
        <w:t xml:space="preserve">synthesis of foundations, metrics, and evidence of human and local development. Corporate Social Responsibility and Environmental Management, 27(4), pp.1525-1539. </w:t>
      </w:r>
      <w:hyperlink r:id="rId13" w:history="1">
        <w:r w:rsidRPr="009F52C2">
          <w:rPr>
            <w:rStyle w:val="Hyperlink"/>
            <w:rFonts w:ascii="Arial" w:hAnsi="Arial" w:cs="Arial"/>
            <w:sz w:val="24"/>
            <w:szCs w:val="24"/>
          </w:rPr>
          <w:t>https://gala.gre.ac.uk/id/eprint/28836/1/28836%20GATTO_A_Pluralistic_Approach_to_Economic_and_Business_Sustainability_2020.pdf</w:t>
        </w:r>
      </w:hyperlink>
      <w:r w:rsidRPr="009F52C2">
        <w:rPr>
          <w:rFonts w:ascii="Arial" w:hAnsi="Arial" w:cs="Arial"/>
          <w:sz w:val="24"/>
          <w:szCs w:val="24"/>
        </w:rPr>
        <w:t xml:space="preserve"> </w:t>
      </w:r>
    </w:p>
    <w:p w14:paraId="57D3C9E7"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Gauche, C., de Beer, L.T. and Brink, L., 2017. Managing employee well-being: A qualitative study exploring job and personal resources of at-risk employees. SA Journal of Human Resource Management, 15, p.13.  </w:t>
      </w:r>
      <w:hyperlink r:id="rId14" w:history="1">
        <w:r w:rsidRPr="009F52C2">
          <w:rPr>
            <w:rStyle w:val="Hyperlink"/>
            <w:rFonts w:ascii="Arial" w:hAnsi="Arial" w:cs="Arial"/>
            <w:sz w:val="24"/>
            <w:szCs w:val="24"/>
          </w:rPr>
          <w:t>https://sajhrm.co.za/index.php/sajhrm/article/download/957/1322</w:t>
        </w:r>
      </w:hyperlink>
      <w:r w:rsidRPr="009F52C2">
        <w:rPr>
          <w:rFonts w:ascii="Arial" w:hAnsi="Arial" w:cs="Arial"/>
          <w:sz w:val="24"/>
          <w:szCs w:val="24"/>
        </w:rPr>
        <w:t xml:space="preserve"> </w:t>
      </w:r>
    </w:p>
    <w:p w14:paraId="72F598ED"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Goss-Turner, S., 2014. Labour turnover in hospitality. In The Routledge Handbook of Hospitality Management (pp. 85-97). Abingdon: Routledge. </w:t>
      </w:r>
      <w:hyperlink r:id="rId15" w:history="1">
        <w:r w:rsidRPr="009F52C2">
          <w:rPr>
            <w:rStyle w:val="Hyperlink"/>
            <w:rFonts w:ascii="Arial" w:hAnsi="Arial" w:cs="Arial"/>
            <w:sz w:val="24"/>
            <w:szCs w:val="24"/>
          </w:rPr>
          <w:t>https://books.google.com/books?hl=en&amp;lr=&amp;id=EEksAwAAQBAJ&amp;oi=fnd&amp;pg=PT135&amp;dq=As+the+industry+progressed,+particularly+from+the+1970s+onwards,+a+notable+shift+occurred+in+HRM+within+the+hospitality+sector&amp;ots=5A-vurSU9C&amp;sig=0h9Ec11ltY_XYVvc36XlqENANRg</w:t>
        </w:r>
      </w:hyperlink>
      <w:r w:rsidRPr="009F52C2">
        <w:rPr>
          <w:rFonts w:ascii="Arial" w:hAnsi="Arial" w:cs="Arial"/>
          <w:sz w:val="24"/>
          <w:szCs w:val="24"/>
        </w:rPr>
        <w:t xml:space="preserve"> </w:t>
      </w:r>
    </w:p>
    <w:p w14:paraId="52F8BF85"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Hassanein, F. and </w:t>
      </w:r>
      <w:proofErr w:type="spellStart"/>
      <w:r w:rsidRPr="009F52C2">
        <w:rPr>
          <w:rFonts w:ascii="Arial" w:hAnsi="Arial" w:cs="Arial"/>
          <w:sz w:val="24"/>
          <w:szCs w:val="24"/>
        </w:rPr>
        <w:t>Özgit</w:t>
      </w:r>
      <w:proofErr w:type="spellEnd"/>
      <w:r w:rsidRPr="009F52C2">
        <w:rPr>
          <w:rFonts w:ascii="Arial" w:hAnsi="Arial" w:cs="Arial"/>
          <w:sz w:val="24"/>
          <w:szCs w:val="24"/>
        </w:rPr>
        <w:t>, H., 2022. Sustaining human resources through talent management strategies and employee engagement in the Middle East hotel industry. </w:t>
      </w:r>
      <w:r w:rsidRPr="009F52C2">
        <w:rPr>
          <w:rFonts w:ascii="Arial" w:hAnsi="Arial" w:cs="Arial"/>
          <w:i/>
          <w:iCs/>
          <w:sz w:val="24"/>
          <w:szCs w:val="24"/>
        </w:rPr>
        <w:t>Sustainability</w:t>
      </w:r>
      <w:r w:rsidRPr="009F52C2">
        <w:rPr>
          <w:rFonts w:ascii="Arial" w:hAnsi="Arial" w:cs="Arial"/>
          <w:sz w:val="24"/>
          <w:szCs w:val="24"/>
        </w:rPr>
        <w:t>, </w:t>
      </w:r>
      <w:r w:rsidRPr="009F52C2">
        <w:rPr>
          <w:rFonts w:ascii="Arial" w:hAnsi="Arial" w:cs="Arial"/>
          <w:i/>
          <w:iCs/>
          <w:sz w:val="24"/>
          <w:szCs w:val="24"/>
        </w:rPr>
        <w:t>14</w:t>
      </w:r>
      <w:r w:rsidRPr="009F52C2">
        <w:rPr>
          <w:rFonts w:ascii="Arial" w:hAnsi="Arial" w:cs="Arial"/>
          <w:sz w:val="24"/>
          <w:szCs w:val="24"/>
        </w:rPr>
        <w:t xml:space="preserve">(22), p.15365. </w:t>
      </w:r>
      <w:hyperlink r:id="rId16" w:history="1">
        <w:r w:rsidRPr="009F52C2">
          <w:rPr>
            <w:rStyle w:val="Hyperlink"/>
            <w:rFonts w:ascii="Arial" w:hAnsi="Arial" w:cs="Arial"/>
            <w:sz w:val="24"/>
            <w:szCs w:val="24"/>
          </w:rPr>
          <w:t>https://www.mdpi.com/2071-1050/14/22/15365/pdf</w:t>
        </w:r>
      </w:hyperlink>
      <w:r w:rsidRPr="009F52C2">
        <w:rPr>
          <w:rFonts w:ascii="Arial" w:hAnsi="Arial" w:cs="Arial"/>
          <w:sz w:val="24"/>
          <w:szCs w:val="24"/>
        </w:rPr>
        <w:t xml:space="preserve"> </w:t>
      </w:r>
    </w:p>
    <w:p w14:paraId="2BD8423C"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Lenox, M., 2023. Strategy in the Digital Age: Mastering Digital Transformation. Stanford University Press. </w:t>
      </w:r>
      <w:hyperlink r:id="rId17" w:anchor="v=onepage&amp;q&amp;f=false" w:history="1">
        <w:r w:rsidRPr="009F52C2">
          <w:rPr>
            <w:rStyle w:val="Hyperlink"/>
            <w:rFonts w:ascii="Arial" w:hAnsi="Arial" w:cs="Arial"/>
            <w:sz w:val="24"/>
            <w:szCs w:val="24"/>
          </w:rPr>
          <w:t>https://books.google.ro/books?hl=en&amp;lr=&amp;id=lBK3EAAAQBAJ&amp;oi=fnd&amp;pg=PT7&amp;dq=Central+to+this+alignment+is+labor+demand+forecasting,+where+Hilton+leverages+advanced+data+analytics+to+anticipate+staffing+needs,+ensuring+each+property+is+optimally+staffed+to+deliver+exceptional+service+wit</w:t>
        </w:r>
        <w:r w:rsidRPr="009F52C2">
          <w:rPr>
            <w:rStyle w:val="Hyperlink"/>
            <w:rFonts w:ascii="Arial" w:hAnsi="Arial" w:cs="Arial"/>
            <w:sz w:val="24"/>
            <w:szCs w:val="24"/>
          </w:rPr>
          <w:lastRenderedPageBreak/>
          <w:t>hout+incurring+unnecessary+costs.&amp;ots=8fWTZp8Gve&amp;sig=FWcBXctZOiFaiVIG483GjTgFe-M&amp;redir_esc=y#v=onepage&amp;q&amp;f=false</w:t>
        </w:r>
      </w:hyperlink>
      <w:r w:rsidRPr="009F52C2">
        <w:rPr>
          <w:rFonts w:ascii="Arial" w:hAnsi="Arial" w:cs="Arial"/>
          <w:sz w:val="24"/>
          <w:szCs w:val="24"/>
        </w:rPr>
        <w:t xml:space="preserve"> </w:t>
      </w:r>
    </w:p>
    <w:p w14:paraId="2271C75F"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Manoharan, A. and Singal, M., 2017. A systematic literature review of research on diversity and diversity management in the hospitality literature. International Journal of Hospitality Management, 66, pp.77-91. </w:t>
      </w:r>
      <w:hyperlink r:id="rId18" w:history="1">
        <w:r w:rsidRPr="009F52C2">
          <w:rPr>
            <w:rStyle w:val="Hyperlink"/>
            <w:rFonts w:ascii="Arial" w:hAnsi="Arial" w:cs="Arial"/>
            <w:sz w:val="24"/>
            <w:szCs w:val="24"/>
          </w:rPr>
          <w:t>https://www.sciencedirect.com/science/article/pii/S0278431916304832</w:t>
        </w:r>
      </w:hyperlink>
      <w:r w:rsidRPr="009F52C2">
        <w:rPr>
          <w:rFonts w:ascii="Arial" w:hAnsi="Arial" w:cs="Arial"/>
          <w:sz w:val="24"/>
          <w:szCs w:val="24"/>
        </w:rPr>
        <w:t xml:space="preserve"> </w:t>
      </w:r>
    </w:p>
    <w:p w14:paraId="01FA5D9C"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Manoharan, A., Singal, M., 2017. International Journal of Hospitality Management. A systematic literature review of research on diversity and diversity management in the hospitality literature. </w:t>
      </w:r>
      <w:hyperlink r:id="rId19" w:history="1">
        <w:r w:rsidRPr="009F52C2">
          <w:rPr>
            <w:rStyle w:val="Hyperlink"/>
            <w:rFonts w:ascii="Arial" w:hAnsi="Arial" w:cs="Arial"/>
            <w:sz w:val="24"/>
            <w:szCs w:val="24"/>
          </w:rPr>
          <w:t>https://www.sciencedirect.com/user/institution/login?targetUrl=%2Fscience%2Farticle%2Fpii%2FS0278431916304832</w:t>
        </w:r>
      </w:hyperlink>
      <w:r w:rsidRPr="009F52C2">
        <w:rPr>
          <w:rFonts w:ascii="Arial" w:hAnsi="Arial" w:cs="Arial"/>
          <w:sz w:val="24"/>
          <w:szCs w:val="24"/>
        </w:rPr>
        <w:t xml:space="preserve"> </w:t>
      </w:r>
    </w:p>
    <w:p w14:paraId="7CE5D1D4"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Reidhead, C., 2020. Impact of organizational culture on employee satisfaction: A case of Hilton hotel, United Kingdom. Journal of Economics and Business, 3(1). </w:t>
      </w:r>
      <w:hyperlink r:id="rId20" w:history="1">
        <w:r w:rsidRPr="009F52C2">
          <w:rPr>
            <w:rStyle w:val="Hyperlink"/>
            <w:rFonts w:ascii="Arial" w:hAnsi="Arial" w:cs="Arial"/>
            <w:sz w:val="24"/>
            <w:szCs w:val="24"/>
          </w:rPr>
          <w:t>https://www.academia.edu/download/84816413/JEB0615_20christine.pdf</w:t>
        </w:r>
      </w:hyperlink>
      <w:r w:rsidRPr="009F52C2">
        <w:rPr>
          <w:rFonts w:ascii="Arial" w:hAnsi="Arial" w:cs="Arial"/>
          <w:sz w:val="24"/>
          <w:szCs w:val="24"/>
        </w:rPr>
        <w:t xml:space="preserve"> </w:t>
      </w:r>
    </w:p>
    <w:p w14:paraId="17AFC003"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Rodríguez-Sánchez, J.L., González-Torres, T., Montero-Navarro, A. and Gallego-Losada, R., 2020. Investing time and resources for work–life balance: The effect on talent retention. International journal of environmental research and public health, 17(6), p.1920. </w:t>
      </w:r>
      <w:hyperlink r:id="rId21" w:history="1">
        <w:r w:rsidRPr="009F52C2">
          <w:rPr>
            <w:rStyle w:val="Hyperlink"/>
            <w:rFonts w:ascii="Arial" w:hAnsi="Arial" w:cs="Arial"/>
            <w:sz w:val="24"/>
            <w:szCs w:val="24"/>
          </w:rPr>
          <w:t>https://www.mdpi.com/1660-4601/17/6/1920/pdf</w:t>
        </w:r>
      </w:hyperlink>
      <w:r w:rsidRPr="009F52C2">
        <w:rPr>
          <w:rFonts w:ascii="Arial" w:hAnsi="Arial" w:cs="Arial"/>
          <w:sz w:val="24"/>
          <w:szCs w:val="24"/>
        </w:rPr>
        <w:t xml:space="preserve"> </w:t>
      </w:r>
    </w:p>
    <w:p w14:paraId="4C65DF39"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Ruiter, V.N., 2021. Humanizing Hospitality Industry Human Resources Management to Improve Recruitment and Retention of Resilient Hospitable Talents in the Sector. University of Derby (United Kingdom). </w:t>
      </w:r>
      <w:hyperlink r:id="rId22" w:history="1">
        <w:r w:rsidRPr="009F52C2">
          <w:rPr>
            <w:rStyle w:val="Hyperlink"/>
            <w:rFonts w:ascii="Arial" w:hAnsi="Arial" w:cs="Arial"/>
            <w:sz w:val="24"/>
            <w:szCs w:val="24"/>
          </w:rPr>
          <w:t>https://repository.derby.ac.uk/download/6898c5a5bbc422c6bdb9ea8838e410d6ebfa4cb78a2fbc8f6c7362ff63890ca3/3973238/PHD%20Thesis%20Victoria.pdf</w:t>
        </w:r>
      </w:hyperlink>
      <w:r w:rsidRPr="009F52C2">
        <w:rPr>
          <w:rFonts w:ascii="Arial" w:hAnsi="Arial" w:cs="Arial"/>
          <w:sz w:val="24"/>
          <w:szCs w:val="24"/>
        </w:rPr>
        <w:t xml:space="preserve"> </w:t>
      </w:r>
    </w:p>
    <w:p w14:paraId="7B316705"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Sealy, W.C., Jenkins, P. and </w:t>
      </w:r>
      <w:proofErr w:type="spellStart"/>
      <w:r w:rsidRPr="009F52C2">
        <w:rPr>
          <w:rFonts w:ascii="Arial" w:hAnsi="Arial" w:cs="Arial"/>
          <w:sz w:val="24"/>
          <w:szCs w:val="24"/>
        </w:rPr>
        <w:t>Jalley</w:t>
      </w:r>
      <w:proofErr w:type="spellEnd"/>
      <w:r w:rsidRPr="009F52C2">
        <w:rPr>
          <w:rFonts w:ascii="Arial" w:hAnsi="Arial" w:cs="Arial"/>
          <w:sz w:val="24"/>
          <w:szCs w:val="24"/>
        </w:rPr>
        <w:t xml:space="preserve">, A., 2023. The Recruitment Crisis in the British Hospitality Industry: A Case for More Sustainable Practices. In </w:t>
      </w:r>
      <w:r w:rsidRPr="009F52C2">
        <w:rPr>
          <w:rFonts w:ascii="Arial" w:hAnsi="Arial" w:cs="Arial"/>
          <w:sz w:val="24"/>
          <w:szCs w:val="24"/>
        </w:rPr>
        <w:lastRenderedPageBreak/>
        <w:t>Embracing Business Sustainability Through Innovation and Creativity in the Service Sector (pp. 31-46). IGI Global.</w:t>
      </w:r>
    </w:p>
    <w:p w14:paraId="314A1870" w14:textId="77777777" w:rsidR="009F52C2" w:rsidRPr="009F52C2" w:rsidRDefault="009F52C2" w:rsidP="00487FD7">
      <w:pPr>
        <w:numPr>
          <w:ilvl w:val="0"/>
          <w:numId w:val="1"/>
        </w:numPr>
        <w:spacing w:line="360" w:lineRule="auto"/>
        <w:jc w:val="both"/>
        <w:rPr>
          <w:rFonts w:ascii="Arial" w:hAnsi="Arial" w:cs="Arial"/>
          <w:sz w:val="24"/>
          <w:szCs w:val="24"/>
        </w:rPr>
      </w:pPr>
      <w:proofErr w:type="spellStart"/>
      <w:r w:rsidRPr="009F52C2">
        <w:rPr>
          <w:rFonts w:ascii="Arial" w:hAnsi="Arial" w:cs="Arial"/>
          <w:sz w:val="24"/>
          <w:szCs w:val="24"/>
        </w:rPr>
        <w:t>Solnet</w:t>
      </w:r>
      <w:proofErr w:type="spellEnd"/>
      <w:r w:rsidRPr="009F52C2">
        <w:rPr>
          <w:rFonts w:ascii="Arial" w:hAnsi="Arial" w:cs="Arial"/>
          <w:sz w:val="24"/>
          <w:szCs w:val="24"/>
        </w:rPr>
        <w:t>, D., Kralj, A. and Baum, T., 2015. 360 degrees of pressure: The changing role of the HR professional in the hospitality industry. Journal of Hospitality &amp; Tourism Research, 39(2), pp.271-292.</w:t>
      </w:r>
    </w:p>
    <w:p w14:paraId="029850A4"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Tajeddin, K., Martin, E., 2019. The importance of human-related factors on service innovation and performance. </w:t>
      </w:r>
      <w:hyperlink r:id="rId23" w:history="1">
        <w:r w:rsidRPr="009F52C2">
          <w:rPr>
            <w:rStyle w:val="Hyperlink"/>
            <w:rFonts w:ascii="Arial" w:hAnsi="Arial" w:cs="Arial"/>
            <w:sz w:val="24"/>
            <w:szCs w:val="24"/>
          </w:rPr>
          <w:t>https://shura.shu.ac.uk/25585/1/The%20importance%20of%20human-related%20factors%20on%20service%20innovation%20and%20performance.pdf</w:t>
        </w:r>
      </w:hyperlink>
      <w:r w:rsidRPr="009F52C2">
        <w:rPr>
          <w:rFonts w:ascii="Arial" w:hAnsi="Arial" w:cs="Arial"/>
          <w:sz w:val="24"/>
          <w:szCs w:val="24"/>
        </w:rPr>
        <w:t xml:space="preserve"> </w:t>
      </w:r>
    </w:p>
    <w:p w14:paraId="285A4FCA" w14:textId="77777777" w:rsidR="009F52C2" w:rsidRPr="009F52C2" w:rsidRDefault="009F52C2" w:rsidP="00487FD7">
      <w:pPr>
        <w:numPr>
          <w:ilvl w:val="0"/>
          <w:numId w:val="1"/>
        </w:numPr>
        <w:spacing w:line="360" w:lineRule="auto"/>
        <w:jc w:val="both"/>
        <w:rPr>
          <w:rFonts w:ascii="Arial" w:hAnsi="Arial" w:cs="Arial"/>
          <w:sz w:val="24"/>
          <w:szCs w:val="24"/>
        </w:rPr>
      </w:pPr>
      <w:proofErr w:type="spellStart"/>
      <w:r w:rsidRPr="009F52C2">
        <w:rPr>
          <w:rFonts w:ascii="Arial" w:hAnsi="Arial" w:cs="Arial"/>
          <w:sz w:val="24"/>
          <w:szCs w:val="24"/>
        </w:rPr>
        <w:t>Tajeddini</w:t>
      </w:r>
      <w:proofErr w:type="spellEnd"/>
      <w:r w:rsidRPr="009F52C2">
        <w:rPr>
          <w:rFonts w:ascii="Arial" w:hAnsi="Arial" w:cs="Arial"/>
          <w:sz w:val="24"/>
          <w:szCs w:val="24"/>
        </w:rPr>
        <w:t xml:space="preserve">, K., Martin, E. and Altinay, L., 2020. The importance of human-related factors on service innovation and performance. International Journal of Hospitality Management, 85, p.102431. </w:t>
      </w:r>
      <w:hyperlink r:id="rId24" w:history="1">
        <w:r w:rsidRPr="009F52C2">
          <w:rPr>
            <w:rStyle w:val="Hyperlink"/>
            <w:rFonts w:ascii="Arial" w:hAnsi="Arial" w:cs="Arial"/>
            <w:sz w:val="24"/>
            <w:szCs w:val="24"/>
          </w:rPr>
          <w:t>https://shura.shu.ac.uk/25585/1/The%20importance%20of%20human-related%20factors%20on%20service%20innovation%20and%20performance.pdf</w:t>
        </w:r>
      </w:hyperlink>
      <w:r w:rsidRPr="009F52C2">
        <w:rPr>
          <w:rFonts w:ascii="Arial" w:hAnsi="Arial" w:cs="Arial"/>
          <w:sz w:val="24"/>
          <w:szCs w:val="24"/>
        </w:rPr>
        <w:t xml:space="preserve"> </w:t>
      </w:r>
    </w:p>
    <w:p w14:paraId="2BB3B24E"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Tracey, J.B., 2014. A review of human resources management research: The past 10 years and implications for moving forward. International Journal of Contemporary Hospitality Management, 26(5), pp.679-705. </w:t>
      </w:r>
      <w:hyperlink r:id="rId25" w:history="1">
        <w:r w:rsidRPr="009F52C2">
          <w:rPr>
            <w:rStyle w:val="Hyperlink"/>
            <w:rFonts w:ascii="Arial" w:hAnsi="Arial" w:cs="Arial"/>
            <w:sz w:val="24"/>
            <w:szCs w:val="24"/>
          </w:rPr>
          <w:t>https://www.researchgate.net/profile/John-Tracey-3/publication/265858149_A_review_of_human_resources_management_research_The_past_10_years_and_implications_for_moving_forward/links/5792618308aeb0ffccd07594/A-review-of-human-resources-management-research-The-past-10-years-and-implications-for-moving-forward.pdf</w:t>
        </w:r>
      </w:hyperlink>
      <w:r w:rsidRPr="009F52C2">
        <w:rPr>
          <w:rFonts w:ascii="Arial" w:hAnsi="Arial" w:cs="Arial"/>
          <w:sz w:val="24"/>
          <w:szCs w:val="24"/>
        </w:rPr>
        <w:t xml:space="preserve"> </w:t>
      </w:r>
    </w:p>
    <w:p w14:paraId="27CC347A"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Urquhart, R., Kendell, C., Folkes, A., Reiman, T., Grunfeld, E. and Porter, G.A., 2018. Making it </w:t>
      </w:r>
      <w:proofErr w:type="gramStart"/>
      <w:r w:rsidRPr="009F52C2">
        <w:rPr>
          <w:rFonts w:ascii="Arial" w:hAnsi="Arial" w:cs="Arial"/>
          <w:sz w:val="24"/>
          <w:szCs w:val="24"/>
        </w:rPr>
        <w:t>happen:</w:t>
      </w:r>
      <w:proofErr w:type="gramEnd"/>
      <w:r w:rsidRPr="009F52C2">
        <w:rPr>
          <w:rFonts w:ascii="Arial" w:hAnsi="Arial" w:cs="Arial"/>
          <w:sz w:val="24"/>
          <w:szCs w:val="24"/>
        </w:rPr>
        <w:t xml:space="preserve"> middle Managers' roles in innovation implementation in health care. Worldviews on Evidence</w:t>
      </w:r>
      <w:r w:rsidRPr="009F52C2">
        <w:rPr>
          <w:rFonts w:ascii="Cambria Math" w:hAnsi="Cambria Math" w:cs="Cambria Math"/>
          <w:sz w:val="24"/>
          <w:szCs w:val="24"/>
        </w:rPr>
        <w:t>‐</w:t>
      </w:r>
      <w:r w:rsidRPr="009F52C2">
        <w:rPr>
          <w:rFonts w:ascii="Arial" w:hAnsi="Arial" w:cs="Arial"/>
          <w:sz w:val="24"/>
          <w:szCs w:val="24"/>
        </w:rPr>
        <w:t xml:space="preserve">Based Nursing, 15(6), pp.414-423. </w:t>
      </w:r>
      <w:hyperlink r:id="rId26" w:history="1">
        <w:r w:rsidRPr="009F52C2">
          <w:rPr>
            <w:rStyle w:val="Hyperlink"/>
            <w:rFonts w:ascii="Arial" w:hAnsi="Arial" w:cs="Arial"/>
            <w:sz w:val="24"/>
            <w:szCs w:val="24"/>
          </w:rPr>
          <w:t>https://sigmapubs.onlinelibrary.wiley.com/doi/pdf/10.1111/wvn.12324</w:t>
        </w:r>
      </w:hyperlink>
      <w:r w:rsidRPr="009F52C2">
        <w:rPr>
          <w:rFonts w:ascii="Arial" w:hAnsi="Arial" w:cs="Arial"/>
          <w:sz w:val="24"/>
          <w:szCs w:val="24"/>
        </w:rPr>
        <w:t xml:space="preserve"> </w:t>
      </w:r>
    </w:p>
    <w:p w14:paraId="6005F380" w14:textId="77777777" w:rsidR="009F52C2" w:rsidRPr="009F52C2" w:rsidRDefault="009F52C2" w:rsidP="00487FD7">
      <w:pPr>
        <w:numPr>
          <w:ilvl w:val="0"/>
          <w:numId w:val="1"/>
        </w:numPr>
        <w:spacing w:line="360" w:lineRule="auto"/>
        <w:jc w:val="both"/>
        <w:rPr>
          <w:rFonts w:ascii="Arial" w:hAnsi="Arial" w:cs="Arial"/>
          <w:sz w:val="24"/>
          <w:szCs w:val="24"/>
        </w:rPr>
      </w:pPr>
      <w:proofErr w:type="spellStart"/>
      <w:r w:rsidRPr="009F52C2">
        <w:rPr>
          <w:rFonts w:ascii="Arial" w:hAnsi="Arial" w:cs="Arial"/>
          <w:sz w:val="24"/>
          <w:szCs w:val="24"/>
        </w:rPr>
        <w:lastRenderedPageBreak/>
        <w:t>Wulur</w:t>
      </w:r>
      <w:proofErr w:type="spellEnd"/>
      <w:r w:rsidRPr="009F52C2">
        <w:rPr>
          <w:rFonts w:ascii="Arial" w:hAnsi="Arial" w:cs="Arial"/>
          <w:sz w:val="24"/>
          <w:szCs w:val="24"/>
        </w:rPr>
        <w:t xml:space="preserve">, L. and </w:t>
      </w:r>
      <w:proofErr w:type="spellStart"/>
      <w:r w:rsidRPr="009F52C2">
        <w:rPr>
          <w:rFonts w:ascii="Arial" w:hAnsi="Arial" w:cs="Arial"/>
          <w:sz w:val="24"/>
          <w:szCs w:val="24"/>
        </w:rPr>
        <w:t>Mandagi</w:t>
      </w:r>
      <w:proofErr w:type="spellEnd"/>
      <w:r w:rsidRPr="009F52C2">
        <w:rPr>
          <w:rFonts w:ascii="Arial" w:hAnsi="Arial" w:cs="Arial"/>
          <w:sz w:val="24"/>
          <w:szCs w:val="24"/>
        </w:rPr>
        <w:t xml:space="preserve">, D.W., 2023. Employee performance 2.0: Antecedents and consequences of Gen Z </w:t>
      </w:r>
      <w:proofErr w:type="gramStart"/>
      <w:r w:rsidRPr="009F52C2">
        <w:rPr>
          <w:rFonts w:ascii="Arial" w:hAnsi="Arial" w:cs="Arial"/>
          <w:sz w:val="24"/>
          <w:szCs w:val="24"/>
        </w:rPr>
        <w:t>employees</w:t>
      </w:r>
      <w:proofErr w:type="gramEnd"/>
      <w:r w:rsidRPr="009F52C2">
        <w:rPr>
          <w:rFonts w:ascii="Arial" w:hAnsi="Arial" w:cs="Arial"/>
          <w:sz w:val="24"/>
          <w:szCs w:val="24"/>
        </w:rPr>
        <w:t xml:space="preserve"> performance. SEIKO: Journal of Management &amp; Business, 6(2), pp.224-240. </w:t>
      </w:r>
      <w:hyperlink r:id="rId27" w:history="1">
        <w:r w:rsidRPr="009F52C2">
          <w:rPr>
            <w:rStyle w:val="Hyperlink"/>
            <w:rFonts w:ascii="Arial" w:hAnsi="Arial" w:cs="Arial"/>
            <w:sz w:val="24"/>
            <w:szCs w:val="24"/>
          </w:rPr>
          <w:t>https://journal.stieamkop.ac.id/index.php/seiko/article/download/5078/3332</w:t>
        </w:r>
      </w:hyperlink>
      <w:r w:rsidRPr="009F52C2">
        <w:rPr>
          <w:rFonts w:ascii="Arial" w:hAnsi="Arial" w:cs="Arial"/>
          <w:sz w:val="24"/>
          <w:szCs w:val="24"/>
        </w:rPr>
        <w:t xml:space="preserve"> </w:t>
      </w:r>
    </w:p>
    <w:p w14:paraId="5F5B64C4"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Xu, Y., Jie, D., Wu, H., Shi, X., </w:t>
      </w:r>
      <w:proofErr w:type="spellStart"/>
      <w:r w:rsidRPr="009F52C2">
        <w:rPr>
          <w:rFonts w:ascii="Arial" w:hAnsi="Arial" w:cs="Arial"/>
          <w:sz w:val="24"/>
          <w:szCs w:val="24"/>
        </w:rPr>
        <w:t>Badulescu</w:t>
      </w:r>
      <w:proofErr w:type="spellEnd"/>
      <w:r w:rsidRPr="009F52C2">
        <w:rPr>
          <w:rFonts w:ascii="Arial" w:hAnsi="Arial" w:cs="Arial"/>
          <w:sz w:val="24"/>
          <w:szCs w:val="24"/>
        </w:rPr>
        <w:t xml:space="preserve">, D., Akbar, S. and </w:t>
      </w:r>
      <w:proofErr w:type="spellStart"/>
      <w:r w:rsidRPr="009F52C2">
        <w:rPr>
          <w:rFonts w:ascii="Arial" w:hAnsi="Arial" w:cs="Arial"/>
          <w:sz w:val="24"/>
          <w:szCs w:val="24"/>
        </w:rPr>
        <w:t>Badulescu</w:t>
      </w:r>
      <w:proofErr w:type="spellEnd"/>
      <w:r w:rsidRPr="009F52C2">
        <w:rPr>
          <w:rFonts w:ascii="Arial" w:hAnsi="Arial" w:cs="Arial"/>
          <w:sz w:val="24"/>
          <w:szCs w:val="24"/>
        </w:rPr>
        <w:t>, A., 2022. Reducing employee turnover intentions in tourism and hospitality sector: the mediating effect of quality of work life and intrinsic motivation. </w:t>
      </w:r>
      <w:r w:rsidRPr="009F52C2">
        <w:rPr>
          <w:rFonts w:ascii="Arial" w:hAnsi="Arial" w:cs="Arial"/>
          <w:i/>
          <w:iCs/>
          <w:sz w:val="24"/>
          <w:szCs w:val="24"/>
        </w:rPr>
        <w:t>International journal of environmental research and public health</w:t>
      </w:r>
      <w:r w:rsidRPr="009F52C2">
        <w:rPr>
          <w:rFonts w:ascii="Arial" w:hAnsi="Arial" w:cs="Arial"/>
          <w:sz w:val="24"/>
          <w:szCs w:val="24"/>
        </w:rPr>
        <w:t>, </w:t>
      </w:r>
      <w:r w:rsidRPr="009F52C2">
        <w:rPr>
          <w:rFonts w:ascii="Arial" w:hAnsi="Arial" w:cs="Arial"/>
          <w:i/>
          <w:iCs/>
          <w:sz w:val="24"/>
          <w:szCs w:val="24"/>
        </w:rPr>
        <w:t>19</w:t>
      </w:r>
      <w:r w:rsidRPr="009F52C2">
        <w:rPr>
          <w:rFonts w:ascii="Arial" w:hAnsi="Arial" w:cs="Arial"/>
          <w:sz w:val="24"/>
          <w:szCs w:val="24"/>
        </w:rPr>
        <w:t xml:space="preserve">(18), p.11222.  </w:t>
      </w:r>
      <w:hyperlink r:id="rId28" w:history="1">
        <w:r w:rsidRPr="009F52C2">
          <w:rPr>
            <w:rStyle w:val="Hyperlink"/>
            <w:rFonts w:ascii="Arial" w:hAnsi="Arial" w:cs="Arial"/>
            <w:sz w:val="24"/>
            <w:szCs w:val="24"/>
          </w:rPr>
          <w:t>https://www.mdpi.com/1660-4601/19/18/11222/pdf</w:t>
        </w:r>
      </w:hyperlink>
      <w:r w:rsidRPr="009F52C2">
        <w:rPr>
          <w:rFonts w:ascii="Arial" w:hAnsi="Arial" w:cs="Arial"/>
          <w:sz w:val="24"/>
          <w:szCs w:val="24"/>
        </w:rPr>
        <w:t xml:space="preserve"> </w:t>
      </w:r>
    </w:p>
    <w:p w14:paraId="5035A94A"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Zhang, J., 2023. Analysis of Strategic Human Resource Management Practices. A Case Study </w:t>
      </w:r>
      <w:proofErr w:type="gramStart"/>
      <w:r w:rsidRPr="009F52C2">
        <w:rPr>
          <w:rFonts w:ascii="Arial" w:hAnsi="Arial" w:cs="Arial"/>
          <w:sz w:val="24"/>
          <w:szCs w:val="24"/>
        </w:rPr>
        <w:t>Of</w:t>
      </w:r>
      <w:proofErr w:type="gramEnd"/>
      <w:r w:rsidRPr="009F52C2">
        <w:rPr>
          <w:rFonts w:ascii="Arial" w:hAnsi="Arial" w:cs="Arial"/>
          <w:sz w:val="24"/>
          <w:szCs w:val="24"/>
        </w:rPr>
        <w:t xml:space="preserve"> Hilton Worldwide. </w:t>
      </w:r>
      <w:hyperlink r:id="rId29" w:history="1">
        <w:r w:rsidRPr="009F52C2">
          <w:rPr>
            <w:rStyle w:val="Hyperlink"/>
            <w:rFonts w:ascii="Arial" w:hAnsi="Arial" w:cs="Arial"/>
            <w:sz w:val="24"/>
            <w:szCs w:val="24"/>
          </w:rPr>
          <w:t>https://www.researchgate.net/publication/370354797_Analysis_of_Strategic_Human_Resource_Management_Practices_A_Case_Study_of_Hilton_Worldwide/fulltext/644bedce809a535021364e43/Analysis-of-Strategic-Human-Resource-Management-Practices-A-Case-Study-of-Hilton-Worldwide.pdf?_tp=eyJjb250ZXh0Ijp7ImZpcnN0UGFnZSI6InB1YmxpY2F0aW9uIiwicGFnZSI6InB1YmxpY2F0aW9uIn19</w:t>
        </w:r>
      </w:hyperlink>
      <w:r w:rsidRPr="009F52C2">
        <w:rPr>
          <w:rFonts w:ascii="Arial" w:hAnsi="Arial" w:cs="Arial"/>
          <w:sz w:val="24"/>
          <w:szCs w:val="24"/>
        </w:rPr>
        <w:t xml:space="preserve"> </w:t>
      </w:r>
    </w:p>
    <w:p w14:paraId="35AC5FEA" w14:textId="77777777" w:rsidR="009F52C2" w:rsidRPr="009F52C2" w:rsidRDefault="009F52C2" w:rsidP="00487FD7">
      <w:pPr>
        <w:numPr>
          <w:ilvl w:val="0"/>
          <w:numId w:val="1"/>
        </w:numPr>
        <w:spacing w:line="360" w:lineRule="auto"/>
        <w:jc w:val="both"/>
        <w:rPr>
          <w:rFonts w:ascii="Arial" w:hAnsi="Arial" w:cs="Arial"/>
          <w:sz w:val="24"/>
          <w:szCs w:val="24"/>
        </w:rPr>
      </w:pPr>
      <w:r w:rsidRPr="009F52C2">
        <w:rPr>
          <w:rFonts w:ascii="Arial" w:hAnsi="Arial" w:cs="Arial"/>
          <w:sz w:val="24"/>
          <w:szCs w:val="24"/>
        </w:rPr>
        <w:t xml:space="preserve">Zientara, P., </w:t>
      </w:r>
      <w:proofErr w:type="spellStart"/>
      <w:r w:rsidRPr="009F52C2">
        <w:rPr>
          <w:rFonts w:ascii="Arial" w:hAnsi="Arial" w:cs="Arial"/>
          <w:sz w:val="24"/>
          <w:szCs w:val="24"/>
        </w:rPr>
        <w:t>Bohdanowicz</w:t>
      </w:r>
      <w:proofErr w:type="spellEnd"/>
      <w:r w:rsidRPr="009F52C2">
        <w:rPr>
          <w:rFonts w:ascii="Arial" w:hAnsi="Arial" w:cs="Arial"/>
          <w:sz w:val="24"/>
          <w:szCs w:val="24"/>
        </w:rPr>
        <w:t xml:space="preserve">-Godfrey, P., Whitely, C. and Maciejewski, G., 2020. A case study of </w:t>
      </w:r>
      <w:proofErr w:type="spellStart"/>
      <w:r w:rsidRPr="009F52C2">
        <w:rPr>
          <w:rFonts w:ascii="Arial" w:hAnsi="Arial" w:cs="Arial"/>
          <w:sz w:val="24"/>
          <w:szCs w:val="24"/>
        </w:rPr>
        <w:t>LightStay</w:t>
      </w:r>
      <w:proofErr w:type="spellEnd"/>
      <w:r w:rsidRPr="009F52C2">
        <w:rPr>
          <w:rFonts w:ascii="Arial" w:hAnsi="Arial" w:cs="Arial"/>
          <w:sz w:val="24"/>
          <w:szCs w:val="24"/>
        </w:rPr>
        <w:t xml:space="preserve"> (2010–2017)—Hilton’s corporate responsibility management system. Energies, 13(9), p.2303. </w:t>
      </w:r>
      <w:hyperlink r:id="rId30" w:history="1">
        <w:r w:rsidRPr="009F52C2">
          <w:rPr>
            <w:rStyle w:val="Hyperlink"/>
            <w:rFonts w:ascii="Arial" w:hAnsi="Arial" w:cs="Arial"/>
            <w:sz w:val="24"/>
            <w:szCs w:val="24"/>
          </w:rPr>
          <w:t>https://www.mdpi.com/1996-1073/13/9/2303/pdf</w:t>
        </w:r>
      </w:hyperlink>
      <w:r w:rsidRPr="009F52C2">
        <w:rPr>
          <w:rFonts w:ascii="Arial" w:hAnsi="Arial" w:cs="Arial"/>
          <w:sz w:val="24"/>
          <w:szCs w:val="24"/>
        </w:rPr>
        <w:t xml:space="preserve"> </w:t>
      </w:r>
    </w:p>
    <w:p w14:paraId="30E85A4B" w14:textId="77777777" w:rsidR="009F52C2" w:rsidRPr="009F52C2" w:rsidRDefault="009F52C2" w:rsidP="00487FD7">
      <w:pPr>
        <w:spacing w:line="360" w:lineRule="auto"/>
        <w:jc w:val="both"/>
        <w:rPr>
          <w:rFonts w:ascii="Arial" w:hAnsi="Arial" w:cs="Arial"/>
          <w:sz w:val="24"/>
          <w:szCs w:val="24"/>
        </w:rPr>
      </w:pPr>
    </w:p>
    <w:p w14:paraId="01DF8221" w14:textId="77777777" w:rsidR="00BC1B4E" w:rsidRPr="00487FD7" w:rsidRDefault="00BC1B4E" w:rsidP="00487FD7">
      <w:pPr>
        <w:spacing w:line="360" w:lineRule="auto"/>
        <w:jc w:val="both"/>
        <w:rPr>
          <w:rFonts w:ascii="Arial" w:hAnsi="Arial" w:cs="Arial"/>
          <w:sz w:val="24"/>
          <w:szCs w:val="24"/>
        </w:rPr>
      </w:pPr>
    </w:p>
    <w:sectPr w:rsidR="00BC1B4E" w:rsidRPr="00487FD7" w:rsidSect="0090380D">
      <w:headerReference w:type="defaul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9605F" w14:textId="77777777" w:rsidR="0090380D" w:rsidRDefault="0090380D" w:rsidP="00BE568F">
      <w:pPr>
        <w:spacing w:after="0" w:line="240" w:lineRule="auto"/>
      </w:pPr>
      <w:r>
        <w:separator/>
      </w:r>
    </w:p>
  </w:endnote>
  <w:endnote w:type="continuationSeparator" w:id="0">
    <w:p w14:paraId="72F19DB6" w14:textId="77777777" w:rsidR="0090380D" w:rsidRDefault="0090380D" w:rsidP="00BE5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8FC94" w14:textId="77777777" w:rsidR="0090380D" w:rsidRDefault="0090380D" w:rsidP="00BE568F">
      <w:pPr>
        <w:spacing w:after="0" w:line="240" w:lineRule="auto"/>
      </w:pPr>
      <w:r>
        <w:separator/>
      </w:r>
    </w:p>
  </w:footnote>
  <w:footnote w:type="continuationSeparator" w:id="0">
    <w:p w14:paraId="3A131E1B" w14:textId="77777777" w:rsidR="0090380D" w:rsidRDefault="0090380D" w:rsidP="00BE56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845608"/>
      <w:docPartObj>
        <w:docPartGallery w:val="Page Numbers (Top of Page)"/>
        <w:docPartUnique/>
      </w:docPartObj>
    </w:sdtPr>
    <w:sdtEndPr>
      <w:rPr>
        <w:noProof/>
      </w:rPr>
    </w:sdtEndPr>
    <w:sdtContent>
      <w:p w14:paraId="7C46199B" w14:textId="450E1329" w:rsidR="00BE568F" w:rsidRDefault="00BE56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4B561A" w14:textId="77777777" w:rsidR="00BE568F" w:rsidRDefault="00BE56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83AAA"/>
    <w:multiLevelType w:val="hybridMultilevel"/>
    <w:tmpl w:val="5DC270D4"/>
    <w:lvl w:ilvl="0" w:tplc="4B7EAB7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287352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13"/>
    <w:rsid w:val="000142E3"/>
    <w:rsid w:val="0001631F"/>
    <w:rsid w:val="00024C7B"/>
    <w:rsid w:val="0007417B"/>
    <w:rsid w:val="000833F9"/>
    <w:rsid w:val="000E2DBA"/>
    <w:rsid w:val="00104012"/>
    <w:rsid w:val="00113981"/>
    <w:rsid w:val="00145148"/>
    <w:rsid w:val="00180913"/>
    <w:rsid w:val="00190BE5"/>
    <w:rsid w:val="001B6F04"/>
    <w:rsid w:val="001C26BA"/>
    <w:rsid w:val="001F194B"/>
    <w:rsid w:val="001F6978"/>
    <w:rsid w:val="0020780D"/>
    <w:rsid w:val="00231015"/>
    <w:rsid w:val="0024148A"/>
    <w:rsid w:val="00247456"/>
    <w:rsid w:val="00313893"/>
    <w:rsid w:val="00341927"/>
    <w:rsid w:val="00342FD6"/>
    <w:rsid w:val="003D0337"/>
    <w:rsid w:val="003D1356"/>
    <w:rsid w:val="00456611"/>
    <w:rsid w:val="0047069D"/>
    <w:rsid w:val="00482059"/>
    <w:rsid w:val="00487FD7"/>
    <w:rsid w:val="004D04AE"/>
    <w:rsid w:val="0051797F"/>
    <w:rsid w:val="005204F3"/>
    <w:rsid w:val="00524AB9"/>
    <w:rsid w:val="00527AC9"/>
    <w:rsid w:val="00542068"/>
    <w:rsid w:val="00545F0F"/>
    <w:rsid w:val="0054755D"/>
    <w:rsid w:val="00553DC8"/>
    <w:rsid w:val="00563564"/>
    <w:rsid w:val="00563ABC"/>
    <w:rsid w:val="005A26F4"/>
    <w:rsid w:val="005C4F86"/>
    <w:rsid w:val="006002B3"/>
    <w:rsid w:val="006614CD"/>
    <w:rsid w:val="00670972"/>
    <w:rsid w:val="006C5C1B"/>
    <w:rsid w:val="006C7234"/>
    <w:rsid w:val="006D12A8"/>
    <w:rsid w:val="006E4BC1"/>
    <w:rsid w:val="0075613E"/>
    <w:rsid w:val="00767213"/>
    <w:rsid w:val="00783319"/>
    <w:rsid w:val="00796CBA"/>
    <w:rsid w:val="007B567B"/>
    <w:rsid w:val="007B635D"/>
    <w:rsid w:val="008513B9"/>
    <w:rsid w:val="00867B5A"/>
    <w:rsid w:val="00881342"/>
    <w:rsid w:val="008A395C"/>
    <w:rsid w:val="008B300E"/>
    <w:rsid w:val="008C1216"/>
    <w:rsid w:val="008C6748"/>
    <w:rsid w:val="008D446C"/>
    <w:rsid w:val="008F79C3"/>
    <w:rsid w:val="0090380D"/>
    <w:rsid w:val="009109E4"/>
    <w:rsid w:val="009317B2"/>
    <w:rsid w:val="009357B0"/>
    <w:rsid w:val="00957F29"/>
    <w:rsid w:val="0097083B"/>
    <w:rsid w:val="009920EE"/>
    <w:rsid w:val="009A2CA4"/>
    <w:rsid w:val="009A3BE6"/>
    <w:rsid w:val="009B14FE"/>
    <w:rsid w:val="009F52C2"/>
    <w:rsid w:val="00A40356"/>
    <w:rsid w:val="00A42342"/>
    <w:rsid w:val="00A6691B"/>
    <w:rsid w:val="00A9236D"/>
    <w:rsid w:val="00AD197A"/>
    <w:rsid w:val="00AF20D2"/>
    <w:rsid w:val="00AF3FE4"/>
    <w:rsid w:val="00B1167A"/>
    <w:rsid w:val="00B117C1"/>
    <w:rsid w:val="00B32B34"/>
    <w:rsid w:val="00B53EC9"/>
    <w:rsid w:val="00BA486B"/>
    <w:rsid w:val="00BC1B4E"/>
    <w:rsid w:val="00BD374D"/>
    <w:rsid w:val="00BE448E"/>
    <w:rsid w:val="00BE568F"/>
    <w:rsid w:val="00BF02EE"/>
    <w:rsid w:val="00C11133"/>
    <w:rsid w:val="00C30600"/>
    <w:rsid w:val="00C50D0A"/>
    <w:rsid w:val="00C81956"/>
    <w:rsid w:val="00C869D2"/>
    <w:rsid w:val="00CB11EC"/>
    <w:rsid w:val="00CB24B0"/>
    <w:rsid w:val="00D42E47"/>
    <w:rsid w:val="00D76751"/>
    <w:rsid w:val="00D83657"/>
    <w:rsid w:val="00D9056F"/>
    <w:rsid w:val="00DB4AFC"/>
    <w:rsid w:val="00DC62E4"/>
    <w:rsid w:val="00DD0D0E"/>
    <w:rsid w:val="00DE54A8"/>
    <w:rsid w:val="00E07583"/>
    <w:rsid w:val="00E13C69"/>
    <w:rsid w:val="00E443C4"/>
    <w:rsid w:val="00E549BD"/>
    <w:rsid w:val="00E70A2A"/>
    <w:rsid w:val="00EB021A"/>
    <w:rsid w:val="00EC7A12"/>
    <w:rsid w:val="00F70F0C"/>
    <w:rsid w:val="00F92B24"/>
    <w:rsid w:val="00FA68D4"/>
    <w:rsid w:val="00FB32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8C31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6F0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B6F04"/>
    <w:rPr>
      <w:b/>
      <w:bCs/>
    </w:rPr>
  </w:style>
  <w:style w:type="character" w:styleId="Hyperlink">
    <w:name w:val="Hyperlink"/>
    <w:basedOn w:val="DefaultParagraphFont"/>
    <w:uiPriority w:val="99"/>
    <w:unhideWhenUsed/>
    <w:rsid w:val="00145148"/>
    <w:rPr>
      <w:rFonts w:cs="Times New Roman"/>
      <w:color w:val="0563C1" w:themeColor="hyperlink"/>
      <w:u w:val="single"/>
    </w:rPr>
  </w:style>
  <w:style w:type="character" w:styleId="UnresolvedMention">
    <w:name w:val="Unresolved Mention"/>
    <w:basedOn w:val="DefaultParagraphFont"/>
    <w:uiPriority w:val="99"/>
    <w:semiHidden/>
    <w:unhideWhenUsed/>
    <w:rsid w:val="009F52C2"/>
    <w:rPr>
      <w:color w:val="605E5C"/>
      <w:shd w:val="clear" w:color="auto" w:fill="E1DFDD"/>
    </w:rPr>
  </w:style>
  <w:style w:type="paragraph" w:styleId="Header">
    <w:name w:val="header"/>
    <w:basedOn w:val="Normal"/>
    <w:link w:val="HeaderChar"/>
    <w:uiPriority w:val="99"/>
    <w:unhideWhenUsed/>
    <w:rsid w:val="00BE56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68F"/>
  </w:style>
  <w:style w:type="paragraph" w:styleId="Footer">
    <w:name w:val="footer"/>
    <w:basedOn w:val="Normal"/>
    <w:link w:val="FooterChar"/>
    <w:uiPriority w:val="99"/>
    <w:unhideWhenUsed/>
    <w:rsid w:val="00BE56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68F"/>
  </w:style>
  <w:style w:type="paragraph" w:customStyle="1" w:styleId="Default">
    <w:name w:val="Default"/>
    <w:rsid w:val="00867B5A"/>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426904">
      <w:bodyDiv w:val="1"/>
      <w:marLeft w:val="0"/>
      <w:marRight w:val="0"/>
      <w:marTop w:val="0"/>
      <w:marBottom w:val="0"/>
      <w:divBdr>
        <w:top w:val="none" w:sz="0" w:space="0" w:color="auto"/>
        <w:left w:val="none" w:sz="0" w:space="0" w:color="auto"/>
        <w:bottom w:val="none" w:sz="0" w:space="0" w:color="auto"/>
        <w:right w:val="none" w:sz="0" w:space="0" w:color="auto"/>
      </w:divBdr>
      <w:divsChild>
        <w:div w:id="1860003915">
          <w:marLeft w:val="0"/>
          <w:marRight w:val="0"/>
          <w:marTop w:val="0"/>
          <w:marBottom w:val="0"/>
          <w:divBdr>
            <w:top w:val="single" w:sz="2" w:space="0" w:color="D9D9E3"/>
            <w:left w:val="single" w:sz="2" w:space="0" w:color="D9D9E3"/>
            <w:bottom w:val="single" w:sz="2" w:space="0" w:color="D9D9E3"/>
            <w:right w:val="single" w:sz="2" w:space="0" w:color="D9D9E3"/>
          </w:divBdr>
          <w:divsChild>
            <w:div w:id="1254782500">
              <w:marLeft w:val="0"/>
              <w:marRight w:val="0"/>
              <w:marTop w:val="0"/>
              <w:marBottom w:val="0"/>
              <w:divBdr>
                <w:top w:val="single" w:sz="2" w:space="0" w:color="D9D9E3"/>
                <w:left w:val="single" w:sz="2" w:space="0" w:color="D9D9E3"/>
                <w:bottom w:val="single" w:sz="2" w:space="0" w:color="D9D9E3"/>
                <w:right w:val="single" w:sz="2" w:space="0" w:color="D9D9E3"/>
              </w:divBdr>
              <w:divsChild>
                <w:div w:id="642855508">
                  <w:marLeft w:val="0"/>
                  <w:marRight w:val="0"/>
                  <w:marTop w:val="0"/>
                  <w:marBottom w:val="0"/>
                  <w:divBdr>
                    <w:top w:val="single" w:sz="2" w:space="0" w:color="D9D9E3"/>
                    <w:left w:val="single" w:sz="2" w:space="0" w:color="D9D9E3"/>
                    <w:bottom w:val="single" w:sz="2" w:space="0" w:color="D9D9E3"/>
                    <w:right w:val="single" w:sz="2" w:space="0" w:color="D9D9E3"/>
                  </w:divBdr>
                  <w:divsChild>
                    <w:div w:id="1015696237">
                      <w:marLeft w:val="0"/>
                      <w:marRight w:val="0"/>
                      <w:marTop w:val="0"/>
                      <w:marBottom w:val="0"/>
                      <w:divBdr>
                        <w:top w:val="single" w:sz="2" w:space="0" w:color="D9D9E3"/>
                        <w:left w:val="single" w:sz="2" w:space="0" w:color="D9D9E3"/>
                        <w:bottom w:val="single" w:sz="2" w:space="0" w:color="D9D9E3"/>
                        <w:right w:val="single" w:sz="2" w:space="0" w:color="D9D9E3"/>
                      </w:divBdr>
                      <w:divsChild>
                        <w:div w:id="1366951121">
                          <w:marLeft w:val="0"/>
                          <w:marRight w:val="0"/>
                          <w:marTop w:val="0"/>
                          <w:marBottom w:val="0"/>
                          <w:divBdr>
                            <w:top w:val="single" w:sz="2" w:space="0" w:color="D9D9E3"/>
                            <w:left w:val="single" w:sz="2" w:space="0" w:color="D9D9E3"/>
                            <w:bottom w:val="single" w:sz="2" w:space="0" w:color="D9D9E3"/>
                            <w:right w:val="single" w:sz="2" w:space="0" w:color="D9D9E3"/>
                          </w:divBdr>
                          <w:divsChild>
                            <w:div w:id="91640621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896908">
                                  <w:marLeft w:val="0"/>
                                  <w:marRight w:val="0"/>
                                  <w:marTop w:val="0"/>
                                  <w:marBottom w:val="0"/>
                                  <w:divBdr>
                                    <w:top w:val="single" w:sz="2" w:space="0" w:color="D9D9E3"/>
                                    <w:left w:val="single" w:sz="2" w:space="0" w:color="D9D9E3"/>
                                    <w:bottom w:val="single" w:sz="2" w:space="0" w:color="D9D9E3"/>
                                    <w:right w:val="single" w:sz="2" w:space="0" w:color="D9D9E3"/>
                                  </w:divBdr>
                                  <w:divsChild>
                                    <w:div w:id="550458393">
                                      <w:marLeft w:val="0"/>
                                      <w:marRight w:val="0"/>
                                      <w:marTop w:val="0"/>
                                      <w:marBottom w:val="0"/>
                                      <w:divBdr>
                                        <w:top w:val="single" w:sz="2" w:space="0" w:color="D9D9E3"/>
                                        <w:left w:val="single" w:sz="2" w:space="0" w:color="D9D9E3"/>
                                        <w:bottom w:val="single" w:sz="2" w:space="0" w:color="D9D9E3"/>
                                        <w:right w:val="single" w:sz="2" w:space="0" w:color="D9D9E3"/>
                                      </w:divBdr>
                                      <w:divsChild>
                                        <w:div w:id="1126121801">
                                          <w:marLeft w:val="0"/>
                                          <w:marRight w:val="0"/>
                                          <w:marTop w:val="0"/>
                                          <w:marBottom w:val="0"/>
                                          <w:divBdr>
                                            <w:top w:val="single" w:sz="2" w:space="0" w:color="D9D9E3"/>
                                            <w:left w:val="single" w:sz="2" w:space="0" w:color="D9D9E3"/>
                                            <w:bottom w:val="single" w:sz="2" w:space="0" w:color="D9D9E3"/>
                                            <w:right w:val="single" w:sz="2" w:space="0" w:color="D9D9E3"/>
                                          </w:divBdr>
                                          <w:divsChild>
                                            <w:div w:id="1265191649">
                                              <w:marLeft w:val="0"/>
                                              <w:marRight w:val="0"/>
                                              <w:marTop w:val="0"/>
                                              <w:marBottom w:val="0"/>
                                              <w:divBdr>
                                                <w:top w:val="single" w:sz="2" w:space="0" w:color="D9D9E3"/>
                                                <w:left w:val="single" w:sz="2" w:space="0" w:color="D9D9E3"/>
                                                <w:bottom w:val="single" w:sz="2" w:space="0" w:color="D9D9E3"/>
                                                <w:right w:val="single" w:sz="2" w:space="0" w:color="D9D9E3"/>
                                              </w:divBdr>
                                              <w:divsChild>
                                                <w:div w:id="1802771470">
                                                  <w:marLeft w:val="0"/>
                                                  <w:marRight w:val="0"/>
                                                  <w:marTop w:val="0"/>
                                                  <w:marBottom w:val="0"/>
                                                  <w:divBdr>
                                                    <w:top w:val="single" w:sz="2" w:space="0" w:color="D9D9E3"/>
                                                    <w:left w:val="single" w:sz="2" w:space="0" w:color="D9D9E3"/>
                                                    <w:bottom w:val="single" w:sz="2" w:space="0" w:color="D9D9E3"/>
                                                    <w:right w:val="single" w:sz="2" w:space="0" w:color="D9D9E3"/>
                                                  </w:divBdr>
                                                  <w:divsChild>
                                                    <w:div w:id="1603344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82545471">
          <w:marLeft w:val="0"/>
          <w:marRight w:val="0"/>
          <w:marTop w:val="0"/>
          <w:marBottom w:val="0"/>
          <w:divBdr>
            <w:top w:val="none" w:sz="0" w:space="0" w:color="auto"/>
            <w:left w:val="none" w:sz="0" w:space="0" w:color="auto"/>
            <w:bottom w:val="none" w:sz="0" w:space="0" w:color="auto"/>
            <w:right w:val="none" w:sz="0" w:space="0" w:color="auto"/>
          </w:divBdr>
        </w:div>
      </w:divsChild>
    </w:div>
    <w:div w:id="643893323">
      <w:bodyDiv w:val="1"/>
      <w:marLeft w:val="0"/>
      <w:marRight w:val="0"/>
      <w:marTop w:val="0"/>
      <w:marBottom w:val="0"/>
      <w:divBdr>
        <w:top w:val="none" w:sz="0" w:space="0" w:color="auto"/>
        <w:left w:val="none" w:sz="0" w:space="0" w:color="auto"/>
        <w:bottom w:val="none" w:sz="0" w:space="0" w:color="auto"/>
        <w:right w:val="none" w:sz="0" w:space="0" w:color="auto"/>
      </w:divBdr>
    </w:div>
    <w:div w:id="693267996">
      <w:bodyDiv w:val="1"/>
      <w:marLeft w:val="0"/>
      <w:marRight w:val="0"/>
      <w:marTop w:val="0"/>
      <w:marBottom w:val="0"/>
      <w:divBdr>
        <w:top w:val="none" w:sz="0" w:space="0" w:color="auto"/>
        <w:left w:val="none" w:sz="0" w:space="0" w:color="auto"/>
        <w:bottom w:val="none" w:sz="0" w:space="0" w:color="auto"/>
        <w:right w:val="none" w:sz="0" w:space="0" w:color="auto"/>
      </w:divBdr>
    </w:div>
    <w:div w:id="948854562">
      <w:bodyDiv w:val="1"/>
      <w:marLeft w:val="0"/>
      <w:marRight w:val="0"/>
      <w:marTop w:val="0"/>
      <w:marBottom w:val="0"/>
      <w:divBdr>
        <w:top w:val="none" w:sz="0" w:space="0" w:color="auto"/>
        <w:left w:val="none" w:sz="0" w:space="0" w:color="auto"/>
        <w:bottom w:val="none" w:sz="0" w:space="0" w:color="auto"/>
        <w:right w:val="none" w:sz="0" w:space="0" w:color="auto"/>
      </w:divBdr>
    </w:div>
    <w:div w:id="1138378297">
      <w:bodyDiv w:val="1"/>
      <w:marLeft w:val="0"/>
      <w:marRight w:val="0"/>
      <w:marTop w:val="0"/>
      <w:marBottom w:val="0"/>
      <w:divBdr>
        <w:top w:val="none" w:sz="0" w:space="0" w:color="auto"/>
        <w:left w:val="none" w:sz="0" w:space="0" w:color="auto"/>
        <w:bottom w:val="none" w:sz="0" w:space="0" w:color="auto"/>
        <w:right w:val="none" w:sz="0" w:space="0" w:color="auto"/>
      </w:divBdr>
    </w:div>
    <w:div w:id="1445272133">
      <w:bodyDiv w:val="1"/>
      <w:marLeft w:val="0"/>
      <w:marRight w:val="0"/>
      <w:marTop w:val="0"/>
      <w:marBottom w:val="0"/>
      <w:divBdr>
        <w:top w:val="none" w:sz="0" w:space="0" w:color="auto"/>
        <w:left w:val="none" w:sz="0" w:space="0" w:color="auto"/>
        <w:bottom w:val="none" w:sz="0" w:space="0" w:color="auto"/>
        <w:right w:val="none" w:sz="0" w:space="0" w:color="auto"/>
      </w:divBdr>
    </w:div>
    <w:div w:id="1628318204">
      <w:bodyDiv w:val="1"/>
      <w:marLeft w:val="0"/>
      <w:marRight w:val="0"/>
      <w:marTop w:val="0"/>
      <w:marBottom w:val="0"/>
      <w:divBdr>
        <w:top w:val="none" w:sz="0" w:space="0" w:color="auto"/>
        <w:left w:val="none" w:sz="0" w:space="0" w:color="auto"/>
        <w:bottom w:val="none" w:sz="0" w:space="0" w:color="auto"/>
        <w:right w:val="none" w:sz="0" w:space="0" w:color="auto"/>
      </w:divBdr>
    </w:div>
    <w:div w:id="181934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la.gre.ac.uk/id/eprint/28836/1/28836%20GATTO_A_Pluralistic_Approach_to_Economic_and_Business_Sustainability_2020.pdf" TargetMode="External"/><Relationship Id="rId18" Type="http://schemas.openxmlformats.org/officeDocument/2006/relationships/hyperlink" Target="https://www.sciencedirect.com/science/article/pii/S0278431916304832" TargetMode="External"/><Relationship Id="rId26" Type="http://schemas.openxmlformats.org/officeDocument/2006/relationships/hyperlink" Target="https://sigmapubs.onlinelibrary.wiley.com/doi/pdf/10.1111/wvn.12324" TargetMode="External"/><Relationship Id="rId3" Type="http://schemas.openxmlformats.org/officeDocument/2006/relationships/styles" Target="styles.xml"/><Relationship Id="rId21" Type="http://schemas.openxmlformats.org/officeDocument/2006/relationships/hyperlink" Target="https://www.mdpi.com/1660-4601/17/6/1920/pdf" TargetMode="External"/><Relationship Id="rId7" Type="http://schemas.openxmlformats.org/officeDocument/2006/relationships/endnotes" Target="endnotes.xml"/><Relationship Id="rId12" Type="http://schemas.openxmlformats.org/officeDocument/2006/relationships/hyperlink" Target="https://www.mdpi.com/2071-1050/13/16/9024/pdf" TargetMode="External"/><Relationship Id="rId17" Type="http://schemas.openxmlformats.org/officeDocument/2006/relationships/hyperlink" Target="https://books.google.ro/books?hl=en&amp;lr=&amp;id=lBK3EAAAQBAJ&amp;oi=fnd&amp;pg=PT7&amp;dq=Central+to+this+alignment+is+labor+demand+forecasting,+where+Hilton+leverages+advanced+data+analytics+to+anticipate+staffing+needs,+ensuring+each+property+is+optimally+staffed+to+deliver+exceptional+service+without+incurring+unnecessary+costs.&amp;ots=8fWTZp8Gve&amp;sig=FWcBXctZOiFaiVIG483GjTgFe-M&amp;redir_esc=y" TargetMode="External"/><Relationship Id="rId25" Type="http://schemas.openxmlformats.org/officeDocument/2006/relationships/hyperlink" Target="https://www.researchgate.net/profile/John-Tracey-3/publication/265858149_A_review_of_human_resources_management_research_The_past_10_years_and_implications_for_moving_forward/links/5792618308aeb0ffccd07594/A-review-of-human-resources-management-research-The-past-10-years-and-implications-for-moving-forward.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1-1050/14/22/15365/pdf" TargetMode="External"/><Relationship Id="rId20" Type="http://schemas.openxmlformats.org/officeDocument/2006/relationships/hyperlink" Target="https://www.academia.edu/download/84816413/JEB0615_20christine.pdf" TargetMode="External"/><Relationship Id="rId29" Type="http://schemas.openxmlformats.org/officeDocument/2006/relationships/hyperlink" Target="https://www.researchgate.net/publication/370354797_Analysis_of_Strategic_Human_Resource_Management_Practices_A_Case_Study_of_Hilton_Worldwide/fulltext/644bedce809a535021364e43/Analysis-of-Strategic-Human-Resource-Management-Practices-A-Case-Study-of-Hilton-Worldwide.pdf?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rdapaper.ir/mohavaha/uploads/2018/11/Fardapaper-On-the-importance-of-sustainable-human-resource-management-for-the-adoption-of-sustainable-development-goals.pdf" TargetMode="External"/><Relationship Id="rId24" Type="http://schemas.openxmlformats.org/officeDocument/2006/relationships/hyperlink" Target="https://shura.shu.ac.uk/25585/1/The%20importance%20of%20human-related%20factors%20on%20service%20innovation%20and%20performance.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ooks.google.com/books?hl=en&amp;lr=&amp;id=EEksAwAAQBAJ&amp;oi=fnd&amp;pg=PT135&amp;dq=As+the+industry+progressed,+particularly+from+the+1970s+onwards,+a+notable+shift+occurred+in+HRM+within+the+hospitality+sector&amp;ots=5A-vurSU9C&amp;sig=0h9Ec11ltY_XYVvc36XlqENANRg" TargetMode="External"/><Relationship Id="rId23" Type="http://schemas.openxmlformats.org/officeDocument/2006/relationships/hyperlink" Target="https://shura.shu.ac.uk/25585/1/The%20importance%20of%20human-related%20factors%20on%20service%20innovation%20and%20performance.pdf" TargetMode="External"/><Relationship Id="rId28" Type="http://schemas.openxmlformats.org/officeDocument/2006/relationships/hyperlink" Target="https://www.mdpi.com/1660-4601/19/18/11222/pdf" TargetMode="External"/><Relationship Id="rId10" Type="http://schemas.openxmlformats.org/officeDocument/2006/relationships/hyperlink" Target="https://www.researchgate.net/profile/Elif-Baykal-2/publication/338302648_Digitalization_of_Human_Resources_e-HR/links/5e61529a92851c7d6f25896b/Digitalization-of-Human-Resources-e-HR.pdf?_tp=eyJjb250ZXh0Ijp7ImZpcnN0UGFnZSI6InB1YmxpY2F0aW9uIiwicGFnZSI6InB1YmxpY2F0aW9uIn19" TargetMode="External"/><Relationship Id="rId19" Type="http://schemas.openxmlformats.org/officeDocument/2006/relationships/hyperlink" Target="https://www.sciencedirect.com/user/institution/login?targetUrl=%2Fscience%2Farticle%2Fpii%2FS027843191630483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gle.com/books?hl=en&amp;lr=&amp;id=cQVrDwAAQBAJ&amp;oi=fnd&amp;pg=PP1&amp;dq=A+notable+example+is+the+Hilton+Academy,+a+comprehensive+training+and+development+platform+that+offers+employees+a+path+for+career+progression+within+the+company.&amp;ots=deuCFMCoDR&amp;sig=pxiUBn4hCNbJgzR2uB_ptTekcLo" TargetMode="External"/><Relationship Id="rId14" Type="http://schemas.openxmlformats.org/officeDocument/2006/relationships/hyperlink" Target="https://sajhrm.co.za/index.php/sajhrm/article/download/957/1322" TargetMode="External"/><Relationship Id="rId22" Type="http://schemas.openxmlformats.org/officeDocument/2006/relationships/hyperlink" Target="https://repository.derby.ac.uk/download/6898c5a5bbc422c6bdb9ea8838e410d6ebfa4cb78a2fbc8f6c7362ff63890ca3/3973238/PHD%20Thesis%20Victoria.pdf" TargetMode="External"/><Relationship Id="rId27" Type="http://schemas.openxmlformats.org/officeDocument/2006/relationships/hyperlink" Target="https://journal.stieamkop.ac.id/index.php/seiko/article/download/5078/3332" TargetMode="External"/><Relationship Id="rId30" Type="http://schemas.openxmlformats.org/officeDocument/2006/relationships/hyperlink" Target="https://www.mdpi.com/1996-1073/13/9/2303/pdf" TargetMode="External"/><Relationship Id="rId8" Type="http://schemas.openxmlformats.org/officeDocument/2006/relationships/hyperlink" Target="https://www.tandfonline.com/doi/pdf/10.1080/23311975.2015.1030817"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0A60A-7A73-43F0-B1D6-A2C2161AF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2751</Words>
  <Characters>23990</Characters>
  <Application>Microsoft Office Word</Application>
  <DocSecurity>0</DocSecurity>
  <Lines>436</Lines>
  <Paragraphs>73</Paragraphs>
  <ScaleCrop>false</ScaleCrop>
  <Company/>
  <LinksUpToDate>false</LinksUpToDate>
  <CharactersWithSpaces>26668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2024-01-27T15:53:00Z</dcterms:created>
  <dcterms:modified xsi:type="dcterms:W3CDTF">2024-01-27T15:56:00Z</dcterms:modified>
</cp:coreProperties>
</file>