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00F4D1D"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740CC69F" w:rsidR="002229F0" w:rsidRDefault="00780955" w:rsidP="00AE1A4C">
            <w:pPr>
              <w:pStyle w:val="AssignBody"/>
            </w:pPr>
            <w:r>
              <w:t>Create a defined literature review</w:t>
            </w:r>
            <w:r w:rsidR="00975BC6">
              <w:t>.</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292CA9B0" w:rsidR="002229F0" w:rsidRDefault="00780955" w:rsidP="00AE1A4C">
            <w:pPr>
              <w:pStyle w:val="AssignBody"/>
            </w:pPr>
            <w:r>
              <w:t>Proofread work to check for any errors</w:t>
            </w:r>
            <w:r w:rsidR="00975BC6">
              <w:t>.</w:t>
            </w:r>
          </w:p>
        </w:tc>
      </w:tr>
    </w:tbl>
    <w:p w14:paraId="45E34BBD" w14:textId="77777777" w:rsidR="002229F0" w:rsidRDefault="002229F0" w:rsidP="00E611D9">
      <w:pPr>
        <w:pStyle w:val="AssignBody"/>
      </w:pPr>
    </w:p>
    <w:p w14:paraId="118CB437" w14:textId="24C3981B" w:rsidR="006419C3" w:rsidRDefault="00780955" w:rsidP="00780955">
      <w:pPr>
        <w:pStyle w:val="AssignHeader"/>
      </w:pPr>
      <w:r w:rsidRPr="00780955">
        <w:t>How do teachers use questioning to encourage participation in the classroom?</w:t>
      </w:r>
    </w:p>
    <w:p w14:paraId="656EDEE2"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 xml:space="preserve">Research plays an indispensable part of developing both teachers and pupils learning.        </w:t>
      </w:r>
    </w:p>
    <w:p w14:paraId="69696415" w14:textId="77777777" w:rsidR="00780955" w:rsidRPr="00F66EEF" w:rsidRDefault="00780955" w:rsidP="00780955">
      <w:pPr>
        <w:spacing w:line="360" w:lineRule="auto"/>
        <w:ind w:left="720"/>
        <w:rPr>
          <w:rFonts w:ascii="Arial" w:hAnsi="Arial" w:cs="Arial"/>
          <w:color w:val="000000" w:themeColor="text1"/>
        </w:rPr>
      </w:pPr>
      <w:r w:rsidRPr="00F66EEF">
        <w:rPr>
          <w:rFonts w:ascii="Arial" w:hAnsi="Arial" w:cs="Arial"/>
          <w:color w:val="000000" w:themeColor="text1"/>
        </w:rPr>
        <w:t>‘Opportunities for school based research are welcomed by student teachers, teachers and other practitioners because they create openings to ask the questions that underpin school structures, cultures and process of change</w:t>
      </w:r>
      <w:proofErr w:type="gramStart"/>
      <w:r w:rsidRPr="00F66EEF">
        <w:rPr>
          <w:rFonts w:ascii="Arial" w:hAnsi="Arial" w:cs="Arial"/>
          <w:color w:val="000000" w:themeColor="text1"/>
        </w:rPr>
        <w:t>’(</w:t>
      </w:r>
      <w:proofErr w:type="spellStart"/>
      <w:proofErr w:type="gramEnd"/>
      <w:r w:rsidRPr="00F66EEF">
        <w:rPr>
          <w:rFonts w:ascii="Arial" w:hAnsi="Arial" w:cs="Arial"/>
          <w:color w:val="000000" w:themeColor="text1"/>
        </w:rPr>
        <w:t>Durrant</w:t>
      </w:r>
      <w:proofErr w:type="spellEnd"/>
      <w:r w:rsidRPr="00F66EEF">
        <w:rPr>
          <w:rFonts w:ascii="Arial" w:hAnsi="Arial" w:cs="Arial"/>
          <w:color w:val="000000" w:themeColor="text1"/>
        </w:rPr>
        <w:t>, 2016. P14)</w:t>
      </w:r>
    </w:p>
    <w:p w14:paraId="0B316D9F"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This small-scale research study is based on Assessment for learning (AFL) in the classroom, the aim is to critically evaluate the impact of research tools and findings on the learner and professional practice. The developed research question is ‘</w:t>
      </w:r>
      <w:bookmarkStart w:id="1" w:name="_Hlk36068790"/>
      <w:r w:rsidRPr="00F66EEF">
        <w:rPr>
          <w:rFonts w:ascii="Arial" w:hAnsi="Arial" w:cs="Arial"/>
          <w:color w:val="000000" w:themeColor="text1"/>
        </w:rPr>
        <w:t>How do teachers use questioning to encourage participation in the classroom</w:t>
      </w:r>
      <w:bookmarkEnd w:id="1"/>
      <w:r w:rsidRPr="00F66EEF">
        <w:rPr>
          <w:rFonts w:ascii="Arial" w:hAnsi="Arial" w:cs="Arial"/>
          <w:color w:val="000000" w:themeColor="text1"/>
        </w:rPr>
        <w:t>?’. Using a question to frame your research is important- ‘it sets the parameters for your research and ensures that it keeps to a clearly defined focus</w:t>
      </w:r>
      <w:proofErr w:type="gramStart"/>
      <w:r w:rsidRPr="00F66EEF">
        <w:rPr>
          <w:rFonts w:ascii="Arial" w:hAnsi="Arial" w:cs="Arial"/>
          <w:color w:val="000000" w:themeColor="text1"/>
        </w:rPr>
        <w:t>’(</w:t>
      </w:r>
      <w:proofErr w:type="gramEnd"/>
      <w:r w:rsidRPr="00F66EEF">
        <w:rPr>
          <w:rFonts w:ascii="Arial" w:hAnsi="Arial" w:cs="Arial"/>
          <w:color w:val="000000" w:themeColor="text1"/>
        </w:rPr>
        <w:t>Austin,2016 .P26).</w:t>
      </w:r>
    </w:p>
    <w:p w14:paraId="02472723" w14:textId="77777777" w:rsidR="00780955" w:rsidRPr="00F66EEF" w:rsidRDefault="00780955" w:rsidP="00780955">
      <w:pPr>
        <w:spacing w:line="360" w:lineRule="auto"/>
        <w:rPr>
          <w:rFonts w:ascii="Arial" w:hAnsi="Arial" w:cs="Arial"/>
          <w:color w:val="000000" w:themeColor="text1"/>
        </w:rPr>
      </w:pPr>
      <w:bookmarkStart w:id="2" w:name="_Hlk35517378"/>
      <w:r w:rsidRPr="00F66EEF">
        <w:rPr>
          <w:rFonts w:ascii="Arial" w:hAnsi="Arial" w:cs="Arial"/>
          <w:color w:val="000000" w:themeColor="text1"/>
        </w:rPr>
        <w:t>The hypothesis of this question is that when teachers use questioning strategies e.g. lolly sticks and think-pair-share greater pupil engagement takes place. ‘Lolly sticks increases children’s concentration and focus, but also enhances their listening therefore understanding’ (Clarke,2014. P61). Another hypothesis to this question is that children who put their hands up to answer questions are not necessarily the only pupils with the answers. Some children might not have the confidence to answer the questions or the teachers are not giving them enough thinking time to be able to come up with an answer to the proposed question.</w:t>
      </w:r>
    </w:p>
    <w:bookmarkEnd w:id="2"/>
    <w:p w14:paraId="7EB509EE"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 xml:space="preserve">There will be three different research tools used within the investigation: Interviews, questionnaires and observations. Using these methods will allow the researcher to synthesise data to contrast and compare their findings and establish if they matched the hypothesis or how the outcomes differ. </w:t>
      </w:r>
      <w:proofErr w:type="spellStart"/>
      <w:r w:rsidRPr="00F66EEF">
        <w:rPr>
          <w:rFonts w:ascii="Arial" w:hAnsi="Arial" w:cs="Arial"/>
          <w:color w:val="000000" w:themeColor="text1"/>
        </w:rPr>
        <w:t>Scoles</w:t>
      </w:r>
      <w:proofErr w:type="spellEnd"/>
      <w:r w:rsidRPr="00F66EEF">
        <w:rPr>
          <w:rFonts w:ascii="Arial" w:hAnsi="Arial" w:cs="Arial"/>
          <w:color w:val="000000" w:themeColor="text1"/>
        </w:rPr>
        <w:t xml:space="preserve">, </w:t>
      </w:r>
      <w:proofErr w:type="spellStart"/>
      <w:r w:rsidRPr="00F66EEF">
        <w:rPr>
          <w:rFonts w:ascii="Arial" w:hAnsi="Arial" w:cs="Arial"/>
          <w:color w:val="000000" w:themeColor="text1"/>
        </w:rPr>
        <w:t>Huxham</w:t>
      </w:r>
      <w:proofErr w:type="spellEnd"/>
      <w:r w:rsidRPr="00F66EEF">
        <w:rPr>
          <w:rFonts w:ascii="Arial" w:hAnsi="Arial" w:cs="Arial"/>
          <w:color w:val="000000" w:themeColor="text1"/>
        </w:rPr>
        <w:t xml:space="preserve"> and McArthur (2014) state that mixed method research gains value when researchers can 'analyse qualitive and quantitative data together'. It provides insights into other methods; the combined findings can complement one another to form 'a bigger picture of the phenomenon under study'. It gives more than one perspective of the research which provides greater findings.</w:t>
      </w:r>
    </w:p>
    <w:p w14:paraId="024AF3B7" w14:textId="1F217915"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rPr>
        <w:lastRenderedPageBreak/>
        <w:t xml:space="preserve">AFL is an approach to teaching and learning that creates feedback which is then used to improve student’s performance’ </w:t>
      </w:r>
      <w:r w:rsidRPr="00F66EEF">
        <w:rPr>
          <w:rFonts w:ascii="Arial" w:hAnsi="Arial" w:cs="Arial"/>
          <w:color w:val="000000" w:themeColor="text1"/>
          <w:shd w:val="clear" w:color="auto" w:fill="FFFFFF"/>
        </w:rPr>
        <w:t xml:space="preserve">(Cambridge-community.org.uk, 2020). </w:t>
      </w:r>
      <w:r w:rsidRPr="00F66EEF">
        <w:rPr>
          <w:rFonts w:ascii="Arial" w:hAnsi="Arial" w:cs="Arial"/>
          <w:color w:val="000000" w:themeColor="text1"/>
        </w:rPr>
        <w:t>Sadler (1989) claims that the aim of AFL and formative assessment is to close the gap between what a learner knows and where they want to be in their learning</w:t>
      </w:r>
      <w:r>
        <w:rPr>
          <w:rFonts w:ascii="Arial" w:hAnsi="Arial" w:cs="Arial"/>
          <w:color w:val="000000" w:themeColor="text1"/>
          <w:shd w:val="clear" w:color="auto" w:fill="FFFFFF"/>
        </w:rPr>
        <w:t>.</w:t>
      </w:r>
      <w:r w:rsidRPr="00F66EEF">
        <w:rPr>
          <w:rFonts w:ascii="Arial" w:hAnsi="Arial" w:cs="Arial"/>
          <w:color w:val="000000" w:themeColor="text1"/>
          <w:shd w:val="clear" w:color="auto" w:fill="FFFFFF"/>
        </w:rPr>
        <w:t xml:space="preserve"> Wiliam (2011) supports the use of AFL in the classroom he suggests that there are 5 core strategies that depict successful formative assessment practice in learning: clarifying, sharing, and understanding learning intentions and criteria for success: Engineering effective classroom discussions: providing feedback: Activating learners as instructional resources for one another</w:t>
      </w:r>
      <w:r w:rsidR="00642D64">
        <w:rPr>
          <w:rFonts w:ascii="Arial" w:hAnsi="Arial" w:cs="Arial"/>
          <w:color w:val="000000" w:themeColor="text1"/>
          <w:shd w:val="clear" w:color="auto" w:fill="FFFFFF"/>
        </w:rPr>
        <w:t>:</w:t>
      </w:r>
      <w:r w:rsidRPr="00F66EEF">
        <w:rPr>
          <w:rFonts w:ascii="Arial" w:hAnsi="Arial" w:cs="Arial"/>
          <w:color w:val="000000" w:themeColor="text1"/>
          <w:shd w:val="clear" w:color="auto" w:fill="FFFFFF"/>
        </w:rPr>
        <w:t xml:space="preserve"> Activating learners as owners of their own learning.</w:t>
      </w:r>
      <w:r w:rsidRPr="00F66EEF">
        <w:rPr>
          <w:rFonts w:ascii="Arial" w:hAnsi="Arial" w:cs="Arial"/>
          <w:color w:val="000000" w:themeColor="text1"/>
        </w:rPr>
        <w:t xml:space="preserve"> </w:t>
      </w:r>
      <w:proofErr w:type="spellStart"/>
      <w:r w:rsidRPr="00F66EEF">
        <w:rPr>
          <w:rFonts w:ascii="Arial" w:hAnsi="Arial" w:cs="Arial"/>
          <w:color w:val="000000" w:themeColor="text1"/>
          <w:shd w:val="clear" w:color="auto" w:fill="FFFFFF"/>
        </w:rPr>
        <w:t>Didau</w:t>
      </w:r>
      <w:proofErr w:type="spellEnd"/>
      <w:r w:rsidRPr="00F66EEF">
        <w:rPr>
          <w:rFonts w:ascii="Arial" w:hAnsi="Arial" w:cs="Arial"/>
          <w:color w:val="000000" w:themeColor="text1"/>
          <w:shd w:val="clear" w:color="auto" w:fill="FFFFFF"/>
        </w:rPr>
        <w:t xml:space="preserve"> (2014) disagrees with AFL as he claims there is 'no meaningful way to assess what pupils have learned during the lesson in which they are supposed to learning it'. There are a variety of AFL strategies that can be used to progress pupils’ and teachers learning in the classroom however, for this research task I have focused on questioning, and how it used to maintain pupil engagement.</w:t>
      </w:r>
    </w:p>
    <w:p w14:paraId="10746E74" w14:textId="38F36139"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As teachers, we ask questions to our learners every day. Not all questions are of the same level. Some questions are simple although, others may require deeper thinking. Bloom (1956) has provided us with his taxonomy to assist us to compose questions on different levels of thinking.' They could be used for tasks which teachers do on a day-to-day basis, such as setting differentiated learning activities, questions and answers and providing formative and corrective feedback</w:t>
      </w:r>
      <w:proofErr w:type="gramStart"/>
      <w:r w:rsidR="00642D64">
        <w:rPr>
          <w:rFonts w:ascii="Arial" w:hAnsi="Arial" w:cs="Arial"/>
          <w:color w:val="000000" w:themeColor="text1"/>
          <w:shd w:val="clear" w:color="auto" w:fill="FFFFFF"/>
        </w:rPr>
        <w:t>’</w:t>
      </w:r>
      <w:r w:rsidRPr="00F66EEF">
        <w:rPr>
          <w:rFonts w:ascii="Arial" w:hAnsi="Arial" w:cs="Arial"/>
          <w:color w:val="000000" w:themeColor="text1"/>
          <w:shd w:val="clear" w:color="auto" w:fill="FFFFFF"/>
        </w:rPr>
        <w:t>(</w:t>
      </w:r>
      <w:proofErr w:type="gramEnd"/>
      <w:r w:rsidRPr="00F66EEF">
        <w:rPr>
          <w:rFonts w:ascii="Arial" w:hAnsi="Arial" w:cs="Arial"/>
          <w:color w:val="000000" w:themeColor="text1"/>
          <w:shd w:val="clear" w:color="auto" w:fill="FFFFFF"/>
        </w:rPr>
        <w:t>Aubrey and Riley,2019). Wallace and Kirkman (2014) explain that ‘questions are how we make progress, how we close the gaps for ourselves and open new ones to cross’. Hattie (2014) echoes this idea, he states:</w:t>
      </w:r>
      <w:r w:rsidRPr="00F66EEF">
        <w:rPr>
          <w:rFonts w:ascii="Arial" w:hAnsi="Arial" w:cs="Arial"/>
          <w:color w:val="000000" w:themeColor="text1"/>
          <w:shd w:val="clear" w:color="auto" w:fill="FFFFFF"/>
        </w:rPr>
        <w:tab/>
      </w:r>
      <w:r w:rsidRPr="00F66EEF">
        <w:rPr>
          <w:rFonts w:ascii="Arial" w:hAnsi="Arial" w:cs="Arial"/>
          <w:color w:val="000000" w:themeColor="text1"/>
          <w:shd w:val="clear" w:color="auto" w:fill="FFFFFF"/>
        </w:rPr>
        <w:tab/>
      </w:r>
    </w:p>
    <w:p w14:paraId="5DBE09BE" w14:textId="77777777" w:rsidR="00780955" w:rsidRPr="00F66EEF" w:rsidRDefault="00780955" w:rsidP="00780955">
      <w:pPr>
        <w:spacing w:line="360" w:lineRule="auto"/>
        <w:ind w:left="720"/>
        <w:rPr>
          <w:rFonts w:ascii="Arial" w:hAnsi="Arial" w:cs="Arial"/>
          <w:color w:val="000000" w:themeColor="text1"/>
          <w:shd w:val="clear" w:color="auto" w:fill="FFFFFF"/>
        </w:rPr>
      </w:pPr>
      <w:r w:rsidRPr="00F66EEF">
        <w:rPr>
          <w:rFonts w:ascii="Arial" w:hAnsi="Arial" w:cs="Arial"/>
          <w:color w:val="000000" w:themeColor="text1"/>
          <w:shd w:val="clear" w:color="auto" w:fill="FFFFFF"/>
        </w:rPr>
        <w:t>‘by asking questions that provoke learners to become more focused and enquiring, teachers are pushing learners to close gaps and generate proof about whether or not they have achieved their learning goals’.</w:t>
      </w:r>
    </w:p>
    <w:p w14:paraId="5E88B84E" w14:textId="3224B4A1"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Questioning is used in a variety of ways throughout a school day; however, some children are reluctant to answer questions. A common debate within questioning in the classroom is whether ‘hands up’ is an effective method to conserve learner’s engagement. Wiliam (2014) suggests that no hands up is more beneficial to children’s engagement in the classroom, than the ‘standard classroom transaction model’. He believes that using methods like a name randomiser will ensure children are listening actively as they might have to give a response.’ The fundamental flaw in the traditional questioning model is that participation is voluntary. Children who are less confident to put their hands up miss opportunities to progress. Clarke (2014) enforces this concept by saying ‘strategies like lolly sticks and name generators avoids the ‘damaging’ hands up culture where the same children put their hand up first to answer questions disabling the other children from thinking’. Bennet (2017) </w:t>
      </w:r>
      <w:r w:rsidRPr="00F66EEF">
        <w:rPr>
          <w:rFonts w:ascii="Arial" w:hAnsi="Arial" w:cs="Arial"/>
          <w:color w:val="000000" w:themeColor="text1"/>
          <w:shd w:val="clear" w:color="auto" w:fill="FFFFFF"/>
        </w:rPr>
        <w:lastRenderedPageBreak/>
        <w:t xml:space="preserve">disagrees with the abolishment of the ‘hands up culture’. He states that the ‘new techniques are ineffective’ and </w:t>
      </w:r>
      <w:r w:rsidR="00975BC6">
        <w:rPr>
          <w:rFonts w:ascii="Arial" w:hAnsi="Arial" w:cs="Arial"/>
          <w:color w:val="000000" w:themeColor="text1"/>
          <w:shd w:val="clear" w:color="auto" w:fill="FFFFFF"/>
        </w:rPr>
        <w:t>believes</w:t>
      </w:r>
      <w:r w:rsidRPr="00F66EEF">
        <w:rPr>
          <w:rFonts w:ascii="Arial" w:hAnsi="Arial" w:cs="Arial"/>
          <w:color w:val="000000" w:themeColor="text1"/>
          <w:shd w:val="clear" w:color="auto" w:fill="FFFFFF"/>
        </w:rPr>
        <w:t xml:space="preserve"> that teachers need to set boundaries to help children develop great habits. This is further challenged by Myhill, Jones and </w:t>
      </w:r>
      <w:r w:rsidR="00642D64" w:rsidRPr="00F66EEF">
        <w:rPr>
          <w:rFonts w:ascii="Arial" w:hAnsi="Arial" w:cs="Arial"/>
          <w:color w:val="000000" w:themeColor="text1"/>
          <w:shd w:val="clear" w:color="auto" w:fill="FFFFFF"/>
        </w:rPr>
        <w:t>Hopper (</w:t>
      </w:r>
      <w:proofErr w:type="gramStart"/>
      <w:r w:rsidRPr="00F66EEF">
        <w:rPr>
          <w:rFonts w:ascii="Arial" w:hAnsi="Arial" w:cs="Arial"/>
          <w:color w:val="000000" w:themeColor="text1"/>
          <w:shd w:val="clear" w:color="auto" w:fill="FFFFFF"/>
        </w:rPr>
        <w:t>2006)who</w:t>
      </w:r>
      <w:proofErr w:type="gramEnd"/>
      <w:r w:rsidRPr="00F66EEF">
        <w:rPr>
          <w:rFonts w:ascii="Arial" w:hAnsi="Arial" w:cs="Arial"/>
          <w:color w:val="000000" w:themeColor="text1"/>
          <w:shd w:val="clear" w:color="auto" w:fill="FFFFFF"/>
        </w:rPr>
        <w:t xml:space="preserve"> claim</w:t>
      </w:r>
      <w:r w:rsidR="00642D64">
        <w:rPr>
          <w:rFonts w:ascii="Arial" w:hAnsi="Arial" w:cs="Arial"/>
          <w:color w:val="000000" w:themeColor="text1"/>
          <w:shd w:val="clear" w:color="auto" w:fill="FFFFFF"/>
        </w:rPr>
        <w:t xml:space="preserve"> a </w:t>
      </w:r>
      <w:r w:rsidRPr="00F66EEF">
        <w:rPr>
          <w:rFonts w:ascii="Arial" w:hAnsi="Arial" w:cs="Arial"/>
          <w:color w:val="000000" w:themeColor="text1"/>
          <w:shd w:val="clear" w:color="auto" w:fill="FFFFFF"/>
        </w:rPr>
        <w:t xml:space="preserve">child who sits quietly might still be highly engaged, while a child </w:t>
      </w:r>
      <w:r w:rsidR="00642D64">
        <w:rPr>
          <w:rFonts w:ascii="Arial" w:hAnsi="Arial" w:cs="Arial"/>
          <w:color w:val="000000" w:themeColor="text1"/>
          <w:shd w:val="clear" w:color="auto" w:fill="FFFFFF"/>
        </w:rPr>
        <w:t>who constantly has their hand up</w:t>
      </w:r>
      <w:r w:rsidRPr="00F66EEF">
        <w:rPr>
          <w:rFonts w:ascii="Arial" w:hAnsi="Arial" w:cs="Arial"/>
          <w:color w:val="000000" w:themeColor="text1"/>
          <w:shd w:val="clear" w:color="auto" w:fill="FFFFFF"/>
        </w:rPr>
        <w:t xml:space="preserve"> might be doing it habitually.</w:t>
      </w:r>
    </w:p>
    <w:p w14:paraId="3E1372F6" w14:textId="347CBAAD"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A common questioning error in the class room is ‘the loading of question on top of questions without giving learners enough time to answer them</w:t>
      </w:r>
      <w:proofErr w:type="gramStart"/>
      <w:r w:rsidRPr="00F66EEF">
        <w:rPr>
          <w:rFonts w:ascii="Arial" w:hAnsi="Arial" w:cs="Arial"/>
          <w:color w:val="000000" w:themeColor="text1"/>
          <w:shd w:val="clear" w:color="auto" w:fill="FFFFFF"/>
        </w:rPr>
        <w:t>’(</w:t>
      </w:r>
      <w:proofErr w:type="gramEnd"/>
      <w:r w:rsidRPr="00F66EEF">
        <w:rPr>
          <w:rFonts w:ascii="Arial" w:hAnsi="Arial" w:cs="Arial"/>
          <w:color w:val="000000" w:themeColor="text1"/>
          <w:shd w:val="clear" w:color="auto" w:fill="FFFFFF"/>
        </w:rPr>
        <w:t xml:space="preserve">Wallace and Kirkman, 2014). </w:t>
      </w:r>
      <w:proofErr w:type="gramStart"/>
      <w:r w:rsidRPr="00F66EEF">
        <w:rPr>
          <w:rFonts w:ascii="Arial" w:hAnsi="Arial" w:cs="Arial"/>
          <w:color w:val="000000" w:themeColor="text1"/>
          <w:shd w:val="clear" w:color="auto" w:fill="FFFFFF"/>
        </w:rPr>
        <w:t>Rowe(</w:t>
      </w:r>
      <w:proofErr w:type="gramEnd"/>
      <w:r w:rsidRPr="00F66EEF">
        <w:rPr>
          <w:rFonts w:ascii="Arial" w:hAnsi="Arial" w:cs="Arial"/>
          <w:color w:val="000000" w:themeColor="text1"/>
          <w:shd w:val="clear" w:color="auto" w:fill="FFFFFF"/>
        </w:rPr>
        <w:t xml:space="preserve">1986)believes that increasing wait time to three seconds improves high quality answers. Stahl(1990 ) followed up her research, he claimed that ‘wait time’ should be renamed as ‘think time’ as it gave children a purpose during the silence: ‘Think-time names the primary academic purpose and activity of this period of silence--to allow students and the teacher to complete on-task thinking’ (Stahl,1990). Wallace and Kirkman (2014) support ‘think time’ however, they </w:t>
      </w:r>
      <w:r w:rsidR="00642D64">
        <w:rPr>
          <w:rFonts w:ascii="Arial" w:hAnsi="Arial" w:cs="Arial"/>
          <w:color w:val="000000" w:themeColor="text1"/>
          <w:shd w:val="clear" w:color="auto" w:fill="FFFFFF"/>
        </w:rPr>
        <w:t>argue</w:t>
      </w:r>
      <w:r w:rsidR="00975BC6">
        <w:rPr>
          <w:rFonts w:ascii="Arial" w:hAnsi="Arial" w:cs="Arial"/>
          <w:color w:val="000000" w:themeColor="text1"/>
          <w:shd w:val="clear" w:color="auto" w:fill="FFFFFF"/>
        </w:rPr>
        <w:t xml:space="preserve"> that ‘</w:t>
      </w:r>
      <w:r w:rsidRPr="00F66EEF">
        <w:rPr>
          <w:rFonts w:ascii="Arial" w:hAnsi="Arial" w:cs="Arial"/>
          <w:color w:val="000000" w:themeColor="text1"/>
          <w:shd w:val="clear" w:color="auto" w:fill="FFFFFF"/>
        </w:rPr>
        <w:t>10 seconds wait</w:t>
      </w:r>
      <w:r w:rsidR="00975BC6">
        <w:rPr>
          <w:rFonts w:ascii="Arial" w:hAnsi="Arial" w:cs="Arial"/>
          <w:color w:val="000000" w:themeColor="text1"/>
          <w:shd w:val="clear" w:color="auto" w:fill="FFFFFF"/>
        </w:rPr>
        <w:t xml:space="preserve">’ </w:t>
      </w:r>
      <w:r w:rsidRPr="00F66EEF">
        <w:rPr>
          <w:rFonts w:ascii="Arial" w:hAnsi="Arial" w:cs="Arial"/>
          <w:color w:val="000000" w:themeColor="text1"/>
          <w:shd w:val="clear" w:color="auto" w:fill="FFFFFF"/>
        </w:rPr>
        <w:t>time is more beneficial than 3 seconds: The</w:t>
      </w:r>
      <w:r w:rsidR="00975BC6">
        <w:rPr>
          <w:rFonts w:ascii="Arial" w:hAnsi="Arial" w:cs="Arial"/>
          <w:color w:val="000000" w:themeColor="text1"/>
          <w:shd w:val="clear" w:color="auto" w:fill="FFFFFF"/>
        </w:rPr>
        <w:t xml:space="preserve">y explain that the </w:t>
      </w:r>
      <w:r w:rsidRPr="00F66EEF">
        <w:rPr>
          <w:rFonts w:ascii="Arial" w:hAnsi="Arial" w:cs="Arial"/>
          <w:color w:val="000000" w:themeColor="text1"/>
          <w:shd w:val="clear" w:color="auto" w:fill="FFFFFF"/>
        </w:rPr>
        <w:t xml:space="preserve">10 second rule encourages learners to </w:t>
      </w:r>
      <w:r w:rsidR="00975BC6">
        <w:rPr>
          <w:rFonts w:ascii="Arial" w:hAnsi="Arial" w:cs="Arial"/>
          <w:color w:val="000000" w:themeColor="text1"/>
          <w:shd w:val="clear" w:color="auto" w:fill="FFFFFF"/>
        </w:rPr>
        <w:t xml:space="preserve">activate their brain and </w:t>
      </w:r>
      <w:r w:rsidRPr="00F66EEF">
        <w:rPr>
          <w:rFonts w:ascii="Arial" w:hAnsi="Arial" w:cs="Arial"/>
          <w:color w:val="000000" w:themeColor="text1"/>
          <w:shd w:val="clear" w:color="auto" w:fill="FFFFFF"/>
        </w:rPr>
        <w:t>begin the process of finding a possible answer to a question</w:t>
      </w:r>
      <w:r w:rsidR="00975BC6">
        <w:rPr>
          <w:rFonts w:ascii="Arial" w:hAnsi="Arial" w:cs="Arial"/>
          <w:color w:val="000000" w:themeColor="text1"/>
          <w:shd w:val="clear" w:color="auto" w:fill="FFFFFF"/>
        </w:rPr>
        <w:t>.</w:t>
      </w:r>
      <w:r w:rsidRPr="00F66EEF">
        <w:rPr>
          <w:rFonts w:ascii="Arial" w:hAnsi="Arial" w:cs="Arial"/>
          <w:color w:val="000000" w:themeColor="text1"/>
          <w:shd w:val="clear" w:color="auto" w:fill="FFFFFF"/>
        </w:rPr>
        <w:t xml:space="preserve"> Giving children ‘think time’ gives them </w:t>
      </w:r>
      <w:r w:rsidR="00975BC6">
        <w:rPr>
          <w:rFonts w:ascii="Arial" w:hAnsi="Arial" w:cs="Arial"/>
          <w:color w:val="000000" w:themeColor="text1"/>
          <w:shd w:val="clear" w:color="auto" w:fill="FFFFFF"/>
        </w:rPr>
        <w:t>the</w:t>
      </w:r>
      <w:r w:rsidRPr="00F66EEF">
        <w:rPr>
          <w:rFonts w:ascii="Arial" w:hAnsi="Arial" w:cs="Arial"/>
          <w:color w:val="000000" w:themeColor="text1"/>
          <w:shd w:val="clear" w:color="auto" w:fill="FFFFFF"/>
        </w:rPr>
        <w:t xml:space="preserve"> opportunity to come up with answers that they are happy to convey back to the rest of the class. </w:t>
      </w:r>
    </w:p>
    <w:p w14:paraId="0B2E0D0E"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Another method related to questioning in the classroom that encourages pupil engagement is ‘talk partners. ‘Talk partners allow children not only time to think after a question is asked, but a chance to articulate their thinking’. Children can build on what one another have said, encouraging deeper thinking. Vygotsky (1978) believes that social interaction progresses learning through the more knowledgeable other (MKO). The MKO ‘refers to someone who has a better understanding or a higher ability level than the learner’(Mclead,2018). Children can discuss their ideas to develop an answer to the question being asked. This encourages engagement within the classroom, as children who might be shy and second guess their answers working individually will feel more confident to speak if they have someone else to support their answer.</w:t>
      </w:r>
    </w:p>
    <w:p w14:paraId="00B782B8" w14:textId="19C7838A"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The research was operated in a large village primary school in Wales, which has the capacity of 210 pupils. The school has identified around 18% of its pupils as having additional learning </w:t>
      </w:r>
      <w:r w:rsidR="00975BC6" w:rsidRPr="00F66EEF">
        <w:rPr>
          <w:rFonts w:ascii="Arial" w:hAnsi="Arial" w:cs="Arial"/>
          <w:color w:val="000000" w:themeColor="text1"/>
          <w:shd w:val="clear" w:color="auto" w:fill="FFFFFF"/>
        </w:rPr>
        <w:t>needs</w:t>
      </w:r>
      <w:r w:rsidR="00975BC6">
        <w:rPr>
          <w:rFonts w:ascii="Arial" w:hAnsi="Arial" w:cs="Arial"/>
          <w:color w:val="000000" w:themeColor="text1"/>
          <w:shd w:val="clear" w:color="auto" w:fill="FFFFFF"/>
        </w:rPr>
        <w:t>.</w:t>
      </w:r>
      <w:r w:rsidR="00975BC6" w:rsidRPr="00F66EEF">
        <w:rPr>
          <w:rFonts w:ascii="Arial" w:hAnsi="Arial" w:cs="Arial"/>
          <w:color w:val="000000" w:themeColor="text1"/>
          <w:shd w:val="clear" w:color="auto" w:fill="FFFFFF"/>
        </w:rPr>
        <w:t xml:space="preserve"> The</w:t>
      </w:r>
      <w:r w:rsidRPr="00F66EEF">
        <w:rPr>
          <w:rFonts w:ascii="Arial" w:hAnsi="Arial" w:cs="Arial"/>
          <w:color w:val="000000" w:themeColor="text1"/>
          <w:shd w:val="clear" w:color="auto" w:fill="FFFFFF"/>
        </w:rPr>
        <w:t xml:space="preserve"> three-year average for pupils eligible for free school meals is around 52%, which is well above the Welsh average. The research was directed towards a year 1 class, which contains 21 children. It is important that the researcher explores the background of the school before conducting research as it provides you with information that is already known before you venture deeper. Austin (2016) reinforces this by claiming that when you ‘undertake research into any aspect of education it is essential to be informed </w:t>
      </w:r>
      <w:r w:rsidRPr="00F66EEF">
        <w:rPr>
          <w:rFonts w:ascii="Arial" w:hAnsi="Arial" w:cs="Arial"/>
          <w:color w:val="000000" w:themeColor="text1"/>
          <w:shd w:val="clear" w:color="auto" w:fill="FFFFFF"/>
        </w:rPr>
        <w:lastRenderedPageBreak/>
        <w:t>about what is already known about the area you are researching’</w:t>
      </w:r>
      <w:r>
        <w:rPr>
          <w:rFonts w:ascii="Arial" w:hAnsi="Arial" w:cs="Arial"/>
          <w:color w:val="000000" w:themeColor="text1"/>
          <w:shd w:val="clear" w:color="auto" w:fill="FFFFFF"/>
        </w:rPr>
        <w:t>.</w:t>
      </w:r>
      <w:r w:rsidRPr="00F66EEF">
        <w:rPr>
          <w:rFonts w:ascii="Arial" w:hAnsi="Arial" w:cs="Arial"/>
          <w:color w:val="000000" w:themeColor="text1"/>
          <w:shd w:val="clear" w:color="auto" w:fill="FFFFFF"/>
        </w:rPr>
        <w:t xml:space="preserve"> Results might differ depending on the background of the educational establishment.</w:t>
      </w:r>
    </w:p>
    <w:p w14:paraId="1B1E7BE7"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The research was conducted using three research techniques: observations, interviews and questionnaires. The purpose of the research tools was to collect an array of data pertaining to the thoughts of the pupils and teachers regarding questioning and pupil engagement. Mixed methods research provides you with knowledge of both quantitative and qualitative data.</w:t>
      </w:r>
      <w:r w:rsidRPr="00F66EEF">
        <w:rPr>
          <w:rFonts w:ascii="Arial" w:hAnsi="Arial" w:cs="Arial"/>
          <w:color w:val="000000" w:themeColor="text1"/>
        </w:rPr>
        <w:t xml:space="preserve"> </w:t>
      </w:r>
      <w:proofErr w:type="spellStart"/>
      <w:r w:rsidRPr="00F66EEF">
        <w:rPr>
          <w:rFonts w:ascii="Arial" w:hAnsi="Arial" w:cs="Arial"/>
          <w:color w:val="000000" w:themeColor="text1"/>
          <w:shd w:val="clear" w:color="auto" w:fill="FFFFFF"/>
        </w:rPr>
        <w:t>Hurmerinta-Peltomaki</w:t>
      </w:r>
      <w:proofErr w:type="spellEnd"/>
      <w:r w:rsidRPr="00F66EEF">
        <w:rPr>
          <w:rFonts w:ascii="Arial" w:hAnsi="Arial" w:cs="Arial"/>
          <w:color w:val="000000" w:themeColor="text1"/>
          <w:shd w:val="clear" w:color="auto" w:fill="FFFFFF"/>
        </w:rPr>
        <w:t xml:space="preserve"> and </w:t>
      </w:r>
      <w:proofErr w:type="spellStart"/>
      <w:r w:rsidRPr="00F66EEF">
        <w:rPr>
          <w:rFonts w:ascii="Arial" w:hAnsi="Arial" w:cs="Arial"/>
          <w:color w:val="000000" w:themeColor="text1"/>
          <w:shd w:val="clear" w:color="auto" w:fill="FFFFFF"/>
        </w:rPr>
        <w:t>Nummela</w:t>
      </w:r>
      <w:proofErr w:type="spellEnd"/>
      <w:r w:rsidRPr="00F66EEF">
        <w:rPr>
          <w:rFonts w:ascii="Arial" w:hAnsi="Arial" w:cs="Arial"/>
          <w:color w:val="000000" w:themeColor="text1"/>
          <w:shd w:val="clear" w:color="auto" w:fill="FFFFFF"/>
        </w:rPr>
        <w:t xml:space="preserve"> (2006) suggest that mixed methodology adds value by increasing validity in the findings, informing the collection of the one data source, and assisting with knowledge creation from another.</w:t>
      </w:r>
    </w:p>
    <w:p w14:paraId="7B840317" w14:textId="3B5F7B18"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The analyst observed 4 children using a Leuven scale style template to record their </w:t>
      </w:r>
      <w:r w:rsidR="00642D64" w:rsidRPr="00F66EEF">
        <w:rPr>
          <w:rFonts w:ascii="Arial" w:hAnsi="Arial" w:cs="Arial"/>
          <w:color w:val="000000" w:themeColor="text1"/>
          <w:shd w:val="clear" w:color="auto" w:fill="FFFFFF"/>
        </w:rPr>
        <w:t>findings (</w:t>
      </w:r>
      <w:r w:rsidRPr="00F66EEF">
        <w:rPr>
          <w:rFonts w:ascii="Arial" w:hAnsi="Arial" w:cs="Arial"/>
          <w:color w:val="000000" w:themeColor="text1"/>
          <w:shd w:val="clear" w:color="auto" w:fill="FFFFFF"/>
        </w:rPr>
        <w:t>see appendix 1). This focused on the engagement of each child during the introduction of a lesson in reaction to questioning from the teacher. ‘Observation provides the opportunity to monitor or assess a process or situation and document evidence of what is seen and heard</w:t>
      </w:r>
      <w:r w:rsidR="00642D64" w:rsidRPr="00F66EEF">
        <w:rPr>
          <w:rFonts w:ascii="Arial" w:hAnsi="Arial" w:cs="Arial"/>
          <w:color w:val="000000" w:themeColor="text1"/>
          <w:shd w:val="clear" w:color="auto" w:fill="FFFFFF"/>
        </w:rPr>
        <w:t>’ (</w:t>
      </w:r>
      <w:r w:rsidRPr="00F66EEF">
        <w:rPr>
          <w:rFonts w:ascii="Arial" w:hAnsi="Arial" w:cs="Arial"/>
          <w:color w:val="000000" w:themeColor="text1"/>
          <w:shd w:val="clear" w:color="auto" w:fill="FFFFFF"/>
        </w:rPr>
        <w:t>NSW Government,2019). Before conducting research ‘ethics of respect’(BERA,2018) p.6) must be considered</w:t>
      </w:r>
      <w:r w:rsidR="00642D64">
        <w:rPr>
          <w:rFonts w:ascii="Arial" w:hAnsi="Arial" w:cs="Arial"/>
          <w:color w:val="000000" w:themeColor="text1"/>
          <w:shd w:val="clear" w:color="auto" w:fill="FFFFFF"/>
        </w:rPr>
        <w:t xml:space="preserve"> and an ethics form must be completed</w:t>
      </w:r>
      <w:r w:rsidRPr="00F66EEF">
        <w:rPr>
          <w:rFonts w:ascii="Arial" w:hAnsi="Arial" w:cs="Arial"/>
          <w:color w:val="000000" w:themeColor="text1"/>
          <w:shd w:val="clear" w:color="auto" w:fill="FFFFFF"/>
        </w:rPr>
        <w:t>. ‘The most fundamental principles of ethical research are informed consent and the protection of confidentiality’ (Coe, Waring, Hedges and Arthur, 2012</w:t>
      </w:r>
      <w:r w:rsidR="00642D64" w:rsidRPr="00F66EEF">
        <w:rPr>
          <w:rFonts w:ascii="Arial" w:hAnsi="Arial" w:cs="Arial"/>
          <w:color w:val="000000" w:themeColor="text1"/>
          <w:shd w:val="clear" w:color="auto" w:fill="FFFFFF"/>
        </w:rPr>
        <w:t xml:space="preserve">). </w:t>
      </w:r>
      <w:r w:rsidR="00C30F65" w:rsidRPr="00F66EEF">
        <w:rPr>
          <w:rFonts w:ascii="Arial" w:hAnsi="Arial" w:cs="Arial"/>
          <w:color w:val="000000" w:themeColor="text1"/>
          <w:shd w:val="clear" w:color="auto" w:fill="FFFFFF"/>
        </w:rPr>
        <w:t>BERA (</w:t>
      </w:r>
      <w:r w:rsidRPr="00F66EEF">
        <w:rPr>
          <w:rFonts w:ascii="Arial" w:hAnsi="Arial" w:cs="Arial"/>
          <w:color w:val="000000" w:themeColor="text1"/>
          <w:shd w:val="clear" w:color="auto" w:fill="FFFFFF"/>
        </w:rPr>
        <w:t>2018) emphasises the importance of gaining consent and assent from participants during research studies. The researcher ensured that voluntary informed consent was given before the observation commenced and that the participants understood that they could withdraw at any time. BERA (2018) states that potential participants must be able to opt out of research if they desire.</w:t>
      </w:r>
    </w:p>
    <w:p w14:paraId="12777B36" w14:textId="3C22EDC9" w:rsidR="00780955" w:rsidRPr="00F66EEF" w:rsidRDefault="00780955" w:rsidP="00780955">
      <w:pPr>
        <w:spacing w:line="360" w:lineRule="auto"/>
        <w:rPr>
          <w:rStyle w:val="selectable"/>
          <w:rFonts w:ascii="Arial" w:hAnsi="Arial" w:cs="Arial"/>
          <w:color w:val="000000" w:themeColor="text1"/>
        </w:rPr>
      </w:pPr>
      <w:r w:rsidRPr="00F66EEF">
        <w:rPr>
          <w:rFonts w:ascii="Arial" w:hAnsi="Arial" w:cs="Arial"/>
          <w:color w:val="000000" w:themeColor="text1"/>
          <w:shd w:val="clear" w:color="auto" w:fill="FFFFFF"/>
        </w:rPr>
        <w:t xml:space="preserve">Observation can produce a mix of qualitive and quantitative data. Bruner (1986) supports the utilisation of qualitive and quantitative data as it provides you with two ways of knowing. This results in evidential and accurate data. Conducting observations allow you to observe behaviour as it is happening. ‘Rolfe and </w:t>
      </w:r>
      <w:r w:rsidR="00642D64" w:rsidRPr="00F66EEF">
        <w:rPr>
          <w:rFonts w:ascii="Arial" w:hAnsi="Arial" w:cs="Arial"/>
          <w:color w:val="000000" w:themeColor="text1"/>
          <w:shd w:val="clear" w:color="auto" w:fill="FFFFFF"/>
        </w:rPr>
        <w:t>Emmet (</w:t>
      </w:r>
      <w:r w:rsidRPr="00F66EEF">
        <w:rPr>
          <w:rFonts w:ascii="Arial" w:hAnsi="Arial" w:cs="Arial"/>
          <w:color w:val="000000" w:themeColor="text1"/>
          <w:shd w:val="clear" w:color="auto" w:fill="FFFFFF"/>
        </w:rPr>
        <w:t>2010) consider that observations are useful when researchers want to</w:t>
      </w:r>
      <w:r w:rsidR="00CB4BAF">
        <w:rPr>
          <w:rFonts w:ascii="Arial" w:hAnsi="Arial" w:cs="Arial"/>
          <w:color w:val="000000" w:themeColor="text1"/>
          <w:shd w:val="clear" w:color="auto" w:fill="FFFFFF"/>
        </w:rPr>
        <w:t xml:space="preserve"> ‘</w:t>
      </w:r>
      <w:r w:rsidRPr="00F66EEF">
        <w:rPr>
          <w:rFonts w:ascii="Arial" w:hAnsi="Arial" w:cs="Arial"/>
          <w:color w:val="000000" w:themeColor="text1"/>
          <w:shd w:val="clear" w:color="auto" w:fill="FFFFFF"/>
        </w:rPr>
        <w:t>understand or explain everyday behaviours</w:t>
      </w:r>
      <w:proofErr w:type="gramStart"/>
      <w:r w:rsidRPr="00F66EEF">
        <w:rPr>
          <w:rFonts w:ascii="Arial" w:hAnsi="Arial" w:cs="Arial"/>
          <w:color w:val="000000" w:themeColor="text1"/>
          <w:shd w:val="clear" w:color="auto" w:fill="FFFFFF"/>
        </w:rPr>
        <w:t>’(</w:t>
      </w:r>
      <w:proofErr w:type="gramEnd"/>
      <w:r w:rsidRPr="00F66EEF">
        <w:rPr>
          <w:rFonts w:ascii="Arial" w:hAnsi="Arial" w:cs="Arial"/>
          <w:color w:val="000000" w:themeColor="text1"/>
          <w:shd w:val="clear" w:color="auto" w:fill="FFFFFF"/>
        </w:rPr>
        <w:t>Mukherji and Albon,2018 .p134). However, Landsberger (1950) argues that observations may result in false findings as participants might be inclined to change their behaviour in order to please the observer. This is known as the ‘Hawthorne effect (Landsberger,1950)’ (Cherry,2018). De Jong and Westerhof (2001) further supports this by claiming that</w:t>
      </w:r>
      <w:r w:rsidRPr="00F66EEF">
        <w:rPr>
          <w:rFonts w:ascii="Arial" w:hAnsi="Arial" w:cs="Arial"/>
          <w:color w:val="000000" w:themeColor="text1"/>
          <w:shd w:val="clear" w:color="auto" w:fill="FCFCFC"/>
        </w:rPr>
        <w:t xml:space="preserve"> the presence of observers can influence teachers’ behaviour’ as well as students. </w:t>
      </w:r>
      <w:r w:rsidRPr="00F66EEF">
        <w:rPr>
          <w:rFonts w:ascii="Arial" w:hAnsi="Arial" w:cs="Arial"/>
          <w:color w:val="000000" w:themeColor="text1"/>
          <w:shd w:val="clear" w:color="auto" w:fill="FFFFFF"/>
        </w:rPr>
        <w:t xml:space="preserve">Although, some researchers like ‘Donald Medley, Homer Coker, and Robert Soar maintain that observer effects are not serious concerns, the possibility that this threatens the validity and reliability of data collected exists’ </w:t>
      </w:r>
      <w:r w:rsidRPr="00F66EEF">
        <w:rPr>
          <w:rStyle w:val="selectable"/>
          <w:rFonts w:ascii="Arial" w:hAnsi="Arial" w:cs="Arial"/>
          <w:color w:val="000000" w:themeColor="text1"/>
        </w:rPr>
        <w:t>(state university, 2020).</w:t>
      </w:r>
    </w:p>
    <w:p w14:paraId="0CBE8D6E"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lastRenderedPageBreak/>
        <w:t xml:space="preserve">It is valuable to have two or more people undertake observations as one person might miss what another may witness. It also avoids ‘observer bias outcomes from occurring. Coffey (1999) declares that ‘different observers may interpret what they see in different ways’ (Mukherji and Albon,2018. p146). It is beneficial to have more than one opinion to contrast and compare. </w:t>
      </w:r>
    </w:p>
    <w:p w14:paraId="05445B07"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The second research tool that was enforced was interviews. The investigator interviewed 6 children using a semi-structed approach (see appendix 2 for questions), discussing their opinions and involvement in questioning in the classroom. Interviews offer ‘a path to discovery and greater understanding’(Coe, Waring, Hedges and Arthur, 2012 .p17)The purpose of an interview is to collect detailed information from a relatively small number of participants but achieve a relatively high level of interaction while maintaining an acceptable level of standardisation. BERA (2018) expresses that in order to conduct an interview ‘voluntary informed consent’ must also be provided. Furthermore, it states that ‘Researchers should do everything they can to ensure that all potential participants understand, as well as they can, what is involved in the study’. Children must be informed what the study is about before they can decide to participate in the interview, giving assent. </w:t>
      </w:r>
    </w:p>
    <w:p w14:paraId="2A64D983"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In the context of this research task the interviewees were year 1 pupils. The questions had to be suitable for children who are aged 5 and 6 to comprehend. The semi structure approach allowed the researcher to plan questions which could be altered or added to during the interview process. Interviewing children allows them to have a voice. </w:t>
      </w:r>
      <w:bookmarkStart w:id="3" w:name="_Hlk35178944"/>
      <w:r w:rsidRPr="00F66EEF">
        <w:rPr>
          <w:rFonts w:ascii="Arial" w:hAnsi="Arial" w:cs="Arial"/>
          <w:color w:val="000000" w:themeColor="text1"/>
          <w:shd w:val="clear" w:color="auto" w:fill="FFFFFF"/>
        </w:rPr>
        <w:t xml:space="preserve">The Mosaic approach(Clark,2003) </w:t>
      </w:r>
      <w:bookmarkEnd w:id="3"/>
      <w:r w:rsidRPr="00F66EEF">
        <w:rPr>
          <w:rFonts w:ascii="Arial" w:hAnsi="Arial" w:cs="Arial"/>
          <w:color w:val="000000" w:themeColor="text1"/>
          <w:shd w:val="clear" w:color="auto" w:fill="FFFFFF"/>
        </w:rPr>
        <w:t>enforces this as ‘children are seen not as passive objects in the research process or in society in general but as social actors who are ‘beings not becomings’ (Qvortrup et al, 1994, p. 2).’(Clark,2011). Gaining opinions from pupils provide an alternative perspective to the research question.</w:t>
      </w:r>
    </w:p>
    <w:p w14:paraId="79F93261"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The final research method that was carried out was using questionnaires. The analyst gave 6 teachers the access link, which enabled them to complete the questionnaire online (see appendix 3). The aim of the research was to gather their perceptions on questioning in the classroom, it was distributed to teachers from both phases in the school to get a varied result.</w:t>
      </w:r>
    </w:p>
    <w:p w14:paraId="680EB17E" w14:textId="62B0936F"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‘Questionnaires come in a bewildering array of formats, which can broadly be divided into those that are open-ended and those that are closed.</w:t>
      </w:r>
      <w:r w:rsidR="00CB4BAF" w:rsidRPr="00F66EEF">
        <w:rPr>
          <w:rFonts w:ascii="Arial" w:hAnsi="Arial" w:cs="Arial"/>
          <w:color w:val="000000" w:themeColor="text1"/>
          <w:shd w:val="clear" w:color="auto" w:fill="FFFFFF"/>
        </w:rPr>
        <w:t>’ (</w:t>
      </w:r>
      <w:r w:rsidRPr="00F66EEF">
        <w:rPr>
          <w:rFonts w:ascii="Arial" w:hAnsi="Arial" w:cs="Arial"/>
          <w:color w:val="000000" w:themeColor="text1"/>
          <w:shd w:val="clear" w:color="auto" w:fill="FFFFFF"/>
        </w:rPr>
        <w:t xml:space="preserve">Coe, Waring, Hedges and Arthur, </w:t>
      </w:r>
      <w:r w:rsidR="00CB4BAF" w:rsidRPr="00F66EEF">
        <w:rPr>
          <w:rFonts w:ascii="Arial" w:hAnsi="Arial" w:cs="Arial"/>
          <w:color w:val="000000" w:themeColor="text1"/>
          <w:shd w:val="clear" w:color="auto" w:fill="FFFFFF"/>
        </w:rPr>
        <w:t>2012. P</w:t>
      </w:r>
      <w:r w:rsidRPr="00F66EEF">
        <w:rPr>
          <w:rFonts w:ascii="Arial" w:hAnsi="Arial" w:cs="Arial"/>
          <w:color w:val="000000" w:themeColor="text1"/>
          <w:shd w:val="clear" w:color="auto" w:fill="FFFFFF"/>
        </w:rPr>
        <w:t xml:space="preserve">232). Similarly, to observations, questionnaires produce both qualitive and quantitative data. This allows researchers to discover facts and opinions about their subject. Using quantitative data ‘generates numerical tables and graphs’(Austin,2016). This allows researchers to contrast and compare their results using a visual representation. Using </w:t>
      </w:r>
      <w:r w:rsidRPr="00F66EEF">
        <w:rPr>
          <w:rFonts w:ascii="Arial" w:hAnsi="Arial" w:cs="Arial"/>
          <w:color w:val="000000" w:themeColor="text1"/>
          <w:shd w:val="clear" w:color="auto" w:fill="FFFFFF"/>
        </w:rPr>
        <w:lastRenderedPageBreak/>
        <w:t>qualitative data</w:t>
      </w:r>
      <w:r w:rsidRPr="00F66EEF">
        <w:rPr>
          <w:rFonts w:ascii="Arial" w:hAnsi="Arial" w:cs="Arial"/>
          <w:i/>
          <w:iCs/>
          <w:color w:val="000000" w:themeColor="text1"/>
          <w:shd w:val="clear" w:color="auto" w:fill="FFFFFF"/>
        </w:rPr>
        <w:t xml:space="preserve"> </w:t>
      </w:r>
      <w:r w:rsidRPr="00CB4BAF">
        <w:rPr>
          <w:rFonts w:ascii="Arial" w:hAnsi="Arial" w:cs="Arial"/>
          <w:color w:val="000000" w:themeColor="text1"/>
          <w:shd w:val="clear" w:color="auto" w:fill="FFFFFF"/>
        </w:rPr>
        <w:t>in</w:t>
      </w:r>
      <w:r w:rsidRPr="00F66EEF">
        <w:rPr>
          <w:rFonts w:ascii="Arial" w:hAnsi="Arial" w:cs="Arial"/>
          <w:i/>
          <w:iCs/>
          <w:color w:val="000000" w:themeColor="text1"/>
          <w:shd w:val="clear" w:color="auto" w:fill="FFFFFF"/>
        </w:rPr>
        <w:t xml:space="preserve"> </w:t>
      </w:r>
      <w:r w:rsidRPr="00F66EEF">
        <w:rPr>
          <w:rFonts w:ascii="Arial" w:hAnsi="Arial" w:cs="Arial"/>
          <w:color w:val="000000" w:themeColor="text1"/>
          <w:shd w:val="clear" w:color="auto" w:fill="FFFFFF"/>
        </w:rPr>
        <w:t>questionnaires ‘generates a rich material, useful for researchers from many disciplines</w:t>
      </w:r>
      <w:proofErr w:type="gramStart"/>
      <w:r w:rsidRPr="00F66EEF">
        <w:rPr>
          <w:rFonts w:ascii="Arial" w:hAnsi="Arial" w:cs="Arial"/>
          <w:color w:val="000000" w:themeColor="text1"/>
          <w:shd w:val="clear" w:color="auto" w:fill="FFFFFF"/>
        </w:rPr>
        <w:t>’(</w:t>
      </w:r>
      <w:proofErr w:type="gramEnd"/>
      <w:r w:rsidRPr="00F66EEF">
        <w:rPr>
          <w:rFonts w:ascii="Arial" w:hAnsi="Arial" w:cs="Arial"/>
          <w:color w:val="000000" w:themeColor="text1"/>
          <w:shd w:val="clear" w:color="auto" w:fill="FFFFFF"/>
        </w:rPr>
        <w:t>Eckerdal and Hagstrom,2016).</w:t>
      </w:r>
    </w:p>
    <w:p w14:paraId="16BC0B2A" w14:textId="5F0BF7AB"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Questionnaires have the potential to reach a large audience quickly.</w:t>
      </w:r>
      <w:r w:rsidRPr="00F66EEF">
        <w:rPr>
          <w:rFonts w:ascii="Arial" w:hAnsi="Arial" w:cs="Arial"/>
          <w:color w:val="000000" w:themeColor="text1"/>
        </w:rPr>
        <w:t xml:space="preserve"> ‘</w:t>
      </w:r>
      <w:r w:rsidRPr="00F66EEF">
        <w:rPr>
          <w:rFonts w:ascii="Arial" w:hAnsi="Arial" w:cs="Arial"/>
          <w:color w:val="000000" w:themeColor="text1"/>
          <w:shd w:val="clear" w:color="auto" w:fill="FFFFFF"/>
        </w:rPr>
        <w:t xml:space="preserve">Data can be collected relatively quickly because the researcher would not need to be present when the questionnaires were completed’(Mcleod,2018). Yet still it is not guaranteed that the people you anticipate will complete the questionnaire will participate. Coe, Waring, Hedges and Arthur, (2012) validates this </w:t>
      </w:r>
      <w:r w:rsidR="00CB4BAF">
        <w:rPr>
          <w:rFonts w:ascii="Arial" w:hAnsi="Arial" w:cs="Arial"/>
          <w:color w:val="000000" w:themeColor="text1"/>
          <w:shd w:val="clear" w:color="auto" w:fill="FFFFFF"/>
        </w:rPr>
        <w:t>as</w:t>
      </w:r>
      <w:r w:rsidRPr="00F66EEF">
        <w:rPr>
          <w:rFonts w:ascii="Arial" w:hAnsi="Arial" w:cs="Arial"/>
          <w:color w:val="000000" w:themeColor="text1"/>
          <w:shd w:val="clear" w:color="auto" w:fill="FFFFFF"/>
        </w:rPr>
        <w:t xml:space="preserve"> complications may arise from people who have no opinion or do not know how to respond. Some participants may want to contribute but have not got the knowledge to express their views. Others might not have the time or patience to complete it, instead they will leave it unanswered or just tick any box when providing their </w:t>
      </w:r>
      <w:r w:rsidR="00CB4BAF" w:rsidRPr="00F66EEF">
        <w:rPr>
          <w:rFonts w:ascii="Arial" w:hAnsi="Arial" w:cs="Arial"/>
          <w:color w:val="000000" w:themeColor="text1"/>
          <w:shd w:val="clear" w:color="auto" w:fill="FFFFFF"/>
        </w:rPr>
        <w:t>answers. Coe</w:t>
      </w:r>
      <w:r w:rsidRPr="00F66EEF">
        <w:rPr>
          <w:rFonts w:ascii="Arial" w:hAnsi="Arial" w:cs="Arial"/>
          <w:color w:val="000000" w:themeColor="text1"/>
          <w:shd w:val="clear" w:color="auto" w:fill="FFFFFF"/>
        </w:rPr>
        <w:t>, Waring, Hedges and Arthur, (2012) further builds on this by explaining ‘the shorter it is, the higher the response’.</w:t>
      </w:r>
    </w:p>
    <w:p w14:paraId="4704FC4F"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Questionnaires are appropriate for getting honest results if they are anonymous. BERA (2018) promotes the use of anonymity during educational research: confidential and anonymous treatment of participants’ data is considered the norm within investigations. BERA (2018) challenges anonymity by claiming it is ‘harder to guarantee in digital contexts’ (p23). Researchers need to be aware that participants’ understanding of their privacy may be inaccurate. </w:t>
      </w:r>
    </w:p>
    <w:p w14:paraId="2550496E"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shd w:val="clear" w:color="auto" w:fill="FFFFFF"/>
        </w:rPr>
        <w:t xml:space="preserve">As a result of conducting this research, the investigator discovered </w:t>
      </w:r>
      <w:r w:rsidRPr="00F66EEF">
        <w:rPr>
          <w:rFonts w:ascii="Arial" w:hAnsi="Arial" w:cs="Arial"/>
          <w:color w:val="000000" w:themeColor="text1"/>
        </w:rPr>
        <w:t>multiple findings that resonated with the research question ‘How do teachers use questioning to encourage participation in the classroom?’.</w:t>
      </w:r>
    </w:p>
    <w:p w14:paraId="141DB590"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The proposed interview strategy was a group interview however, the researcher felt that it would be more beneficial to conduct the interviews individually. Each child was informed on what the research was about and ensured that their names would not be mentioned so were encouraged to be as honest as possible. This coincides with BERA (2018) which states ‘they should be told why their participation is necessary and what they will be asked to do’. The children were given a red and green card which represented their choice to participate or withdraw from the interview process. One child used the red card during the interview as they no longer wanted to participate however, after 10 minutes they decided to proceed with the interview and continued to answer the questions. The investigator accepted their choice to withdraw as it is not obligatory that they participated in the research study. BERA (2018) also supports the right for participants to withdraw from research ‘without needing to provide an explanation’.</w:t>
      </w:r>
    </w:p>
    <w:p w14:paraId="52CB1C6B" w14:textId="37FA8E79"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 xml:space="preserve">Most children who were interviewed claimed that they liked answering questions in class. However, only 2/6 children admitted to voluntarily putting their hands up often to give a </w:t>
      </w:r>
      <w:r w:rsidRPr="00F66EEF">
        <w:rPr>
          <w:rFonts w:ascii="Arial" w:hAnsi="Arial" w:cs="Arial"/>
          <w:color w:val="000000" w:themeColor="text1"/>
          <w:shd w:val="clear" w:color="auto" w:fill="FFFFFF"/>
        </w:rPr>
        <w:lastRenderedPageBreak/>
        <w:t xml:space="preserve">response to a question (see appendix 4). This supports William’s (2014) view that participation is voluntary and not everyone will engage by putting their hands up. Alternatively, child 1 expressed their desire to answer questions in class by consistently putting their hand up, particularly in areas that they felt they excelled in. They further explained that sometimes they must ‘stop themselves from shouting out to provide an answer’. This reinforces Bennet’s (2017) </w:t>
      </w:r>
      <w:r w:rsidR="00CB4BAF">
        <w:rPr>
          <w:rFonts w:ascii="Arial" w:hAnsi="Arial" w:cs="Arial"/>
          <w:color w:val="000000" w:themeColor="text1"/>
          <w:shd w:val="clear" w:color="auto" w:fill="FFFFFF"/>
        </w:rPr>
        <w:t>idea</w:t>
      </w:r>
      <w:r w:rsidRPr="00F66EEF">
        <w:rPr>
          <w:rFonts w:ascii="Arial" w:hAnsi="Arial" w:cs="Arial"/>
          <w:color w:val="000000" w:themeColor="text1"/>
          <w:shd w:val="clear" w:color="auto" w:fill="FFFFFF"/>
        </w:rPr>
        <w:t xml:space="preserve"> that the ‘hand up culture’ is beneficial as it encourages children to develop ‘great habits’ instead of shouting out.</w:t>
      </w:r>
    </w:p>
    <w:p w14:paraId="550E1D2C"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shd w:val="clear" w:color="auto" w:fill="FFFFFF"/>
        </w:rPr>
        <w:t xml:space="preserve">Clarke (2014) identified the significance of using lollipop sticks and name randomisers to encourage pupil participation when answering questions. However, during the interview process children expressed a variety of emotions to describe how they felt when being asked a question involuntarily including: sad, uncomfortable and nervous. Others said that they would just claim that they 'don't know' whilst child 1 suggested that they have 'a little guess'. This suggested that children can feel uneasy when having to give an answer to a question which they are unable to provide. Child 2 highlighted that they ‘liked it better when they put their hand up’ as it made them feel at ease. The findings from the interviewees counteracted the hypothesis that </w:t>
      </w:r>
      <w:r w:rsidRPr="00F66EEF">
        <w:rPr>
          <w:rFonts w:ascii="Arial" w:hAnsi="Arial" w:cs="Arial"/>
          <w:color w:val="000000" w:themeColor="text1"/>
        </w:rPr>
        <w:t>‘when teachers use questioning strategies e.g. lolly sticks greater pupil engagement takes place’ as most children found it difficult to engage using this technique. However, they favoured the use of other questioning strategies like ‘think, pair, share’ which coincides with the hypothesis. 4/6 children expressed that working with others would make them more inclined to answer questions in class. These findings also support the hypothesis ‘that children who put their hands up to answer questions are not necessarily the only pupils with the answers’ as most children conveyed that they are not willing to put their hands up to answer questions even if they do know the correct answer.</w:t>
      </w:r>
    </w:p>
    <w:p w14:paraId="1981F4D5"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The analyst used a Leuven scale type of format to observe pupil engagement during an introduction of a maths lesson. They observed four children throughout the introduction and monitored how they responded to questioning and how engaged they were when the teacher was talking. Each child was levelled on their engagement from 1-5 and comments were made about their performance (see appendix 5).</w:t>
      </w:r>
    </w:p>
    <w:p w14:paraId="299A4CAC"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 xml:space="preserve">The findings represented a varied response to the research question as all four children scored differently on the engagement level ratings. Child A showed extremely high engagement during the introduction: they were keen to answer questions by putting their hand up when necessary however,  when the teacher used the lollipop style format to ask a question they had a tendency to shout out when it was not their turn. This supports Bennet’s (2017) idea that allowing children to put their hands up gives them discipline as they will only answer when spoken to. On the other hand, Child B and C did not voluntarily respond to a </w:t>
      </w:r>
      <w:r w:rsidRPr="00F66EEF">
        <w:rPr>
          <w:rFonts w:ascii="Arial" w:hAnsi="Arial" w:cs="Arial"/>
          <w:color w:val="000000" w:themeColor="text1"/>
        </w:rPr>
        <w:lastRenderedPageBreak/>
        <w:t>question by putting their hand up to answer throughout the introduction. Although, Child C was able to answer a question when they were asked using the lollipop stick method. This strengthens the hypothesis that the use of questioning strategies encourages pupil engagement.</w:t>
      </w:r>
    </w:p>
    <w:p w14:paraId="1F7C2C4B"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The teacher asked whole class questions to encourage the involvement of all the children e.g. ‘Does everybody think this is correct?’. The children used thumbs up and thumbs down to represent their understanding. Asking whole class questions gives each child value. Child A, C and D responded with either a thumbs up or thumbs down, but Child B did not instead, they looked out of the window. This child was not challenged by the teacher as to what he thought the answer might be, the introduction carried on overlooking his physical disengagement. Myhill, Jones and Hopper (2006) argue although child B was not actively taking part, they might have still been engaged by agreeing or disagreeing mentally, in their head. Referring to the research question, ¾ children were physically engaged with this part of the introduction which reflected a positive result of questioning in the classroom.</w:t>
      </w:r>
    </w:p>
    <w:p w14:paraId="79BBE97F"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The researcher produced an online questionnaire that aimed to gather the perspectives of the teachers regarding questioning and pupil engagement. The questionnaire was sent to 6 teachers however, only 4 teachers completed it (see appendix 6). Coe, Waring, Hedges and Arthur (2012) highlights that although questionnaires can be an effective way of gathering data it is not guaranteed that everyone will participate. This was made apparent during the research study.</w:t>
      </w:r>
    </w:p>
    <w:p w14:paraId="38F9AC71"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A significant amount of qualitive and quantitative data was collected from the questionnaires. 100% of the teachers who participated claim that they ‘frequently’ ask questions during a lesson. This indicates the importance of asking questions throughout a school day. It further supports Hattie (2014) who believes questions provoke learning and help children progress. 100% of partakers rated questioning 4/4 stars indicating that they felt it was an ‘extremely important’ way of targeting pupil participation in the classroom.</w:t>
      </w:r>
    </w:p>
    <w:p w14:paraId="5D5935E7" w14:textId="77777777" w:rsidR="00780955" w:rsidRPr="00F66EEF" w:rsidRDefault="00780955" w:rsidP="00780955">
      <w:pPr>
        <w:spacing w:line="360" w:lineRule="auto"/>
        <w:rPr>
          <w:rFonts w:ascii="Arial" w:hAnsi="Arial" w:cs="Arial"/>
          <w:color w:val="000000" w:themeColor="text1"/>
          <w:shd w:val="clear" w:color="auto" w:fill="FFFFFF"/>
        </w:rPr>
      </w:pPr>
      <w:r w:rsidRPr="00F66EEF">
        <w:rPr>
          <w:rFonts w:ascii="Arial" w:hAnsi="Arial" w:cs="Arial"/>
          <w:color w:val="000000" w:themeColor="text1"/>
          <w:shd w:val="clear" w:color="auto" w:fill="FFFFFF"/>
        </w:rPr>
        <w:t>All four participants expressed similar questioning strategies to evoke pupil engagement including, lollipop sticks, think/wait time and think, pair, share. 75% of teachers claimed that ‘think time’ was the most effective strategy. One response stated that ‘wait time allows children to process the question and come up with a response’ similarly, another participant agreed with this adding that ‘it helps them (children) to feel less pressure’. This echoes Wallace and Kirkman’s (2014) view that think time allows children to respond happily with deeper thinking.</w:t>
      </w:r>
      <w:r w:rsidRPr="00F66EEF">
        <w:rPr>
          <w:rFonts w:ascii="Arial" w:hAnsi="Arial" w:cs="Arial"/>
          <w:color w:val="000000" w:themeColor="text1"/>
        </w:rPr>
        <w:t xml:space="preserve"> </w:t>
      </w:r>
      <w:r w:rsidRPr="00F66EEF">
        <w:rPr>
          <w:rFonts w:ascii="Arial" w:hAnsi="Arial" w:cs="Arial"/>
          <w:color w:val="000000" w:themeColor="text1"/>
          <w:shd w:val="clear" w:color="auto" w:fill="FFFFFF"/>
        </w:rPr>
        <w:t>It also supports the researcher’s hypothesis that when ‘teachers use questioning strategies greater pupil engagement takes place’.</w:t>
      </w:r>
    </w:p>
    <w:p w14:paraId="4275CA5E" w14:textId="77777777"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shd w:val="clear" w:color="auto" w:fill="FFFFFF"/>
        </w:rPr>
        <w:lastRenderedPageBreak/>
        <w:t>The aim of this study was to investigate ‘</w:t>
      </w:r>
      <w:r w:rsidRPr="00F66EEF">
        <w:rPr>
          <w:rFonts w:ascii="Arial" w:hAnsi="Arial" w:cs="Arial"/>
          <w:color w:val="000000" w:themeColor="text1"/>
        </w:rPr>
        <w:t>How do teachers use questioning to encourage participation in the classroom?’, using different research methods. One hypothesis of this inquiry was that ‘when teachers use questioning strategies e.g. lolly sticks and think-pair-share greater pupil engagement takes place’. This has been debated throughout the findings resulting in both positive and negative conclusions. The hypothesis was supported by some findings in the interview as children found answering questions more appealing when working with others (think, pair, share). Which further resonates with Clarke (2014) who encourages the use of questioning strategies like lolly sticks as children are more inclined to engage with the lesson if it is a possibility that they will have to answer. On the other hand, results from the observation indicated that sometimes even when using questioning strategies to encourage participation it does not always persuade children to get involved.</w:t>
      </w:r>
    </w:p>
    <w:p w14:paraId="3BE13DC2" w14:textId="0E3294FC" w:rsidR="00780955" w:rsidRPr="00F66EEF" w:rsidRDefault="00780955" w:rsidP="00780955">
      <w:pPr>
        <w:spacing w:line="360" w:lineRule="auto"/>
        <w:rPr>
          <w:rFonts w:ascii="Arial" w:hAnsi="Arial" w:cs="Arial"/>
          <w:color w:val="000000" w:themeColor="text1"/>
        </w:rPr>
      </w:pPr>
      <w:r w:rsidRPr="00F66EEF">
        <w:rPr>
          <w:rFonts w:ascii="Arial" w:hAnsi="Arial" w:cs="Arial"/>
          <w:color w:val="000000" w:themeColor="text1"/>
        </w:rPr>
        <w:t xml:space="preserve">The second hypothesis claimed that ‘children who put their hands up to answer questions are not necessarily the only pupils with the answers’. This was supported in the findings as most children who were interviewed were nervous to give their answer in front of the rest of the class. Myhill, Jones and Hopper (2006) explained that although children might not be physically engaged it does not mean that are not engaging mentally. </w:t>
      </w:r>
      <w:r w:rsidR="00CB4BAF">
        <w:rPr>
          <w:rFonts w:ascii="Arial" w:hAnsi="Arial" w:cs="Arial"/>
          <w:color w:val="000000" w:themeColor="text1"/>
        </w:rPr>
        <w:t>Generally,</w:t>
      </w:r>
      <w:r w:rsidRPr="00F66EEF">
        <w:rPr>
          <w:rFonts w:ascii="Arial" w:hAnsi="Arial" w:cs="Arial"/>
          <w:color w:val="000000" w:themeColor="text1"/>
        </w:rPr>
        <w:t xml:space="preserve"> the investigation coincided with the hypothesis as the results gathered from each research method came to similar conclusions. Children and teachers both favour different questioning strategies but ultimately each strategy marinates together to encourage children get involved.</w:t>
      </w:r>
    </w:p>
    <w:p w14:paraId="4B0B0B80" w14:textId="70FCDF4C" w:rsidR="00780955" w:rsidRPr="00F66EEF" w:rsidRDefault="00CB4BAF" w:rsidP="00780955">
      <w:pPr>
        <w:spacing w:line="360" w:lineRule="auto"/>
        <w:rPr>
          <w:rFonts w:ascii="Arial" w:hAnsi="Arial" w:cs="Arial"/>
          <w:color w:val="000000" w:themeColor="text1"/>
          <w:shd w:val="clear" w:color="auto" w:fill="FFFFFF"/>
        </w:rPr>
      </w:pPr>
      <w:r>
        <w:rPr>
          <w:rFonts w:ascii="Arial" w:hAnsi="Arial" w:cs="Arial"/>
          <w:color w:val="000000" w:themeColor="text1"/>
        </w:rPr>
        <w:t>Overall</w:t>
      </w:r>
      <w:r w:rsidR="00780955">
        <w:rPr>
          <w:rFonts w:ascii="Arial" w:hAnsi="Arial" w:cs="Arial"/>
          <w:color w:val="000000" w:themeColor="text1"/>
        </w:rPr>
        <w:t xml:space="preserve">, the research methods deemed successful however, </w:t>
      </w:r>
      <w:r w:rsidR="00780955" w:rsidRPr="00F66EEF">
        <w:rPr>
          <w:rFonts w:ascii="Arial" w:hAnsi="Arial" w:cs="Arial"/>
          <w:color w:val="000000" w:themeColor="text1"/>
        </w:rPr>
        <w:t>if this research was to be conducted again,</w:t>
      </w:r>
      <w:r w:rsidR="00780955">
        <w:rPr>
          <w:rFonts w:ascii="Arial" w:hAnsi="Arial" w:cs="Arial"/>
          <w:color w:val="000000" w:themeColor="text1"/>
        </w:rPr>
        <w:t xml:space="preserve"> </w:t>
      </w:r>
      <w:r w:rsidR="00780955" w:rsidRPr="00F66EEF">
        <w:rPr>
          <w:rFonts w:ascii="Arial" w:hAnsi="Arial" w:cs="Arial"/>
          <w:color w:val="000000" w:themeColor="text1"/>
        </w:rPr>
        <w:t>I would recommend for more than one person to be present during the observation to avoid observer bias results. It would also be beneficial</w:t>
      </w:r>
      <w:r w:rsidR="00780955" w:rsidRPr="00F66EEF">
        <w:rPr>
          <w:rFonts w:ascii="Arial" w:hAnsi="Arial" w:cs="Arial"/>
          <w:color w:val="000000" w:themeColor="text1"/>
          <w:shd w:val="clear" w:color="auto" w:fill="FFFFFF"/>
        </w:rPr>
        <w:t xml:space="preserve"> to have more than one person’s perspective as you might </w:t>
      </w:r>
      <w:r>
        <w:rPr>
          <w:rFonts w:ascii="Arial" w:hAnsi="Arial" w:cs="Arial"/>
          <w:color w:val="000000" w:themeColor="text1"/>
          <w:shd w:val="clear" w:color="auto" w:fill="FFFFFF"/>
        </w:rPr>
        <w:t>‘</w:t>
      </w:r>
      <w:r w:rsidR="00780955" w:rsidRPr="00F66EEF">
        <w:rPr>
          <w:rFonts w:ascii="Arial" w:hAnsi="Arial" w:cs="Arial"/>
          <w:color w:val="000000" w:themeColor="text1"/>
          <w:shd w:val="clear" w:color="auto" w:fill="FFFFFF"/>
        </w:rPr>
        <w:t>miss something someone else has seen</w:t>
      </w:r>
      <w:r>
        <w:rPr>
          <w:rFonts w:ascii="Arial" w:hAnsi="Arial" w:cs="Arial"/>
          <w:color w:val="000000" w:themeColor="text1"/>
          <w:shd w:val="clear" w:color="auto" w:fill="FFFFFF"/>
        </w:rPr>
        <w:t>’(Coffey,1999)</w:t>
      </w:r>
      <w:r w:rsidR="00780955" w:rsidRPr="00F66EEF">
        <w:rPr>
          <w:rFonts w:ascii="Arial" w:hAnsi="Arial" w:cs="Arial"/>
          <w:color w:val="000000" w:themeColor="text1"/>
          <w:shd w:val="clear" w:color="auto" w:fill="FFFFFF"/>
        </w:rPr>
        <w:t xml:space="preserve"> or have a dissimilar interpretation of </w:t>
      </w:r>
      <w:r w:rsidR="00C30F65" w:rsidRPr="00F66EEF">
        <w:rPr>
          <w:rFonts w:ascii="Arial" w:hAnsi="Arial" w:cs="Arial"/>
          <w:color w:val="000000" w:themeColor="text1"/>
          <w:shd w:val="clear" w:color="auto" w:fill="FFFFFF"/>
        </w:rPr>
        <w:t>events.</w:t>
      </w:r>
      <w:r w:rsidR="00C30F65">
        <w:rPr>
          <w:rFonts w:ascii="Arial" w:hAnsi="Arial" w:cs="Arial"/>
          <w:color w:val="000000" w:themeColor="text1"/>
          <w:shd w:val="clear" w:color="auto" w:fill="FFFFFF"/>
        </w:rPr>
        <w:t xml:space="preserve"> Contrarily</w:t>
      </w:r>
      <w:r w:rsidR="00780955">
        <w:rPr>
          <w:rFonts w:ascii="Arial" w:hAnsi="Arial" w:cs="Arial"/>
          <w:color w:val="000000" w:themeColor="text1"/>
          <w:shd w:val="clear" w:color="auto" w:fill="FFFFFF"/>
        </w:rPr>
        <w:t>, I would ensure that the research was conducted ethically as it was throughout this research</w:t>
      </w:r>
      <w:r w:rsidR="00975BC6">
        <w:rPr>
          <w:rFonts w:ascii="Arial" w:hAnsi="Arial" w:cs="Arial"/>
          <w:color w:val="000000" w:themeColor="text1"/>
          <w:shd w:val="clear" w:color="auto" w:fill="FFFFFF"/>
        </w:rPr>
        <w:t xml:space="preserve"> study</w:t>
      </w:r>
      <w:r w:rsidR="00780955">
        <w:rPr>
          <w:rFonts w:ascii="Arial" w:hAnsi="Arial" w:cs="Arial"/>
          <w:color w:val="000000" w:themeColor="text1"/>
          <w:shd w:val="clear" w:color="auto" w:fill="FFFFFF"/>
        </w:rPr>
        <w:t xml:space="preserve">. </w:t>
      </w:r>
    </w:p>
    <w:p w14:paraId="01C5070B" w14:textId="1A82616C" w:rsidR="00780955" w:rsidRDefault="00780955" w:rsidP="00780955">
      <w:pPr>
        <w:tabs>
          <w:tab w:val="left" w:pos="355"/>
        </w:tabs>
        <w:spacing w:line="360" w:lineRule="auto"/>
        <w:rPr>
          <w:rFonts w:ascii="Arial" w:hAnsi="Arial" w:cs="Arial"/>
        </w:rPr>
      </w:pPr>
      <w:r>
        <w:rPr>
          <w:rFonts w:ascii="Arial" w:hAnsi="Arial" w:cs="Arial"/>
        </w:rPr>
        <w:t>Word count: 38</w:t>
      </w:r>
      <w:r w:rsidR="00C30F65">
        <w:rPr>
          <w:rFonts w:ascii="Arial" w:hAnsi="Arial" w:cs="Arial"/>
        </w:rPr>
        <w:t>3</w:t>
      </w:r>
      <w:r w:rsidR="00975BC6">
        <w:rPr>
          <w:rFonts w:ascii="Arial" w:hAnsi="Arial" w:cs="Arial"/>
        </w:rPr>
        <w:t>7</w:t>
      </w:r>
    </w:p>
    <w:p w14:paraId="7EABE6CB" w14:textId="77777777" w:rsidR="00780955" w:rsidRPr="008D512B" w:rsidRDefault="00780955" w:rsidP="00780955">
      <w:pPr>
        <w:spacing w:line="360" w:lineRule="auto"/>
        <w:rPr>
          <w:rFonts w:ascii="Arial" w:hAnsi="Arial" w:cs="Arial"/>
          <w:u w:val="single"/>
        </w:rPr>
      </w:pPr>
    </w:p>
    <w:p w14:paraId="23C1E3A0" w14:textId="77777777" w:rsidR="00780955" w:rsidRPr="00C30F65" w:rsidRDefault="00780955" w:rsidP="00780955">
      <w:pPr>
        <w:spacing w:line="360" w:lineRule="auto"/>
        <w:rPr>
          <w:rFonts w:ascii="Arial" w:hAnsi="Arial" w:cs="Arial"/>
          <w:color w:val="000000" w:themeColor="text1"/>
          <w:sz w:val="24"/>
          <w:szCs w:val="24"/>
          <w:u w:val="single"/>
          <w:shd w:val="clear" w:color="auto" w:fill="FFFFFF"/>
        </w:rPr>
      </w:pPr>
      <w:r w:rsidRPr="00C30F65">
        <w:rPr>
          <w:rFonts w:ascii="Arial" w:hAnsi="Arial" w:cs="Arial"/>
          <w:color w:val="000000" w:themeColor="text1"/>
          <w:sz w:val="24"/>
          <w:szCs w:val="24"/>
          <w:u w:val="single"/>
          <w:shd w:val="clear" w:color="auto" w:fill="FFFFFF"/>
        </w:rPr>
        <w:t>References</w:t>
      </w:r>
    </w:p>
    <w:p w14:paraId="60462E7D"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Aubrey, K. and Riley, A. (2019). </w:t>
      </w:r>
      <w:r w:rsidRPr="00AC43F6">
        <w:rPr>
          <w:rFonts w:ascii="Arial" w:hAnsi="Arial" w:cs="Arial"/>
          <w:i/>
          <w:iCs/>
          <w:color w:val="000000" w:themeColor="text1"/>
        </w:rPr>
        <w:t>Understanding &amp; using educational theories</w:t>
      </w:r>
      <w:r w:rsidRPr="00AC43F6">
        <w:rPr>
          <w:rFonts w:ascii="Arial" w:hAnsi="Arial" w:cs="Arial"/>
          <w:color w:val="000000" w:themeColor="text1"/>
          <w:shd w:val="clear" w:color="auto" w:fill="FFFFFF"/>
        </w:rPr>
        <w:t>. 2nd ed. London: SAGE Publications, p.94.</w:t>
      </w:r>
    </w:p>
    <w:p w14:paraId="7F72688B" w14:textId="77777777" w:rsidR="00780955" w:rsidRPr="00AC43F6" w:rsidRDefault="00780955" w:rsidP="00780955">
      <w:pPr>
        <w:spacing w:line="360" w:lineRule="auto"/>
        <w:rPr>
          <w:rFonts w:ascii="Arial" w:hAnsi="Arial" w:cs="Arial"/>
          <w:color w:val="000000" w:themeColor="text1"/>
          <w:shd w:val="clear" w:color="auto" w:fill="FFFFFF"/>
        </w:rPr>
      </w:pPr>
      <w:proofErr w:type="gramStart"/>
      <w:r w:rsidRPr="00AC43F6">
        <w:rPr>
          <w:rFonts w:ascii="Arial" w:hAnsi="Arial" w:cs="Arial"/>
          <w:color w:val="000000" w:themeColor="text1"/>
          <w:shd w:val="clear" w:color="auto" w:fill="FFFFFF"/>
        </w:rPr>
        <w:t>Austin(</w:t>
      </w:r>
      <w:proofErr w:type="gramEnd"/>
      <w:r w:rsidRPr="00AC43F6">
        <w:rPr>
          <w:rFonts w:ascii="Arial" w:hAnsi="Arial" w:cs="Arial"/>
          <w:color w:val="000000" w:themeColor="text1"/>
          <w:shd w:val="clear" w:color="auto" w:fill="FFFFFF"/>
        </w:rPr>
        <w:t>2016)’Making a contribution to knowledge: Where do I begin?’. Researching Primary Education. London: Sage Publications Ltd.</w:t>
      </w:r>
    </w:p>
    <w:p w14:paraId="6321955B" w14:textId="77777777" w:rsidR="00780955" w:rsidRPr="00AC43F6" w:rsidRDefault="00780955" w:rsidP="00780955">
      <w:pPr>
        <w:spacing w:line="360" w:lineRule="auto"/>
        <w:rPr>
          <w:rStyle w:val="Hyperlink"/>
          <w:rFonts w:ascii="Arial" w:hAnsi="Arial" w:cs="Arial"/>
          <w:color w:val="000000" w:themeColor="text1"/>
        </w:rPr>
      </w:pPr>
      <w:bookmarkStart w:id="4" w:name="_Hlk36067510"/>
      <w:r w:rsidRPr="00AC43F6">
        <w:rPr>
          <w:rFonts w:ascii="Arial" w:hAnsi="Arial" w:cs="Arial"/>
          <w:color w:val="000000" w:themeColor="text1"/>
        </w:rPr>
        <w:lastRenderedPageBreak/>
        <w:t xml:space="preserve">British Educational Research Association [BERA] 2018 Ethical Guidelines for Educational Research, fourth edition, London. </w:t>
      </w:r>
      <w:hyperlink r:id="rId9" w:history="1">
        <w:r w:rsidRPr="00AC43F6">
          <w:rPr>
            <w:rStyle w:val="Hyperlink"/>
            <w:rFonts w:ascii="Arial" w:hAnsi="Arial" w:cs="Arial"/>
            <w:color w:val="000000" w:themeColor="text1"/>
          </w:rPr>
          <w:t>https://www.bera.ac.uk/researchers-resources/publications/ethical-guidelines-for-educational-research-2018</w:t>
        </w:r>
      </w:hyperlink>
    </w:p>
    <w:p w14:paraId="1A6B9D73" w14:textId="77777777" w:rsidR="00780955" w:rsidRPr="00AC43F6" w:rsidRDefault="00780955" w:rsidP="00780955">
      <w:pPr>
        <w:spacing w:line="360" w:lineRule="auto"/>
        <w:rPr>
          <w:rFonts w:ascii="Arial" w:hAnsi="Arial" w:cs="Arial"/>
          <w:color w:val="000000" w:themeColor="text1"/>
        </w:rPr>
      </w:pPr>
      <w:r w:rsidRPr="00AC43F6">
        <w:rPr>
          <w:rFonts w:ascii="Arial" w:hAnsi="Arial" w:cs="Arial"/>
          <w:color w:val="000000" w:themeColor="text1"/>
          <w:shd w:val="clear" w:color="auto" w:fill="FFFFFF"/>
        </w:rPr>
        <w:t xml:space="preserve">Bruner, J., 1986. </w:t>
      </w:r>
      <w:r w:rsidRPr="00AC43F6">
        <w:rPr>
          <w:rFonts w:ascii="Arial" w:hAnsi="Arial" w:cs="Arial"/>
          <w:i/>
          <w:iCs/>
          <w:color w:val="000000" w:themeColor="text1"/>
        </w:rPr>
        <w:t>Actual Minds, Possible Worlds</w:t>
      </w:r>
      <w:r w:rsidRPr="00AC43F6">
        <w:rPr>
          <w:rFonts w:ascii="Arial" w:hAnsi="Arial" w:cs="Arial"/>
          <w:color w:val="000000" w:themeColor="text1"/>
          <w:shd w:val="clear" w:color="auto" w:fill="FFFFFF"/>
        </w:rPr>
        <w:t>. Cambridge: Harvard University Press.</w:t>
      </w:r>
    </w:p>
    <w:bookmarkEnd w:id="4"/>
    <w:p w14:paraId="2D841301"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Bullock, D. (n.d.). </w:t>
      </w:r>
      <w:r w:rsidRPr="00AC43F6">
        <w:rPr>
          <w:rFonts w:ascii="Arial" w:hAnsi="Arial" w:cs="Arial"/>
          <w:i/>
          <w:iCs/>
          <w:color w:val="000000" w:themeColor="text1"/>
        </w:rPr>
        <w:t>Assessment for Learning</w:t>
      </w:r>
      <w:r w:rsidRPr="00AC43F6">
        <w:rPr>
          <w:rFonts w:ascii="Arial" w:hAnsi="Arial" w:cs="Arial"/>
          <w:color w:val="000000" w:themeColor="text1"/>
          <w:shd w:val="clear" w:color="auto" w:fill="FFFFFF"/>
        </w:rPr>
        <w:t xml:space="preserve">. [online] </w:t>
      </w:r>
      <w:proofErr w:type="spellStart"/>
      <w:r w:rsidRPr="00AC43F6">
        <w:rPr>
          <w:rFonts w:ascii="Arial" w:hAnsi="Arial" w:cs="Arial"/>
          <w:color w:val="000000" w:themeColor="text1"/>
          <w:shd w:val="clear" w:color="auto" w:fill="FFFFFF"/>
        </w:rPr>
        <w:t>TeachingEnglish</w:t>
      </w:r>
      <w:proofErr w:type="spellEnd"/>
      <w:r w:rsidRPr="00AC43F6">
        <w:rPr>
          <w:rFonts w:ascii="Arial" w:hAnsi="Arial" w:cs="Arial"/>
          <w:color w:val="000000" w:themeColor="text1"/>
          <w:shd w:val="clear" w:color="auto" w:fill="FFFFFF"/>
        </w:rPr>
        <w:t xml:space="preserve"> | British Council | BBC. Available at: https://www.teachingenglish.org.uk/article/assessment-learning [Accessed 8 Mar. 2020].</w:t>
      </w:r>
    </w:p>
    <w:p w14:paraId="3ED9D91E"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Cambridge-community.org.uk. (2020). </w:t>
      </w:r>
      <w:r w:rsidRPr="00AC43F6">
        <w:rPr>
          <w:rFonts w:ascii="Arial" w:hAnsi="Arial" w:cs="Arial"/>
          <w:i/>
          <w:iCs/>
          <w:color w:val="000000" w:themeColor="text1"/>
        </w:rPr>
        <w:t>Getting started with Assessment for Learning</w:t>
      </w:r>
      <w:r w:rsidRPr="00AC43F6">
        <w:rPr>
          <w:rFonts w:ascii="Arial" w:hAnsi="Arial" w:cs="Arial"/>
          <w:color w:val="000000" w:themeColor="text1"/>
          <w:shd w:val="clear" w:color="auto" w:fill="FFFFFF"/>
        </w:rPr>
        <w:t>. [online] Available at: https://cambridge-community.org.uk/professional-development/gswafl/index.html [Accessed 8 Mar. 2020].</w:t>
      </w:r>
    </w:p>
    <w:p w14:paraId="466B1FE0"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Cherry, K., 2018. </w:t>
      </w:r>
      <w:r w:rsidRPr="00AC43F6">
        <w:rPr>
          <w:rFonts w:ascii="Arial" w:hAnsi="Arial" w:cs="Arial"/>
          <w:i/>
          <w:iCs/>
          <w:color w:val="000000" w:themeColor="text1"/>
        </w:rPr>
        <w:t xml:space="preserve">How Does The Hawthorne Effect Influence </w:t>
      </w:r>
      <w:proofErr w:type="gramStart"/>
      <w:r w:rsidRPr="00AC43F6">
        <w:rPr>
          <w:rFonts w:ascii="Arial" w:hAnsi="Arial" w:cs="Arial"/>
          <w:i/>
          <w:iCs/>
          <w:color w:val="000000" w:themeColor="text1"/>
        </w:rPr>
        <w:t>Productivity?</w:t>
      </w:r>
      <w:r w:rsidRPr="00AC43F6">
        <w:rPr>
          <w:rFonts w:ascii="Arial" w:hAnsi="Arial" w:cs="Arial"/>
          <w:color w:val="000000" w:themeColor="text1"/>
          <w:shd w:val="clear" w:color="auto" w:fill="FFFFFF"/>
        </w:rPr>
        <w:t>.</w:t>
      </w:r>
      <w:proofErr w:type="gramEnd"/>
      <w:r w:rsidRPr="00AC43F6">
        <w:rPr>
          <w:rFonts w:ascii="Arial" w:hAnsi="Arial" w:cs="Arial"/>
          <w:color w:val="000000" w:themeColor="text1"/>
          <w:shd w:val="clear" w:color="auto" w:fill="FFFFFF"/>
        </w:rPr>
        <w:t xml:space="preserve"> [online] </w:t>
      </w:r>
      <w:proofErr w:type="spellStart"/>
      <w:r w:rsidRPr="00AC43F6">
        <w:rPr>
          <w:rFonts w:ascii="Arial" w:hAnsi="Arial" w:cs="Arial"/>
          <w:color w:val="000000" w:themeColor="text1"/>
          <w:shd w:val="clear" w:color="auto" w:fill="FFFFFF"/>
        </w:rPr>
        <w:t>Verywell</w:t>
      </w:r>
      <w:proofErr w:type="spellEnd"/>
      <w:r w:rsidRPr="00AC43F6">
        <w:rPr>
          <w:rFonts w:ascii="Arial" w:hAnsi="Arial" w:cs="Arial"/>
          <w:color w:val="000000" w:themeColor="text1"/>
          <w:shd w:val="clear" w:color="auto" w:fill="FFFFFF"/>
        </w:rPr>
        <w:t xml:space="preserve"> Mind. Available at: &lt;https://www.verywellmind.com/what-is-the-hawthorne-effect-2795234&gt; [Accessed 10 March 2020].</w:t>
      </w:r>
    </w:p>
    <w:p w14:paraId="16B2B543" w14:textId="77777777" w:rsidR="00780955" w:rsidRPr="00AC43F6" w:rsidRDefault="00780955" w:rsidP="00780955">
      <w:pPr>
        <w:spacing w:line="360" w:lineRule="auto"/>
        <w:rPr>
          <w:rFonts w:ascii="Arial" w:hAnsi="Arial" w:cs="Arial"/>
          <w:color w:val="000000" w:themeColor="text1"/>
        </w:rPr>
      </w:pPr>
      <w:r w:rsidRPr="00AC43F6">
        <w:rPr>
          <w:rFonts w:ascii="Arial" w:hAnsi="Arial" w:cs="Arial"/>
          <w:color w:val="000000" w:themeColor="text1"/>
        </w:rPr>
        <w:t xml:space="preserve">Clark, A. (2005) ‘Ways of seeing: using the Mosaic approach to listen to young children’s perspectives’, in Clark, A., </w:t>
      </w:r>
      <w:proofErr w:type="spellStart"/>
      <w:r w:rsidRPr="00AC43F6">
        <w:rPr>
          <w:rFonts w:ascii="Arial" w:hAnsi="Arial" w:cs="Arial"/>
          <w:color w:val="000000" w:themeColor="text1"/>
        </w:rPr>
        <w:t>Kjørholt</w:t>
      </w:r>
      <w:proofErr w:type="spellEnd"/>
      <w:r w:rsidRPr="00AC43F6">
        <w:rPr>
          <w:rFonts w:ascii="Arial" w:hAnsi="Arial" w:cs="Arial"/>
          <w:color w:val="000000" w:themeColor="text1"/>
        </w:rPr>
        <w:t xml:space="preserve"> and Moss, P. (eds.) Beyond Listening. Children’s perspectives on early childhood services. Bristol: Policy Press, pp. 29–49.</w:t>
      </w:r>
    </w:p>
    <w:p w14:paraId="60E0797E"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Clark, A., 2011. </w:t>
      </w:r>
      <w:r w:rsidRPr="00AC43F6">
        <w:rPr>
          <w:rFonts w:ascii="Arial" w:hAnsi="Arial" w:cs="Arial"/>
          <w:i/>
          <w:iCs/>
          <w:color w:val="000000" w:themeColor="text1"/>
        </w:rPr>
        <w:t xml:space="preserve">Ways </w:t>
      </w:r>
      <w:proofErr w:type="gramStart"/>
      <w:r w:rsidRPr="00AC43F6">
        <w:rPr>
          <w:rFonts w:ascii="Arial" w:hAnsi="Arial" w:cs="Arial"/>
          <w:i/>
          <w:iCs/>
          <w:color w:val="000000" w:themeColor="text1"/>
        </w:rPr>
        <w:t>Of</w:t>
      </w:r>
      <w:proofErr w:type="gramEnd"/>
      <w:r w:rsidRPr="00AC43F6">
        <w:rPr>
          <w:rFonts w:ascii="Arial" w:hAnsi="Arial" w:cs="Arial"/>
          <w:i/>
          <w:iCs/>
          <w:color w:val="000000" w:themeColor="text1"/>
        </w:rPr>
        <w:t xml:space="preserve"> Seeing: Using The Mosaic Approach To Listen To Young </w:t>
      </w:r>
      <w:proofErr w:type="spellStart"/>
      <w:r w:rsidRPr="00AC43F6">
        <w:rPr>
          <w:rFonts w:ascii="Arial" w:hAnsi="Arial" w:cs="Arial"/>
          <w:i/>
          <w:iCs/>
          <w:color w:val="000000" w:themeColor="text1"/>
        </w:rPr>
        <w:t>Children’S</w:t>
      </w:r>
      <w:proofErr w:type="spellEnd"/>
      <w:r w:rsidRPr="00AC43F6">
        <w:rPr>
          <w:rFonts w:ascii="Arial" w:hAnsi="Arial" w:cs="Arial"/>
          <w:i/>
          <w:iCs/>
          <w:color w:val="000000" w:themeColor="text1"/>
        </w:rPr>
        <w:t xml:space="preserve"> Perspectives</w:t>
      </w:r>
      <w:r w:rsidRPr="00AC43F6">
        <w:rPr>
          <w:rFonts w:ascii="Arial" w:hAnsi="Arial" w:cs="Arial"/>
          <w:color w:val="000000" w:themeColor="text1"/>
          <w:shd w:val="clear" w:color="auto" w:fill="FFFFFF"/>
        </w:rPr>
        <w:t>. [online] Learningaway.org.uk. Available at: &lt;https://learningaway.org.uk/wp-content/uploads/RL56-Extract-the-Mosaic-Approach-EARLY-YEARS.pdf&gt; [Accessed 10 March 2020].</w:t>
      </w:r>
    </w:p>
    <w:p w14:paraId="1EA1D2C8" w14:textId="77777777" w:rsidR="00780955" w:rsidRPr="00AC43F6" w:rsidRDefault="00780955" w:rsidP="00780955">
      <w:pPr>
        <w:spacing w:line="360" w:lineRule="auto"/>
        <w:rPr>
          <w:rFonts w:ascii="Arial" w:hAnsi="Arial" w:cs="Arial"/>
          <w:color w:val="000000" w:themeColor="text1"/>
        </w:rPr>
      </w:pPr>
      <w:r w:rsidRPr="00AC43F6">
        <w:rPr>
          <w:rFonts w:ascii="Arial" w:hAnsi="Arial" w:cs="Arial"/>
          <w:color w:val="000000" w:themeColor="text1"/>
        </w:rPr>
        <w:t xml:space="preserve">Clarke, S. (2014). </w:t>
      </w:r>
      <w:r w:rsidRPr="00AC43F6">
        <w:rPr>
          <w:rFonts w:ascii="Arial" w:hAnsi="Arial" w:cs="Arial"/>
          <w:i/>
          <w:iCs/>
          <w:color w:val="000000" w:themeColor="text1"/>
        </w:rPr>
        <w:t>Outstanding formative assessment</w:t>
      </w:r>
      <w:r w:rsidRPr="00AC43F6">
        <w:rPr>
          <w:rFonts w:ascii="Arial" w:hAnsi="Arial" w:cs="Arial"/>
          <w:color w:val="000000" w:themeColor="text1"/>
        </w:rPr>
        <w:t>. London: Hodder Education</w:t>
      </w:r>
    </w:p>
    <w:p w14:paraId="41200DBC" w14:textId="77777777" w:rsidR="00780955" w:rsidRPr="00AC43F6" w:rsidRDefault="00780955" w:rsidP="00780955">
      <w:pPr>
        <w:spacing w:line="360" w:lineRule="auto"/>
        <w:rPr>
          <w:rFonts w:ascii="Arial" w:hAnsi="Arial" w:cs="Arial"/>
          <w:i/>
          <w:iCs/>
          <w:color w:val="000000" w:themeColor="text1"/>
        </w:rPr>
      </w:pPr>
      <w:r w:rsidRPr="00AC43F6">
        <w:rPr>
          <w:rFonts w:ascii="Arial" w:hAnsi="Arial" w:cs="Arial"/>
          <w:color w:val="000000" w:themeColor="text1"/>
          <w:shd w:val="clear" w:color="auto" w:fill="FFFFFF"/>
        </w:rPr>
        <w:t xml:space="preserve">Coe, R., Waring, M., Hedges, L. and Arthur, J., 2012. </w:t>
      </w:r>
      <w:r w:rsidRPr="00AC43F6">
        <w:rPr>
          <w:rFonts w:ascii="Arial" w:hAnsi="Arial" w:cs="Arial"/>
          <w:i/>
          <w:iCs/>
          <w:color w:val="000000" w:themeColor="text1"/>
        </w:rPr>
        <w:t xml:space="preserve">Research Methods </w:t>
      </w:r>
      <w:proofErr w:type="gramStart"/>
      <w:r w:rsidRPr="00AC43F6">
        <w:rPr>
          <w:rFonts w:ascii="Arial" w:hAnsi="Arial" w:cs="Arial"/>
          <w:i/>
          <w:iCs/>
          <w:color w:val="000000" w:themeColor="text1"/>
        </w:rPr>
        <w:t>And</w:t>
      </w:r>
      <w:proofErr w:type="gramEnd"/>
      <w:r w:rsidRPr="00AC43F6">
        <w:rPr>
          <w:rFonts w:ascii="Arial" w:hAnsi="Arial" w:cs="Arial"/>
          <w:i/>
          <w:iCs/>
          <w:color w:val="000000" w:themeColor="text1"/>
        </w:rPr>
        <w:t xml:space="preserve"> Methodologies In Education</w:t>
      </w:r>
      <w:r w:rsidRPr="00AC43F6">
        <w:rPr>
          <w:rFonts w:ascii="Arial" w:hAnsi="Arial" w:cs="Arial"/>
          <w:color w:val="000000" w:themeColor="text1"/>
          <w:shd w:val="clear" w:color="auto" w:fill="FFFFFF"/>
        </w:rPr>
        <w:t>. SAGE Publications.</w:t>
      </w:r>
    </w:p>
    <w:p w14:paraId="05BBBF4A" w14:textId="77777777" w:rsidR="00780955" w:rsidRPr="00AC43F6" w:rsidRDefault="00780955" w:rsidP="00780955">
      <w:pPr>
        <w:spacing w:line="360" w:lineRule="auto"/>
        <w:rPr>
          <w:rFonts w:ascii="Arial" w:hAnsi="Arial" w:cs="Arial"/>
          <w:color w:val="000000" w:themeColor="text1"/>
          <w:shd w:val="clear" w:color="auto" w:fill="FFFFFF"/>
        </w:rPr>
      </w:pPr>
      <w:proofErr w:type="spellStart"/>
      <w:r w:rsidRPr="00AC43F6">
        <w:rPr>
          <w:rFonts w:ascii="Arial" w:hAnsi="Arial" w:cs="Arial"/>
          <w:color w:val="000000" w:themeColor="text1"/>
          <w:shd w:val="clear" w:color="auto" w:fill="FFFFFF"/>
        </w:rPr>
        <w:t>Didau</w:t>
      </w:r>
      <w:proofErr w:type="spellEnd"/>
      <w:r w:rsidRPr="00AC43F6">
        <w:rPr>
          <w:rFonts w:ascii="Arial" w:hAnsi="Arial" w:cs="Arial"/>
          <w:color w:val="000000" w:themeColor="text1"/>
          <w:shd w:val="clear" w:color="auto" w:fill="FFFFFF"/>
        </w:rPr>
        <w:t xml:space="preserve">, D. (2014). </w:t>
      </w:r>
      <w:r w:rsidRPr="00AC43F6">
        <w:rPr>
          <w:rFonts w:ascii="Arial" w:hAnsi="Arial" w:cs="Arial"/>
          <w:i/>
          <w:iCs/>
          <w:color w:val="000000" w:themeColor="text1"/>
        </w:rPr>
        <w:t xml:space="preserve">Why </w:t>
      </w:r>
      <w:proofErr w:type="spellStart"/>
      <w:r w:rsidRPr="00AC43F6">
        <w:rPr>
          <w:rFonts w:ascii="Arial" w:hAnsi="Arial" w:cs="Arial"/>
          <w:i/>
          <w:iCs/>
          <w:color w:val="000000" w:themeColor="text1"/>
        </w:rPr>
        <w:t>AfL</w:t>
      </w:r>
      <w:proofErr w:type="spellEnd"/>
      <w:r w:rsidRPr="00AC43F6">
        <w:rPr>
          <w:rFonts w:ascii="Arial" w:hAnsi="Arial" w:cs="Arial"/>
          <w:i/>
          <w:iCs/>
          <w:color w:val="000000" w:themeColor="text1"/>
        </w:rPr>
        <w:t xml:space="preserve"> might be wrong, and what to do about it</w:t>
      </w:r>
      <w:r w:rsidRPr="00AC43F6">
        <w:rPr>
          <w:rFonts w:ascii="Arial" w:hAnsi="Arial" w:cs="Arial"/>
          <w:color w:val="000000" w:themeColor="text1"/>
          <w:shd w:val="clear" w:color="auto" w:fill="FFFFFF"/>
        </w:rPr>
        <w:t xml:space="preserve">. [online] David </w:t>
      </w:r>
      <w:proofErr w:type="spellStart"/>
      <w:r w:rsidRPr="00AC43F6">
        <w:rPr>
          <w:rFonts w:ascii="Arial" w:hAnsi="Arial" w:cs="Arial"/>
          <w:color w:val="000000" w:themeColor="text1"/>
          <w:shd w:val="clear" w:color="auto" w:fill="FFFFFF"/>
        </w:rPr>
        <w:t>Didau</w:t>
      </w:r>
      <w:proofErr w:type="spellEnd"/>
      <w:r w:rsidRPr="00AC43F6">
        <w:rPr>
          <w:rFonts w:ascii="Arial" w:hAnsi="Arial" w:cs="Arial"/>
          <w:color w:val="000000" w:themeColor="text1"/>
          <w:shd w:val="clear" w:color="auto" w:fill="FFFFFF"/>
        </w:rPr>
        <w:t>. Available at: https://learningspy.co.uk/myths/afl-might-wrong/ [Accessed 8 Mar. 2020].</w:t>
      </w:r>
    </w:p>
    <w:p w14:paraId="0EA63322" w14:textId="77777777" w:rsidR="00780955" w:rsidRPr="00AC43F6" w:rsidRDefault="00780955" w:rsidP="00780955">
      <w:pPr>
        <w:spacing w:line="360" w:lineRule="auto"/>
        <w:rPr>
          <w:rFonts w:ascii="Arial" w:hAnsi="Arial" w:cs="Arial"/>
          <w:color w:val="000000" w:themeColor="text1"/>
          <w:shd w:val="clear" w:color="auto" w:fill="FFFFFF"/>
        </w:rPr>
      </w:pPr>
      <w:proofErr w:type="spellStart"/>
      <w:proofErr w:type="gramStart"/>
      <w:r w:rsidRPr="00AC43F6">
        <w:rPr>
          <w:rFonts w:ascii="Arial" w:hAnsi="Arial" w:cs="Arial"/>
          <w:color w:val="000000" w:themeColor="text1"/>
          <w:shd w:val="clear" w:color="auto" w:fill="FFFFFF"/>
        </w:rPr>
        <w:t>Durrant</w:t>
      </w:r>
      <w:proofErr w:type="spellEnd"/>
      <w:r w:rsidRPr="00AC43F6">
        <w:rPr>
          <w:rFonts w:ascii="Arial" w:hAnsi="Arial" w:cs="Arial"/>
          <w:color w:val="000000" w:themeColor="text1"/>
          <w:shd w:val="clear" w:color="auto" w:fill="FFFFFF"/>
        </w:rPr>
        <w:t>(</w:t>
      </w:r>
      <w:proofErr w:type="gramEnd"/>
      <w:r w:rsidRPr="00AC43F6">
        <w:rPr>
          <w:rFonts w:ascii="Arial" w:hAnsi="Arial" w:cs="Arial"/>
          <w:color w:val="000000" w:themeColor="text1"/>
          <w:shd w:val="clear" w:color="auto" w:fill="FFFFFF"/>
        </w:rPr>
        <w:t xml:space="preserve">2016)’What is evidence-based practice and why does it </w:t>
      </w:r>
      <w:proofErr w:type="spellStart"/>
      <w:r w:rsidRPr="00AC43F6">
        <w:rPr>
          <w:rFonts w:ascii="Arial" w:hAnsi="Arial" w:cs="Arial"/>
          <w:color w:val="000000" w:themeColor="text1"/>
          <w:shd w:val="clear" w:color="auto" w:fill="FFFFFF"/>
        </w:rPr>
        <w:t>matter’,in</w:t>
      </w:r>
      <w:proofErr w:type="spellEnd"/>
      <w:r w:rsidRPr="00AC43F6">
        <w:rPr>
          <w:rFonts w:ascii="Arial" w:hAnsi="Arial" w:cs="Arial"/>
          <w:color w:val="000000" w:themeColor="text1"/>
          <w:shd w:val="clear" w:color="auto" w:fill="FFFFFF"/>
        </w:rPr>
        <w:t xml:space="preserve"> Rebecca Austin. Researching Primary Education. London: Sage Publications Ltd.</w:t>
      </w:r>
    </w:p>
    <w:p w14:paraId="19044A23"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Dylan, W. (2011). </w:t>
      </w:r>
      <w:r w:rsidRPr="00AC43F6">
        <w:rPr>
          <w:rFonts w:ascii="Arial" w:hAnsi="Arial" w:cs="Arial"/>
          <w:i/>
          <w:iCs/>
          <w:color w:val="000000" w:themeColor="text1"/>
        </w:rPr>
        <w:t>Embedded formative assessment</w:t>
      </w:r>
      <w:r w:rsidRPr="00AC43F6">
        <w:rPr>
          <w:rFonts w:ascii="Arial" w:hAnsi="Arial" w:cs="Arial"/>
          <w:color w:val="000000" w:themeColor="text1"/>
          <w:shd w:val="clear" w:color="auto" w:fill="FFFFFF"/>
        </w:rPr>
        <w:t>. Bloomington, IN: Solution Tree Press.</w:t>
      </w:r>
    </w:p>
    <w:p w14:paraId="549CEFB0"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Government, N., 2019. </w:t>
      </w:r>
      <w:r w:rsidRPr="00AC43F6">
        <w:rPr>
          <w:rFonts w:ascii="Arial" w:hAnsi="Arial" w:cs="Arial"/>
          <w:i/>
          <w:iCs/>
          <w:color w:val="000000" w:themeColor="text1"/>
        </w:rPr>
        <w:t xml:space="preserve">Observation: A Guide </w:t>
      </w:r>
      <w:proofErr w:type="gramStart"/>
      <w:r w:rsidRPr="00AC43F6">
        <w:rPr>
          <w:rFonts w:ascii="Arial" w:hAnsi="Arial" w:cs="Arial"/>
          <w:i/>
          <w:iCs/>
          <w:color w:val="000000" w:themeColor="text1"/>
        </w:rPr>
        <w:t>For</w:t>
      </w:r>
      <w:proofErr w:type="gramEnd"/>
      <w:r w:rsidRPr="00AC43F6">
        <w:rPr>
          <w:rFonts w:ascii="Arial" w:hAnsi="Arial" w:cs="Arial"/>
          <w:i/>
          <w:iCs/>
          <w:color w:val="000000" w:themeColor="text1"/>
        </w:rPr>
        <w:t xml:space="preserve"> Use In Evaluation</w:t>
      </w:r>
      <w:r w:rsidRPr="00AC43F6">
        <w:rPr>
          <w:rFonts w:ascii="Arial" w:hAnsi="Arial" w:cs="Arial"/>
          <w:color w:val="000000" w:themeColor="text1"/>
          <w:shd w:val="clear" w:color="auto" w:fill="FFFFFF"/>
        </w:rPr>
        <w:t>. [online] Education.nsw.gov.au. Available at: &lt;https://education.nsw.gov.au/teaching-and-learning/professional-learning/evaluation-resource-hub/collecting-data/observation&gt; [Accessed 10 March 2020].</w:t>
      </w:r>
      <w:bookmarkStart w:id="5" w:name="_GoBack"/>
      <w:bookmarkEnd w:id="5"/>
    </w:p>
    <w:p w14:paraId="23A41E03"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lastRenderedPageBreak/>
        <w:t xml:space="preserve">Griffith, A. and Burns, M., 2014. </w:t>
      </w:r>
      <w:r w:rsidRPr="00AC43F6">
        <w:rPr>
          <w:rFonts w:ascii="Arial" w:hAnsi="Arial" w:cs="Arial"/>
          <w:i/>
          <w:iCs/>
          <w:color w:val="000000" w:themeColor="text1"/>
        </w:rPr>
        <w:t>Teaching Backwards</w:t>
      </w:r>
      <w:r w:rsidRPr="00AC43F6">
        <w:rPr>
          <w:rFonts w:ascii="Arial" w:hAnsi="Arial" w:cs="Arial"/>
          <w:color w:val="000000" w:themeColor="text1"/>
          <w:shd w:val="clear" w:color="auto" w:fill="FFFFFF"/>
        </w:rPr>
        <w:t>. Carmarthen, Wales: Crown House Publishing.</w:t>
      </w:r>
    </w:p>
    <w:p w14:paraId="6A202238" w14:textId="77777777" w:rsidR="00780955" w:rsidRPr="00AC43F6" w:rsidRDefault="00780955" w:rsidP="00780955">
      <w:pPr>
        <w:spacing w:line="360" w:lineRule="auto"/>
        <w:rPr>
          <w:rFonts w:ascii="Arial" w:hAnsi="Arial" w:cs="Arial"/>
          <w:color w:val="000000" w:themeColor="text1"/>
          <w:shd w:val="clear" w:color="auto" w:fill="FFFFFF"/>
        </w:rPr>
      </w:pPr>
      <w:proofErr w:type="spellStart"/>
      <w:r w:rsidRPr="00AC43F6">
        <w:rPr>
          <w:rFonts w:ascii="Arial" w:hAnsi="Arial" w:cs="Arial"/>
          <w:color w:val="000000" w:themeColor="text1"/>
          <w:shd w:val="clear" w:color="auto" w:fill="FFFFFF"/>
        </w:rPr>
        <w:t>Hagström</w:t>
      </w:r>
      <w:proofErr w:type="spellEnd"/>
      <w:r w:rsidRPr="00AC43F6">
        <w:rPr>
          <w:rFonts w:ascii="Arial" w:hAnsi="Arial" w:cs="Arial"/>
          <w:color w:val="000000" w:themeColor="text1"/>
          <w:shd w:val="clear" w:color="auto" w:fill="FFFFFF"/>
        </w:rPr>
        <w:t xml:space="preserve">, C. and Eckerdal, J., 2016. </w:t>
      </w:r>
      <w:r w:rsidRPr="00AC43F6">
        <w:rPr>
          <w:rFonts w:ascii="Arial" w:hAnsi="Arial" w:cs="Arial"/>
          <w:i/>
          <w:iCs/>
          <w:color w:val="000000" w:themeColor="text1"/>
        </w:rPr>
        <w:t xml:space="preserve">Qualitative Questionnaires </w:t>
      </w:r>
      <w:proofErr w:type="gramStart"/>
      <w:r w:rsidRPr="00AC43F6">
        <w:rPr>
          <w:rFonts w:ascii="Arial" w:hAnsi="Arial" w:cs="Arial"/>
          <w:i/>
          <w:iCs/>
          <w:color w:val="000000" w:themeColor="text1"/>
        </w:rPr>
        <w:t>As</w:t>
      </w:r>
      <w:proofErr w:type="gramEnd"/>
      <w:r w:rsidRPr="00AC43F6">
        <w:rPr>
          <w:rFonts w:ascii="Arial" w:hAnsi="Arial" w:cs="Arial"/>
          <w:i/>
          <w:iCs/>
          <w:color w:val="000000" w:themeColor="text1"/>
        </w:rPr>
        <w:t xml:space="preserve"> A Method For Information Studies Research</w:t>
      </w:r>
      <w:r w:rsidRPr="00AC43F6">
        <w:rPr>
          <w:rFonts w:ascii="Arial" w:hAnsi="Arial" w:cs="Arial"/>
          <w:color w:val="000000" w:themeColor="text1"/>
          <w:shd w:val="clear" w:color="auto" w:fill="FFFFFF"/>
        </w:rPr>
        <w:t>. [online] Informationr.net. Available at: &lt;http://informationr.net/ir/22-1/colis/colis1639.html&gt; [Accessed 10 March 2020].</w:t>
      </w:r>
    </w:p>
    <w:p w14:paraId="6DCDA2F8" w14:textId="77777777" w:rsidR="00780955" w:rsidRPr="00AC43F6" w:rsidRDefault="00780955" w:rsidP="00780955">
      <w:pPr>
        <w:spacing w:line="360" w:lineRule="auto"/>
        <w:rPr>
          <w:rFonts w:ascii="Arial" w:hAnsi="Arial" w:cs="Arial"/>
          <w:color w:val="000000" w:themeColor="text1"/>
        </w:rPr>
      </w:pPr>
      <w:proofErr w:type="spellStart"/>
      <w:r w:rsidRPr="00AC43F6">
        <w:rPr>
          <w:rFonts w:ascii="Arial" w:hAnsi="Arial" w:cs="Arial"/>
          <w:color w:val="000000" w:themeColor="text1"/>
        </w:rPr>
        <w:t>Hurmerinta-Peltomaki</w:t>
      </w:r>
      <w:proofErr w:type="spellEnd"/>
      <w:r w:rsidRPr="00AC43F6">
        <w:rPr>
          <w:rFonts w:ascii="Arial" w:hAnsi="Arial" w:cs="Arial"/>
          <w:color w:val="000000" w:themeColor="text1"/>
        </w:rPr>
        <w:t xml:space="preserve">, L., &amp; </w:t>
      </w:r>
      <w:proofErr w:type="spellStart"/>
      <w:r w:rsidRPr="00AC43F6">
        <w:rPr>
          <w:rFonts w:ascii="Arial" w:hAnsi="Arial" w:cs="Arial"/>
          <w:color w:val="000000" w:themeColor="text1"/>
        </w:rPr>
        <w:t>Nummela</w:t>
      </w:r>
      <w:proofErr w:type="spellEnd"/>
      <w:r w:rsidRPr="00AC43F6">
        <w:rPr>
          <w:rFonts w:ascii="Arial" w:hAnsi="Arial" w:cs="Arial"/>
          <w:color w:val="000000" w:themeColor="text1"/>
        </w:rPr>
        <w:t>, N. (2006). Mixed methods in international business research: A value-added perspective. Management International Review, 46, 439-459.</w:t>
      </w:r>
    </w:p>
    <w:p w14:paraId="04F20221"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Kelly, M. (2018). </w:t>
      </w:r>
      <w:r w:rsidRPr="00AC43F6">
        <w:rPr>
          <w:rFonts w:ascii="Arial" w:hAnsi="Arial" w:cs="Arial"/>
          <w:i/>
          <w:iCs/>
          <w:color w:val="000000" w:themeColor="text1"/>
        </w:rPr>
        <w:t>Importance of Wait Time in Education</w:t>
      </w:r>
      <w:r w:rsidRPr="00AC43F6">
        <w:rPr>
          <w:rFonts w:ascii="Arial" w:hAnsi="Arial" w:cs="Arial"/>
          <w:color w:val="000000" w:themeColor="text1"/>
          <w:shd w:val="clear" w:color="auto" w:fill="FFFFFF"/>
        </w:rPr>
        <w:t>. [online] ThoughtCo. Available at: https://www.thoughtco.com/importance-of-wait-time-8405 [Accessed 8 Mar. 2020].</w:t>
      </w:r>
    </w:p>
    <w:p w14:paraId="53484D2E"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Mandela.ac.za. (2020). </w:t>
      </w:r>
      <w:r w:rsidRPr="00AC43F6">
        <w:rPr>
          <w:rFonts w:ascii="Arial" w:hAnsi="Arial" w:cs="Arial"/>
          <w:i/>
          <w:iCs/>
          <w:color w:val="000000" w:themeColor="text1"/>
        </w:rPr>
        <w:t>Bloom's Taxonomy of Questions</w:t>
      </w:r>
      <w:r w:rsidRPr="00AC43F6">
        <w:rPr>
          <w:rFonts w:ascii="Arial" w:hAnsi="Arial" w:cs="Arial"/>
          <w:color w:val="000000" w:themeColor="text1"/>
          <w:shd w:val="clear" w:color="auto" w:fill="FFFFFF"/>
        </w:rPr>
        <w:t>. [online] Available at: http://www.mandela.ac.za/cyberhunts/bloom.htm [Accessed 8 Mar. 2020].</w:t>
      </w:r>
    </w:p>
    <w:p w14:paraId="17C5C976" w14:textId="77777777" w:rsidR="00780955" w:rsidRPr="00AC43F6" w:rsidRDefault="00780955" w:rsidP="00780955">
      <w:pPr>
        <w:spacing w:after="120" w:line="360" w:lineRule="auto"/>
        <w:rPr>
          <w:rFonts w:ascii="Arial" w:eastAsia="Times New Roman" w:hAnsi="Arial" w:cs="Arial"/>
          <w:color w:val="000000" w:themeColor="text1"/>
          <w:lang w:eastAsia="en-GB"/>
        </w:rPr>
      </w:pPr>
      <w:r w:rsidRPr="00AC43F6">
        <w:rPr>
          <w:rFonts w:ascii="Arial" w:eastAsia="Times New Roman" w:hAnsi="Arial" w:cs="Arial"/>
          <w:color w:val="000000" w:themeColor="text1"/>
          <w:lang w:eastAsia="en-GB"/>
        </w:rPr>
        <w:t xml:space="preserve">Maulana, R., Helms-Lorenz, M. Observations and student perceptions of the quality of preservice teachers’ teaching behaviour: construct representation and predictive quality. </w:t>
      </w:r>
      <w:r w:rsidRPr="00AC43F6">
        <w:rPr>
          <w:rFonts w:ascii="Arial" w:eastAsia="Times New Roman" w:hAnsi="Arial" w:cs="Arial"/>
          <w:i/>
          <w:iCs/>
          <w:color w:val="000000" w:themeColor="text1"/>
          <w:lang w:eastAsia="en-GB"/>
        </w:rPr>
        <w:t>Learning Environ Res</w:t>
      </w:r>
      <w:r w:rsidRPr="00AC43F6">
        <w:rPr>
          <w:rFonts w:ascii="Arial" w:eastAsia="Times New Roman" w:hAnsi="Arial" w:cs="Arial"/>
          <w:color w:val="000000" w:themeColor="text1"/>
          <w:lang w:eastAsia="en-GB"/>
        </w:rPr>
        <w:t xml:space="preserve"> </w:t>
      </w:r>
      <w:r w:rsidRPr="00AC43F6">
        <w:rPr>
          <w:rFonts w:ascii="Arial" w:eastAsia="Times New Roman" w:hAnsi="Arial" w:cs="Arial"/>
          <w:b/>
          <w:bCs/>
          <w:color w:val="000000" w:themeColor="text1"/>
          <w:lang w:eastAsia="en-GB"/>
        </w:rPr>
        <w:t xml:space="preserve">19, </w:t>
      </w:r>
      <w:r w:rsidRPr="00AC43F6">
        <w:rPr>
          <w:rFonts w:ascii="Arial" w:eastAsia="Times New Roman" w:hAnsi="Arial" w:cs="Arial"/>
          <w:color w:val="000000" w:themeColor="text1"/>
          <w:lang w:eastAsia="en-GB"/>
        </w:rPr>
        <w:t xml:space="preserve">335–357 (2016). </w:t>
      </w:r>
    </w:p>
    <w:p w14:paraId="19CE6EFD"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McLeod, S. A. (2018, Aug 05). Lev Vygotsky. Simply psychology: </w:t>
      </w:r>
      <w:hyperlink r:id="rId10" w:history="1">
        <w:r w:rsidRPr="00AC43F6">
          <w:rPr>
            <w:rStyle w:val="Hyperlink"/>
            <w:rFonts w:ascii="Arial" w:hAnsi="Arial" w:cs="Arial"/>
            <w:color w:val="000000" w:themeColor="text1"/>
            <w:shd w:val="clear" w:color="auto" w:fill="FFFFFF"/>
          </w:rPr>
          <w:t>https://www.simplypsychology.org/vygotsky.html[Accessed</w:t>
        </w:r>
      </w:hyperlink>
      <w:r w:rsidRPr="00AC43F6">
        <w:rPr>
          <w:rFonts w:ascii="Arial" w:hAnsi="Arial" w:cs="Arial"/>
          <w:color w:val="000000" w:themeColor="text1"/>
          <w:shd w:val="clear" w:color="auto" w:fill="FFFFFF"/>
        </w:rPr>
        <w:t xml:space="preserve"> [Accessed 8 Mar. 2020].</w:t>
      </w:r>
    </w:p>
    <w:p w14:paraId="1F849F74"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Mcleod, S., 2018. </w:t>
      </w:r>
      <w:r w:rsidRPr="00AC43F6">
        <w:rPr>
          <w:rFonts w:ascii="Arial" w:hAnsi="Arial" w:cs="Arial"/>
          <w:i/>
          <w:iCs/>
          <w:color w:val="000000" w:themeColor="text1"/>
        </w:rPr>
        <w:t>Questionnaire</w:t>
      </w:r>
      <w:proofErr w:type="gramStart"/>
      <w:r w:rsidRPr="00AC43F6">
        <w:rPr>
          <w:rFonts w:ascii="Arial" w:hAnsi="Arial" w:cs="Arial"/>
          <w:i/>
          <w:iCs/>
          <w:color w:val="000000" w:themeColor="text1"/>
        </w:rPr>
        <w:t>: :</w:t>
      </w:r>
      <w:proofErr w:type="gramEnd"/>
      <w:r w:rsidRPr="00AC43F6">
        <w:rPr>
          <w:rFonts w:ascii="Arial" w:hAnsi="Arial" w:cs="Arial"/>
          <w:i/>
          <w:iCs/>
          <w:color w:val="000000" w:themeColor="text1"/>
        </w:rPr>
        <w:t xml:space="preserve"> Definition, Examples, Design And Types | Simply Psychology</w:t>
      </w:r>
      <w:r w:rsidRPr="00AC43F6">
        <w:rPr>
          <w:rFonts w:ascii="Arial" w:hAnsi="Arial" w:cs="Arial"/>
          <w:color w:val="000000" w:themeColor="text1"/>
          <w:shd w:val="clear" w:color="auto" w:fill="FFFFFF"/>
        </w:rPr>
        <w:t>. [online] Simplypsychology.org. Available at: &lt;https://www.simplypsychology.org/questionnaires.html&gt; [Accessed 10 March 2020].</w:t>
      </w:r>
    </w:p>
    <w:p w14:paraId="3DE5D9D1"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Mukherji, P. and </w:t>
      </w:r>
      <w:proofErr w:type="spellStart"/>
      <w:r w:rsidRPr="00AC43F6">
        <w:rPr>
          <w:rFonts w:ascii="Arial" w:hAnsi="Arial" w:cs="Arial"/>
          <w:color w:val="000000" w:themeColor="text1"/>
          <w:shd w:val="clear" w:color="auto" w:fill="FFFFFF"/>
        </w:rPr>
        <w:t>Albon</w:t>
      </w:r>
      <w:proofErr w:type="spellEnd"/>
      <w:r w:rsidRPr="00AC43F6">
        <w:rPr>
          <w:rFonts w:ascii="Arial" w:hAnsi="Arial" w:cs="Arial"/>
          <w:color w:val="000000" w:themeColor="text1"/>
          <w:shd w:val="clear" w:color="auto" w:fill="FFFFFF"/>
        </w:rPr>
        <w:t xml:space="preserve">, D., 2018. </w:t>
      </w:r>
      <w:r w:rsidRPr="00AC43F6">
        <w:rPr>
          <w:rFonts w:ascii="Arial" w:hAnsi="Arial" w:cs="Arial"/>
          <w:i/>
          <w:iCs/>
          <w:color w:val="000000" w:themeColor="text1"/>
        </w:rPr>
        <w:t xml:space="preserve">Research Methods </w:t>
      </w:r>
      <w:proofErr w:type="gramStart"/>
      <w:r w:rsidRPr="00AC43F6">
        <w:rPr>
          <w:rFonts w:ascii="Arial" w:hAnsi="Arial" w:cs="Arial"/>
          <w:i/>
          <w:iCs/>
          <w:color w:val="000000" w:themeColor="text1"/>
        </w:rPr>
        <w:t>In</w:t>
      </w:r>
      <w:proofErr w:type="gramEnd"/>
      <w:r w:rsidRPr="00AC43F6">
        <w:rPr>
          <w:rFonts w:ascii="Arial" w:hAnsi="Arial" w:cs="Arial"/>
          <w:i/>
          <w:iCs/>
          <w:color w:val="000000" w:themeColor="text1"/>
        </w:rPr>
        <w:t xml:space="preserve"> Early </w:t>
      </w:r>
      <w:proofErr w:type="spellStart"/>
      <w:r w:rsidRPr="00AC43F6">
        <w:rPr>
          <w:rFonts w:ascii="Arial" w:hAnsi="Arial" w:cs="Arial"/>
          <w:i/>
          <w:iCs/>
          <w:color w:val="000000" w:themeColor="text1"/>
        </w:rPr>
        <w:t>Chidhood</w:t>
      </w:r>
      <w:proofErr w:type="spellEnd"/>
      <w:r w:rsidRPr="00AC43F6">
        <w:rPr>
          <w:rFonts w:ascii="Arial" w:hAnsi="Arial" w:cs="Arial"/>
          <w:color w:val="000000" w:themeColor="text1"/>
          <w:shd w:val="clear" w:color="auto" w:fill="FFFFFF"/>
        </w:rPr>
        <w:t>. 2nd ed. London: Sage.</w:t>
      </w:r>
    </w:p>
    <w:p w14:paraId="35E1F501"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Myhill, D., Jones, S. and Hopper, R., 2006. </w:t>
      </w:r>
      <w:r w:rsidRPr="00AC43F6">
        <w:rPr>
          <w:rFonts w:ascii="Arial" w:hAnsi="Arial" w:cs="Arial"/>
          <w:i/>
          <w:iCs/>
          <w:color w:val="000000" w:themeColor="text1"/>
        </w:rPr>
        <w:t>Talking, Listening, Learning</w:t>
      </w:r>
      <w:r w:rsidRPr="00AC43F6">
        <w:rPr>
          <w:rFonts w:ascii="Arial" w:hAnsi="Arial" w:cs="Arial"/>
          <w:color w:val="000000" w:themeColor="text1"/>
          <w:shd w:val="clear" w:color="auto" w:fill="FFFFFF"/>
        </w:rPr>
        <w:t>. Maidenhead, Berkshire, England: Open University Press, p.44.</w:t>
      </w:r>
    </w:p>
    <w:p w14:paraId="3880E52E"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Rowe, M., 1986. Wait Time: Slowing Down May Be A Way of Speeding </w:t>
      </w:r>
      <w:proofErr w:type="gramStart"/>
      <w:r w:rsidRPr="00AC43F6">
        <w:rPr>
          <w:rFonts w:ascii="Arial" w:hAnsi="Arial" w:cs="Arial"/>
          <w:color w:val="000000" w:themeColor="text1"/>
          <w:shd w:val="clear" w:color="auto" w:fill="FFFFFF"/>
        </w:rPr>
        <w:t>Up!.</w:t>
      </w:r>
      <w:proofErr w:type="gramEnd"/>
      <w:r w:rsidRPr="00AC43F6">
        <w:rPr>
          <w:rFonts w:ascii="Arial" w:hAnsi="Arial" w:cs="Arial"/>
          <w:color w:val="000000" w:themeColor="text1"/>
          <w:shd w:val="clear" w:color="auto" w:fill="FFFFFF"/>
        </w:rPr>
        <w:t xml:space="preserve"> </w:t>
      </w:r>
      <w:r w:rsidRPr="00AC43F6">
        <w:rPr>
          <w:rFonts w:ascii="Arial" w:hAnsi="Arial" w:cs="Arial"/>
          <w:i/>
          <w:iCs/>
          <w:color w:val="000000" w:themeColor="text1"/>
        </w:rPr>
        <w:t>Journal of Teacher Education</w:t>
      </w:r>
      <w:r w:rsidRPr="00AC43F6">
        <w:rPr>
          <w:rFonts w:ascii="Arial" w:hAnsi="Arial" w:cs="Arial"/>
          <w:color w:val="000000" w:themeColor="text1"/>
          <w:shd w:val="clear" w:color="auto" w:fill="FFFFFF"/>
        </w:rPr>
        <w:t>, [online] 37(1), pp.43-50. Available at: &lt;https://www.scoe.org/blog_files/Budd%20Rowe.pdf&gt; [Accessed 20 March 2020].</w:t>
      </w:r>
    </w:p>
    <w:p w14:paraId="43E4E9EE" w14:textId="77777777" w:rsidR="00780955" w:rsidRPr="00AC43F6" w:rsidRDefault="00780955" w:rsidP="00780955">
      <w:pPr>
        <w:spacing w:line="360" w:lineRule="auto"/>
        <w:rPr>
          <w:rFonts w:ascii="Arial" w:hAnsi="Arial" w:cs="Arial"/>
          <w:color w:val="000000" w:themeColor="text1"/>
        </w:rPr>
      </w:pPr>
      <w:r w:rsidRPr="00AC43F6">
        <w:rPr>
          <w:rFonts w:ascii="Arial" w:hAnsi="Arial" w:cs="Arial"/>
          <w:color w:val="000000" w:themeColor="text1"/>
        </w:rPr>
        <w:t>Sadler, R. (1989). Formative assessment and the design of instructional systems. Instructional Science, 18, 119[ Accessed 8 Mar.2020]</w:t>
      </w:r>
    </w:p>
    <w:p w14:paraId="3FEF2F98"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state university, e., 2020. </w:t>
      </w:r>
      <w:r w:rsidRPr="00AC43F6">
        <w:rPr>
          <w:rFonts w:ascii="Arial" w:hAnsi="Arial" w:cs="Arial"/>
          <w:i/>
          <w:iCs/>
          <w:color w:val="000000" w:themeColor="text1"/>
        </w:rPr>
        <w:t xml:space="preserve">Classroom Observation - Purposes </w:t>
      </w:r>
      <w:proofErr w:type="gramStart"/>
      <w:r w:rsidRPr="00AC43F6">
        <w:rPr>
          <w:rFonts w:ascii="Arial" w:hAnsi="Arial" w:cs="Arial"/>
          <w:i/>
          <w:iCs/>
          <w:color w:val="000000" w:themeColor="text1"/>
        </w:rPr>
        <w:t>Of</w:t>
      </w:r>
      <w:proofErr w:type="gramEnd"/>
      <w:r w:rsidRPr="00AC43F6">
        <w:rPr>
          <w:rFonts w:ascii="Arial" w:hAnsi="Arial" w:cs="Arial"/>
          <w:i/>
          <w:iCs/>
          <w:color w:val="000000" w:themeColor="text1"/>
        </w:rPr>
        <w:t xml:space="preserve"> Classroom Observation, Limitations Of Classroom Observation, New Directions</w:t>
      </w:r>
      <w:r w:rsidRPr="00AC43F6">
        <w:rPr>
          <w:rFonts w:ascii="Arial" w:hAnsi="Arial" w:cs="Arial"/>
          <w:color w:val="000000" w:themeColor="text1"/>
          <w:shd w:val="clear" w:color="auto" w:fill="FFFFFF"/>
        </w:rPr>
        <w:t xml:space="preserve">. [online] Education.stateuniversity.com. Available at: </w:t>
      </w:r>
      <w:r w:rsidRPr="00AC43F6">
        <w:rPr>
          <w:rFonts w:ascii="Arial" w:hAnsi="Arial" w:cs="Arial"/>
          <w:color w:val="000000" w:themeColor="text1"/>
          <w:shd w:val="clear" w:color="auto" w:fill="FFFFFF"/>
        </w:rPr>
        <w:lastRenderedPageBreak/>
        <w:t>&lt;https://education.stateuniversity.com/pages/1835/Classroom-Observation.html&gt; [Accessed 10 March 2020].</w:t>
      </w:r>
    </w:p>
    <w:p w14:paraId="5601B5C8" w14:textId="77777777" w:rsidR="00780955" w:rsidRPr="00AC43F6" w:rsidRDefault="00780955" w:rsidP="00780955">
      <w:pPr>
        <w:spacing w:line="360" w:lineRule="auto"/>
        <w:rPr>
          <w:rFonts w:ascii="Arial" w:hAnsi="Arial" w:cs="Arial"/>
          <w:color w:val="000000" w:themeColor="text1"/>
          <w:shd w:val="clear" w:color="auto" w:fill="FCFCFC"/>
        </w:rPr>
      </w:pPr>
      <w:r w:rsidRPr="00AC43F6">
        <w:rPr>
          <w:rFonts w:ascii="Arial" w:hAnsi="Arial" w:cs="Arial"/>
          <w:color w:val="000000" w:themeColor="text1"/>
          <w:shd w:val="clear" w:color="auto" w:fill="FCFCFC"/>
        </w:rPr>
        <w:t xml:space="preserve">Stahl RJ (1994) Using “think-time” and “wait-time” </w:t>
      </w:r>
      <w:proofErr w:type="spellStart"/>
      <w:r w:rsidRPr="00AC43F6">
        <w:rPr>
          <w:rFonts w:ascii="Arial" w:hAnsi="Arial" w:cs="Arial"/>
          <w:color w:val="000000" w:themeColor="text1"/>
          <w:shd w:val="clear" w:color="auto" w:fill="FCFCFC"/>
        </w:rPr>
        <w:t>skillfully</w:t>
      </w:r>
      <w:proofErr w:type="spellEnd"/>
      <w:r w:rsidRPr="00AC43F6">
        <w:rPr>
          <w:rFonts w:ascii="Arial" w:hAnsi="Arial" w:cs="Arial"/>
          <w:color w:val="000000" w:themeColor="text1"/>
          <w:shd w:val="clear" w:color="auto" w:fill="FCFCFC"/>
        </w:rPr>
        <w:t xml:space="preserve"> in the classroom. ERIC digest. ERIC Clear Soc Stud Sci </w:t>
      </w:r>
      <w:proofErr w:type="spellStart"/>
      <w:r w:rsidRPr="00AC43F6">
        <w:rPr>
          <w:rFonts w:ascii="Arial" w:hAnsi="Arial" w:cs="Arial"/>
          <w:color w:val="000000" w:themeColor="text1"/>
          <w:shd w:val="clear" w:color="auto" w:fill="FCFCFC"/>
        </w:rPr>
        <w:t>Educ</w:t>
      </w:r>
      <w:proofErr w:type="spellEnd"/>
      <w:r w:rsidRPr="00AC43F6">
        <w:rPr>
          <w:rFonts w:ascii="Arial" w:hAnsi="Arial" w:cs="Arial"/>
          <w:color w:val="000000" w:themeColor="text1"/>
          <w:shd w:val="clear" w:color="auto" w:fill="FCFCFC"/>
        </w:rPr>
        <w:t>, pp 1–6</w:t>
      </w:r>
    </w:p>
    <w:p w14:paraId="1AA79226" w14:textId="77777777" w:rsidR="00780955" w:rsidRPr="00AC43F6" w:rsidRDefault="00780955" w:rsidP="00780955">
      <w:pPr>
        <w:spacing w:line="360" w:lineRule="auto"/>
        <w:rPr>
          <w:rFonts w:ascii="Arial" w:hAnsi="Arial" w:cs="Arial"/>
          <w:color w:val="000000" w:themeColor="text1"/>
          <w:shd w:val="clear" w:color="auto" w:fill="FFFFFF"/>
        </w:rPr>
      </w:pPr>
      <w:r w:rsidRPr="00AC43F6">
        <w:rPr>
          <w:rFonts w:ascii="Arial" w:hAnsi="Arial" w:cs="Arial"/>
          <w:color w:val="000000" w:themeColor="text1"/>
          <w:shd w:val="clear" w:color="auto" w:fill="FFFFFF"/>
        </w:rPr>
        <w:t xml:space="preserve">Wallace, I. and Leah Kirkman, L. (2014). </w:t>
      </w:r>
      <w:r w:rsidRPr="00AC43F6">
        <w:rPr>
          <w:rFonts w:ascii="Arial" w:hAnsi="Arial" w:cs="Arial"/>
          <w:i/>
          <w:iCs/>
          <w:color w:val="000000" w:themeColor="text1"/>
        </w:rPr>
        <w:t>Talk-less teaching</w:t>
      </w:r>
      <w:r w:rsidRPr="00AC43F6">
        <w:rPr>
          <w:rFonts w:ascii="Arial" w:hAnsi="Arial" w:cs="Arial"/>
          <w:color w:val="000000" w:themeColor="text1"/>
          <w:shd w:val="clear" w:color="auto" w:fill="FFFFFF"/>
        </w:rPr>
        <w:t>. Carmarthen: Crown House Publishing.</w:t>
      </w:r>
    </w:p>
    <w:p w14:paraId="299E8323" w14:textId="77777777" w:rsidR="00780955" w:rsidRPr="008D512B" w:rsidRDefault="00780955" w:rsidP="00780955">
      <w:pPr>
        <w:spacing w:line="360" w:lineRule="auto"/>
        <w:rPr>
          <w:rFonts w:ascii="Arial" w:hAnsi="Arial" w:cs="Arial"/>
        </w:rPr>
      </w:pPr>
    </w:p>
    <w:p w14:paraId="00B204FB" w14:textId="77777777" w:rsidR="002949AE" w:rsidRDefault="002949AE" w:rsidP="00542E1B">
      <w:pPr>
        <w:pStyle w:val="AssignBody"/>
      </w:pPr>
    </w:p>
    <w:p w14:paraId="4875CA81" w14:textId="5AD652CF" w:rsidR="002949AE" w:rsidRDefault="002949AE" w:rsidP="002949AE">
      <w:pPr>
        <w:pStyle w:val="AssignBody"/>
        <w:rPr>
          <w:rFonts w:cs="Arial"/>
        </w:rPr>
      </w:pPr>
    </w:p>
    <w:p w14:paraId="6B33B699" w14:textId="39F0FEE6" w:rsidR="00780955" w:rsidRDefault="00780955" w:rsidP="002949AE">
      <w:pPr>
        <w:pStyle w:val="AssignBody"/>
        <w:rPr>
          <w:rFonts w:cs="Arial"/>
        </w:rPr>
      </w:pPr>
    </w:p>
    <w:p w14:paraId="6D6F8602" w14:textId="6A74ED5D" w:rsidR="00780955" w:rsidRDefault="00780955" w:rsidP="002949AE">
      <w:pPr>
        <w:pStyle w:val="AssignBody"/>
        <w:rPr>
          <w:rFonts w:cs="Arial"/>
        </w:rPr>
      </w:pPr>
    </w:p>
    <w:p w14:paraId="22C305B1" w14:textId="2EBE2946" w:rsidR="00780955" w:rsidRDefault="00780955" w:rsidP="002949AE">
      <w:pPr>
        <w:pStyle w:val="AssignBody"/>
        <w:rPr>
          <w:rFonts w:cs="Arial"/>
        </w:rPr>
      </w:pPr>
    </w:p>
    <w:p w14:paraId="50423154" w14:textId="166B479F" w:rsidR="00780955" w:rsidRDefault="00780955" w:rsidP="002949AE">
      <w:pPr>
        <w:pStyle w:val="AssignBody"/>
        <w:rPr>
          <w:rFonts w:cs="Arial"/>
        </w:rPr>
      </w:pPr>
    </w:p>
    <w:p w14:paraId="2CA76C04" w14:textId="2DE79358" w:rsidR="00780955" w:rsidRDefault="00780955" w:rsidP="002949AE">
      <w:pPr>
        <w:pStyle w:val="AssignBody"/>
        <w:rPr>
          <w:rFonts w:cs="Arial"/>
        </w:rPr>
      </w:pPr>
    </w:p>
    <w:p w14:paraId="280C7229" w14:textId="0084448C" w:rsidR="00780955" w:rsidRDefault="00780955" w:rsidP="002949AE">
      <w:pPr>
        <w:pStyle w:val="AssignBody"/>
        <w:rPr>
          <w:rFonts w:cs="Arial"/>
        </w:rPr>
      </w:pPr>
    </w:p>
    <w:p w14:paraId="6D46646E" w14:textId="4087CB4B" w:rsidR="00780955" w:rsidRDefault="00780955" w:rsidP="002949AE">
      <w:pPr>
        <w:pStyle w:val="AssignBody"/>
        <w:rPr>
          <w:rFonts w:cs="Arial"/>
        </w:rPr>
      </w:pPr>
    </w:p>
    <w:p w14:paraId="348EE0E0" w14:textId="6855C90A" w:rsidR="00780955" w:rsidRDefault="00780955" w:rsidP="002949AE">
      <w:pPr>
        <w:pStyle w:val="AssignBody"/>
        <w:rPr>
          <w:rFonts w:cs="Arial"/>
        </w:rPr>
      </w:pPr>
    </w:p>
    <w:p w14:paraId="3E0E7267" w14:textId="4B47B73A" w:rsidR="00780955" w:rsidRDefault="00780955" w:rsidP="002949AE">
      <w:pPr>
        <w:pStyle w:val="AssignBody"/>
        <w:rPr>
          <w:rFonts w:cs="Arial"/>
        </w:rPr>
      </w:pPr>
    </w:p>
    <w:p w14:paraId="194D15CC" w14:textId="3D49F1E6" w:rsidR="00780955" w:rsidRDefault="00780955" w:rsidP="002949AE">
      <w:pPr>
        <w:pStyle w:val="AssignBody"/>
        <w:rPr>
          <w:rFonts w:cs="Arial"/>
        </w:rPr>
      </w:pPr>
    </w:p>
    <w:p w14:paraId="58D1E6A2" w14:textId="0789CC24" w:rsidR="00780955" w:rsidRDefault="00780955" w:rsidP="002949AE">
      <w:pPr>
        <w:pStyle w:val="AssignBody"/>
        <w:rPr>
          <w:rFonts w:cs="Arial"/>
        </w:rPr>
      </w:pPr>
    </w:p>
    <w:p w14:paraId="4C693B26" w14:textId="7C0EF1E0" w:rsidR="00780955" w:rsidRDefault="00780955" w:rsidP="002949AE">
      <w:pPr>
        <w:pStyle w:val="AssignBody"/>
        <w:rPr>
          <w:rFonts w:cs="Arial"/>
        </w:rPr>
      </w:pPr>
    </w:p>
    <w:p w14:paraId="64620CBE" w14:textId="208FC44B" w:rsidR="00780955" w:rsidRDefault="00780955" w:rsidP="002949AE">
      <w:pPr>
        <w:pStyle w:val="AssignBody"/>
        <w:rPr>
          <w:rFonts w:cs="Arial"/>
        </w:rPr>
      </w:pPr>
    </w:p>
    <w:p w14:paraId="466A40F8" w14:textId="754B4E1F" w:rsidR="00780955" w:rsidRDefault="00780955" w:rsidP="002949AE">
      <w:pPr>
        <w:pStyle w:val="AssignBody"/>
        <w:rPr>
          <w:rFonts w:cs="Arial"/>
        </w:rPr>
      </w:pPr>
    </w:p>
    <w:p w14:paraId="6500E7E8" w14:textId="77777777" w:rsidR="00780955" w:rsidRPr="002949AE" w:rsidRDefault="00780955" w:rsidP="002949AE">
      <w:pPr>
        <w:pStyle w:val="AssignBody"/>
        <w:rPr>
          <w:rFonts w:cs="Arial"/>
        </w:rPr>
      </w:pPr>
    </w:p>
    <w:sectPr w:rsidR="00780955" w:rsidRPr="002949A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B1883" w14:textId="77777777" w:rsidR="007D1065" w:rsidRDefault="007D1065" w:rsidP="00E611D9">
      <w:pPr>
        <w:spacing w:after="0" w:line="240" w:lineRule="auto"/>
      </w:pPr>
      <w:r>
        <w:separator/>
      </w:r>
    </w:p>
  </w:endnote>
  <w:endnote w:type="continuationSeparator" w:id="0">
    <w:p w14:paraId="1002FB08" w14:textId="77777777" w:rsidR="007D1065" w:rsidRDefault="007D106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96C0C" w14:textId="77777777" w:rsidR="007D1065" w:rsidRDefault="007D1065" w:rsidP="00E611D9">
      <w:pPr>
        <w:spacing w:after="0" w:line="240" w:lineRule="auto"/>
      </w:pPr>
      <w:r>
        <w:separator/>
      </w:r>
    </w:p>
  </w:footnote>
  <w:footnote w:type="continuationSeparator" w:id="0">
    <w:p w14:paraId="5E865414" w14:textId="77777777" w:rsidR="007D1065" w:rsidRDefault="007D106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F694D3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80955">
            <w:rPr>
              <w:rFonts w:ascii="Arial" w:hAnsi="Arial" w:cs="Arial"/>
            </w:rPr>
            <w:t>5010</w:t>
          </w:r>
        </w:p>
      </w:tc>
      <w:tc>
        <w:tcPr>
          <w:tcW w:w="4508" w:type="dxa"/>
        </w:tcPr>
        <w:p w14:paraId="51D506A0" w14:textId="55ADED9B"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80955">
            <w:rPr>
              <w:rFonts w:ascii="Arial" w:hAnsi="Arial" w:cs="Arial"/>
            </w:rPr>
            <w:t>1802730</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85F55"/>
    <w:rsid w:val="002229F0"/>
    <w:rsid w:val="002949AE"/>
    <w:rsid w:val="00432697"/>
    <w:rsid w:val="004F11A8"/>
    <w:rsid w:val="00542E1B"/>
    <w:rsid w:val="006419C3"/>
    <w:rsid w:val="00642D64"/>
    <w:rsid w:val="00691A46"/>
    <w:rsid w:val="006B5861"/>
    <w:rsid w:val="00780955"/>
    <w:rsid w:val="007D1065"/>
    <w:rsid w:val="007F58BC"/>
    <w:rsid w:val="00817F7A"/>
    <w:rsid w:val="00975BC6"/>
    <w:rsid w:val="00BC651E"/>
    <w:rsid w:val="00C02B64"/>
    <w:rsid w:val="00C30F65"/>
    <w:rsid w:val="00C75412"/>
    <w:rsid w:val="00CB4BAF"/>
    <w:rsid w:val="00CD1240"/>
    <w:rsid w:val="00E611D9"/>
    <w:rsid w:val="00FB2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9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780955"/>
  </w:style>
  <w:style w:type="character" w:styleId="Hyperlink">
    <w:name w:val="Hyperlink"/>
    <w:basedOn w:val="DefaultParagraphFont"/>
    <w:uiPriority w:val="99"/>
    <w:semiHidden/>
    <w:unhideWhenUsed/>
    <w:rsid w:val="007809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simplypsychology.org/vygotsky.html%5bAccessed" TargetMode="External"/><Relationship Id="rId4" Type="http://schemas.openxmlformats.org/officeDocument/2006/relationships/styles" Target="style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4542</Words>
  <Characters>25893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Alisha Hobby (1802730)</cp:lastModifiedBy>
  <cp:revision>3</cp:revision>
  <dcterms:created xsi:type="dcterms:W3CDTF">2020-03-25T23:05:00Z</dcterms:created>
  <dcterms:modified xsi:type="dcterms:W3CDTF">2020-03-26T11:29:00Z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