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97A02" w14:textId="1B855DDF" w:rsidR="00350882" w:rsidRPr="009257FA" w:rsidRDefault="009257FA" w:rsidP="004D0D9B">
      <w:pPr>
        <w:spacing w:line="360" w:lineRule="auto"/>
        <w:jc w:val="center"/>
        <w:rPr>
          <w:sz w:val="28"/>
          <w:szCs w:val="28"/>
          <w:u w:val="single"/>
        </w:rPr>
      </w:pPr>
      <w:r w:rsidRPr="009257FA">
        <w:rPr>
          <w:sz w:val="28"/>
          <w:szCs w:val="28"/>
          <w:u w:val="single"/>
        </w:rPr>
        <w:t>Difficult Heritage – 3,000 Word Portfolio – Stonehenge</w:t>
      </w:r>
    </w:p>
    <w:p w14:paraId="416DA7E7" w14:textId="78093A95" w:rsidR="00C13BE0" w:rsidRPr="004D0D9B" w:rsidRDefault="00C979CD" w:rsidP="004D0D9B">
      <w:pPr>
        <w:spacing w:line="360" w:lineRule="auto"/>
        <w:rPr>
          <w:rFonts w:cstheme="minorHAnsi"/>
        </w:rPr>
      </w:pPr>
      <w:r w:rsidRPr="004D0D9B">
        <w:rPr>
          <w:rFonts w:cstheme="minorHAnsi"/>
        </w:rPr>
        <w:t xml:space="preserve">For this portfolio assessment I have chosen to examine the monument of Stonehenge. </w:t>
      </w:r>
      <w:r w:rsidR="00651644" w:rsidRPr="004D0D9B">
        <w:rPr>
          <w:rFonts w:cstheme="minorHAnsi"/>
        </w:rPr>
        <w:t xml:space="preserve">In this portfolio, I will examine the historical context of Stonehenge, why it is significant both as a physical monument and as a social symbol, and why it continues to create schisms of viewpoints within its observers. I will also explore how these differences can be mitigated and how Stonehenge as a monument can be changed and adapted to lessen ill feelings within the communities it resonates with. </w:t>
      </w:r>
    </w:p>
    <w:p w14:paraId="15196343" w14:textId="77777777" w:rsidR="00C13BE0" w:rsidRPr="004D0D9B" w:rsidRDefault="00C13BE0" w:rsidP="004D0D9B">
      <w:pPr>
        <w:spacing w:line="360" w:lineRule="auto"/>
        <w:rPr>
          <w:rFonts w:cstheme="minorHAnsi"/>
        </w:rPr>
      </w:pPr>
    </w:p>
    <w:p w14:paraId="191957DB" w14:textId="29B9F8C3" w:rsidR="00517470" w:rsidRPr="004D0D9B" w:rsidRDefault="00C13BE0" w:rsidP="004D0D9B">
      <w:pPr>
        <w:spacing w:line="360" w:lineRule="auto"/>
        <w:rPr>
          <w:rFonts w:cstheme="minorHAnsi"/>
        </w:rPr>
      </w:pPr>
      <w:r w:rsidRPr="004D0D9B">
        <w:rPr>
          <w:rFonts w:cstheme="minorHAnsi"/>
        </w:rPr>
        <w:t>Stonehenge is a Late-Neolithic to Early Bronze age monument that stands in Wiltshire, on the Salisbury Plains. It is theorised to have been constructed between 3000 BCE and 1500 BCE</w:t>
      </w:r>
      <w:r w:rsidR="00517470" w:rsidRPr="004D0D9B">
        <w:rPr>
          <w:rFonts w:cstheme="minorHAnsi"/>
        </w:rPr>
        <w:t>, in a series of five stages.</w:t>
      </w:r>
      <w:r w:rsidR="00517470" w:rsidRPr="004D0D9B">
        <w:rPr>
          <w:rStyle w:val="FootnoteReference"/>
          <w:rFonts w:cstheme="minorHAnsi"/>
        </w:rPr>
        <w:footnoteReference w:id="1"/>
      </w:r>
      <w:r w:rsidR="00517470" w:rsidRPr="004D0D9B">
        <w:rPr>
          <w:rFonts w:cstheme="minorHAnsi"/>
        </w:rPr>
        <w:t xml:space="preserve"> </w:t>
      </w:r>
      <w:r w:rsidR="002D506C" w:rsidRPr="004D0D9B">
        <w:rPr>
          <w:rFonts w:cstheme="minorHAnsi"/>
        </w:rPr>
        <w:t>It was first assigned a caretaker in the mid-19</w:t>
      </w:r>
      <w:r w:rsidR="002D506C" w:rsidRPr="004D0D9B">
        <w:rPr>
          <w:rFonts w:cstheme="minorHAnsi"/>
          <w:vertAlign w:val="superscript"/>
        </w:rPr>
        <w:t>th</w:t>
      </w:r>
      <w:r w:rsidR="002D506C" w:rsidRPr="004D0D9B">
        <w:rPr>
          <w:rFonts w:cstheme="minorHAnsi"/>
        </w:rPr>
        <w:t xml:space="preserve"> century, and has been under the care of government organisations, such as the National trust, since the 1920s.</w:t>
      </w:r>
      <w:r w:rsidR="002D506C" w:rsidRPr="004D0D9B">
        <w:rPr>
          <w:rStyle w:val="FootnoteReference"/>
          <w:rFonts w:cstheme="minorHAnsi"/>
        </w:rPr>
        <w:footnoteReference w:id="2"/>
      </w:r>
      <w:r w:rsidR="002D506C" w:rsidRPr="004D0D9B">
        <w:rPr>
          <w:rFonts w:cstheme="minorHAnsi"/>
        </w:rPr>
        <w:t xml:space="preserve"> Today it represents an integral part of British heritage and culture. </w:t>
      </w:r>
    </w:p>
    <w:p w14:paraId="2F8DC023" w14:textId="77777777" w:rsidR="00C13BE0" w:rsidRPr="004D0D9B" w:rsidRDefault="00C13BE0" w:rsidP="004D0D9B">
      <w:pPr>
        <w:spacing w:line="360" w:lineRule="auto"/>
        <w:rPr>
          <w:rFonts w:cstheme="minorHAnsi"/>
        </w:rPr>
      </w:pPr>
    </w:p>
    <w:p w14:paraId="43691858" w14:textId="034A1116" w:rsidR="009257FA" w:rsidRPr="004D0D9B" w:rsidRDefault="00445C6B" w:rsidP="004D0D9B">
      <w:pPr>
        <w:spacing w:line="360" w:lineRule="auto"/>
        <w:rPr>
          <w:rFonts w:cstheme="minorHAnsi"/>
          <w:b/>
          <w:bCs/>
        </w:rPr>
      </w:pPr>
      <w:r w:rsidRPr="004D0D9B">
        <w:rPr>
          <w:rFonts w:cstheme="minorHAnsi"/>
          <w:b/>
          <w:bCs/>
        </w:rPr>
        <w:t xml:space="preserve">The </w:t>
      </w:r>
      <w:r w:rsidR="009257FA" w:rsidRPr="004D0D9B">
        <w:rPr>
          <w:rFonts w:cstheme="minorHAnsi"/>
          <w:b/>
          <w:bCs/>
        </w:rPr>
        <w:t xml:space="preserve">Historical Context </w:t>
      </w:r>
      <w:r w:rsidRPr="004D0D9B">
        <w:rPr>
          <w:rFonts w:cstheme="minorHAnsi"/>
          <w:b/>
          <w:bCs/>
        </w:rPr>
        <w:t xml:space="preserve">of Stonehenge </w:t>
      </w:r>
    </w:p>
    <w:p w14:paraId="5313F464" w14:textId="03ACFCF8" w:rsidR="00840152" w:rsidRPr="004D0D9B" w:rsidRDefault="00651644" w:rsidP="004D0D9B">
      <w:pPr>
        <w:spacing w:line="360" w:lineRule="auto"/>
        <w:rPr>
          <w:rFonts w:cstheme="minorHAnsi"/>
          <w:bCs/>
        </w:rPr>
      </w:pPr>
      <w:r w:rsidRPr="004D0D9B">
        <w:rPr>
          <w:rFonts w:cstheme="minorHAnsi"/>
        </w:rPr>
        <w:t xml:space="preserve">Throughout its documented lifetime, Stonehenge has been a monument of great significance to the British population. </w:t>
      </w:r>
      <w:r w:rsidR="00ED2A34" w:rsidRPr="004D0D9B">
        <w:rPr>
          <w:rFonts w:cstheme="minorHAnsi"/>
        </w:rPr>
        <w:t>The circle of stones was constructed between roughly 3000</w:t>
      </w:r>
      <w:r w:rsidR="00ED2A34" w:rsidRPr="004D0D9B">
        <w:rPr>
          <w:rFonts w:cstheme="minorHAnsi"/>
          <w:bCs/>
        </w:rPr>
        <w:t xml:space="preserve">BC – 1500BC, </w:t>
      </w:r>
      <w:r w:rsidR="00840152" w:rsidRPr="004D0D9B">
        <w:rPr>
          <w:rFonts w:cstheme="minorHAnsi"/>
          <w:bCs/>
        </w:rPr>
        <w:t xml:space="preserve">and I believed to have been constructed in 5 stages. </w:t>
      </w:r>
      <w:r w:rsidR="00CA7738" w:rsidRPr="004D0D9B">
        <w:rPr>
          <w:rFonts w:cstheme="minorHAnsi"/>
          <w:bCs/>
        </w:rPr>
        <w:t xml:space="preserve">While a 5 stage periodisation of the construction of Stonehenge was proposed by Richard Atkinson in 1979, there have since been further investigations into this idea of 5 stages. In 1995, a </w:t>
      </w:r>
      <w:r w:rsidR="0002395C" w:rsidRPr="004D0D9B">
        <w:rPr>
          <w:rFonts w:cstheme="minorHAnsi"/>
          <w:bCs/>
        </w:rPr>
        <w:t>new phasing structure was proposed by Ros Cleal and colleagues.</w:t>
      </w:r>
      <w:r w:rsidR="0002395C" w:rsidRPr="004D0D9B">
        <w:rPr>
          <w:rStyle w:val="FootnoteReference"/>
          <w:rFonts w:cstheme="minorHAnsi"/>
          <w:bCs/>
        </w:rPr>
        <w:footnoteReference w:id="3"/>
      </w:r>
      <w:r w:rsidR="0002395C" w:rsidRPr="004D0D9B">
        <w:rPr>
          <w:rFonts w:cstheme="minorHAnsi"/>
          <w:bCs/>
        </w:rPr>
        <w:t xml:space="preserve"> </w:t>
      </w:r>
      <w:r w:rsidR="00CA7738" w:rsidRPr="004D0D9B">
        <w:rPr>
          <w:rFonts w:cstheme="minorHAnsi"/>
          <w:bCs/>
        </w:rPr>
        <w:t xml:space="preserve">‘Stonehenge remodelled’, a paper by Timothy Darvill, Peter Marshall, Mike Parker Pearson, and Geoff Wainwright, proposes a new 5 stage construction of the Stonehenge site. </w:t>
      </w:r>
      <w:r w:rsidR="0002395C" w:rsidRPr="004D0D9B">
        <w:rPr>
          <w:rFonts w:cstheme="minorHAnsi"/>
          <w:bCs/>
        </w:rPr>
        <w:t xml:space="preserve">This consists of: </w:t>
      </w:r>
    </w:p>
    <w:p w14:paraId="1E716022" w14:textId="7E81A801" w:rsidR="0002395C" w:rsidRPr="004D0D9B" w:rsidRDefault="0002395C" w:rsidP="004D0D9B">
      <w:pPr>
        <w:spacing w:line="360" w:lineRule="auto"/>
        <w:rPr>
          <w:rFonts w:cstheme="minorHAnsi"/>
          <w:bCs/>
        </w:rPr>
      </w:pPr>
    </w:p>
    <w:p w14:paraId="4F171C48" w14:textId="082B0F66" w:rsidR="0002395C" w:rsidRPr="004D0D9B" w:rsidRDefault="0002395C" w:rsidP="004D0D9B">
      <w:pPr>
        <w:spacing w:line="360" w:lineRule="auto"/>
        <w:rPr>
          <w:rFonts w:cstheme="minorHAnsi"/>
          <w:bCs/>
        </w:rPr>
      </w:pPr>
      <w:r w:rsidRPr="004D0D9B">
        <w:rPr>
          <w:rFonts w:cstheme="minorHAnsi"/>
          <w:bCs/>
        </w:rPr>
        <w:t xml:space="preserve">Stage I (3000 – 2620 BCE) – </w:t>
      </w:r>
    </w:p>
    <w:p w14:paraId="47C7832E" w14:textId="62C4A025" w:rsidR="00E57335" w:rsidRPr="004D0D9B" w:rsidRDefault="0002395C" w:rsidP="004D0D9B">
      <w:pPr>
        <w:spacing w:line="360" w:lineRule="auto"/>
        <w:rPr>
          <w:rFonts w:cstheme="minorHAnsi"/>
          <w:bCs/>
        </w:rPr>
      </w:pPr>
      <w:r w:rsidRPr="004D0D9B">
        <w:rPr>
          <w:rFonts w:cstheme="minorHAnsi"/>
          <w:bCs/>
        </w:rPr>
        <w:t xml:space="preserve">Construction of a circular bank </w:t>
      </w:r>
      <w:r w:rsidR="003E596E" w:rsidRPr="004D0D9B">
        <w:rPr>
          <w:rFonts w:cstheme="minorHAnsi"/>
          <w:bCs/>
        </w:rPr>
        <w:t>and external ditch, 110 metres in diameter, which was entered from the north east</w:t>
      </w:r>
      <w:r w:rsidR="00717609" w:rsidRPr="004D0D9B">
        <w:rPr>
          <w:rFonts w:cstheme="minorHAnsi"/>
          <w:bCs/>
        </w:rPr>
        <w:t xml:space="preserve">, with a smaller entrance to the south. Within this enclosure was the building of 56 Aubrey holes, which are associated both with holding standing stones but also with the cremation of </w:t>
      </w:r>
      <w:r w:rsidR="00717609" w:rsidRPr="004D0D9B">
        <w:rPr>
          <w:rFonts w:cstheme="minorHAnsi"/>
          <w:bCs/>
        </w:rPr>
        <w:lastRenderedPageBreak/>
        <w:t xml:space="preserve">human remains. </w:t>
      </w:r>
      <w:r w:rsidR="00856540" w:rsidRPr="004D0D9B">
        <w:rPr>
          <w:rFonts w:cstheme="minorHAnsi"/>
          <w:bCs/>
        </w:rPr>
        <w:t>The remains in Aubrey Hole 32 have an 86% probability of being earlier than the digging of the external ditch.</w:t>
      </w:r>
      <w:r w:rsidR="00856540" w:rsidRPr="004D0D9B">
        <w:rPr>
          <w:rStyle w:val="FootnoteReference"/>
          <w:rFonts w:cstheme="minorHAnsi"/>
          <w:bCs/>
        </w:rPr>
        <w:footnoteReference w:id="4"/>
      </w:r>
      <w:r w:rsidR="00856540" w:rsidRPr="004D0D9B">
        <w:rPr>
          <w:rFonts w:cstheme="minorHAnsi"/>
          <w:bCs/>
        </w:rPr>
        <w:t xml:space="preserve"> </w:t>
      </w:r>
      <w:r w:rsidR="0074557F" w:rsidRPr="004D0D9B">
        <w:rPr>
          <w:rFonts w:cstheme="minorHAnsi"/>
          <w:bCs/>
        </w:rPr>
        <w:t xml:space="preserve">This means that the holes were most likely dug around the same time or slightly before the ditch was dug.  </w:t>
      </w:r>
    </w:p>
    <w:p w14:paraId="43CAC2A9" w14:textId="0EC7564B" w:rsidR="00E57335" w:rsidRPr="004D0D9B" w:rsidRDefault="00E57335" w:rsidP="004D0D9B">
      <w:pPr>
        <w:spacing w:line="360" w:lineRule="auto"/>
        <w:rPr>
          <w:rFonts w:cstheme="minorHAnsi"/>
          <w:bCs/>
        </w:rPr>
      </w:pPr>
      <w:r w:rsidRPr="004D0D9B">
        <w:rPr>
          <w:rFonts w:cstheme="minorHAnsi"/>
          <w:bCs/>
        </w:rPr>
        <w:t xml:space="preserve">Some of the pits, postholes, and stake holes, used to hold timber constructions within the bank, also belong to Stage 1, and many of these pre-dates some of the set stones. These consist of 5 groups of postholes, though many may have existed in other areas and have been destroyed over the years, or have yet to be excavated. </w:t>
      </w:r>
    </w:p>
    <w:p w14:paraId="447C335A" w14:textId="09E2149B" w:rsidR="00E57335" w:rsidRPr="004D0D9B" w:rsidRDefault="00E57335" w:rsidP="004D0D9B">
      <w:pPr>
        <w:spacing w:line="360" w:lineRule="auto"/>
        <w:rPr>
          <w:rFonts w:cstheme="minorHAnsi"/>
          <w:bCs/>
        </w:rPr>
      </w:pPr>
      <w:r w:rsidRPr="004D0D9B">
        <w:rPr>
          <w:rFonts w:cstheme="minorHAnsi"/>
          <w:bCs/>
        </w:rPr>
        <w:t xml:space="preserve">This stage spans four centuries, in which a great deal was moved around and changed. Not all the structural elements here existed at the same time. All of the timber structures, for example, would have been short-lived. Cremations started to be inserted into some of the Aubrey holes, following removal of stones or posts. </w:t>
      </w:r>
    </w:p>
    <w:p w14:paraId="29DC66C7" w14:textId="075FA3E2" w:rsidR="00E57335" w:rsidRPr="004D0D9B" w:rsidRDefault="00E57335" w:rsidP="004D0D9B">
      <w:pPr>
        <w:spacing w:line="360" w:lineRule="auto"/>
        <w:rPr>
          <w:rFonts w:cstheme="minorHAnsi"/>
          <w:bCs/>
        </w:rPr>
      </w:pPr>
    </w:p>
    <w:p w14:paraId="7B1EC26E" w14:textId="10213A31" w:rsidR="00E57335" w:rsidRPr="004D0D9B" w:rsidRDefault="00E57335" w:rsidP="004D0D9B">
      <w:pPr>
        <w:spacing w:line="360" w:lineRule="auto"/>
        <w:rPr>
          <w:rFonts w:cstheme="minorHAnsi"/>
          <w:bCs/>
        </w:rPr>
      </w:pPr>
      <w:r w:rsidRPr="004D0D9B">
        <w:rPr>
          <w:rFonts w:cstheme="minorHAnsi"/>
          <w:bCs/>
        </w:rPr>
        <w:t xml:space="preserve">Stage 2 (2620 – 2480 BCE) – </w:t>
      </w:r>
    </w:p>
    <w:p w14:paraId="6C323176" w14:textId="09583B0F" w:rsidR="00E57335" w:rsidRPr="004D0D9B" w:rsidRDefault="00E57335" w:rsidP="004D0D9B">
      <w:pPr>
        <w:spacing w:line="360" w:lineRule="auto"/>
        <w:rPr>
          <w:rFonts w:cstheme="minorHAnsi"/>
          <w:bCs/>
        </w:rPr>
      </w:pPr>
      <w:r w:rsidRPr="004D0D9B">
        <w:rPr>
          <w:rFonts w:cstheme="minorHAnsi"/>
          <w:bCs/>
        </w:rPr>
        <w:t xml:space="preserve">This was a much shorter stage, but the most significant in the history of Stonehenge’s construction. The construction of the earliest stone structure in the centre of the site, </w:t>
      </w:r>
      <w:r w:rsidR="00DC76A8" w:rsidRPr="004D0D9B">
        <w:rPr>
          <w:rFonts w:cstheme="minorHAnsi"/>
          <w:bCs/>
        </w:rPr>
        <w:t xml:space="preserve">which was five ‘trilithons’, a pair of upright sarsen stones joined at the top by a ‘lintel’ stone. </w:t>
      </w:r>
      <w:r w:rsidR="003E3692" w:rsidRPr="004D0D9B">
        <w:rPr>
          <w:rFonts w:cstheme="minorHAnsi"/>
          <w:bCs/>
        </w:rPr>
        <w:t xml:space="preserve">These five trilithons were arranged in a horseshoe formation, which opens onto the north-east, and is referred to as the ‘trilithon horseshoe’. The axis of this horseshoe faces the midsummer rising sun to the north-east, and the midwinter setting sun to the south-west. </w:t>
      </w:r>
      <w:r w:rsidR="00E22584" w:rsidRPr="004D0D9B">
        <w:rPr>
          <w:rFonts w:cstheme="minorHAnsi"/>
          <w:bCs/>
        </w:rPr>
        <w:t xml:space="preserve">Although the midsummer sun attracts more attention in the modern day, Stonehenge was most likely orientated to the midwinter solstice. </w:t>
      </w:r>
    </w:p>
    <w:p w14:paraId="18DE6FCA" w14:textId="24983FD3" w:rsidR="00884991" w:rsidRPr="004D0D9B" w:rsidRDefault="00884991" w:rsidP="004D0D9B">
      <w:pPr>
        <w:spacing w:line="360" w:lineRule="auto"/>
        <w:rPr>
          <w:rFonts w:cstheme="minorHAnsi"/>
          <w:bCs/>
        </w:rPr>
      </w:pPr>
      <w:r w:rsidRPr="004D0D9B">
        <w:rPr>
          <w:rFonts w:cstheme="minorHAnsi"/>
          <w:bCs/>
        </w:rPr>
        <w:t xml:space="preserve">Outside this horseshoe, the ‘double bluestone circle’ was constructed. This shares the axis of the horseshoe, and has an entrance on the north-eastern side of the circle. </w:t>
      </w:r>
      <w:r w:rsidR="00E032C7" w:rsidRPr="004D0D9B">
        <w:rPr>
          <w:rFonts w:cstheme="minorHAnsi"/>
          <w:bCs/>
        </w:rPr>
        <w:t xml:space="preserve">It is assumed that the stones used for this circle were reused in Stage 4 to form the oval and the outer bluestone circle. This could explain why some of the stones in this circle have holes or joints, and were therefore formerly lintels. </w:t>
      </w:r>
    </w:p>
    <w:p w14:paraId="194BECB4" w14:textId="47EE0DAB" w:rsidR="00F9555A" w:rsidRPr="004D0D9B" w:rsidRDefault="00E032C7" w:rsidP="004D0D9B">
      <w:pPr>
        <w:spacing w:line="360" w:lineRule="auto"/>
        <w:rPr>
          <w:rFonts w:cstheme="minorHAnsi"/>
          <w:bCs/>
        </w:rPr>
      </w:pPr>
      <w:r w:rsidRPr="004D0D9B">
        <w:rPr>
          <w:rFonts w:cstheme="minorHAnsi"/>
          <w:bCs/>
        </w:rPr>
        <w:t xml:space="preserve">Outside the double bluestone circle was the sarsen circle, originally comprised of 30 sarsen stones which were linked at the top with a further 30 lintels. </w:t>
      </w:r>
      <w:r w:rsidR="005A6E99" w:rsidRPr="004D0D9B">
        <w:rPr>
          <w:rFonts w:cstheme="minorHAnsi"/>
          <w:bCs/>
        </w:rPr>
        <w:t xml:space="preserve">The construction of this has been acknowledged as extraordinary, employing techniques usually used in the construction of timber buildings. </w:t>
      </w:r>
      <w:r w:rsidR="00C91104" w:rsidRPr="004D0D9B">
        <w:rPr>
          <w:rFonts w:cstheme="minorHAnsi"/>
          <w:bCs/>
        </w:rPr>
        <w:t xml:space="preserve">Five of the upright stones are missing, leading to the assumption that this sarsen circle was never completed, but is more likely that they were just stolen, since there is evidence for their </w:t>
      </w:r>
      <w:r w:rsidR="00C91104" w:rsidRPr="004D0D9B">
        <w:rPr>
          <w:rFonts w:cstheme="minorHAnsi"/>
          <w:bCs/>
        </w:rPr>
        <w:lastRenderedPageBreak/>
        <w:t xml:space="preserve">sockets. It is likely that the sarsen circle was built after the horseshoe, as that would be more practical. </w:t>
      </w:r>
      <w:r w:rsidR="00F9555A" w:rsidRPr="004D0D9B">
        <w:rPr>
          <w:rFonts w:cstheme="minorHAnsi"/>
          <w:bCs/>
        </w:rPr>
        <w:t xml:space="preserve">Whether they were built in quick succession or far apart is still up for debate, however. </w:t>
      </w:r>
    </w:p>
    <w:p w14:paraId="128F39DB" w14:textId="3E35D186" w:rsidR="00F9555A" w:rsidRPr="004D0D9B" w:rsidRDefault="00F9555A" w:rsidP="004D0D9B">
      <w:pPr>
        <w:spacing w:line="360" w:lineRule="auto"/>
        <w:rPr>
          <w:rFonts w:cstheme="minorHAnsi"/>
          <w:bCs/>
        </w:rPr>
      </w:pPr>
      <w:r w:rsidRPr="004D0D9B">
        <w:rPr>
          <w:rFonts w:cstheme="minorHAnsi"/>
          <w:bCs/>
        </w:rPr>
        <w:t xml:space="preserve">Other components attributed to Stage 2 include the four ‘Station stones’, which were built inside the enclosure to form a rectangle. Of these four stones, only two remain. </w:t>
      </w:r>
      <w:r w:rsidR="0087264B" w:rsidRPr="004D0D9B">
        <w:rPr>
          <w:rFonts w:cstheme="minorHAnsi"/>
          <w:bCs/>
        </w:rPr>
        <w:t xml:space="preserve">Their axis is the same as the sarsen circle, double bluestone circle, and the trilithon horseshoe. However, they are also aligned on the major southern moonrise (full in summer) and the major northern moonset (full in winter). </w:t>
      </w:r>
    </w:p>
    <w:p w14:paraId="31B3CAD0" w14:textId="5535696B" w:rsidR="00AC4928" w:rsidRPr="004D0D9B" w:rsidRDefault="00AC4928" w:rsidP="004D0D9B">
      <w:pPr>
        <w:spacing w:line="360" w:lineRule="auto"/>
        <w:rPr>
          <w:rFonts w:cstheme="minorHAnsi"/>
          <w:bCs/>
        </w:rPr>
      </w:pPr>
      <w:r w:rsidRPr="004D0D9B">
        <w:rPr>
          <w:rFonts w:cstheme="minorHAnsi"/>
          <w:bCs/>
        </w:rPr>
        <w:t xml:space="preserve">Stage 2 is associated with the construction and use of Woodhenge, another local monument, and its surrounding timber circles and houses. </w:t>
      </w:r>
    </w:p>
    <w:p w14:paraId="7D1A1AAA" w14:textId="6D7DE211" w:rsidR="00AC4928" w:rsidRPr="004D0D9B" w:rsidRDefault="00AC4928" w:rsidP="004D0D9B">
      <w:pPr>
        <w:spacing w:line="360" w:lineRule="auto"/>
        <w:rPr>
          <w:rFonts w:cstheme="minorHAnsi"/>
          <w:bCs/>
        </w:rPr>
      </w:pPr>
    </w:p>
    <w:p w14:paraId="11569F30" w14:textId="5D4D52A0" w:rsidR="00AC4928" w:rsidRPr="004D0D9B" w:rsidRDefault="00AC4928" w:rsidP="004D0D9B">
      <w:pPr>
        <w:spacing w:line="360" w:lineRule="auto"/>
        <w:rPr>
          <w:rFonts w:cstheme="minorHAnsi"/>
          <w:bCs/>
        </w:rPr>
      </w:pPr>
      <w:r w:rsidRPr="004D0D9B">
        <w:rPr>
          <w:rFonts w:cstheme="minorHAnsi"/>
          <w:bCs/>
        </w:rPr>
        <w:t xml:space="preserve">Stage 3 (2480 – 2280 BCE) - </w:t>
      </w:r>
    </w:p>
    <w:p w14:paraId="56E4ADB8" w14:textId="5DFA9B6E" w:rsidR="00AC4928" w:rsidRPr="004D0D9B" w:rsidRDefault="000F1732" w:rsidP="004D0D9B">
      <w:pPr>
        <w:spacing w:line="360" w:lineRule="auto"/>
        <w:rPr>
          <w:rFonts w:cstheme="minorHAnsi"/>
          <w:bCs/>
        </w:rPr>
      </w:pPr>
      <w:r w:rsidRPr="004D0D9B">
        <w:rPr>
          <w:rFonts w:cstheme="minorHAnsi"/>
          <w:bCs/>
        </w:rPr>
        <w:t xml:space="preserve">Stonehenge was transitioning in this period. It is possible that the stone circle in Amesbury, known as ‘Bluestonehenge’ was dismantled and some of its stones taken to Stonehenge. An arc of five stone holes implies a central bluestone circle, cut by a large pit of unknown use to the immediate west of stone 56, which also cuts into the double bluestone circle. </w:t>
      </w:r>
    </w:p>
    <w:p w14:paraId="7229BF2C" w14:textId="43F092EB" w:rsidR="000F1732" w:rsidRPr="004D0D9B" w:rsidRDefault="000F1732" w:rsidP="004D0D9B">
      <w:pPr>
        <w:spacing w:line="360" w:lineRule="auto"/>
        <w:rPr>
          <w:rFonts w:cstheme="minorHAnsi"/>
          <w:bCs/>
        </w:rPr>
      </w:pPr>
      <w:r w:rsidRPr="004D0D9B">
        <w:rPr>
          <w:rFonts w:cstheme="minorHAnsi"/>
          <w:bCs/>
        </w:rPr>
        <w:t xml:space="preserve">There were further changes to the arrangement of the north-east entrance, only leaving stones 95 (the Slaughter stone) and 96 (Heel stone). The ditch of the enclosure was re-cut, proving a new bank on the outside perimeter. </w:t>
      </w:r>
    </w:p>
    <w:p w14:paraId="7F4125FF" w14:textId="7E2BA177" w:rsidR="000F1732" w:rsidRPr="004D0D9B" w:rsidRDefault="000F1732" w:rsidP="004D0D9B">
      <w:pPr>
        <w:spacing w:line="360" w:lineRule="auto"/>
        <w:rPr>
          <w:rFonts w:cstheme="minorHAnsi"/>
          <w:bCs/>
        </w:rPr>
      </w:pPr>
      <w:r w:rsidRPr="004D0D9B">
        <w:rPr>
          <w:rFonts w:cstheme="minorHAnsi"/>
          <w:bCs/>
        </w:rPr>
        <w:t xml:space="preserve">Later in this stage, the Stonehenge avenue was built. This was a ceremonial way leading from outside the north-east entrance to the River Avon at West Amesbury, crossing 2.5 </w:t>
      </w:r>
      <w:r w:rsidR="002047AD" w:rsidRPr="004D0D9B">
        <w:rPr>
          <w:rFonts w:cstheme="minorHAnsi"/>
          <w:bCs/>
        </w:rPr>
        <w:t>kilometres</w:t>
      </w:r>
      <w:r w:rsidRPr="004D0D9B">
        <w:rPr>
          <w:rFonts w:cstheme="minorHAnsi"/>
          <w:bCs/>
        </w:rPr>
        <w:t xml:space="preserve">. </w:t>
      </w:r>
      <w:r w:rsidR="002047AD" w:rsidRPr="004D0D9B">
        <w:rPr>
          <w:rFonts w:cstheme="minorHAnsi"/>
          <w:bCs/>
        </w:rPr>
        <w:t xml:space="preserve">The first 530 metres of this is a straight line, which then curves east and later south to join the Avon. </w:t>
      </w:r>
    </w:p>
    <w:p w14:paraId="6ADE4F0F" w14:textId="78CC0128" w:rsidR="002047AD" w:rsidRPr="004D0D9B" w:rsidRDefault="002047AD" w:rsidP="004D0D9B">
      <w:pPr>
        <w:spacing w:line="360" w:lineRule="auto"/>
        <w:rPr>
          <w:rFonts w:cstheme="minorHAnsi"/>
          <w:bCs/>
        </w:rPr>
      </w:pPr>
      <w:r w:rsidRPr="004D0D9B">
        <w:rPr>
          <w:rFonts w:cstheme="minorHAnsi"/>
          <w:bCs/>
        </w:rPr>
        <w:t xml:space="preserve">Cremation burial most likely stopped happening at this stage, but there is some evidence for burial, such as the body of an adult make in a shallow grave on the north-west side of the enclosure ditch. </w:t>
      </w:r>
      <w:r w:rsidR="00E45240" w:rsidRPr="004D0D9B">
        <w:rPr>
          <w:rFonts w:cstheme="minorHAnsi"/>
          <w:bCs/>
        </w:rPr>
        <w:t xml:space="preserve">Three arrow-heads mark the cause of death, while a stone bracer indicates the man was an archer. Another burial, lost to excavation, may also date to this period. </w:t>
      </w:r>
    </w:p>
    <w:p w14:paraId="45556493" w14:textId="78003DC8" w:rsidR="00E45240" w:rsidRPr="004D0D9B" w:rsidRDefault="00E45240" w:rsidP="004D0D9B">
      <w:pPr>
        <w:spacing w:line="360" w:lineRule="auto"/>
        <w:rPr>
          <w:rFonts w:cstheme="minorHAnsi"/>
          <w:bCs/>
        </w:rPr>
      </w:pPr>
    </w:p>
    <w:p w14:paraId="07C07DDC" w14:textId="13C18E7F" w:rsidR="00E45240" w:rsidRPr="004D0D9B" w:rsidRDefault="00E45240" w:rsidP="004D0D9B">
      <w:pPr>
        <w:spacing w:line="360" w:lineRule="auto"/>
        <w:rPr>
          <w:rFonts w:cstheme="minorHAnsi"/>
          <w:bCs/>
        </w:rPr>
      </w:pPr>
      <w:r w:rsidRPr="004D0D9B">
        <w:rPr>
          <w:rFonts w:cstheme="minorHAnsi"/>
          <w:bCs/>
        </w:rPr>
        <w:t xml:space="preserve">Stage 4 (2280 – 2020 BCE) – </w:t>
      </w:r>
    </w:p>
    <w:p w14:paraId="2104D3AE" w14:textId="785F12DE" w:rsidR="00DF58D7" w:rsidRPr="004D0D9B" w:rsidRDefault="00E45240" w:rsidP="004D0D9B">
      <w:pPr>
        <w:spacing w:line="360" w:lineRule="auto"/>
        <w:rPr>
          <w:rFonts w:cstheme="minorHAnsi"/>
          <w:bCs/>
        </w:rPr>
      </w:pPr>
      <w:r w:rsidRPr="004D0D9B">
        <w:rPr>
          <w:rFonts w:cstheme="minorHAnsi"/>
          <w:bCs/>
        </w:rPr>
        <w:t>T</w:t>
      </w:r>
      <w:r w:rsidR="00DF58D7" w:rsidRPr="004D0D9B">
        <w:rPr>
          <w:rFonts w:cstheme="minorHAnsi"/>
          <w:bCs/>
        </w:rPr>
        <w:t xml:space="preserve">his is the last major reorganisation of the stones, as the bluestones were rearranged. Inside the sarsen circle, the double bluestone circle was dismantled. Within the horseshoe, the central bluestone circle was dismantled, and 24 bluestones were arranged in an oval. The outer bluestone </w:t>
      </w:r>
      <w:r w:rsidR="00DF58D7" w:rsidRPr="004D0D9B">
        <w:rPr>
          <w:rFonts w:cstheme="minorHAnsi"/>
          <w:bCs/>
        </w:rPr>
        <w:lastRenderedPageBreak/>
        <w:t xml:space="preserve">circle, which comprised of between 40 and 60 bluestones, was built between the horseshoe and the sarsen circle, dividing that space into two corridors. </w:t>
      </w:r>
    </w:p>
    <w:p w14:paraId="7263BEAA" w14:textId="0563CC8A" w:rsidR="002D506C" w:rsidRPr="004D0D9B" w:rsidRDefault="002D506C" w:rsidP="004D0D9B">
      <w:pPr>
        <w:spacing w:line="360" w:lineRule="auto"/>
        <w:rPr>
          <w:rFonts w:cstheme="minorHAnsi"/>
          <w:bCs/>
        </w:rPr>
      </w:pPr>
      <w:r w:rsidRPr="004D0D9B">
        <w:rPr>
          <w:rFonts w:cstheme="minorHAnsi"/>
          <w:bCs/>
        </w:rPr>
        <w:t xml:space="preserve">It is assumed that the 80ish stones used to construct the oval and circle are reused stones from earlier structures either at Stonehenge or in the area. Only 43 of these stones survive on the site as structures. Some were made into tools, others broken up. It is likely that </w:t>
      </w:r>
      <w:r w:rsidR="00135E87" w:rsidRPr="004D0D9B">
        <w:rPr>
          <w:rFonts w:cstheme="minorHAnsi"/>
          <w:bCs/>
        </w:rPr>
        <w:t xml:space="preserve">the removal of 7 pillars of the bluestone oval, to create a horseshoe structure, was carried out in the Roman period. </w:t>
      </w:r>
    </w:p>
    <w:p w14:paraId="60AA80E7" w14:textId="082015A8" w:rsidR="00135E87" w:rsidRPr="004D0D9B" w:rsidRDefault="00135E87" w:rsidP="004D0D9B">
      <w:pPr>
        <w:spacing w:line="360" w:lineRule="auto"/>
        <w:rPr>
          <w:rFonts w:cstheme="minorHAnsi"/>
          <w:bCs/>
        </w:rPr>
      </w:pPr>
    </w:p>
    <w:p w14:paraId="51EB8B8C" w14:textId="2B993D3D" w:rsidR="00135E87" w:rsidRPr="004D0D9B" w:rsidRDefault="00135E87" w:rsidP="004D0D9B">
      <w:pPr>
        <w:spacing w:line="360" w:lineRule="auto"/>
        <w:rPr>
          <w:rFonts w:cstheme="minorHAnsi"/>
          <w:bCs/>
        </w:rPr>
      </w:pPr>
      <w:r w:rsidRPr="004D0D9B">
        <w:rPr>
          <w:rFonts w:cstheme="minorHAnsi"/>
          <w:bCs/>
        </w:rPr>
        <w:t xml:space="preserve">Stage 5 (2020 – 1520 BCE) – </w:t>
      </w:r>
    </w:p>
    <w:p w14:paraId="2E46A737" w14:textId="5070B8AC" w:rsidR="00135E87" w:rsidRPr="004D0D9B" w:rsidRDefault="00157149" w:rsidP="004D0D9B">
      <w:pPr>
        <w:spacing w:line="360" w:lineRule="auto"/>
        <w:rPr>
          <w:rFonts w:cstheme="minorHAnsi"/>
          <w:bCs/>
        </w:rPr>
      </w:pPr>
      <w:r w:rsidRPr="004D0D9B">
        <w:rPr>
          <w:rFonts w:cstheme="minorHAnsi"/>
          <w:bCs/>
        </w:rPr>
        <w:t xml:space="preserve">Stonehenge continued to be an active site, with new features being added. The carvings of bronze axes and daggers on the stones in the sarsen circle and trilithon horseshoe can be assigned to Stage 5. Bluestones, and sarsens to some extent, were being broken up in this stage. </w:t>
      </w:r>
    </w:p>
    <w:p w14:paraId="0F697016" w14:textId="6F748379" w:rsidR="00157149" w:rsidRPr="004D0D9B" w:rsidRDefault="00157149" w:rsidP="004D0D9B">
      <w:pPr>
        <w:spacing w:line="360" w:lineRule="auto"/>
        <w:rPr>
          <w:rFonts w:cstheme="minorHAnsi"/>
          <w:bCs/>
        </w:rPr>
      </w:pPr>
      <w:r w:rsidRPr="004D0D9B">
        <w:rPr>
          <w:rFonts w:cstheme="minorHAnsi"/>
          <w:bCs/>
        </w:rPr>
        <w:t xml:space="preserve">The last main structural change in pre-history was made in the Middle Bronze Age, when two circles of pits, known as the Y and Z holes, were dug outside the sarsen circle. They were left open and filled with sediment, blown in from cultivated areas locally. However, the Y and Z stones may have held stones at one point. </w:t>
      </w:r>
    </w:p>
    <w:p w14:paraId="63E4BDF4" w14:textId="1F4DE6E6" w:rsidR="00157149" w:rsidRPr="004D0D9B" w:rsidRDefault="00157149" w:rsidP="004D0D9B">
      <w:pPr>
        <w:spacing w:line="360" w:lineRule="auto"/>
        <w:rPr>
          <w:rFonts w:cstheme="minorHAnsi"/>
          <w:bCs/>
        </w:rPr>
      </w:pPr>
      <w:r w:rsidRPr="004D0D9B">
        <w:rPr>
          <w:rFonts w:cstheme="minorHAnsi"/>
          <w:bCs/>
        </w:rPr>
        <w:t xml:space="preserve">Outside of Stonehenge, the development of round barrow cemetaries littered the surrounding landscape. </w:t>
      </w:r>
    </w:p>
    <w:p w14:paraId="6AC96059" w14:textId="77777777" w:rsidR="00123B9D" w:rsidRPr="004D0D9B" w:rsidRDefault="00123B9D" w:rsidP="004D0D9B">
      <w:pPr>
        <w:spacing w:line="360" w:lineRule="auto"/>
        <w:rPr>
          <w:rFonts w:cstheme="minorHAnsi"/>
        </w:rPr>
      </w:pPr>
    </w:p>
    <w:p w14:paraId="09465EC3" w14:textId="4A444C61" w:rsidR="00123B9D" w:rsidRPr="004D0D9B" w:rsidRDefault="00123B9D" w:rsidP="004D0D9B">
      <w:pPr>
        <w:spacing w:line="360" w:lineRule="auto"/>
        <w:rPr>
          <w:rFonts w:cstheme="minorHAnsi"/>
        </w:rPr>
      </w:pPr>
      <w:r w:rsidRPr="004D0D9B">
        <w:rPr>
          <w:rFonts w:cstheme="minorHAnsi"/>
        </w:rPr>
        <w:t>W</w:t>
      </w:r>
      <w:r w:rsidR="005D6DE4" w:rsidRPr="004D0D9B">
        <w:rPr>
          <w:rFonts w:cstheme="minorHAnsi"/>
        </w:rPr>
        <w:t xml:space="preserve">hile there is some evidence of the existence of Stonehenge being acknowledged as early as </w:t>
      </w:r>
      <w:r w:rsidR="00DC7A47" w:rsidRPr="004D0D9B">
        <w:rPr>
          <w:rFonts w:cstheme="minorHAnsi"/>
        </w:rPr>
        <w:t>the 12</w:t>
      </w:r>
      <w:r w:rsidR="00DC7A47" w:rsidRPr="004D0D9B">
        <w:rPr>
          <w:rFonts w:cstheme="minorHAnsi"/>
          <w:vertAlign w:val="superscript"/>
        </w:rPr>
        <w:t>th</w:t>
      </w:r>
      <w:r w:rsidR="00DC7A47" w:rsidRPr="004D0D9B">
        <w:rPr>
          <w:rFonts w:cstheme="minorHAnsi"/>
        </w:rPr>
        <w:t xml:space="preserve"> century</w:t>
      </w:r>
      <w:r w:rsidR="005D6DE4" w:rsidRPr="004D0D9B">
        <w:rPr>
          <w:rFonts w:cstheme="minorHAnsi"/>
        </w:rPr>
        <w:t xml:space="preserve">, the stones were largely left </w:t>
      </w:r>
      <w:r w:rsidR="00304569" w:rsidRPr="004D0D9B">
        <w:rPr>
          <w:rFonts w:cstheme="minorHAnsi"/>
        </w:rPr>
        <w:t xml:space="preserve">alone </w:t>
      </w:r>
      <w:r w:rsidR="005D6DE4" w:rsidRPr="004D0D9B">
        <w:rPr>
          <w:rFonts w:cstheme="minorHAnsi"/>
        </w:rPr>
        <w:t>until the mid-19</w:t>
      </w:r>
      <w:r w:rsidR="005D6DE4" w:rsidRPr="004D0D9B">
        <w:rPr>
          <w:rFonts w:cstheme="minorHAnsi"/>
          <w:vertAlign w:val="superscript"/>
        </w:rPr>
        <w:t>th</w:t>
      </w:r>
      <w:r w:rsidR="005D6DE4" w:rsidRPr="004D0D9B">
        <w:rPr>
          <w:rFonts w:cstheme="minorHAnsi"/>
        </w:rPr>
        <w:t xml:space="preserve"> century, when a </w:t>
      </w:r>
      <w:r w:rsidR="003E2B22" w:rsidRPr="004D0D9B">
        <w:rPr>
          <w:rFonts w:cstheme="minorHAnsi"/>
        </w:rPr>
        <w:t>guardian first began to look after the stones. In 1901, the then-owner, Sir Edward Antrobus, began to rope off the stones and charged a shilling for entrance.</w:t>
      </w:r>
      <w:r w:rsidR="003E2B22" w:rsidRPr="004D0D9B">
        <w:rPr>
          <w:rStyle w:val="FootnoteReference"/>
          <w:rFonts w:cstheme="minorHAnsi"/>
        </w:rPr>
        <w:footnoteReference w:id="5"/>
      </w:r>
      <w:r w:rsidR="005C63F5" w:rsidRPr="004D0D9B">
        <w:rPr>
          <w:rFonts w:cstheme="minorHAnsi"/>
        </w:rPr>
        <w:t xml:space="preserve"> This marks the first time</w:t>
      </w:r>
      <w:r w:rsidR="002C73BD" w:rsidRPr="004D0D9B">
        <w:rPr>
          <w:rFonts w:cstheme="minorHAnsi"/>
        </w:rPr>
        <w:t xml:space="preserve"> that</w:t>
      </w:r>
      <w:r w:rsidR="005C63F5" w:rsidRPr="004D0D9B">
        <w:rPr>
          <w:rFonts w:cstheme="minorHAnsi"/>
        </w:rPr>
        <w:t xml:space="preserve"> visitor arrangements were made for the stones, and while not incredibly successful, starts the line of visitor accommodation for the site. </w:t>
      </w:r>
      <w:r w:rsidR="00AC7DAE" w:rsidRPr="004D0D9B">
        <w:rPr>
          <w:rFonts w:cstheme="minorHAnsi"/>
        </w:rPr>
        <w:t>However, this did not last long, as the Salisbury Plains were subject to a clutter of military buildings through the First World War and into the 1920s, with a Stonehenge Aerodrome being built immediately to the west.</w:t>
      </w:r>
      <w:r w:rsidR="00AC7DAE" w:rsidRPr="004D0D9B">
        <w:rPr>
          <w:rStyle w:val="FootnoteReference"/>
          <w:rFonts w:cstheme="minorHAnsi"/>
        </w:rPr>
        <w:footnoteReference w:id="6"/>
      </w:r>
      <w:r w:rsidR="00241B41" w:rsidRPr="004D0D9B">
        <w:rPr>
          <w:rFonts w:cstheme="minorHAnsi"/>
        </w:rPr>
        <w:t xml:space="preserve"> It was in the 1920s that the ‘Save Stonehenge’ campaign, led by </w:t>
      </w:r>
      <w:r w:rsidR="002C73BD" w:rsidRPr="004D0D9B">
        <w:rPr>
          <w:rFonts w:cstheme="minorHAnsi"/>
        </w:rPr>
        <w:t xml:space="preserve">local Wiltshire archaeologists, was created. This campaign ended up buying hundreds of hectares of land to give to the National Trust alongside the site of Stonehenge, in an effort to prevent any major </w:t>
      </w:r>
      <w:r w:rsidR="002C73BD" w:rsidRPr="004D0D9B">
        <w:rPr>
          <w:rFonts w:cstheme="minorHAnsi"/>
        </w:rPr>
        <w:lastRenderedPageBreak/>
        <w:t>buildings from being constructed where they could potentially be an eyesore to the monument.</w:t>
      </w:r>
      <w:r w:rsidR="002C73BD" w:rsidRPr="004D0D9B">
        <w:rPr>
          <w:rStyle w:val="FootnoteReference"/>
          <w:rFonts w:cstheme="minorHAnsi"/>
        </w:rPr>
        <w:footnoteReference w:id="7"/>
      </w:r>
      <w:r w:rsidR="002C73BD" w:rsidRPr="004D0D9B">
        <w:rPr>
          <w:rFonts w:cstheme="minorHAnsi"/>
        </w:rPr>
        <w:t xml:space="preserve"> </w:t>
      </w:r>
      <w:r w:rsidR="00A330C8" w:rsidRPr="004D0D9B">
        <w:rPr>
          <w:rFonts w:cstheme="minorHAnsi"/>
        </w:rPr>
        <w:t>Buildings constructed in the war years were used both as a pig farm, but also as shelter for the Stonehenge caretakers, which expanded to include a café for visitors as numbers grew.</w:t>
      </w:r>
      <w:r w:rsidR="00A330C8" w:rsidRPr="004D0D9B">
        <w:rPr>
          <w:rStyle w:val="FootnoteReference"/>
          <w:rFonts w:cstheme="minorHAnsi"/>
        </w:rPr>
        <w:footnoteReference w:id="8"/>
      </w:r>
    </w:p>
    <w:p w14:paraId="0F8737EF" w14:textId="51797795" w:rsidR="00A330C8" w:rsidRPr="004D0D9B" w:rsidRDefault="00A330C8" w:rsidP="004D0D9B">
      <w:pPr>
        <w:spacing w:line="360" w:lineRule="auto"/>
        <w:rPr>
          <w:rFonts w:cstheme="minorHAnsi"/>
        </w:rPr>
      </w:pPr>
    </w:p>
    <w:p w14:paraId="63FDEB81" w14:textId="590C649B" w:rsidR="008B36AC" w:rsidRPr="004D0D9B" w:rsidRDefault="00A330C8" w:rsidP="004D0D9B">
      <w:pPr>
        <w:spacing w:line="360" w:lineRule="auto"/>
        <w:rPr>
          <w:rFonts w:cstheme="minorHAnsi"/>
        </w:rPr>
      </w:pPr>
      <w:r w:rsidRPr="004D0D9B">
        <w:rPr>
          <w:rFonts w:cstheme="minorHAnsi"/>
        </w:rPr>
        <w:t xml:space="preserve">In the 1930s, more and more visitors arrived to see Stonehenge, bringing with them motorcars and a concern for the state of the site. While a small ticket kiosk and toilets were constructed at minimal risk to the stones, the first small car park was laid out in 1935 in an effort to protect the grass surrounding the stones. While </w:t>
      </w:r>
      <w:r w:rsidR="003D4A29" w:rsidRPr="004D0D9B">
        <w:rPr>
          <w:rFonts w:cstheme="minorHAnsi"/>
        </w:rPr>
        <w:t>small</w:t>
      </w:r>
      <w:r w:rsidRPr="004D0D9B">
        <w:rPr>
          <w:rFonts w:cstheme="minorHAnsi"/>
        </w:rPr>
        <w:t>, these arrangements still drew criticism from the public, and were expanded into the 1950s.</w:t>
      </w:r>
      <w:r w:rsidRPr="004D0D9B">
        <w:rPr>
          <w:rStyle w:val="FootnoteReference"/>
          <w:rFonts w:cstheme="minorHAnsi"/>
        </w:rPr>
        <w:footnoteReference w:id="9"/>
      </w:r>
      <w:r w:rsidR="005D6DE4" w:rsidRPr="004D0D9B">
        <w:rPr>
          <w:rFonts w:cstheme="minorHAnsi"/>
        </w:rPr>
        <w:t xml:space="preserve"> </w:t>
      </w:r>
      <w:r w:rsidR="008B36AC" w:rsidRPr="004D0D9B">
        <w:rPr>
          <w:rFonts w:cstheme="minorHAnsi"/>
        </w:rPr>
        <w:t>In 1968, the first proper ‘visitor centre’ was built for incoming guests. This consisted of a semi-underground building used to store facilities, which was later expanded to include a café, visitor shop, toilets, and two carparks, one for regular use and one for overflow. There was also a concrete tunnel erected under the main northern road in order to increase visitor safety</w:t>
      </w:r>
      <w:r w:rsidR="0096013F" w:rsidRPr="004D0D9B">
        <w:rPr>
          <w:rFonts w:cstheme="minorHAnsi"/>
        </w:rPr>
        <w:t xml:space="preserve">, which was designed to run from the visitor car park to the entrance of the stones. </w:t>
      </w:r>
      <w:r w:rsidR="00B10435" w:rsidRPr="004D0D9B">
        <w:rPr>
          <w:rFonts w:cstheme="minorHAnsi"/>
        </w:rPr>
        <w:t xml:space="preserve">In 1978, the stones were roped off to visitors, and a walkway was created to guide visitors through the outer and inner circles of stones. </w:t>
      </w:r>
      <w:r w:rsidR="007B6ECC" w:rsidRPr="004D0D9B">
        <w:rPr>
          <w:rFonts w:cstheme="minorHAnsi"/>
        </w:rPr>
        <w:t xml:space="preserve">This design lasted until </w:t>
      </w:r>
      <w:r w:rsidR="004644A0" w:rsidRPr="004D0D9B">
        <w:rPr>
          <w:rFonts w:cstheme="minorHAnsi"/>
        </w:rPr>
        <w:t>2013 but</w:t>
      </w:r>
      <w:r w:rsidR="007B6ECC" w:rsidRPr="004D0D9B">
        <w:rPr>
          <w:rFonts w:cstheme="minorHAnsi"/>
        </w:rPr>
        <w:t xml:space="preserve"> was followed by other plans throughout the years for new and less obtrusive centres for visitors.</w:t>
      </w:r>
      <w:r w:rsidR="007B6ECC" w:rsidRPr="004D0D9B">
        <w:rPr>
          <w:rStyle w:val="FootnoteReference"/>
          <w:rFonts w:cstheme="minorHAnsi"/>
        </w:rPr>
        <w:footnoteReference w:id="10"/>
      </w:r>
    </w:p>
    <w:p w14:paraId="53869DFE" w14:textId="3776877D" w:rsidR="004644A0" w:rsidRPr="004D0D9B" w:rsidRDefault="004644A0" w:rsidP="004D0D9B">
      <w:pPr>
        <w:spacing w:line="360" w:lineRule="auto"/>
        <w:rPr>
          <w:rFonts w:cstheme="minorHAnsi"/>
        </w:rPr>
      </w:pPr>
    </w:p>
    <w:p w14:paraId="59388786" w14:textId="20D3CBF1" w:rsidR="008801B6" w:rsidRPr="004D0D9B" w:rsidRDefault="008801B6" w:rsidP="004D0D9B">
      <w:pPr>
        <w:spacing w:line="360" w:lineRule="auto"/>
        <w:rPr>
          <w:rFonts w:cstheme="minorHAnsi"/>
        </w:rPr>
      </w:pPr>
      <w:r w:rsidRPr="004D0D9B">
        <w:rPr>
          <w:rFonts w:cstheme="minorHAnsi"/>
        </w:rPr>
        <w:t>In the time between the first visitor centre built in 1968, and the second in 2013, there were two proposals for a new site. The first, in the mid-1980s, proposed Larkhill, north of Stonehenge. This was shut down due to the area being greenfield, new to buildings, and too far away from pre-existing roads, with no way to build new ones without disrupting archaeological evidence. The second, in the 1990s, found a semi-brownfield site on the northern edge of Amesbury, south of the site, and close to two pre-existing roads. However, it was over 4km away and would require new footpaths and land transport, keeping the same problem as the last proposal.</w:t>
      </w:r>
      <w:r w:rsidRPr="004D0D9B">
        <w:rPr>
          <w:rStyle w:val="FootnoteReference"/>
          <w:rFonts w:cstheme="minorHAnsi"/>
        </w:rPr>
        <w:footnoteReference w:id="11"/>
      </w:r>
    </w:p>
    <w:p w14:paraId="54C4A678" w14:textId="77777777" w:rsidR="00600E91" w:rsidRPr="004D0D9B" w:rsidRDefault="00600E91" w:rsidP="004D0D9B">
      <w:pPr>
        <w:spacing w:line="360" w:lineRule="auto"/>
        <w:rPr>
          <w:rFonts w:cstheme="minorHAnsi"/>
        </w:rPr>
      </w:pPr>
    </w:p>
    <w:p w14:paraId="1139F1C9" w14:textId="02E2E054" w:rsidR="00D647FE" w:rsidRPr="004D0D9B" w:rsidRDefault="00D647FE" w:rsidP="004D0D9B">
      <w:pPr>
        <w:spacing w:line="360" w:lineRule="auto"/>
        <w:rPr>
          <w:rFonts w:cstheme="minorHAnsi"/>
        </w:rPr>
      </w:pPr>
      <w:r w:rsidRPr="004D0D9B">
        <w:rPr>
          <w:rFonts w:cstheme="minorHAnsi"/>
        </w:rPr>
        <w:t xml:space="preserve">By the year 2013, </w:t>
      </w:r>
      <w:r w:rsidR="00042FE8" w:rsidRPr="004D0D9B">
        <w:rPr>
          <w:rFonts w:cstheme="minorHAnsi"/>
        </w:rPr>
        <w:t xml:space="preserve">it was clear that a pre-existing road would need to be used in order to transport visitors to the site while maintaining the integrity of </w:t>
      </w:r>
      <w:r w:rsidR="002F1AC3" w:rsidRPr="004D0D9B">
        <w:rPr>
          <w:rFonts w:cstheme="minorHAnsi"/>
        </w:rPr>
        <w:t xml:space="preserve">surrounding landscape. </w:t>
      </w:r>
      <w:r w:rsidR="00F97237" w:rsidRPr="004D0D9B">
        <w:rPr>
          <w:rFonts w:cstheme="minorHAnsi"/>
        </w:rPr>
        <w:t xml:space="preserve">The former A344, which goes from east to west and lies just north of the Stonehenge site, </w:t>
      </w:r>
      <w:r w:rsidR="005D21ED" w:rsidRPr="004D0D9B">
        <w:rPr>
          <w:rFonts w:cstheme="minorHAnsi"/>
        </w:rPr>
        <w:t xml:space="preserve">was closed in the 1960s and thus </w:t>
      </w:r>
      <w:r w:rsidR="005D21ED" w:rsidRPr="004D0D9B">
        <w:rPr>
          <w:rFonts w:cstheme="minorHAnsi"/>
        </w:rPr>
        <w:lastRenderedPageBreak/>
        <w:t>available to serve as a route for visitor transport.</w:t>
      </w:r>
      <w:r w:rsidR="005D21ED" w:rsidRPr="004D0D9B">
        <w:rPr>
          <w:rStyle w:val="FootnoteReference"/>
          <w:rFonts w:cstheme="minorHAnsi"/>
        </w:rPr>
        <w:footnoteReference w:id="12"/>
      </w:r>
      <w:r w:rsidR="005D21ED" w:rsidRPr="004D0D9B">
        <w:rPr>
          <w:rFonts w:cstheme="minorHAnsi"/>
        </w:rPr>
        <w:t xml:space="preserve"> A new visitor centre was built at Airman’s Cross, to the west of the stones, on a greenfield site were no major prehistoric evidence was found. </w:t>
      </w:r>
      <w:r w:rsidR="00060757" w:rsidRPr="004D0D9B">
        <w:rPr>
          <w:rFonts w:cstheme="minorHAnsi"/>
        </w:rPr>
        <w:t xml:space="preserve">It is also far from any buildings and thus makes a huge visual intrusion on the landscape. This was built in 2013 and currently exists as the visitor centre for Stonehenge. </w:t>
      </w:r>
    </w:p>
    <w:p w14:paraId="79F9B43A" w14:textId="7B840396" w:rsidR="00060757" w:rsidRPr="004D0D9B" w:rsidRDefault="00060757" w:rsidP="004D0D9B">
      <w:pPr>
        <w:spacing w:line="360" w:lineRule="auto"/>
        <w:rPr>
          <w:rFonts w:cstheme="minorHAnsi"/>
        </w:rPr>
      </w:pPr>
    </w:p>
    <w:p w14:paraId="128A8EB3" w14:textId="370BF5A6" w:rsidR="00060757" w:rsidRPr="004D0D9B" w:rsidRDefault="00060757" w:rsidP="004D0D9B">
      <w:pPr>
        <w:spacing w:line="360" w:lineRule="auto"/>
        <w:rPr>
          <w:rFonts w:cstheme="minorHAnsi"/>
        </w:rPr>
      </w:pPr>
      <w:r w:rsidRPr="004D0D9B">
        <w:rPr>
          <w:rFonts w:cstheme="minorHAnsi"/>
        </w:rPr>
        <w:t xml:space="preserve">While there has been suggestions and ideas for a new, less intrusive visitor centre, these are unlikely to be built any time soon. </w:t>
      </w:r>
      <w:r w:rsidR="00886C81" w:rsidRPr="004D0D9B">
        <w:rPr>
          <w:rFonts w:cstheme="minorHAnsi"/>
        </w:rPr>
        <w:t xml:space="preserve">This is due to expense, </w:t>
      </w:r>
      <w:r w:rsidR="00600E91" w:rsidRPr="004D0D9B">
        <w:rPr>
          <w:rFonts w:cstheme="minorHAnsi"/>
        </w:rPr>
        <w:t xml:space="preserve">and the issues with archaeological remains that litter the area. </w:t>
      </w:r>
    </w:p>
    <w:p w14:paraId="3E2A378B" w14:textId="77777777" w:rsidR="003E2B22" w:rsidRPr="004D0D9B" w:rsidRDefault="003E2B22" w:rsidP="004D0D9B">
      <w:pPr>
        <w:spacing w:line="360" w:lineRule="auto"/>
        <w:rPr>
          <w:rFonts w:cstheme="minorHAnsi"/>
        </w:rPr>
      </w:pPr>
    </w:p>
    <w:p w14:paraId="150D18FF" w14:textId="39CED0F7" w:rsidR="009257FA" w:rsidRPr="004D0D9B" w:rsidRDefault="009257FA" w:rsidP="004D0D9B">
      <w:pPr>
        <w:spacing w:line="360" w:lineRule="auto"/>
        <w:rPr>
          <w:rFonts w:cstheme="minorHAnsi"/>
          <w:b/>
          <w:bCs/>
        </w:rPr>
      </w:pPr>
      <w:r w:rsidRPr="004D0D9B">
        <w:rPr>
          <w:rFonts w:cstheme="minorHAnsi"/>
          <w:b/>
          <w:bCs/>
        </w:rPr>
        <w:t xml:space="preserve">Material Significance </w:t>
      </w:r>
    </w:p>
    <w:p w14:paraId="45169AD0" w14:textId="69FEFE89" w:rsidR="00975441" w:rsidRPr="004D0D9B" w:rsidRDefault="00026B19" w:rsidP="004D0D9B">
      <w:pPr>
        <w:spacing w:line="360" w:lineRule="auto"/>
        <w:rPr>
          <w:rFonts w:cstheme="minorHAnsi"/>
        </w:rPr>
      </w:pPr>
      <w:r w:rsidRPr="004D0D9B">
        <w:rPr>
          <w:rFonts w:cstheme="minorHAnsi"/>
        </w:rPr>
        <w:t xml:space="preserve">Stonehenge </w:t>
      </w:r>
      <w:r w:rsidR="00CA02D5" w:rsidRPr="004D0D9B">
        <w:rPr>
          <w:rFonts w:cstheme="minorHAnsi"/>
        </w:rPr>
        <w:t>was established</w:t>
      </w:r>
      <w:r w:rsidRPr="004D0D9B">
        <w:rPr>
          <w:rFonts w:cstheme="minorHAnsi"/>
        </w:rPr>
        <w:t xml:space="preserve"> as a World Heritage Site by UNESCO</w:t>
      </w:r>
      <w:r w:rsidR="00CE59A0" w:rsidRPr="004D0D9B">
        <w:rPr>
          <w:rFonts w:cstheme="minorHAnsi"/>
        </w:rPr>
        <w:t xml:space="preserve"> in 1986</w:t>
      </w:r>
      <w:r w:rsidR="0091466F" w:rsidRPr="004D0D9B">
        <w:rPr>
          <w:rFonts w:cstheme="minorHAnsi"/>
        </w:rPr>
        <w:t xml:space="preserve">, meaning that </w:t>
      </w:r>
      <w:r w:rsidR="003748F8" w:rsidRPr="004D0D9B">
        <w:rPr>
          <w:rFonts w:cstheme="minorHAnsi"/>
        </w:rPr>
        <w:t>it is a nominated site representing human culture and has a universal value to civilisation.</w:t>
      </w:r>
      <w:r w:rsidR="003748F8" w:rsidRPr="004D0D9B">
        <w:rPr>
          <w:rStyle w:val="FootnoteReference"/>
          <w:rFonts w:cstheme="minorHAnsi"/>
        </w:rPr>
        <w:footnoteReference w:id="13"/>
      </w:r>
      <w:r w:rsidR="00975441" w:rsidRPr="004D0D9B">
        <w:rPr>
          <w:rFonts w:cstheme="minorHAnsi"/>
        </w:rPr>
        <w:t xml:space="preserve"> According to it’s listing on the UNESCO website, Stonehenge meets the following criteria to become a World Heritage Site: </w:t>
      </w:r>
    </w:p>
    <w:p w14:paraId="2B41032E" w14:textId="62F8AE82" w:rsidR="00975441" w:rsidRPr="004D0D9B" w:rsidRDefault="00975441" w:rsidP="004D0D9B">
      <w:pPr>
        <w:spacing w:line="360" w:lineRule="auto"/>
        <w:rPr>
          <w:rFonts w:cstheme="minorHAnsi"/>
        </w:rPr>
      </w:pPr>
      <w:r w:rsidRPr="004D0D9B">
        <w:rPr>
          <w:rFonts w:cstheme="minorHAnsi"/>
        </w:rPr>
        <w:t xml:space="preserve">Criteria 1 – </w:t>
      </w:r>
    </w:p>
    <w:p w14:paraId="11D6B2CE" w14:textId="7677AE80" w:rsidR="00975441" w:rsidRPr="004D0D9B" w:rsidRDefault="00975441" w:rsidP="004D0D9B">
      <w:pPr>
        <w:spacing w:line="360" w:lineRule="auto"/>
        <w:rPr>
          <w:rFonts w:cstheme="minorHAnsi"/>
        </w:rPr>
      </w:pPr>
      <w:r w:rsidRPr="004D0D9B">
        <w:rPr>
          <w:rFonts w:cstheme="minorHAnsi"/>
        </w:rPr>
        <w:t>“Stonehenge, Avebury and other associated sites demonstrates outstanding creative and technological achievements in prehistoric times.”</w:t>
      </w:r>
      <w:r w:rsidRPr="004D0D9B">
        <w:rPr>
          <w:rStyle w:val="FootnoteReference"/>
          <w:rFonts w:cstheme="minorHAnsi"/>
        </w:rPr>
        <w:footnoteReference w:id="14"/>
      </w:r>
    </w:p>
    <w:p w14:paraId="44F5FF51" w14:textId="14FA9D75" w:rsidR="00975441" w:rsidRPr="004D0D9B" w:rsidRDefault="00975441" w:rsidP="004D0D9B">
      <w:pPr>
        <w:spacing w:line="360" w:lineRule="auto"/>
        <w:rPr>
          <w:rFonts w:cstheme="minorHAnsi"/>
        </w:rPr>
      </w:pPr>
      <w:r w:rsidRPr="004D0D9B">
        <w:rPr>
          <w:rFonts w:cstheme="minorHAnsi"/>
        </w:rPr>
        <w:t xml:space="preserve">Criteria 2 – </w:t>
      </w:r>
    </w:p>
    <w:p w14:paraId="1A4F885C" w14:textId="686E5172" w:rsidR="00975441" w:rsidRPr="004D0D9B" w:rsidRDefault="00975441" w:rsidP="004D0D9B">
      <w:pPr>
        <w:spacing w:line="360" w:lineRule="auto"/>
        <w:rPr>
          <w:rFonts w:cstheme="minorHAnsi"/>
        </w:rPr>
      </w:pPr>
      <w:r w:rsidRPr="004D0D9B">
        <w:rPr>
          <w:rFonts w:cstheme="minorHAnsi"/>
        </w:rPr>
        <w:t>Stonehenge provides illustration of the evolution of monument construction and of the continuing shaping of the landscape over 2000 years. It has had an influence of architects, artists, historians, and archaeologists.</w:t>
      </w:r>
    </w:p>
    <w:p w14:paraId="3D321925" w14:textId="16462831" w:rsidR="00975441" w:rsidRPr="004D0D9B" w:rsidRDefault="00975441" w:rsidP="004D0D9B">
      <w:pPr>
        <w:spacing w:line="360" w:lineRule="auto"/>
        <w:rPr>
          <w:rFonts w:cstheme="minorHAnsi"/>
        </w:rPr>
      </w:pPr>
      <w:r w:rsidRPr="004D0D9B">
        <w:rPr>
          <w:rFonts w:cstheme="minorHAnsi"/>
        </w:rPr>
        <w:t xml:space="preserve">Criteria 3 – </w:t>
      </w:r>
    </w:p>
    <w:p w14:paraId="4683D63C" w14:textId="7D10224B" w:rsidR="00CE59A0" w:rsidRPr="004D0D9B" w:rsidRDefault="00975441" w:rsidP="004D0D9B">
      <w:pPr>
        <w:spacing w:line="360" w:lineRule="auto"/>
        <w:rPr>
          <w:rFonts w:cstheme="minorHAnsi"/>
        </w:rPr>
      </w:pPr>
      <w:r w:rsidRPr="004D0D9B">
        <w:rPr>
          <w:rFonts w:cstheme="minorHAnsi"/>
        </w:rPr>
        <w:t xml:space="preserve">Stonehenge, alongside its associated sites, provides insight into the funerary and ceremonial practices of Neolithic and Bronze age Britain. Stonehenge </w:t>
      </w:r>
      <w:r w:rsidR="00CE59A0" w:rsidRPr="004D0D9B">
        <w:rPr>
          <w:rFonts w:cstheme="minorHAnsi"/>
        </w:rPr>
        <w:t>is also surrounded by more than 300 burial mounds and other Neolithic relics</w:t>
      </w:r>
      <w:r w:rsidR="0091466F" w:rsidRPr="004D0D9B">
        <w:rPr>
          <w:rFonts w:cstheme="minorHAnsi"/>
        </w:rPr>
        <w:t xml:space="preserve"> which make up its listing</w:t>
      </w:r>
      <w:r w:rsidR="00CE59A0" w:rsidRPr="004D0D9B">
        <w:rPr>
          <w:rFonts w:cstheme="minorHAnsi"/>
        </w:rPr>
        <w:t>.</w:t>
      </w:r>
      <w:r w:rsidR="00CE59A0" w:rsidRPr="004D0D9B">
        <w:rPr>
          <w:rStyle w:val="FootnoteReference"/>
          <w:rFonts w:cstheme="minorHAnsi"/>
        </w:rPr>
        <w:footnoteReference w:id="15"/>
      </w:r>
      <w:r w:rsidR="00CE59A0" w:rsidRPr="004D0D9B">
        <w:rPr>
          <w:rFonts w:cstheme="minorHAnsi"/>
        </w:rPr>
        <w:t xml:space="preserve"> </w:t>
      </w:r>
    </w:p>
    <w:p w14:paraId="6F008863" w14:textId="027D2299" w:rsidR="00975441" w:rsidRPr="004D0D9B" w:rsidRDefault="00975441" w:rsidP="004D0D9B">
      <w:pPr>
        <w:spacing w:line="360" w:lineRule="auto"/>
        <w:rPr>
          <w:rFonts w:cstheme="minorHAnsi"/>
        </w:rPr>
      </w:pPr>
    </w:p>
    <w:p w14:paraId="15A4F8F6" w14:textId="467BF40B" w:rsidR="00975441" w:rsidRPr="004D0D9B" w:rsidRDefault="00975441" w:rsidP="004D0D9B">
      <w:pPr>
        <w:spacing w:line="360" w:lineRule="auto"/>
        <w:rPr>
          <w:rFonts w:cstheme="minorHAnsi"/>
        </w:rPr>
      </w:pPr>
      <w:r w:rsidRPr="004D0D9B">
        <w:rPr>
          <w:rFonts w:cstheme="minorHAnsi"/>
        </w:rPr>
        <w:t xml:space="preserve">While the WHS designation does not provide any special legislation for the protection or support of Stonehenge, it does bring in visitors from across a range of social </w:t>
      </w:r>
      <w:r w:rsidR="000E29CA" w:rsidRPr="004D0D9B">
        <w:rPr>
          <w:rFonts w:cstheme="minorHAnsi"/>
        </w:rPr>
        <w:t>groups and</w:t>
      </w:r>
      <w:r w:rsidRPr="004D0D9B">
        <w:rPr>
          <w:rFonts w:cstheme="minorHAnsi"/>
        </w:rPr>
        <w:t xml:space="preserve"> promotes Stonehenge as a site of significance. </w:t>
      </w:r>
    </w:p>
    <w:p w14:paraId="5352A743" w14:textId="77777777" w:rsidR="009257FA" w:rsidRPr="004D0D9B" w:rsidRDefault="009257FA" w:rsidP="004D0D9B">
      <w:pPr>
        <w:spacing w:line="360" w:lineRule="auto"/>
        <w:rPr>
          <w:rFonts w:cstheme="minorHAnsi"/>
        </w:rPr>
      </w:pPr>
    </w:p>
    <w:p w14:paraId="45B61C1B" w14:textId="6437C9F3" w:rsidR="009257FA" w:rsidRPr="004D0D9B" w:rsidRDefault="009B5731" w:rsidP="004D0D9B">
      <w:pPr>
        <w:spacing w:line="360" w:lineRule="auto"/>
        <w:rPr>
          <w:rFonts w:cstheme="minorHAnsi"/>
        </w:rPr>
      </w:pPr>
      <w:r w:rsidRPr="004D0D9B">
        <w:rPr>
          <w:rFonts w:cstheme="minorHAnsi"/>
        </w:rPr>
        <w:t xml:space="preserve">Furthermore, </w:t>
      </w:r>
      <w:r w:rsidR="00E82EFA" w:rsidRPr="004D0D9B">
        <w:rPr>
          <w:rFonts w:cstheme="minorHAnsi"/>
        </w:rPr>
        <w:t xml:space="preserve">Stonehenge sits in a unique social situation, due to its status as a national monument </w:t>
      </w:r>
      <w:r w:rsidR="0061795A" w:rsidRPr="004D0D9B">
        <w:rPr>
          <w:rFonts w:cstheme="minorHAnsi"/>
        </w:rPr>
        <w:t xml:space="preserve">and as a point of national identity. </w:t>
      </w:r>
      <w:r w:rsidRPr="004D0D9B">
        <w:rPr>
          <w:rFonts w:cstheme="minorHAnsi"/>
        </w:rPr>
        <w:t xml:space="preserve">While it is protected as a point of pride by governmental organisations such as the National Trust and English Heritage, </w:t>
      </w:r>
      <w:r w:rsidR="00E84415" w:rsidRPr="004D0D9B">
        <w:rPr>
          <w:rFonts w:cstheme="minorHAnsi"/>
        </w:rPr>
        <w:t xml:space="preserve">some across the nation view it as useless and not worth very much at all. </w:t>
      </w:r>
    </w:p>
    <w:p w14:paraId="0719A605" w14:textId="7E02CB2E" w:rsidR="009257FA" w:rsidRPr="004D0D9B" w:rsidRDefault="009257FA" w:rsidP="004D0D9B">
      <w:pPr>
        <w:spacing w:line="360" w:lineRule="auto"/>
        <w:rPr>
          <w:rFonts w:cstheme="minorHAnsi"/>
        </w:rPr>
      </w:pPr>
    </w:p>
    <w:p w14:paraId="4C399AD9" w14:textId="4639023A" w:rsidR="009257FA" w:rsidRPr="004D0D9B" w:rsidRDefault="009257FA" w:rsidP="004D0D9B">
      <w:pPr>
        <w:spacing w:line="360" w:lineRule="auto"/>
        <w:rPr>
          <w:rFonts w:cstheme="minorHAnsi"/>
          <w:b/>
          <w:bCs/>
        </w:rPr>
      </w:pPr>
      <w:r w:rsidRPr="004D0D9B">
        <w:rPr>
          <w:rFonts w:cstheme="minorHAnsi"/>
          <w:b/>
          <w:bCs/>
        </w:rPr>
        <w:t>How is</w:t>
      </w:r>
      <w:r w:rsidR="002047AD" w:rsidRPr="004D0D9B">
        <w:rPr>
          <w:rFonts w:cstheme="minorHAnsi"/>
          <w:b/>
          <w:bCs/>
        </w:rPr>
        <w:t xml:space="preserve"> Stonehenge contested? And how can it be re-negotiated? </w:t>
      </w:r>
    </w:p>
    <w:p w14:paraId="07D3A255" w14:textId="44C93CA4" w:rsidR="00E05081" w:rsidRPr="004D0D9B" w:rsidRDefault="00E05081" w:rsidP="004D0D9B">
      <w:pPr>
        <w:spacing w:line="360" w:lineRule="auto"/>
        <w:rPr>
          <w:rFonts w:cstheme="minorHAnsi"/>
        </w:rPr>
      </w:pPr>
      <w:r w:rsidRPr="004D0D9B">
        <w:rPr>
          <w:rFonts w:cstheme="minorHAnsi"/>
        </w:rPr>
        <w:t xml:space="preserve">Stonehenge is a controversial monument in many ways. </w:t>
      </w:r>
      <w:r w:rsidR="00845500" w:rsidRPr="004D0D9B">
        <w:rPr>
          <w:rFonts w:cstheme="minorHAnsi"/>
        </w:rPr>
        <w:t>Due to its unique position as a perceived ‘centrepiece’ of British culture, Stonehenge holds a lot of significance for several individual groups of people. As such, when modifications are made to the site, or debate beings to open up about the future of the site itself, problems arise. Listed below are some groups and their issues with the handling of the Stonehenge site</w:t>
      </w:r>
      <w:r w:rsidR="00831BC2" w:rsidRPr="004D0D9B">
        <w:rPr>
          <w:rFonts w:cstheme="minorHAnsi"/>
        </w:rPr>
        <w:t xml:space="preserve"> alongside possible ways in which they can be lessened or amended</w:t>
      </w:r>
      <w:r w:rsidR="00845500" w:rsidRPr="004D0D9B">
        <w:rPr>
          <w:rFonts w:cstheme="minorHAnsi"/>
        </w:rPr>
        <w:t xml:space="preserve">, which serve as case studies for this portfolio. </w:t>
      </w:r>
    </w:p>
    <w:p w14:paraId="1F2BEDFD" w14:textId="7355B3E9" w:rsidR="00E05081" w:rsidRPr="004D0D9B" w:rsidRDefault="00E05081" w:rsidP="004D0D9B">
      <w:pPr>
        <w:spacing w:line="360" w:lineRule="auto"/>
        <w:rPr>
          <w:rFonts w:cstheme="minorHAnsi"/>
        </w:rPr>
      </w:pPr>
    </w:p>
    <w:p w14:paraId="39E3E9E8" w14:textId="6ED8B6C0" w:rsidR="00E05081" w:rsidRPr="004D0D9B" w:rsidRDefault="00E05081" w:rsidP="004D0D9B">
      <w:pPr>
        <w:spacing w:line="360" w:lineRule="auto"/>
        <w:rPr>
          <w:rFonts w:cstheme="minorHAnsi"/>
        </w:rPr>
      </w:pPr>
      <w:r w:rsidRPr="004D0D9B">
        <w:rPr>
          <w:rFonts w:cstheme="minorHAnsi"/>
        </w:rPr>
        <w:t xml:space="preserve">Stonehenge as a World Heritage Site – </w:t>
      </w:r>
    </w:p>
    <w:p w14:paraId="0CA6C0AA" w14:textId="79953909" w:rsidR="00E05081" w:rsidRPr="004D0D9B" w:rsidRDefault="0055171A" w:rsidP="004D0D9B">
      <w:pPr>
        <w:spacing w:line="360" w:lineRule="auto"/>
        <w:rPr>
          <w:rFonts w:cstheme="minorHAnsi"/>
        </w:rPr>
      </w:pPr>
      <w:r w:rsidRPr="004D0D9B">
        <w:rPr>
          <w:rFonts w:cstheme="minorHAnsi"/>
        </w:rPr>
        <w:t>While Stonehenge is listed as a World Heritage Site by UNESCO, this does not impact any funding or regulations surrounding the monument.</w:t>
      </w:r>
      <w:r w:rsidRPr="004D0D9B">
        <w:rPr>
          <w:rStyle w:val="FootnoteReference"/>
          <w:rFonts w:cstheme="minorHAnsi"/>
        </w:rPr>
        <w:footnoteReference w:id="16"/>
      </w:r>
      <w:r w:rsidRPr="004D0D9B">
        <w:rPr>
          <w:rFonts w:cstheme="minorHAnsi"/>
        </w:rPr>
        <w:t xml:space="preserve"> As such, Stonehenge relies on investment and collaboration between entities to stay open and available to the public in its current state. </w:t>
      </w:r>
      <w:r w:rsidR="009D0004" w:rsidRPr="004D0D9B">
        <w:rPr>
          <w:rFonts w:cstheme="minorHAnsi"/>
        </w:rPr>
        <w:t xml:space="preserve">Seventy individual bodies work together </w:t>
      </w:r>
      <w:r w:rsidR="00D656E7" w:rsidRPr="004D0D9B">
        <w:rPr>
          <w:rFonts w:cstheme="minorHAnsi"/>
        </w:rPr>
        <w:t>on-site</w:t>
      </w:r>
      <w:r w:rsidR="009D0004" w:rsidRPr="004D0D9B">
        <w:rPr>
          <w:rFonts w:cstheme="minorHAnsi"/>
        </w:rPr>
        <w:t xml:space="preserve"> proposals, visitor accommodations, and for potential access to the World Heritage Fund.</w:t>
      </w:r>
      <w:r w:rsidR="009D0004" w:rsidRPr="004D0D9B">
        <w:rPr>
          <w:rStyle w:val="FootnoteReference"/>
          <w:rFonts w:cstheme="minorHAnsi"/>
        </w:rPr>
        <w:footnoteReference w:id="17"/>
      </w:r>
      <w:r w:rsidR="009D0004" w:rsidRPr="004D0D9B">
        <w:rPr>
          <w:rFonts w:cstheme="minorHAnsi"/>
        </w:rPr>
        <w:t xml:space="preserve"> </w:t>
      </w:r>
      <w:r w:rsidR="00E46399" w:rsidRPr="004D0D9B">
        <w:rPr>
          <w:rFonts w:cstheme="minorHAnsi"/>
        </w:rPr>
        <w:t xml:space="preserve"> A majority of the conflict within Stonehenge as a World Heritage Site occurs because of the conflicting viewpoints of these individual collaborating bodies.</w:t>
      </w:r>
      <w:r w:rsidR="0044708C" w:rsidRPr="004D0D9B">
        <w:rPr>
          <w:rFonts w:cstheme="minorHAnsi"/>
        </w:rPr>
        <w:t xml:space="preserve"> </w:t>
      </w:r>
      <w:r w:rsidR="00E46399" w:rsidRPr="004D0D9B">
        <w:rPr>
          <w:rFonts w:cstheme="minorHAnsi"/>
        </w:rPr>
        <w:t xml:space="preserve"> </w:t>
      </w:r>
      <w:r w:rsidR="00E84415" w:rsidRPr="004D0D9B">
        <w:rPr>
          <w:rFonts w:cstheme="minorHAnsi"/>
        </w:rPr>
        <w:t xml:space="preserve">While some of these bodies are focused on protecting just the stones, others want also to preserve the surrounding landscape, leading to conflicts in areas such as the A303, a road which continues to blight to </w:t>
      </w:r>
      <w:r w:rsidR="00E84415" w:rsidRPr="004D0D9B">
        <w:rPr>
          <w:rFonts w:cstheme="minorHAnsi"/>
        </w:rPr>
        <w:lastRenderedPageBreak/>
        <w:t xml:space="preserve">landscape of Stonehenge. This has no easy solution, as any solution to a problem occurring at the site takes a long time to sort due to both conflicts between organisations and financial troubles. </w:t>
      </w:r>
    </w:p>
    <w:p w14:paraId="66BE11E8" w14:textId="2111028D" w:rsidR="005A3DD8" w:rsidRPr="004D0D9B" w:rsidRDefault="005A3DD8" w:rsidP="004D0D9B">
      <w:pPr>
        <w:spacing w:line="360" w:lineRule="auto"/>
        <w:rPr>
          <w:rFonts w:cstheme="minorHAnsi"/>
        </w:rPr>
      </w:pPr>
    </w:p>
    <w:p w14:paraId="626F8940" w14:textId="5A6B2845" w:rsidR="009257FA" w:rsidRPr="004D0D9B" w:rsidRDefault="005B18D6" w:rsidP="004D0D9B">
      <w:pPr>
        <w:spacing w:line="360" w:lineRule="auto"/>
        <w:rPr>
          <w:rFonts w:cstheme="minorHAnsi"/>
        </w:rPr>
      </w:pPr>
      <w:r w:rsidRPr="004D0D9B">
        <w:rPr>
          <w:rFonts w:cstheme="minorHAnsi"/>
        </w:rPr>
        <w:t xml:space="preserve">Neo-Paganism and Stonehenge – </w:t>
      </w:r>
    </w:p>
    <w:p w14:paraId="7D8494D3" w14:textId="13959310" w:rsidR="00517B06" w:rsidRPr="004D0D9B" w:rsidRDefault="005B18D6" w:rsidP="004D0D9B">
      <w:pPr>
        <w:spacing w:line="360" w:lineRule="auto"/>
        <w:rPr>
          <w:rFonts w:cstheme="minorHAnsi"/>
        </w:rPr>
      </w:pPr>
      <w:r w:rsidRPr="004D0D9B">
        <w:rPr>
          <w:rFonts w:cstheme="minorHAnsi"/>
        </w:rPr>
        <w:t>One way in which Stonehenge is contested over is the influx of Pagan peoples, reaching its height around the Winter and Summer solstice each year.</w:t>
      </w:r>
      <w:r w:rsidR="000326AD" w:rsidRPr="004D0D9B">
        <w:rPr>
          <w:rFonts w:cstheme="minorHAnsi"/>
        </w:rPr>
        <w:t xml:space="preserve"> </w:t>
      </w:r>
      <w:r w:rsidR="007315AA" w:rsidRPr="004D0D9B">
        <w:rPr>
          <w:rFonts w:cstheme="minorHAnsi"/>
        </w:rPr>
        <w:t xml:space="preserve">This influx brings with it concerns about being able to access not only the stones but also the ability to </w:t>
      </w:r>
      <w:r w:rsidR="00B55F18" w:rsidRPr="004D0D9B">
        <w:rPr>
          <w:rFonts w:cstheme="minorHAnsi"/>
        </w:rPr>
        <w:t>create and share interpretations.</w:t>
      </w:r>
      <w:r w:rsidR="00B55F18" w:rsidRPr="004D0D9B">
        <w:rPr>
          <w:rStyle w:val="FootnoteReference"/>
          <w:rFonts w:cstheme="minorHAnsi"/>
        </w:rPr>
        <w:footnoteReference w:id="18"/>
      </w:r>
      <w:r w:rsidR="00517B06" w:rsidRPr="004D0D9B">
        <w:rPr>
          <w:rFonts w:cstheme="minorHAnsi"/>
        </w:rPr>
        <w:t xml:space="preserve"> While a majority of Pagan groups </w:t>
      </w:r>
      <w:r w:rsidR="00CA53E3" w:rsidRPr="004D0D9B">
        <w:rPr>
          <w:rFonts w:cstheme="minorHAnsi"/>
        </w:rPr>
        <w:t xml:space="preserve">are attempting to lower stress on the monument by organising events away from the stones, there is still worry that the influx of people at these events are putting too much pressure on the site. While most </w:t>
      </w:r>
      <w:r w:rsidR="00911E4F" w:rsidRPr="004D0D9B">
        <w:rPr>
          <w:rFonts w:cstheme="minorHAnsi"/>
        </w:rPr>
        <w:t>people carry the ethos of “do not change the site, let it change you.”</w:t>
      </w:r>
      <w:r w:rsidR="007B0E79" w:rsidRPr="004D0D9B">
        <w:rPr>
          <w:rFonts w:cstheme="minorHAnsi"/>
        </w:rPr>
        <w:t>, promoted by the Ancient Sacred Landscape Network (ASLaN), this does not extent to everyone, and an increasing number of people are leaving offerings such as candles, which can not only change the site but damage it irreparably.</w:t>
      </w:r>
      <w:r w:rsidR="007B0E79" w:rsidRPr="004D0D9B">
        <w:rPr>
          <w:rStyle w:val="FootnoteReference"/>
          <w:rFonts w:cstheme="minorHAnsi"/>
        </w:rPr>
        <w:footnoteReference w:id="19"/>
      </w:r>
      <w:r w:rsidR="007C5060" w:rsidRPr="004D0D9B">
        <w:rPr>
          <w:rFonts w:cstheme="minorHAnsi"/>
        </w:rPr>
        <w:t xml:space="preserve"> </w:t>
      </w:r>
      <w:r w:rsidR="004C2BAD" w:rsidRPr="004D0D9B">
        <w:rPr>
          <w:rFonts w:cstheme="minorHAnsi"/>
        </w:rPr>
        <w:t xml:space="preserve">While this can be aided through the use of stricter security and better monitoring of the site, this is not necessarily the best option, as it does not reflect well on the state of the site or the enjoyment of the visitors. </w:t>
      </w:r>
    </w:p>
    <w:p w14:paraId="1A01C407" w14:textId="50C9F511" w:rsidR="00DE0355" w:rsidRPr="004D0D9B" w:rsidRDefault="00DE0355" w:rsidP="004D0D9B">
      <w:pPr>
        <w:spacing w:line="360" w:lineRule="auto"/>
        <w:rPr>
          <w:rFonts w:cstheme="minorHAnsi"/>
        </w:rPr>
      </w:pPr>
    </w:p>
    <w:p w14:paraId="6ECB73AD" w14:textId="5CD12B51" w:rsidR="00DE0355" w:rsidRPr="004D0D9B" w:rsidRDefault="00DE0355" w:rsidP="004D0D9B">
      <w:pPr>
        <w:spacing w:line="360" w:lineRule="auto"/>
        <w:rPr>
          <w:rFonts w:cstheme="minorHAnsi"/>
        </w:rPr>
      </w:pPr>
      <w:r w:rsidRPr="004D0D9B">
        <w:rPr>
          <w:rFonts w:cstheme="minorHAnsi"/>
        </w:rPr>
        <w:t xml:space="preserve">Human remains at Stonehenge – </w:t>
      </w:r>
    </w:p>
    <w:p w14:paraId="77E7B8C9" w14:textId="05B5CE98" w:rsidR="00DE0355" w:rsidRPr="004D0D9B" w:rsidRDefault="00DE0355" w:rsidP="004D0D9B">
      <w:pPr>
        <w:spacing w:line="360" w:lineRule="auto"/>
        <w:rPr>
          <w:rFonts w:cstheme="minorHAnsi"/>
        </w:rPr>
      </w:pPr>
      <w:r w:rsidRPr="004D0D9B">
        <w:rPr>
          <w:rFonts w:cstheme="minorHAnsi"/>
        </w:rPr>
        <w:t xml:space="preserve">Since archaeological excavations began at Stonehenge, there has been </w:t>
      </w:r>
      <w:r w:rsidR="00630E86" w:rsidRPr="004D0D9B">
        <w:rPr>
          <w:rFonts w:cstheme="minorHAnsi"/>
        </w:rPr>
        <w:t xml:space="preserve">several reports of human remains being found at the site. </w:t>
      </w:r>
      <w:r w:rsidR="00EF58F7" w:rsidRPr="004D0D9B">
        <w:rPr>
          <w:rFonts w:cstheme="minorHAnsi"/>
        </w:rPr>
        <w:t>Most of these remains have been cremated, with a sample being excavated by William Hawley between 1920 and 1926.</w:t>
      </w:r>
      <w:r w:rsidR="00EF58F7" w:rsidRPr="004D0D9B">
        <w:rPr>
          <w:rStyle w:val="FootnoteReference"/>
          <w:rFonts w:cstheme="minorHAnsi"/>
        </w:rPr>
        <w:footnoteReference w:id="20"/>
      </w:r>
      <w:r w:rsidR="008B0D84" w:rsidRPr="004D0D9B">
        <w:rPr>
          <w:rFonts w:cstheme="minorHAnsi"/>
        </w:rPr>
        <w:t xml:space="preserve"> The larger components of this excavated sample were reburied in 1935 at the site, in Aubrey Hole 7. These remains were not analysed during this period of excavation and remained that way until the 2008 excavation by the Stonehenge Riverside Project, who wanted analyse and date the remains.</w:t>
      </w:r>
      <w:r w:rsidR="008B0D84" w:rsidRPr="004D0D9B">
        <w:rPr>
          <w:rStyle w:val="FootnoteReference"/>
          <w:rFonts w:cstheme="minorHAnsi"/>
        </w:rPr>
        <w:footnoteReference w:id="21"/>
      </w:r>
      <w:r w:rsidR="008B0D84" w:rsidRPr="004D0D9B">
        <w:rPr>
          <w:rFonts w:cstheme="minorHAnsi"/>
        </w:rPr>
        <w:t xml:space="preserve"> </w:t>
      </w:r>
    </w:p>
    <w:p w14:paraId="2AC34A1A" w14:textId="20FE99B8" w:rsidR="008B0D84" w:rsidRPr="004D0D9B" w:rsidRDefault="008B0D84" w:rsidP="004D0D9B">
      <w:pPr>
        <w:spacing w:line="360" w:lineRule="auto"/>
        <w:rPr>
          <w:rFonts w:cstheme="minorHAnsi"/>
        </w:rPr>
      </w:pPr>
    </w:p>
    <w:p w14:paraId="23F15CDF" w14:textId="77777777" w:rsidR="00DC4F4F" w:rsidRPr="004D0D9B" w:rsidRDefault="008B0D84" w:rsidP="004D0D9B">
      <w:pPr>
        <w:spacing w:line="360" w:lineRule="auto"/>
        <w:rPr>
          <w:rFonts w:cstheme="minorHAnsi"/>
        </w:rPr>
      </w:pPr>
      <w:r w:rsidRPr="004D0D9B">
        <w:rPr>
          <w:rFonts w:cstheme="minorHAnsi"/>
        </w:rPr>
        <w:t>The remains at Stonehenge were excavated</w:t>
      </w:r>
      <w:r w:rsidR="00355AB3" w:rsidRPr="004D0D9B">
        <w:rPr>
          <w:rFonts w:cstheme="minorHAnsi"/>
        </w:rPr>
        <w:t xml:space="preserve"> by Hawley</w:t>
      </w:r>
      <w:r w:rsidRPr="004D0D9B">
        <w:rPr>
          <w:rFonts w:cstheme="minorHAnsi"/>
        </w:rPr>
        <w:t xml:space="preserve"> from across the south-east half of </w:t>
      </w:r>
      <w:r w:rsidR="00355AB3" w:rsidRPr="004D0D9B">
        <w:rPr>
          <w:rFonts w:cstheme="minorHAnsi"/>
        </w:rPr>
        <w:t>the site. This includes 23 of the 56 Aubrey Holes (2-18, 20, 21, 23, 24, 28, and 29), the enclosure ditch, and the area enclosed by that ditch.</w:t>
      </w:r>
      <w:r w:rsidR="00CC0C15" w:rsidRPr="004D0D9B">
        <w:rPr>
          <w:rStyle w:val="FootnoteReference"/>
          <w:rFonts w:cstheme="minorHAnsi"/>
        </w:rPr>
        <w:footnoteReference w:id="22"/>
      </w:r>
      <w:r w:rsidR="00CC0C15" w:rsidRPr="004D0D9B">
        <w:rPr>
          <w:rFonts w:cstheme="minorHAnsi"/>
        </w:rPr>
        <w:t xml:space="preserve"> </w:t>
      </w:r>
      <w:r w:rsidR="00C13BE0" w:rsidRPr="004D0D9B">
        <w:rPr>
          <w:rFonts w:cstheme="minorHAnsi"/>
        </w:rPr>
        <w:t xml:space="preserve">The majority of the cremated remains were found around Aubrey </w:t>
      </w:r>
      <w:r w:rsidR="00C13BE0" w:rsidRPr="004D0D9B">
        <w:rPr>
          <w:rFonts w:cstheme="minorHAnsi"/>
        </w:rPr>
        <w:lastRenderedPageBreak/>
        <w:t>Holes 14-16</w:t>
      </w:r>
      <w:r w:rsidR="00B27F8A" w:rsidRPr="004D0D9B">
        <w:rPr>
          <w:rFonts w:cstheme="minorHAnsi"/>
        </w:rPr>
        <w:t xml:space="preserve">, littered around the outside of the sarsen circle. </w:t>
      </w:r>
      <w:r w:rsidR="00084BB6" w:rsidRPr="004D0D9B">
        <w:rPr>
          <w:rFonts w:cstheme="minorHAnsi"/>
        </w:rPr>
        <w:t>Upon re-excavation, new burial remains were found outside Aubrey Hole 7, indicating that the methods of the 1920s were not the most thorough.</w:t>
      </w:r>
      <w:r w:rsidR="00084BB6" w:rsidRPr="004D0D9B">
        <w:rPr>
          <w:rStyle w:val="FootnoteReference"/>
          <w:rFonts w:cstheme="minorHAnsi"/>
        </w:rPr>
        <w:footnoteReference w:id="23"/>
      </w:r>
      <w:r w:rsidR="00084BB6" w:rsidRPr="004D0D9B">
        <w:rPr>
          <w:rFonts w:cstheme="minorHAnsi"/>
        </w:rPr>
        <w:t xml:space="preserve"> </w:t>
      </w:r>
      <w:r w:rsidR="00DC4F4F" w:rsidRPr="004D0D9B">
        <w:rPr>
          <w:rFonts w:cstheme="minorHAnsi"/>
        </w:rPr>
        <w:t xml:space="preserve">The research into Stonehenge’s cremations show that they were placed in the Aubrey Holes over a period of five centuries, and are believed to have a direct relation to some of the standing stones. </w:t>
      </w:r>
    </w:p>
    <w:p w14:paraId="6106ABFA" w14:textId="77777777" w:rsidR="00DC4F4F" w:rsidRPr="004D0D9B" w:rsidRDefault="00DC4F4F" w:rsidP="004D0D9B">
      <w:pPr>
        <w:spacing w:line="360" w:lineRule="auto"/>
        <w:rPr>
          <w:rFonts w:cstheme="minorHAnsi"/>
        </w:rPr>
      </w:pPr>
    </w:p>
    <w:p w14:paraId="228959E7" w14:textId="2F081A63" w:rsidR="000578D1" w:rsidRPr="004D0D9B" w:rsidRDefault="00DC4F4F" w:rsidP="004D0D9B">
      <w:pPr>
        <w:spacing w:line="360" w:lineRule="auto"/>
        <w:rPr>
          <w:rFonts w:cstheme="minorHAnsi"/>
        </w:rPr>
      </w:pPr>
      <w:r w:rsidRPr="004D0D9B">
        <w:rPr>
          <w:rFonts w:cstheme="minorHAnsi"/>
        </w:rPr>
        <w:t xml:space="preserve">Stonehenge itself is believed to have a direct ceremonial relationship with the dead. While the central stones were left distant from any human remains in their later stages, the monument is still associated with the remains of dead individuals. </w:t>
      </w:r>
      <w:r w:rsidR="0028399A" w:rsidRPr="004D0D9B">
        <w:rPr>
          <w:rFonts w:cstheme="minorHAnsi"/>
        </w:rPr>
        <w:t xml:space="preserve">Therefore, it must be considered as a graveyard, and thus it becomes difficult to assess the relationship </w:t>
      </w:r>
      <w:r w:rsidR="00466F1B" w:rsidRPr="004D0D9B">
        <w:rPr>
          <w:rFonts w:cstheme="minorHAnsi"/>
        </w:rPr>
        <w:t xml:space="preserve">we maintain </w:t>
      </w:r>
      <w:r w:rsidR="0028399A" w:rsidRPr="004D0D9B">
        <w:rPr>
          <w:rFonts w:cstheme="minorHAnsi"/>
        </w:rPr>
        <w:t xml:space="preserve">to Stonehenge. </w:t>
      </w:r>
      <w:r w:rsidR="00466F1B" w:rsidRPr="004D0D9B">
        <w:rPr>
          <w:rFonts w:cstheme="minorHAnsi"/>
        </w:rPr>
        <w:t>It is essentially the largest cemetery in the British Isles, containing the most evidence of funerary rites of the period.</w:t>
      </w:r>
      <w:r w:rsidR="00466F1B" w:rsidRPr="004D0D9B">
        <w:rPr>
          <w:rStyle w:val="FootnoteReference"/>
          <w:rFonts w:cstheme="minorHAnsi"/>
        </w:rPr>
        <w:footnoteReference w:id="24"/>
      </w:r>
      <w:r w:rsidR="009E4CFD" w:rsidRPr="004D0D9B">
        <w:rPr>
          <w:rFonts w:cstheme="minorHAnsi"/>
        </w:rPr>
        <w:t xml:space="preserve"> </w:t>
      </w:r>
      <w:r w:rsidR="000578D1" w:rsidRPr="004D0D9B">
        <w:rPr>
          <w:rFonts w:cstheme="minorHAnsi"/>
        </w:rPr>
        <w:t xml:space="preserve">Therefore, we must re-evaluate how we approach the monument, and how it is presented as a site of World Heritage. </w:t>
      </w:r>
    </w:p>
    <w:p w14:paraId="64E92566" w14:textId="77777777" w:rsidR="000578D1" w:rsidRPr="004D0D9B" w:rsidRDefault="000578D1" w:rsidP="004D0D9B">
      <w:pPr>
        <w:spacing w:line="360" w:lineRule="auto"/>
        <w:rPr>
          <w:rFonts w:cstheme="minorHAnsi"/>
        </w:rPr>
      </w:pPr>
    </w:p>
    <w:p w14:paraId="657CCE2A" w14:textId="6D84F439" w:rsidR="00DC4F4F" w:rsidRPr="004D0D9B" w:rsidRDefault="00DC4F4F" w:rsidP="004D0D9B">
      <w:pPr>
        <w:spacing w:line="360" w:lineRule="auto"/>
        <w:rPr>
          <w:rFonts w:cstheme="minorHAnsi"/>
        </w:rPr>
      </w:pPr>
      <w:r w:rsidRPr="004D0D9B">
        <w:rPr>
          <w:rFonts w:cstheme="minorHAnsi"/>
        </w:rPr>
        <w:t xml:space="preserve">In conclusion, </w:t>
      </w:r>
      <w:r w:rsidR="006311BC" w:rsidRPr="004D0D9B">
        <w:rPr>
          <w:rFonts w:cstheme="minorHAnsi"/>
        </w:rPr>
        <w:t>while Stonehenge is a contested site</w:t>
      </w:r>
      <w:r w:rsidR="004D0D9B" w:rsidRPr="004D0D9B">
        <w:rPr>
          <w:rFonts w:cstheme="minorHAnsi"/>
        </w:rPr>
        <w:t xml:space="preserve"> with a long history of human burial, over congestion, and arguments over the way it is run</w:t>
      </w:r>
      <w:r w:rsidR="006311BC" w:rsidRPr="004D0D9B">
        <w:rPr>
          <w:rFonts w:cstheme="minorHAnsi"/>
        </w:rPr>
        <w:t xml:space="preserve">, it </w:t>
      </w:r>
      <w:r w:rsidR="000578D1" w:rsidRPr="004D0D9B">
        <w:rPr>
          <w:rFonts w:cstheme="minorHAnsi"/>
        </w:rPr>
        <w:t xml:space="preserve">can be aided and </w:t>
      </w:r>
      <w:r w:rsidR="004D0D9B" w:rsidRPr="004D0D9B">
        <w:rPr>
          <w:rFonts w:cstheme="minorHAnsi"/>
        </w:rPr>
        <w:t xml:space="preserve">assisted by those working in and around the site of Stonehenge. </w:t>
      </w:r>
    </w:p>
    <w:p w14:paraId="7D9D8426" w14:textId="77777777" w:rsidR="004D0D9B" w:rsidRDefault="004D0D9B" w:rsidP="004D0D9B">
      <w:pPr>
        <w:spacing w:line="360" w:lineRule="auto"/>
        <w:rPr>
          <w:rFonts w:cstheme="minorHAnsi"/>
        </w:rPr>
      </w:pPr>
    </w:p>
    <w:p w14:paraId="1F5DA3CF" w14:textId="1EE39321" w:rsidR="004D0D9B" w:rsidRDefault="004D0D9B" w:rsidP="004D0D9B">
      <w:pPr>
        <w:spacing w:line="360" w:lineRule="auto"/>
        <w:rPr>
          <w:rFonts w:cstheme="minorHAnsi"/>
        </w:rPr>
      </w:pPr>
      <w:r w:rsidRPr="004D0D9B">
        <w:rPr>
          <w:rFonts w:cstheme="minorHAnsi"/>
        </w:rPr>
        <w:t xml:space="preserve">[Word Count – 3150] </w:t>
      </w:r>
    </w:p>
    <w:p w14:paraId="1B900D11" w14:textId="005201DF" w:rsidR="004D0D9B" w:rsidRDefault="004D0D9B" w:rsidP="004D0D9B">
      <w:pPr>
        <w:spacing w:line="360" w:lineRule="auto"/>
        <w:rPr>
          <w:rFonts w:cstheme="minorHAnsi"/>
        </w:rPr>
      </w:pPr>
    </w:p>
    <w:p w14:paraId="651E806E" w14:textId="1FB1CC55" w:rsidR="004D0D9B" w:rsidRDefault="004D0D9B" w:rsidP="004D0D9B">
      <w:pPr>
        <w:spacing w:line="360" w:lineRule="auto"/>
        <w:rPr>
          <w:rFonts w:cstheme="minorHAnsi"/>
          <w:sz w:val="24"/>
          <w:szCs w:val="24"/>
          <w:u w:val="single"/>
        </w:rPr>
      </w:pPr>
      <w:r w:rsidRPr="004D0D9B">
        <w:rPr>
          <w:rFonts w:cstheme="minorHAnsi"/>
          <w:sz w:val="24"/>
          <w:szCs w:val="24"/>
          <w:u w:val="single"/>
        </w:rPr>
        <w:t xml:space="preserve">Bibliography </w:t>
      </w:r>
    </w:p>
    <w:p w14:paraId="02F8AAEF" w14:textId="13FB6C7F" w:rsidR="004D0D9B" w:rsidRPr="004D0D9B" w:rsidRDefault="004D0D9B" w:rsidP="004D0D9B">
      <w:pPr>
        <w:spacing w:line="360" w:lineRule="auto"/>
        <w:rPr>
          <w:rFonts w:ascii="Calibri" w:hAnsi="Calibri" w:cs="Calibri"/>
        </w:rPr>
      </w:pPr>
      <w:r w:rsidRPr="004D0D9B">
        <w:rPr>
          <w:rFonts w:ascii="Calibri" w:hAnsi="Calibri" w:cs="Calibri"/>
        </w:rPr>
        <w:t>Blain, Jenny, and Robert J. Wallis, ‘Sacred Sites, Contested Rites/ Rights: Contemporary Pagan Engagements with the Past’, Journal of Material Culture, 9.3 (2004), 237–61</w:t>
      </w:r>
    </w:p>
    <w:p w14:paraId="2F7DFDD5" w14:textId="77777777" w:rsidR="004D0D9B" w:rsidRPr="004D0D9B" w:rsidRDefault="004D0D9B" w:rsidP="004D0D9B">
      <w:pPr>
        <w:spacing w:line="360" w:lineRule="auto"/>
        <w:rPr>
          <w:rFonts w:cstheme="minorHAnsi"/>
          <w:sz w:val="24"/>
          <w:szCs w:val="24"/>
          <w:u w:val="single"/>
        </w:rPr>
      </w:pPr>
    </w:p>
    <w:p w14:paraId="69C8764B" w14:textId="06289DE9" w:rsidR="004D0D9B" w:rsidRPr="004D0D9B" w:rsidRDefault="004D0D9B" w:rsidP="004D0D9B">
      <w:pPr>
        <w:spacing w:line="360" w:lineRule="auto"/>
        <w:rPr>
          <w:rFonts w:ascii="Calibri" w:hAnsi="Calibri" w:cs="Calibri"/>
        </w:rPr>
      </w:pPr>
      <w:r w:rsidRPr="004D0D9B">
        <w:rPr>
          <w:rFonts w:ascii="Calibri" w:hAnsi="Calibri" w:cs="Calibri"/>
        </w:rPr>
        <w:t>Chippindale, Christopher</w:t>
      </w:r>
      <w:r w:rsidR="008C69D8">
        <w:rPr>
          <w:rFonts w:ascii="Calibri" w:hAnsi="Calibri" w:cs="Calibri"/>
        </w:rPr>
        <w:t xml:space="preserve"> et al</w:t>
      </w:r>
      <w:r w:rsidRPr="004D0D9B">
        <w:rPr>
          <w:rFonts w:ascii="Calibri" w:hAnsi="Calibri" w:cs="Calibri"/>
        </w:rPr>
        <w:t>, ‘New Era for Stonehenge’, Antiquity, 88.340 (2014), 644–57</w:t>
      </w:r>
    </w:p>
    <w:p w14:paraId="6DCF9AD5" w14:textId="5073BEC9" w:rsidR="004D0D9B" w:rsidRPr="004D0D9B" w:rsidRDefault="004D0D9B" w:rsidP="004D0D9B">
      <w:pPr>
        <w:spacing w:line="360" w:lineRule="auto"/>
        <w:rPr>
          <w:rFonts w:ascii="Calibri" w:hAnsi="Calibri" w:cs="Calibri"/>
        </w:rPr>
      </w:pPr>
    </w:p>
    <w:p w14:paraId="036B03F5" w14:textId="497AC468" w:rsidR="004D0D9B" w:rsidRPr="004D0D9B" w:rsidRDefault="004D0D9B" w:rsidP="004D0D9B">
      <w:pPr>
        <w:spacing w:line="360" w:lineRule="auto"/>
        <w:rPr>
          <w:rFonts w:ascii="Calibri" w:hAnsi="Calibri" w:cs="Calibri"/>
        </w:rPr>
      </w:pPr>
      <w:r w:rsidRPr="004D0D9B">
        <w:rPr>
          <w:rFonts w:ascii="Calibri" w:hAnsi="Calibri" w:cs="Calibri"/>
        </w:rPr>
        <w:lastRenderedPageBreak/>
        <w:t>Darvill, Timothy</w:t>
      </w:r>
      <w:r w:rsidR="008C69D8">
        <w:rPr>
          <w:rFonts w:ascii="Calibri" w:hAnsi="Calibri" w:cs="Calibri"/>
        </w:rPr>
        <w:t xml:space="preserve"> et al</w:t>
      </w:r>
      <w:r w:rsidRPr="004D0D9B">
        <w:rPr>
          <w:rFonts w:ascii="Calibri" w:hAnsi="Calibri" w:cs="Calibri"/>
        </w:rPr>
        <w:t>, ‘Stonehenge Remodelled’, Antiquity, 86.334 (2012), 1021–40</w:t>
      </w:r>
    </w:p>
    <w:p w14:paraId="2394DC09" w14:textId="20CA08DB" w:rsidR="004D0D9B" w:rsidRPr="004D0D9B" w:rsidRDefault="004D0D9B" w:rsidP="004D0D9B">
      <w:pPr>
        <w:spacing w:line="360" w:lineRule="auto"/>
        <w:rPr>
          <w:rFonts w:ascii="Calibri" w:hAnsi="Calibri" w:cs="Calibri"/>
        </w:rPr>
      </w:pPr>
    </w:p>
    <w:p w14:paraId="01C28D42" w14:textId="7768EA36" w:rsidR="004D0D9B" w:rsidRPr="004D0D9B" w:rsidRDefault="004D0D9B" w:rsidP="004D0D9B">
      <w:pPr>
        <w:spacing w:line="360" w:lineRule="auto"/>
        <w:rPr>
          <w:rFonts w:ascii="Calibri" w:hAnsi="Calibri" w:cs="Calibri"/>
        </w:rPr>
      </w:pPr>
      <w:r w:rsidRPr="004D0D9B">
        <w:rPr>
          <w:rFonts w:ascii="Calibri" w:hAnsi="Calibri" w:cs="Calibri"/>
        </w:rPr>
        <w:t>Leask, Anna., and Alan. Fyall, Managing World Heritage Sites (Oxford ;: Routledge, UK, 2011)</w:t>
      </w:r>
    </w:p>
    <w:p w14:paraId="0EEE1327" w14:textId="5E618A9F" w:rsidR="004D0D9B" w:rsidRPr="004D0D9B" w:rsidRDefault="004D0D9B" w:rsidP="004D0D9B">
      <w:pPr>
        <w:spacing w:line="360" w:lineRule="auto"/>
        <w:rPr>
          <w:rFonts w:ascii="Calibri" w:hAnsi="Calibri" w:cs="Calibri"/>
        </w:rPr>
      </w:pPr>
    </w:p>
    <w:p w14:paraId="5F0FCC3A" w14:textId="69149392" w:rsidR="004D0D9B" w:rsidRPr="004D0D9B" w:rsidRDefault="004D0D9B" w:rsidP="004D0D9B">
      <w:pPr>
        <w:spacing w:line="360" w:lineRule="auto"/>
        <w:rPr>
          <w:rFonts w:ascii="Calibri" w:hAnsi="Calibri" w:cs="Calibri"/>
        </w:rPr>
      </w:pPr>
      <w:r w:rsidRPr="004D0D9B">
        <w:rPr>
          <w:rFonts w:ascii="Calibri" w:hAnsi="Calibri" w:cs="Calibri"/>
        </w:rPr>
        <w:t>Pearson, Mike Parker</w:t>
      </w:r>
      <w:r w:rsidR="008C69D8">
        <w:rPr>
          <w:rFonts w:ascii="Calibri" w:hAnsi="Calibri" w:cs="Calibri"/>
        </w:rPr>
        <w:t xml:space="preserve"> et al</w:t>
      </w:r>
      <w:r w:rsidRPr="004D0D9B">
        <w:rPr>
          <w:rFonts w:ascii="Calibri" w:hAnsi="Calibri" w:cs="Calibri"/>
        </w:rPr>
        <w:t>, ‘Materializing Stonehenge: The Stonehenge Riverside Project and New Discoveries’, Journal of Material Culture, 11.1-2 (2006), 227–61</w:t>
      </w:r>
    </w:p>
    <w:p w14:paraId="68D60006" w14:textId="74CBD260" w:rsidR="004D0D9B" w:rsidRPr="004D0D9B" w:rsidRDefault="004D0D9B" w:rsidP="004D0D9B">
      <w:pPr>
        <w:spacing w:line="360" w:lineRule="auto"/>
        <w:rPr>
          <w:rFonts w:ascii="Calibri" w:hAnsi="Calibri" w:cs="Calibri"/>
        </w:rPr>
      </w:pPr>
    </w:p>
    <w:p w14:paraId="4A5291CE" w14:textId="5CFF69AE" w:rsidR="004D0D9B" w:rsidRPr="004D0D9B" w:rsidRDefault="004D0D9B" w:rsidP="004D0D9B">
      <w:pPr>
        <w:spacing w:line="360" w:lineRule="auto"/>
        <w:rPr>
          <w:rFonts w:ascii="Calibri" w:hAnsi="Calibri" w:cs="Calibri"/>
        </w:rPr>
      </w:pPr>
      <w:r w:rsidRPr="004D0D9B">
        <w:rPr>
          <w:rFonts w:ascii="Calibri" w:hAnsi="Calibri" w:cs="Calibri"/>
        </w:rPr>
        <w:t>Willis, Christie</w:t>
      </w:r>
      <w:r w:rsidR="008C69D8">
        <w:rPr>
          <w:rFonts w:ascii="Calibri" w:hAnsi="Calibri" w:cs="Calibri"/>
        </w:rPr>
        <w:t xml:space="preserve"> et al</w:t>
      </w:r>
      <w:r w:rsidRPr="004D0D9B">
        <w:rPr>
          <w:rFonts w:ascii="Calibri" w:hAnsi="Calibri" w:cs="Calibri"/>
        </w:rPr>
        <w:t>, ‘The Dead of Stonehenge’, Antiquity, 90.350 (2016), 337–56</w:t>
      </w:r>
    </w:p>
    <w:p w14:paraId="6B56B0ED" w14:textId="23BA261A" w:rsidR="004D0D9B" w:rsidRDefault="004D0D9B" w:rsidP="004D0D9B">
      <w:pPr>
        <w:spacing w:line="360" w:lineRule="auto"/>
        <w:rPr>
          <w:rFonts w:ascii="Calibri" w:hAnsi="Calibri" w:cs="Calibri"/>
          <w:b/>
          <w:bCs/>
        </w:rPr>
      </w:pPr>
    </w:p>
    <w:p w14:paraId="3754777B" w14:textId="14550AAB" w:rsidR="004D0D9B" w:rsidRPr="004D0D9B" w:rsidRDefault="004D0D9B" w:rsidP="004D0D9B">
      <w:pPr>
        <w:spacing w:line="360" w:lineRule="auto"/>
        <w:rPr>
          <w:rFonts w:cstheme="minorHAnsi"/>
        </w:rPr>
      </w:pPr>
      <w:r>
        <w:rPr>
          <w:rFonts w:ascii="Calibri" w:hAnsi="Calibri" w:cs="Calibri"/>
        </w:rPr>
        <w:t xml:space="preserve">UNESCO, ‘Stonehenge, Avebury, and Associated Sites’, </w:t>
      </w:r>
      <w:hyperlink r:id="rId7" w:history="1">
        <w:r>
          <w:rPr>
            <w:rStyle w:val="Hyperlink"/>
            <w:rFonts w:ascii="Calibri" w:hAnsi="Calibri" w:cs="Calibri"/>
          </w:rPr>
          <w:t>https://whc.unesco.org/en/list/373/</w:t>
        </w:r>
      </w:hyperlink>
      <w:r>
        <w:rPr>
          <w:rFonts w:ascii="Calibri" w:hAnsi="Calibri" w:cs="Calibri"/>
        </w:rPr>
        <w:t xml:space="preserve"> [Date Accessed – 24/03/2023]. </w:t>
      </w:r>
    </w:p>
    <w:p w14:paraId="35BA4D0C" w14:textId="5119A53E" w:rsidR="009257FA" w:rsidRPr="00241B41" w:rsidRDefault="009257FA" w:rsidP="004D0D9B">
      <w:pPr>
        <w:spacing w:line="360" w:lineRule="auto"/>
        <w:rPr>
          <w:rFonts w:ascii="Comic Sans MS" w:hAnsi="Comic Sans MS"/>
          <w:sz w:val="28"/>
          <w:szCs w:val="28"/>
        </w:rPr>
      </w:pPr>
    </w:p>
    <w:p w14:paraId="58FBCFCA" w14:textId="28F9178D" w:rsidR="009257FA" w:rsidRPr="00241B41" w:rsidRDefault="009257FA" w:rsidP="004D0D9B">
      <w:pPr>
        <w:spacing w:line="360" w:lineRule="auto"/>
        <w:rPr>
          <w:rFonts w:ascii="Comic Sans MS" w:hAnsi="Comic Sans MS"/>
          <w:sz w:val="28"/>
          <w:szCs w:val="28"/>
        </w:rPr>
      </w:pPr>
    </w:p>
    <w:sectPr w:rsidR="009257FA" w:rsidRPr="00241B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5844D" w14:textId="77777777" w:rsidR="00C261E7" w:rsidRDefault="00C261E7" w:rsidP="0055171A">
      <w:pPr>
        <w:spacing w:after="0" w:line="240" w:lineRule="auto"/>
      </w:pPr>
      <w:r>
        <w:separator/>
      </w:r>
    </w:p>
  </w:endnote>
  <w:endnote w:type="continuationSeparator" w:id="0">
    <w:p w14:paraId="52A215B4" w14:textId="77777777" w:rsidR="00C261E7" w:rsidRDefault="00C261E7" w:rsidP="00551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3EA28" w14:textId="77777777" w:rsidR="00C261E7" w:rsidRDefault="00C261E7" w:rsidP="0055171A">
      <w:pPr>
        <w:spacing w:after="0" w:line="240" w:lineRule="auto"/>
      </w:pPr>
      <w:r>
        <w:separator/>
      </w:r>
    </w:p>
  </w:footnote>
  <w:footnote w:type="continuationSeparator" w:id="0">
    <w:p w14:paraId="068A9F6E" w14:textId="77777777" w:rsidR="00C261E7" w:rsidRDefault="00C261E7" w:rsidP="0055171A">
      <w:pPr>
        <w:spacing w:after="0" w:line="240" w:lineRule="auto"/>
      </w:pPr>
      <w:r>
        <w:continuationSeparator/>
      </w:r>
    </w:p>
  </w:footnote>
  <w:footnote w:id="1">
    <w:p w14:paraId="67BF90A4" w14:textId="038EDD64" w:rsidR="00517470" w:rsidRDefault="00517470">
      <w:pPr>
        <w:pStyle w:val="FootnoteText"/>
      </w:pPr>
      <w:r>
        <w:rPr>
          <w:rStyle w:val="FootnoteReference"/>
        </w:rPr>
        <w:footnoteRef/>
      </w:r>
      <w:r>
        <w:t xml:space="preserve"> </w:t>
      </w:r>
      <w:r w:rsidR="004D0D9B">
        <w:t xml:space="preserve">Christie Willis et al, ‘The Dead of Stonehenge’, Antiquity (2016), p.337-56. </w:t>
      </w:r>
    </w:p>
  </w:footnote>
  <w:footnote w:id="2">
    <w:p w14:paraId="3B3902EC" w14:textId="720421A4" w:rsidR="002D506C" w:rsidRDefault="002D506C">
      <w:pPr>
        <w:pStyle w:val="FootnoteText"/>
      </w:pPr>
      <w:r>
        <w:rPr>
          <w:rStyle w:val="FootnoteReference"/>
        </w:rPr>
        <w:footnoteRef/>
      </w:r>
      <w:r>
        <w:t xml:space="preserve"> </w:t>
      </w:r>
      <w:r w:rsidR="004D0D9B">
        <w:t xml:space="preserve">Christopher Chippendale et al, ‘New Era for Stonehenge’, Antiquity (2014), p.644-57. </w:t>
      </w:r>
    </w:p>
  </w:footnote>
  <w:footnote w:id="3">
    <w:p w14:paraId="13EE8EC2" w14:textId="2895873D" w:rsidR="0002395C" w:rsidRDefault="0002395C">
      <w:pPr>
        <w:pStyle w:val="FootnoteText"/>
      </w:pPr>
      <w:r>
        <w:rPr>
          <w:rStyle w:val="FootnoteReference"/>
        </w:rPr>
        <w:footnoteRef/>
      </w:r>
      <w:r>
        <w:t xml:space="preserve"> </w:t>
      </w:r>
      <w:r w:rsidR="006A0A75">
        <w:t xml:space="preserve">Timothy Darvill et al, ‘Stonehenge Remodelled’, Antiquity (2012), p.1021-40. </w:t>
      </w:r>
    </w:p>
  </w:footnote>
  <w:footnote w:id="4">
    <w:p w14:paraId="03E7AE79" w14:textId="4239BFAA" w:rsidR="00856540" w:rsidRDefault="00856540">
      <w:pPr>
        <w:pStyle w:val="FootnoteText"/>
      </w:pPr>
      <w:r>
        <w:rPr>
          <w:rStyle w:val="FootnoteReference"/>
        </w:rPr>
        <w:footnoteRef/>
      </w:r>
      <w:r>
        <w:t xml:space="preserve"> </w:t>
      </w:r>
      <w:r w:rsidR="006A0A75">
        <w:t>Timothy Darvill et al, ‘Stonehenge Remodelled’, Antiquity (2012), p.1021-40.</w:t>
      </w:r>
    </w:p>
  </w:footnote>
  <w:footnote w:id="5">
    <w:p w14:paraId="59319EB3" w14:textId="26F07896" w:rsidR="003E2B22" w:rsidRDefault="003E2B22">
      <w:pPr>
        <w:pStyle w:val="FootnoteText"/>
      </w:pPr>
      <w:r>
        <w:rPr>
          <w:rStyle w:val="FootnoteReference"/>
        </w:rPr>
        <w:footnoteRef/>
      </w:r>
      <w:r>
        <w:t xml:space="preserve"> </w:t>
      </w:r>
      <w:r w:rsidR="004D0D9B">
        <w:t>Christopher Chippendale et al, ‘New Era for Stonehenge’, Antiquity (2014), p.644-57.</w:t>
      </w:r>
    </w:p>
  </w:footnote>
  <w:footnote w:id="6">
    <w:p w14:paraId="7E747C74" w14:textId="58DE89C6" w:rsidR="00AC7DAE" w:rsidRDefault="00AC7DAE">
      <w:pPr>
        <w:pStyle w:val="FootnoteText"/>
      </w:pPr>
      <w:r>
        <w:rPr>
          <w:rStyle w:val="FootnoteReference"/>
        </w:rPr>
        <w:footnoteRef/>
      </w:r>
      <w:r>
        <w:t xml:space="preserve"> </w:t>
      </w:r>
      <w:r w:rsidR="004D0D9B">
        <w:t>Christopher Chippendale et al, ‘New Era for Stonehenge’, Antiquity (2014), p.644-57.</w:t>
      </w:r>
    </w:p>
  </w:footnote>
  <w:footnote w:id="7">
    <w:p w14:paraId="35BAE4C2" w14:textId="1433227B" w:rsidR="002C73BD" w:rsidRDefault="002C73BD">
      <w:pPr>
        <w:pStyle w:val="FootnoteText"/>
      </w:pPr>
      <w:r>
        <w:rPr>
          <w:rStyle w:val="FootnoteReference"/>
        </w:rPr>
        <w:footnoteRef/>
      </w:r>
      <w:r>
        <w:t xml:space="preserve"> </w:t>
      </w:r>
      <w:r w:rsidR="004D0D9B">
        <w:t>Christopher Chippendale et al, ‘New Era for Stonehenge’, Antiquity (2014), p.644-57.</w:t>
      </w:r>
    </w:p>
  </w:footnote>
  <w:footnote w:id="8">
    <w:p w14:paraId="4B351BB1" w14:textId="202C7F33" w:rsidR="00A330C8" w:rsidRDefault="00A330C8">
      <w:pPr>
        <w:pStyle w:val="FootnoteText"/>
      </w:pPr>
      <w:r>
        <w:rPr>
          <w:rStyle w:val="FootnoteReference"/>
        </w:rPr>
        <w:footnoteRef/>
      </w:r>
      <w:r>
        <w:t xml:space="preserve"> </w:t>
      </w:r>
      <w:r w:rsidR="004D0D9B">
        <w:t xml:space="preserve">Ibid. </w:t>
      </w:r>
    </w:p>
  </w:footnote>
  <w:footnote w:id="9">
    <w:p w14:paraId="4511D361" w14:textId="140C1DAA" w:rsidR="00A330C8" w:rsidRDefault="00A330C8">
      <w:pPr>
        <w:pStyle w:val="FootnoteText"/>
      </w:pPr>
      <w:r>
        <w:rPr>
          <w:rStyle w:val="FootnoteReference"/>
        </w:rPr>
        <w:footnoteRef/>
      </w:r>
      <w:r>
        <w:t xml:space="preserve"> </w:t>
      </w:r>
      <w:r w:rsidR="004D0D9B">
        <w:t>Ibid.</w:t>
      </w:r>
    </w:p>
  </w:footnote>
  <w:footnote w:id="10">
    <w:p w14:paraId="07C43EF6" w14:textId="76067C86" w:rsidR="007B6ECC" w:rsidRDefault="007B6ECC">
      <w:pPr>
        <w:pStyle w:val="FootnoteText"/>
      </w:pPr>
      <w:r>
        <w:rPr>
          <w:rStyle w:val="FootnoteReference"/>
        </w:rPr>
        <w:footnoteRef/>
      </w:r>
      <w:r>
        <w:t xml:space="preserve"> </w:t>
      </w:r>
      <w:r w:rsidR="004D0D9B">
        <w:t>Ibid.</w:t>
      </w:r>
    </w:p>
  </w:footnote>
  <w:footnote w:id="11">
    <w:p w14:paraId="78438E3A" w14:textId="5752B555" w:rsidR="008801B6" w:rsidRDefault="008801B6">
      <w:pPr>
        <w:pStyle w:val="FootnoteText"/>
      </w:pPr>
      <w:r>
        <w:rPr>
          <w:rStyle w:val="FootnoteReference"/>
        </w:rPr>
        <w:footnoteRef/>
      </w:r>
      <w:r>
        <w:t xml:space="preserve"> </w:t>
      </w:r>
      <w:r w:rsidR="004D0D9B">
        <w:t>Ibid.</w:t>
      </w:r>
    </w:p>
  </w:footnote>
  <w:footnote w:id="12">
    <w:p w14:paraId="2E9186CC" w14:textId="55DA1EFE" w:rsidR="005D21ED" w:rsidRDefault="005D21ED">
      <w:pPr>
        <w:pStyle w:val="FootnoteText"/>
      </w:pPr>
      <w:r>
        <w:rPr>
          <w:rStyle w:val="FootnoteReference"/>
        </w:rPr>
        <w:footnoteRef/>
      </w:r>
      <w:r>
        <w:t xml:space="preserve"> </w:t>
      </w:r>
      <w:r w:rsidR="004D0D9B">
        <w:t>Christopher Chippendale et al, ‘New Era for Stonehenge’, Antiquity (2014), p.644-57.</w:t>
      </w:r>
    </w:p>
  </w:footnote>
  <w:footnote w:id="13">
    <w:p w14:paraId="4AACAA52" w14:textId="41D9C103" w:rsidR="003748F8" w:rsidRDefault="003748F8">
      <w:pPr>
        <w:pStyle w:val="FootnoteText"/>
      </w:pPr>
      <w:r>
        <w:rPr>
          <w:rStyle w:val="FootnoteReference"/>
        </w:rPr>
        <w:footnoteRef/>
      </w:r>
      <w:r>
        <w:t xml:space="preserve"> </w:t>
      </w:r>
      <w:r w:rsidR="006A0A75">
        <w:t xml:space="preserve">Anna Leask and Alan Fyall, ‘Managing World Heritage Sites’, Oxford; Routledge (2011). </w:t>
      </w:r>
    </w:p>
  </w:footnote>
  <w:footnote w:id="14">
    <w:p w14:paraId="43904410" w14:textId="50751480" w:rsidR="00975441" w:rsidRPr="004D0D9B" w:rsidRDefault="00975441" w:rsidP="004D0D9B">
      <w:pPr>
        <w:rPr>
          <w:rFonts w:cstheme="minorHAnsi"/>
        </w:rPr>
      </w:pPr>
      <w:r>
        <w:rPr>
          <w:rStyle w:val="FootnoteReference"/>
        </w:rPr>
        <w:footnoteRef/>
      </w:r>
      <w:r>
        <w:t xml:space="preserve"> </w:t>
      </w:r>
      <w:r w:rsidR="004D0D9B" w:rsidRPr="004D0D9B">
        <w:rPr>
          <w:rFonts w:ascii="Calibri" w:hAnsi="Calibri" w:cs="Calibri"/>
          <w:sz w:val="20"/>
          <w:szCs w:val="20"/>
        </w:rPr>
        <w:t xml:space="preserve">UNESCO, ‘Stonehenge, Avebury, and Associated Sites’, </w:t>
      </w:r>
      <w:hyperlink r:id="rId1" w:history="1">
        <w:r w:rsidR="004D0D9B" w:rsidRPr="004D0D9B">
          <w:rPr>
            <w:rStyle w:val="Hyperlink"/>
            <w:rFonts w:ascii="Calibri" w:hAnsi="Calibri" w:cs="Calibri"/>
            <w:sz w:val="20"/>
            <w:szCs w:val="20"/>
          </w:rPr>
          <w:t>https://whc.unesco.org/en/list/373/</w:t>
        </w:r>
      </w:hyperlink>
      <w:r w:rsidR="004D0D9B" w:rsidRPr="004D0D9B">
        <w:rPr>
          <w:rFonts w:ascii="Calibri" w:hAnsi="Calibri" w:cs="Calibri"/>
          <w:sz w:val="20"/>
          <w:szCs w:val="20"/>
        </w:rPr>
        <w:t xml:space="preserve"> [Date Accessed – 24/03/2023]. </w:t>
      </w:r>
    </w:p>
  </w:footnote>
  <w:footnote w:id="15">
    <w:p w14:paraId="7F16FBFC" w14:textId="48A7F51F" w:rsidR="00CE59A0" w:rsidRDefault="00CE59A0">
      <w:pPr>
        <w:pStyle w:val="FootnoteText"/>
      </w:pPr>
      <w:r>
        <w:rPr>
          <w:rStyle w:val="FootnoteReference"/>
        </w:rPr>
        <w:footnoteRef/>
      </w:r>
      <w:r>
        <w:t xml:space="preserve"> </w:t>
      </w:r>
      <w:r w:rsidR="006A0A75">
        <w:t>Anna Leask and Alan Fyall, ‘Managing World Heritage Sites’, Oxford; Routledge (2011).</w:t>
      </w:r>
    </w:p>
  </w:footnote>
  <w:footnote w:id="16">
    <w:p w14:paraId="459CE098" w14:textId="5D79B479" w:rsidR="0055171A" w:rsidRDefault="0055171A">
      <w:pPr>
        <w:pStyle w:val="FootnoteText"/>
      </w:pPr>
      <w:r>
        <w:rPr>
          <w:rStyle w:val="FootnoteReference"/>
        </w:rPr>
        <w:footnoteRef/>
      </w:r>
      <w:r>
        <w:t xml:space="preserve"> </w:t>
      </w:r>
      <w:r w:rsidR="006A0A75">
        <w:t>Anna Leask and Alan Fyall, ‘Managing World Heritage Sites’, Oxford; Routledge (2011).</w:t>
      </w:r>
    </w:p>
  </w:footnote>
  <w:footnote w:id="17">
    <w:p w14:paraId="48ABB754" w14:textId="1B48CDF4" w:rsidR="009D0004" w:rsidRDefault="009D0004">
      <w:pPr>
        <w:pStyle w:val="FootnoteText"/>
      </w:pPr>
      <w:r>
        <w:rPr>
          <w:rStyle w:val="FootnoteReference"/>
        </w:rPr>
        <w:footnoteRef/>
      </w:r>
      <w:r>
        <w:t xml:space="preserve"> </w:t>
      </w:r>
      <w:r w:rsidR="006A0A75">
        <w:t>Anna Leask and Alan Fyall, ‘Managing World Heritage Sites’, Oxford; Routledge (2011).</w:t>
      </w:r>
    </w:p>
  </w:footnote>
  <w:footnote w:id="18">
    <w:p w14:paraId="251EDDE6" w14:textId="6EBF4DC9" w:rsidR="00B55F18" w:rsidRDefault="00B55F18">
      <w:pPr>
        <w:pStyle w:val="FootnoteText"/>
      </w:pPr>
      <w:r>
        <w:rPr>
          <w:rStyle w:val="FootnoteReference"/>
        </w:rPr>
        <w:footnoteRef/>
      </w:r>
      <w:r>
        <w:t xml:space="preserve"> </w:t>
      </w:r>
      <w:r w:rsidR="006A0A75">
        <w:t xml:space="preserve">Jenny Blain and Robert J. Wallis, “Sacred Sites, Contested Rites/Rights: Contemporary Pagan Engagements with the Past’, Journal of Material Culture (2004), p.237-61. </w:t>
      </w:r>
    </w:p>
  </w:footnote>
  <w:footnote w:id="19">
    <w:p w14:paraId="46BCFC10" w14:textId="3F431BCE" w:rsidR="007B0E79" w:rsidRDefault="007B0E79">
      <w:pPr>
        <w:pStyle w:val="FootnoteText"/>
      </w:pPr>
      <w:r>
        <w:rPr>
          <w:rStyle w:val="FootnoteReference"/>
        </w:rPr>
        <w:footnoteRef/>
      </w:r>
      <w:r>
        <w:t xml:space="preserve"> </w:t>
      </w:r>
      <w:r w:rsidR="006A0A75">
        <w:t xml:space="preserve">Blain and Walls, ‘Sacred Sites, Contested Rites/Rights’, Journal of Material Culture (2004), p.237-61. </w:t>
      </w:r>
    </w:p>
  </w:footnote>
  <w:footnote w:id="20">
    <w:p w14:paraId="69301FF7" w14:textId="290259AF" w:rsidR="00EF58F7" w:rsidRDefault="00EF58F7">
      <w:pPr>
        <w:pStyle w:val="FootnoteText"/>
      </w:pPr>
      <w:r>
        <w:rPr>
          <w:rStyle w:val="FootnoteReference"/>
        </w:rPr>
        <w:footnoteRef/>
      </w:r>
      <w:r>
        <w:t xml:space="preserve"> </w:t>
      </w:r>
      <w:r w:rsidR="004D0D9B">
        <w:t>Christie Willis et al, ‘The Dead of Stonehenge’, Antiquity (2016), p.337-56.</w:t>
      </w:r>
    </w:p>
  </w:footnote>
  <w:footnote w:id="21">
    <w:p w14:paraId="47CE7FC9" w14:textId="18CD71C8" w:rsidR="008B0D84" w:rsidRPr="004D0D9B" w:rsidRDefault="008B0D84">
      <w:pPr>
        <w:pStyle w:val="FootnoteText"/>
      </w:pPr>
      <w:r>
        <w:rPr>
          <w:rStyle w:val="FootnoteReference"/>
        </w:rPr>
        <w:footnoteRef/>
      </w:r>
      <w:r>
        <w:t xml:space="preserve"> </w:t>
      </w:r>
      <w:r w:rsidR="004D0D9B">
        <w:t>Christie Willis et al, ‘The Dead of Stonehenge’, Antiquity (2016), p.337-56.</w:t>
      </w:r>
    </w:p>
  </w:footnote>
  <w:footnote w:id="22">
    <w:p w14:paraId="02A6C571" w14:textId="436AC3CF" w:rsidR="00CC0C15" w:rsidRDefault="00CC0C15">
      <w:pPr>
        <w:pStyle w:val="FootnoteText"/>
      </w:pPr>
      <w:r>
        <w:rPr>
          <w:rStyle w:val="FootnoteReference"/>
        </w:rPr>
        <w:footnoteRef/>
      </w:r>
      <w:r>
        <w:t xml:space="preserve"> </w:t>
      </w:r>
      <w:r w:rsidR="004D0D9B">
        <w:t>Christie Willis et al, ‘The Dead of Stonehenge’, Antiquity (2016), p.337-56.</w:t>
      </w:r>
    </w:p>
  </w:footnote>
  <w:footnote w:id="23">
    <w:p w14:paraId="5E1D4173" w14:textId="3AABD1C3" w:rsidR="00084BB6" w:rsidRDefault="00084BB6">
      <w:pPr>
        <w:pStyle w:val="FootnoteText"/>
      </w:pPr>
      <w:r>
        <w:rPr>
          <w:rStyle w:val="FootnoteReference"/>
        </w:rPr>
        <w:footnoteRef/>
      </w:r>
      <w:r>
        <w:t xml:space="preserve"> </w:t>
      </w:r>
      <w:r w:rsidR="004D0D9B">
        <w:t>Christie Willis et al, ‘The Dead of Stonehenge’, Antiquity (2016), p.337-56.</w:t>
      </w:r>
    </w:p>
  </w:footnote>
  <w:footnote w:id="24">
    <w:p w14:paraId="7A1EF179" w14:textId="06663517" w:rsidR="00466F1B" w:rsidRDefault="00466F1B">
      <w:pPr>
        <w:pStyle w:val="FootnoteText"/>
      </w:pPr>
      <w:r>
        <w:rPr>
          <w:rStyle w:val="FootnoteReference"/>
        </w:rPr>
        <w:footnoteRef/>
      </w:r>
      <w:r>
        <w:t xml:space="preserve"> </w:t>
      </w:r>
      <w:r w:rsidR="006A0A75">
        <w:t xml:space="preserve">Mike Parker Pearson et al, ‘Materialising Stonehenge: The Stonehenge Riverside Project and New Discoveries’, Journal of Material Culture (2006), p.227-61.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415"/>
    <w:multiLevelType w:val="multilevel"/>
    <w:tmpl w:val="36AA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2318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A3"/>
    <w:rsid w:val="00012D2D"/>
    <w:rsid w:val="0002395C"/>
    <w:rsid w:val="00026B19"/>
    <w:rsid w:val="000326AD"/>
    <w:rsid w:val="00042FE8"/>
    <w:rsid w:val="000578D1"/>
    <w:rsid w:val="00060757"/>
    <w:rsid w:val="00084BB6"/>
    <w:rsid w:val="00093905"/>
    <w:rsid w:val="000E29CA"/>
    <w:rsid w:val="000F1732"/>
    <w:rsid w:val="000F7DB8"/>
    <w:rsid w:val="00123B9D"/>
    <w:rsid w:val="00135E87"/>
    <w:rsid w:val="00157149"/>
    <w:rsid w:val="002047AD"/>
    <w:rsid w:val="00241B41"/>
    <w:rsid w:val="0025380C"/>
    <w:rsid w:val="00255A22"/>
    <w:rsid w:val="0028399A"/>
    <w:rsid w:val="002C73BD"/>
    <w:rsid w:val="002D3789"/>
    <w:rsid w:val="002D506C"/>
    <w:rsid w:val="002F1AC3"/>
    <w:rsid w:val="00304569"/>
    <w:rsid w:val="00355AB3"/>
    <w:rsid w:val="003748F8"/>
    <w:rsid w:val="003D4A29"/>
    <w:rsid w:val="003E2B22"/>
    <w:rsid w:val="003E3692"/>
    <w:rsid w:val="003E596E"/>
    <w:rsid w:val="00445C6B"/>
    <w:rsid w:val="0044708C"/>
    <w:rsid w:val="004644A0"/>
    <w:rsid w:val="00466F1B"/>
    <w:rsid w:val="004A00A3"/>
    <w:rsid w:val="004C2BAD"/>
    <w:rsid w:val="004D0D9B"/>
    <w:rsid w:val="00517470"/>
    <w:rsid w:val="00517B06"/>
    <w:rsid w:val="00524A61"/>
    <w:rsid w:val="00544520"/>
    <w:rsid w:val="0055171A"/>
    <w:rsid w:val="005A3DD8"/>
    <w:rsid w:val="005A6E99"/>
    <w:rsid w:val="005B18D6"/>
    <w:rsid w:val="005C63F5"/>
    <w:rsid w:val="005D21ED"/>
    <w:rsid w:val="005D6DE4"/>
    <w:rsid w:val="00600E91"/>
    <w:rsid w:val="0061795A"/>
    <w:rsid w:val="00630E86"/>
    <w:rsid w:val="006311BC"/>
    <w:rsid w:val="00651644"/>
    <w:rsid w:val="006A0A75"/>
    <w:rsid w:val="00717609"/>
    <w:rsid w:val="007315AA"/>
    <w:rsid w:val="0074557F"/>
    <w:rsid w:val="007B0E79"/>
    <w:rsid w:val="007B6ECC"/>
    <w:rsid w:val="007C5060"/>
    <w:rsid w:val="007E1627"/>
    <w:rsid w:val="00831BC2"/>
    <w:rsid w:val="00840152"/>
    <w:rsid w:val="00845500"/>
    <w:rsid w:val="00856540"/>
    <w:rsid w:val="0087264B"/>
    <w:rsid w:val="008801B6"/>
    <w:rsid w:val="00884991"/>
    <w:rsid w:val="00886C81"/>
    <w:rsid w:val="008B0D84"/>
    <w:rsid w:val="008B36AC"/>
    <w:rsid w:val="008C69D8"/>
    <w:rsid w:val="00911E4F"/>
    <w:rsid w:val="0091466F"/>
    <w:rsid w:val="009257FA"/>
    <w:rsid w:val="0096013F"/>
    <w:rsid w:val="00975441"/>
    <w:rsid w:val="009B5731"/>
    <w:rsid w:val="009C3DA6"/>
    <w:rsid w:val="009C5819"/>
    <w:rsid w:val="009D0004"/>
    <w:rsid w:val="009E4CFD"/>
    <w:rsid w:val="00A330C8"/>
    <w:rsid w:val="00A75C66"/>
    <w:rsid w:val="00AC4928"/>
    <w:rsid w:val="00AC7DAE"/>
    <w:rsid w:val="00B10435"/>
    <w:rsid w:val="00B27F8A"/>
    <w:rsid w:val="00B55F18"/>
    <w:rsid w:val="00BD5486"/>
    <w:rsid w:val="00C13BE0"/>
    <w:rsid w:val="00C261E7"/>
    <w:rsid w:val="00C309F2"/>
    <w:rsid w:val="00C77998"/>
    <w:rsid w:val="00C91104"/>
    <w:rsid w:val="00C979CD"/>
    <w:rsid w:val="00CA02D5"/>
    <w:rsid w:val="00CA53E3"/>
    <w:rsid w:val="00CA7738"/>
    <w:rsid w:val="00CC0C15"/>
    <w:rsid w:val="00CE59A0"/>
    <w:rsid w:val="00CF2DB5"/>
    <w:rsid w:val="00D647FE"/>
    <w:rsid w:val="00D656E7"/>
    <w:rsid w:val="00DC4F4F"/>
    <w:rsid w:val="00DC76A8"/>
    <w:rsid w:val="00DC7A47"/>
    <w:rsid w:val="00DE0355"/>
    <w:rsid w:val="00DF58D7"/>
    <w:rsid w:val="00E032C7"/>
    <w:rsid w:val="00E05081"/>
    <w:rsid w:val="00E22584"/>
    <w:rsid w:val="00E45240"/>
    <w:rsid w:val="00E46399"/>
    <w:rsid w:val="00E57335"/>
    <w:rsid w:val="00E82EFA"/>
    <w:rsid w:val="00E84415"/>
    <w:rsid w:val="00ED2A34"/>
    <w:rsid w:val="00EF58F7"/>
    <w:rsid w:val="00F6733E"/>
    <w:rsid w:val="00F67676"/>
    <w:rsid w:val="00F9555A"/>
    <w:rsid w:val="00F97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F1D2"/>
  <w15:chartTrackingRefBased/>
  <w15:docId w15:val="{8E36F7AD-3A60-4C37-9919-1AC63197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7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257FA"/>
    <w:rPr>
      <w:b/>
      <w:bCs/>
    </w:rPr>
  </w:style>
  <w:style w:type="paragraph" w:styleId="FootnoteText">
    <w:name w:val="footnote text"/>
    <w:basedOn w:val="Normal"/>
    <w:link w:val="FootnoteTextChar"/>
    <w:uiPriority w:val="99"/>
    <w:semiHidden/>
    <w:unhideWhenUsed/>
    <w:rsid w:val="00551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71A"/>
    <w:rPr>
      <w:sz w:val="20"/>
      <w:szCs w:val="20"/>
    </w:rPr>
  </w:style>
  <w:style w:type="character" w:styleId="FootnoteReference">
    <w:name w:val="footnote reference"/>
    <w:basedOn w:val="DefaultParagraphFont"/>
    <w:uiPriority w:val="99"/>
    <w:semiHidden/>
    <w:unhideWhenUsed/>
    <w:rsid w:val="0055171A"/>
    <w:rPr>
      <w:vertAlign w:val="superscript"/>
    </w:rPr>
  </w:style>
  <w:style w:type="table" w:styleId="TableGrid">
    <w:name w:val="Table Grid"/>
    <w:basedOn w:val="TableNormal"/>
    <w:uiPriority w:val="39"/>
    <w:rsid w:val="00840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D0D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87031">
      <w:bodyDiv w:val="1"/>
      <w:marLeft w:val="0"/>
      <w:marRight w:val="0"/>
      <w:marTop w:val="0"/>
      <w:marBottom w:val="0"/>
      <w:divBdr>
        <w:top w:val="none" w:sz="0" w:space="0" w:color="auto"/>
        <w:left w:val="none" w:sz="0" w:space="0" w:color="auto"/>
        <w:bottom w:val="none" w:sz="0" w:space="0" w:color="auto"/>
        <w:right w:val="none" w:sz="0" w:space="0" w:color="auto"/>
      </w:divBdr>
    </w:div>
    <w:div w:id="86968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3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hc.unesco.org/en/list/3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10</Pages>
  <Words>3091</Words>
  <Characters>16324</Characters>
  <Application>Microsoft Office Word</Application>
  <DocSecurity>0</DocSecurity>
  <Lines>429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116</cp:revision>
  <dcterms:created xsi:type="dcterms:W3CDTF">2023-03-24T10:14:00Z</dcterms:created>
  <dcterms:modified xsi:type="dcterms:W3CDTF">2023-03-26T18:35:00Z</dcterms:modified>
</cp:coreProperties>
</file>