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287C" w:rsidRPr="009F2135" w:rsidRDefault="00666D26" w:rsidP="00312061">
      <w:pPr>
        <w:tabs>
          <w:tab w:val="left" w:pos="4111"/>
        </w:tabs>
        <w:spacing w:after="0" w:line="480" w:lineRule="auto"/>
        <w:jc w:val="center"/>
        <w:rPr>
          <w:u w:val="single"/>
        </w:rPr>
      </w:pPr>
      <w:r w:rsidRPr="009F2135">
        <w:rPr>
          <w:u w:val="single"/>
        </w:rPr>
        <w:t>Theory and Methodology for the Study of Classics (CLCL7005)</w:t>
      </w:r>
    </w:p>
    <w:p w:rsidR="00C513C0" w:rsidRPr="009F2135" w:rsidRDefault="007A287C" w:rsidP="00312061">
      <w:pPr>
        <w:spacing w:after="0" w:line="480" w:lineRule="auto"/>
        <w:jc w:val="center"/>
        <w:rPr>
          <w:u w:val="single"/>
        </w:rPr>
      </w:pPr>
      <w:r w:rsidRPr="009F2135">
        <w:rPr>
          <w:u w:val="single"/>
        </w:rPr>
        <w:t>Critical Source Review</w:t>
      </w:r>
      <w:r w:rsidR="00B01ED1" w:rsidRPr="009F2135">
        <w:rPr>
          <w:u w:val="single"/>
        </w:rPr>
        <w:t xml:space="preserve">: </w:t>
      </w:r>
      <w:r w:rsidR="00A24EEA" w:rsidRPr="009F2135">
        <w:rPr>
          <w:u w:val="single"/>
        </w:rPr>
        <w:t xml:space="preserve"> </w:t>
      </w:r>
      <w:r w:rsidR="00C513C0" w:rsidRPr="009F2135">
        <w:rPr>
          <w:u w:val="single"/>
        </w:rPr>
        <w:t xml:space="preserve">Thucydides, </w:t>
      </w:r>
      <w:r w:rsidR="000C2BBE" w:rsidRPr="009F2135">
        <w:rPr>
          <w:u w:val="single"/>
        </w:rPr>
        <w:t xml:space="preserve">‘The </w:t>
      </w:r>
      <w:r w:rsidR="00C513C0" w:rsidRPr="009F2135">
        <w:rPr>
          <w:u w:val="single"/>
        </w:rPr>
        <w:t>History of the Peloponnesian War</w:t>
      </w:r>
      <w:r w:rsidR="00B01ED1" w:rsidRPr="009F2135">
        <w:rPr>
          <w:u w:val="single"/>
        </w:rPr>
        <w:t>’</w:t>
      </w:r>
    </w:p>
    <w:p w:rsidR="00A24EEA" w:rsidRPr="009F2135" w:rsidRDefault="00A24EEA" w:rsidP="00312061">
      <w:pPr>
        <w:spacing w:after="0" w:line="480" w:lineRule="auto"/>
      </w:pPr>
      <w:bookmarkStart w:id="0" w:name="_GoBack"/>
      <w:bookmarkEnd w:id="0"/>
    </w:p>
    <w:p w:rsidR="00A24EEA" w:rsidRPr="009F2135" w:rsidRDefault="00A24EEA" w:rsidP="00312061">
      <w:pPr>
        <w:spacing w:after="0" w:line="480" w:lineRule="auto"/>
        <w:rPr>
          <w:b/>
        </w:rPr>
      </w:pPr>
      <w:r w:rsidRPr="009F2135">
        <w:rPr>
          <w:b/>
        </w:rPr>
        <w:t>Introduction</w:t>
      </w:r>
    </w:p>
    <w:p w:rsidR="002D49CC" w:rsidRPr="009F2135" w:rsidRDefault="002D49CC" w:rsidP="00312061">
      <w:pPr>
        <w:spacing w:after="0" w:line="480" w:lineRule="auto"/>
      </w:pPr>
      <w:r w:rsidRPr="009F2135">
        <w:t>An in depth study of 5</w:t>
      </w:r>
      <w:r w:rsidRPr="009F2135">
        <w:rPr>
          <w:vertAlign w:val="superscript"/>
        </w:rPr>
        <w:t>th</w:t>
      </w:r>
      <w:r w:rsidRPr="009F2135">
        <w:t xml:space="preserve"> Century BCE Athenian imperialistic behaviours would simply not be possible without looking at Thucydides’ ‘The History of the Peloponnesian War’. This text, although not without its issues, provides a widely accepted chronology of events and offers primary evidence regarding Athenian conduct before and during the period known as the Peloponnesian War, which </w:t>
      </w:r>
      <w:r w:rsidR="0080059C" w:rsidRPr="009F2135">
        <w:t>can be used to form</w:t>
      </w:r>
      <w:r w:rsidRPr="009F2135">
        <w:t xml:space="preserve"> the foundation of any study in to Athenian imperial</w:t>
      </w:r>
      <w:r w:rsidR="0080059C" w:rsidRPr="009F2135">
        <w:t>istic</w:t>
      </w:r>
      <w:r w:rsidRPr="009F2135">
        <w:t xml:space="preserve"> behaviours</w:t>
      </w:r>
      <w:r w:rsidR="00DC4F83" w:rsidRPr="009F2135">
        <w:t xml:space="preserve"> and ideologies</w:t>
      </w:r>
      <w:r w:rsidRPr="009F2135">
        <w:t xml:space="preserve">. </w:t>
      </w:r>
    </w:p>
    <w:p w:rsidR="002D49CC" w:rsidRPr="009F2135" w:rsidRDefault="002D49CC" w:rsidP="00312061">
      <w:pPr>
        <w:spacing w:after="0" w:line="480" w:lineRule="auto"/>
      </w:pPr>
    </w:p>
    <w:p w:rsidR="00B01ED1" w:rsidRPr="009F2135" w:rsidRDefault="000C2BBE" w:rsidP="00312061">
      <w:pPr>
        <w:spacing w:after="0" w:line="480" w:lineRule="auto"/>
      </w:pPr>
      <w:r w:rsidRPr="009F2135">
        <w:t xml:space="preserve">The History of the Peloponnesian War tells the story of the </w:t>
      </w:r>
      <w:r w:rsidR="00DC4F83" w:rsidRPr="009F2135">
        <w:t>various conflicts</w:t>
      </w:r>
      <w:r w:rsidRPr="009F2135">
        <w:t xml:space="preserve"> between the Delian League of city states</w:t>
      </w:r>
      <w:r w:rsidR="00255922" w:rsidRPr="009F2135">
        <w:t xml:space="preserve"> led by Athens</w:t>
      </w:r>
      <w:r w:rsidRPr="009F2135">
        <w:t xml:space="preserve"> and the Peloponnesian League</w:t>
      </w:r>
      <w:r w:rsidR="00255922" w:rsidRPr="009F2135">
        <w:t xml:space="preserve"> led by Sparta</w:t>
      </w:r>
      <w:r w:rsidRPr="009F2135">
        <w:t xml:space="preserve">, which took place from 431-404 BC. </w:t>
      </w:r>
      <w:r w:rsidR="00255922" w:rsidRPr="009F2135">
        <w:t>The series of books lead us from the earliest causes of the conflict, through the ebbs and flows of the various battles and events up until 411, where the text ends in mid-sentence, seven years before the end of the</w:t>
      </w:r>
      <w:r w:rsidR="002D49CC" w:rsidRPr="009F2135">
        <w:t xml:space="preserve"> </w:t>
      </w:r>
      <w:r w:rsidR="00DC4F83" w:rsidRPr="009F2135">
        <w:t>encounter</w:t>
      </w:r>
      <w:r w:rsidR="002D49CC" w:rsidRPr="009F2135">
        <w:t xml:space="preserve"> that had ravaged the </w:t>
      </w:r>
      <w:r w:rsidR="00DC4F83" w:rsidRPr="009F2135">
        <w:t xml:space="preserve">entire </w:t>
      </w:r>
      <w:r w:rsidR="002D49CC" w:rsidRPr="009F2135">
        <w:t>Hellenic world.</w:t>
      </w:r>
      <w:r w:rsidR="00B01ED1" w:rsidRPr="009F2135">
        <w:t xml:space="preserve"> </w:t>
      </w:r>
    </w:p>
    <w:p w:rsidR="002D49CC" w:rsidRPr="009F2135" w:rsidRDefault="002D49CC" w:rsidP="00312061">
      <w:pPr>
        <w:spacing w:after="0" w:line="480" w:lineRule="auto"/>
      </w:pPr>
    </w:p>
    <w:p w:rsidR="00B01ED1" w:rsidRPr="009F2135" w:rsidRDefault="002D49CC" w:rsidP="00312061">
      <w:pPr>
        <w:spacing w:after="0" w:line="480" w:lineRule="auto"/>
      </w:pPr>
      <w:r w:rsidRPr="009F2135">
        <w:t xml:space="preserve">Thucydides sets the text apart from other contemporary histories in the very early stages of the book </w:t>
      </w:r>
      <w:r w:rsidR="0080059C" w:rsidRPr="009F2135">
        <w:t>by outlining his intention</w:t>
      </w:r>
      <w:r w:rsidR="00DC4F83" w:rsidRPr="009F2135">
        <w:t xml:space="preserve">s </w:t>
      </w:r>
      <w:r w:rsidR="0080059C" w:rsidRPr="009F2135">
        <w:t>and methods of writing</w:t>
      </w:r>
      <w:r w:rsidR="007A5171" w:rsidRPr="009F2135">
        <w:t xml:space="preserve"> and states in B</w:t>
      </w:r>
      <w:r w:rsidR="0023317D" w:rsidRPr="009F2135">
        <w:t xml:space="preserve">ook 1:22, that </w:t>
      </w:r>
      <w:r w:rsidR="000C2BBE" w:rsidRPr="009F2135">
        <w:t>empirical research and analysis</w:t>
      </w:r>
      <w:r w:rsidR="00B01ED1" w:rsidRPr="009F2135">
        <w:t xml:space="preserve"> had </w:t>
      </w:r>
      <w:r w:rsidR="0023317D" w:rsidRPr="009F2135">
        <w:t xml:space="preserve">been used with a view to </w:t>
      </w:r>
      <w:r w:rsidR="000C2BBE" w:rsidRPr="009F2135">
        <w:t xml:space="preserve">understanding </w:t>
      </w:r>
      <w:r w:rsidR="0023317D" w:rsidRPr="009F2135">
        <w:t>contemporary</w:t>
      </w:r>
      <w:r w:rsidR="000C2BBE" w:rsidRPr="009F2135">
        <w:t xml:space="preserve"> human events. </w:t>
      </w:r>
      <w:r w:rsidR="0023317D" w:rsidRPr="009F2135">
        <w:t xml:space="preserve">Thucydides used logic, reason and fact rather than intervening </w:t>
      </w:r>
      <w:r w:rsidR="00B01ED1" w:rsidRPr="009F2135">
        <w:t xml:space="preserve">gods or myth </w:t>
      </w:r>
      <w:r w:rsidR="0023317D" w:rsidRPr="009F2135">
        <w:t xml:space="preserve">when attempting </w:t>
      </w:r>
      <w:r w:rsidR="00B01ED1" w:rsidRPr="009F2135">
        <w:t>to determine motivations</w:t>
      </w:r>
      <w:r w:rsidR="0023317D" w:rsidRPr="009F2135">
        <w:t xml:space="preserve"> and causes, and this is</w:t>
      </w:r>
      <w:r w:rsidR="00B01ED1" w:rsidRPr="009F2135">
        <w:t xml:space="preserve"> one of</w:t>
      </w:r>
      <w:r w:rsidR="0023317D" w:rsidRPr="009F2135">
        <w:t xml:space="preserve"> the reason</w:t>
      </w:r>
      <w:r w:rsidR="00B01ED1" w:rsidRPr="009F2135">
        <w:t>s that</w:t>
      </w:r>
      <w:r w:rsidR="0023317D" w:rsidRPr="009F2135">
        <w:t xml:space="preserve"> </w:t>
      </w:r>
      <w:r w:rsidR="0023317D" w:rsidRPr="009F2135">
        <w:rPr>
          <w:i/>
        </w:rPr>
        <w:t xml:space="preserve">The History of the Peloponnesian War </w:t>
      </w:r>
      <w:r w:rsidR="0023317D" w:rsidRPr="009F2135">
        <w:t xml:space="preserve">is such an important </w:t>
      </w:r>
      <w:r w:rsidR="00B01ED1" w:rsidRPr="009F2135">
        <w:t>text</w:t>
      </w:r>
      <w:r w:rsidR="0023317D" w:rsidRPr="009F2135">
        <w:t xml:space="preserve"> to ou</w:t>
      </w:r>
      <w:r w:rsidR="00B01ED1" w:rsidRPr="009F2135">
        <w:t xml:space="preserve">r understanding of this period, and one that Thucydides </w:t>
      </w:r>
      <w:r w:rsidR="00DC4F83" w:rsidRPr="009F2135">
        <w:t xml:space="preserve">himself </w:t>
      </w:r>
      <w:r w:rsidR="007911C1" w:rsidRPr="009F2135">
        <w:t>stated</w:t>
      </w:r>
      <w:r w:rsidR="00DC4F83" w:rsidRPr="009F2135">
        <w:t xml:space="preserve"> was produced </w:t>
      </w:r>
      <w:r w:rsidR="00CF5BC3">
        <w:t xml:space="preserve">as </w:t>
      </w:r>
      <w:r w:rsidR="00DC4F83" w:rsidRPr="009F2135">
        <w:t>“</w:t>
      </w:r>
      <w:r w:rsidR="00CF5BC3">
        <w:t>an everlasting possession.</w:t>
      </w:r>
      <w:r w:rsidR="00DC4F83" w:rsidRPr="009F2135">
        <w:t xml:space="preserve">” </w:t>
      </w:r>
      <w:r w:rsidR="00071901">
        <w:rPr>
          <w:rStyle w:val="FootnoteReference"/>
        </w:rPr>
        <w:footnoteReference w:id="1"/>
      </w:r>
    </w:p>
    <w:p w:rsidR="004E7FB6" w:rsidRPr="009F2135" w:rsidRDefault="004E7FB6" w:rsidP="00312061">
      <w:pPr>
        <w:spacing w:after="0" w:line="480" w:lineRule="auto"/>
        <w:rPr>
          <w:b/>
        </w:rPr>
      </w:pPr>
    </w:p>
    <w:p w:rsidR="00A24EEA" w:rsidRPr="009F2135" w:rsidRDefault="00A24EEA" w:rsidP="00312061">
      <w:pPr>
        <w:spacing w:after="0" w:line="480" w:lineRule="auto"/>
        <w:rPr>
          <w:b/>
        </w:rPr>
      </w:pPr>
      <w:r w:rsidRPr="009F2135">
        <w:rPr>
          <w:b/>
        </w:rPr>
        <w:t>Summary</w:t>
      </w:r>
      <w:r w:rsidR="00E922F2" w:rsidRPr="009F2135">
        <w:rPr>
          <w:b/>
        </w:rPr>
        <w:t xml:space="preserve"> of m</w:t>
      </w:r>
      <w:r w:rsidRPr="009F2135">
        <w:rPr>
          <w:b/>
        </w:rPr>
        <w:t>ain ideas</w:t>
      </w:r>
      <w:r w:rsidR="00185BEC" w:rsidRPr="009F2135">
        <w:rPr>
          <w:b/>
        </w:rPr>
        <w:t xml:space="preserve"> and themes</w:t>
      </w:r>
    </w:p>
    <w:p w:rsidR="0026160B" w:rsidRPr="009F2135" w:rsidRDefault="002474E3" w:rsidP="00312061">
      <w:pPr>
        <w:spacing w:after="0" w:line="480" w:lineRule="auto"/>
      </w:pPr>
      <w:r w:rsidRPr="009F2135">
        <w:t>At the</w:t>
      </w:r>
      <w:r w:rsidR="00E922F2" w:rsidRPr="009F2135">
        <w:t xml:space="preserve"> core</w:t>
      </w:r>
      <w:r w:rsidRPr="009F2135">
        <w:t xml:space="preserve"> of </w:t>
      </w:r>
      <w:r w:rsidR="008A49DD" w:rsidRPr="009F2135">
        <w:t>the</w:t>
      </w:r>
      <w:r w:rsidR="00E922F2" w:rsidRPr="009F2135">
        <w:t xml:space="preserve"> text is a focus on the application of</w:t>
      </w:r>
      <w:r w:rsidRPr="009F2135">
        <w:t xml:space="preserve"> rational, empirical</w:t>
      </w:r>
      <w:r w:rsidR="00E922F2" w:rsidRPr="009F2135">
        <w:t xml:space="preserve"> and analytical</w:t>
      </w:r>
      <w:r w:rsidRPr="009F2135">
        <w:t xml:space="preserve"> method</w:t>
      </w:r>
      <w:r w:rsidR="00E922F2" w:rsidRPr="009F2135">
        <w:t>s</w:t>
      </w:r>
      <w:r w:rsidRPr="009F2135">
        <w:t xml:space="preserve"> </w:t>
      </w:r>
      <w:r w:rsidR="00E922F2" w:rsidRPr="009F2135">
        <w:t>of</w:t>
      </w:r>
      <w:r w:rsidRPr="009F2135">
        <w:t xml:space="preserve"> </w:t>
      </w:r>
      <w:r w:rsidR="00E922F2" w:rsidRPr="009F2135">
        <w:t xml:space="preserve">the examination of </w:t>
      </w:r>
      <w:r w:rsidR="00FE2C38" w:rsidRPr="009F2135">
        <w:t xml:space="preserve">the ways in which, chance, human decisions and nature affect </w:t>
      </w:r>
      <w:r w:rsidRPr="009F2135">
        <w:t>events</w:t>
      </w:r>
      <w:r w:rsidR="00FE2C38" w:rsidRPr="009F2135">
        <w:t xml:space="preserve">, </w:t>
      </w:r>
      <w:r w:rsidRPr="009F2135">
        <w:t>their</w:t>
      </w:r>
      <w:r w:rsidR="00FE2C38" w:rsidRPr="009F2135">
        <w:t xml:space="preserve"> causes and</w:t>
      </w:r>
      <w:r w:rsidR="00E922F2" w:rsidRPr="009F2135">
        <w:t xml:space="preserve"> </w:t>
      </w:r>
      <w:r w:rsidRPr="009F2135">
        <w:t xml:space="preserve">outcomes. </w:t>
      </w:r>
      <w:r w:rsidR="00E922F2" w:rsidRPr="009F2135">
        <w:t>This marked a huge departure from the methods of contemporary historians who generally considered fate to be predetermined and causation to be the result of divine intervention</w:t>
      </w:r>
      <w:r w:rsidR="000812A6" w:rsidRPr="009F2135">
        <w:t xml:space="preserve"> rather than the latest in a chain of events</w:t>
      </w:r>
      <w:r w:rsidR="00E922F2" w:rsidRPr="009F2135">
        <w:t xml:space="preserve">. </w:t>
      </w:r>
      <w:r w:rsidRPr="009F2135">
        <w:t>Thucydides s</w:t>
      </w:r>
      <w:r w:rsidR="00E922F2" w:rsidRPr="009F2135">
        <w:t xml:space="preserve">ought </w:t>
      </w:r>
      <w:r w:rsidRPr="009F2135">
        <w:lastRenderedPageBreak/>
        <w:t xml:space="preserve">causal patterns in </w:t>
      </w:r>
      <w:r w:rsidR="00FE2C38" w:rsidRPr="009F2135">
        <w:t>empirical facts</w:t>
      </w:r>
      <w:r w:rsidRPr="009F2135">
        <w:t>, whether these concern</w:t>
      </w:r>
      <w:r w:rsidR="00FE2C38" w:rsidRPr="009F2135">
        <w:t>ed</w:t>
      </w:r>
      <w:r w:rsidRPr="009F2135">
        <w:t xml:space="preserve"> nature, chance, and/or human motivation and </w:t>
      </w:r>
      <w:r w:rsidR="008A49DD" w:rsidRPr="009F2135">
        <w:t xml:space="preserve">subsequent </w:t>
      </w:r>
      <w:r w:rsidRPr="009F2135">
        <w:t>action</w:t>
      </w:r>
      <w:r w:rsidR="00FE2C38" w:rsidRPr="009F2135">
        <w:t xml:space="preserve"> </w:t>
      </w:r>
      <w:r w:rsidR="000812A6" w:rsidRPr="009F2135">
        <w:t xml:space="preserve">as well as </w:t>
      </w:r>
      <w:r w:rsidR="00FE2C38" w:rsidRPr="009F2135">
        <w:t>the interplay between these events</w:t>
      </w:r>
      <w:r w:rsidRPr="009F2135">
        <w:t>.</w:t>
      </w:r>
      <w:r w:rsidR="00FE2C38" w:rsidRPr="009F2135">
        <w:t xml:space="preserve"> An example of this can be seen </w:t>
      </w:r>
      <w:r w:rsidR="000812A6" w:rsidRPr="009F2135">
        <w:t xml:space="preserve">in </w:t>
      </w:r>
      <w:r w:rsidR="00836280" w:rsidRPr="009F2135">
        <w:t xml:space="preserve">2:78 where Thucydides writes about </w:t>
      </w:r>
      <w:r w:rsidR="000812A6" w:rsidRPr="009F2135">
        <w:t xml:space="preserve">the </w:t>
      </w:r>
      <w:r w:rsidR="00836280" w:rsidRPr="009F2135">
        <w:t>city of Plataea</w:t>
      </w:r>
      <w:r w:rsidR="000812A6" w:rsidRPr="009F2135">
        <w:t xml:space="preserve"> almost</w:t>
      </w:r>
      <w:r w:rsidR="00836280" w:rsidRPr="009F2135">
        <w:t xml:space="preserve"> being </w:t>
      </w:r>
      <w:r w:rsidR="000812A6" w:rsidRPr="009F2135">
        <w:t>destroyed by</w:t>
      </w:r>
      <w:r w:rsidR="00F61563" w:rsidRPr="009F2135">
        <w:t xml:space="preserve"> Spartan fire, </w:t>
      </w:r>
      <w:r w:rsidR="00836280" w:rsidRPr="009F2135">
        <w:t>but</w:t>
      </w:r>
      <w:r w:rsidR="00F61563" w:rsidRPr="009F2135">
        <w:t xml:space="preserve"> </w:t>
      </w:r>
      <w:r w:rsidR="007C3748" w:rsidRPr="009F2135">
        <w:t xml:space="preserve">subsequently and by chance, are </w:t>
      </w:r>
      <w:r w:rsidR="00F61563" w:rsidRPr="009F2135">
        <w:t>saved by</w:t>
      </w:r>
      <w:r w:rsidR="007C3748" w:rsidRPr="009F2135">
        <w:t xml:space="preserve"> natural </w:t>
      </w:r>
      <w:r w:rsidR="0026160B" w:rsidRPr="009F2135">
        <w:t>occurrence</w:t>
      </w:r>
      <w:r w:rsidR="0095460D">
        <w:t>s</w:t>
      </w:r>
      <w:r w:rsidR="007C3748" w:rsidRPr="009F2135">
        <w:t>, in the form of</w:t>
      </w:r>
      <w:r w:rsidR="00F61563" w:rsidRPr="009F2135">
        <w:t xml:space="preserve"> a thunderstorm. “This fire, however, was a great one, and was within very little of destroying the Plataeans” however “A heavy rain and thunderstorm came on, and quenched the flame; and so the danger ceased</w:t>
      </w:r>
      <w:r w:rsidR="00836280" w:rsidRPr="009F2135">
        <w:t>.</w:t>
      </w:r>
      <w:r w:rsidR="00F61563" w:rsidRPr="009F2135">
        <w:t>”</w:t>
      </w:r>
      <w:r w:rsidR="00095091">
        <w:t xml:space="preserve"> </w:t>
      </w:r>
      <w:r w:rsidR="00095091">
        <w:rPr>
          <w:rStyle w:val="FootnoteReference"/>
        </w:rPr>
        <w:footnoteReference w:id="2"/>
      </w:r>
      <w:r w:rsidR="00836280" w:rsidRPr="009F2135">
        <w:t xml:space="preserve"> Later in the text,</w:t>
      </w:r>
      <w:r w:rsidR="004E7FB6" w:rsidRPr="009F2135">
        <w:t xml:space="preserve"> in 3:23,</w:t>
      </w:r>
      <w:r w:rsidR="00836280" w:rsidRPr="009F2135">
        <w:t xml:space="preserve"> some of the besieged Plataeans are able to escape from Spartan soldiers </w:t>
      </w:r>
      <w:r w:rsidR="004E7FB6" w:rsidRPr="009F2135">
        <w:t>using the “violence of the storm”</w:t>
      </w:r>
      <w:r w:rsidR="00095091">
        <w:t xml:space="preserve"> </w:t>
      </w:r>
      <w:r w:rsidR="00095091">
        <w:rPr>
          <w:rStyle w:val="FootnoteReference"/>
        </w:rPr>
        <w:footnoteReference w:id="3"/>
      </w:r>
      <w:r w:rsidR="004E7FB6" w:rsidRPr="009F2135">
        <w:t xml:space="preserve"> </w:t>
      </w:r>
      <w:r w:rsidR="007C3748" w:rsidRPr="009F2135">
        <w:t xml:space="preserve">to aid their escape. </w:t>
      </w:r>
      <w:r w:rsidR="003B0B44" w:rsidRPr="009F2135">
        <w:t>In Pericles’ funeral oration too, the notion of chance is mentioned as a determining factor when he states “Numberless are the chances to which… the life of man is subject</w:t>
      </w:r>
      <w:r w:rsidR="00095091">
        <w:t>.”</w:t>
      </w:r>
      <w:r w:rsidR="00095091">
        <w:rPr>
          <w:rStyle w:val="FootnoteReference"/>
        </w:rPr>
        <w:footnoteReference w:id="4"/>
      </w:r>
    </w:p>
    <w:p w:rsidR="0026160B" w:rsidRPr="009F2135" w:rsidRDefault="0026160B" w:rsidP="00312061">
      <w:pPr>
        <w:spacing w:after="0" w:line="480" w:lineRule="auto"/>
      </w:pPr>
    </w:p>
    <w:p w:rsidR="00A329A8" w:rsidRPr="009F2135" w:rsidRDefault="0026160B" w:rsidP="00312061">
      <w:pPr>
        <w:spacing w:after="0" w:line="480" w:lineRule="auto"/>
      </w:pPr>
      <w:r w:rsidRPr="009F2135">
        <w:t>Very significantly to the text</w:t>
      </w:r>
      <w:r w:rsidR="00B372DB" w:rsidRPr="009F2135">
        <w:t xml:space="preserve"> are the</w:t>
      </w:r>
      <w:r w:rsidRPr="009F2135">
        <w:t xml:space="preserve"> recurring</w:t>
      </w:r>
      <w:r w:rsidR="00B372DB" w:rsidRPr="009F2135">
        <w:t xml:space="preserve"> human</w:t>
      </w:r>
      <w:r w:rsidRPr="009F2135">
        <w:t xml:space="preserve"> </w:t>
      </w:r>
      <w:r w:rsidR="00C34F74" w:rsidRPr="009F2135">
        <w:t>motives, actions</w:t>
      </w:r>
      <w:r w:rsidRPr="009F2135">
        <w:t xml:space="preserve"> and subsequent outcomes</w:t>
      </w:r>
      <w:r w:rsidR="00B372DB" w:rsidRPr="009F2135">
        <w:t xml:space="preserve"> that</w:t>
      </w:r>
      <w:r w:rsidRPr="009F2135">
        <w:t xml:space="preserve"> are</w:t>
      </w:r>
      <w:r w:rsidR="00B46AEB" w:rsidRPr="009F2135">
        <w:t xml:space="preserve"> explored. Athens</w:t>
      </w:r>
      <w:r w:rsidR="00FC0BE4" w:rsidRPr="009F2135">
        <w:t>’</w:t>
      </w:r>
      <w:r w:rsidR="00B46AEB" w:rsidRPr="009F2135">
        <w:t xml:space="preserve"> imperialistic behaviours throughout the text, more specifically in Book</w:t>
      </w:r>
      <w:r w:rsidR="00A329A8" w:rsidRPr="009F2135">
        <w:t>s 6 and</w:t>
      </w:r>
      <w:r w:rsidR="00B46AEB" w:rsidRPr="009F2135">
        <w:t xml:space="preserve"> 7</w:t>
      </w:r>
      <w:r w:rsidR="00FC0BE4" w:rsidRPr="009F2135">
        <w:t>,</w:t>
      </w:r>
      <w:r w:rsidR="00B46AEB" w:rsidRPr="009F2135">
        <w:t xml:space="preserve"> which </w:t>
      </w:r>
      <w:r w:rsidR="00A329A8" w:rsidRPr="009F2135">
        <w:t>outline</w:t>
      </w:r>
      <w:r w:rsidR="00B46AEB" w:rsidRPr="009F2135">
        <w:t xml:space="preserve"> the </w:t>
      </w:r>
      <w:r w:rsidR="00A329A8" w:rsidRPr="009F2135">
        <w:t xml:space="preserve">build up to and the events of the </w:t>
      </w:r>
      <w:r w:rsidR="00B46AEB" w:rsidRPr="009F2135">
        <w:t xml:space="preserve">Sicilian expedition, can be paralleled with the 65 years prior Persian invasion of </w:t>
      </w:r>
      <w:r w:rsidR="00B372DB" w:rsidRPr="009F2135">
        <w:t>Greece and</w:t>
      </w:r>
      <w:r w:rsidR="00C17DBF" w:rsidRPr="009F2135">
        <w:t xml:space="preserve"> it can be argued that </w:t>
      </w:r>
      <w:r w:rsidR="00B372DB" w:rsidRPr="009F2135">
        <w:t xml:space="preserve">the self-interested actions of Athens to </w:t>
      </w:r>
      <w:r w:rsidR="001A620D" w:rsidRPr="009F2135">
        <w:t xml:space="preserve">“make conquests that would supply a never-ending fund of pay for the future” </w:t>
      </w:r>
      <w:r w:rsidR="00095091">
        <w:rPr>
          <w:rStyle w:val="FootnoteReference"/>
        </w:rPr>
        <w:footnoteReference w:id="5"/>
      </w:r>
      <w:r w:rsidR="00095091">
        <w:t xml:space="preserve"> </w:t>
      </w:r>
      <w:r w:rsidR="00B372DB" w:rsidRPr="009F2135">
        <w:t>are in fact a recurrence of prior Persian self-interest</w:t>
      </w:r>
      <w:r w:rsidR="00C17DBF" w:rsidRPr="009F2135">
        <w:t xml:space="preserve">, and human nature repeating itself. </w:t>
      </w:r>
      <w:r w:rsidR="00B037A3" w:rsidRPr="009F2135">
        <w:t>Athens’ sought to expand its empire</w:t>
      </w:r>
      <w:r w:rsidR="00A329A8" w:rsidRPr="009F2135">
        <w:t xml:space="preserve"> and as Thucydides states, “Athenians were now bent upon invading; being ambitious in real truth of conquering the whole</w:t>
      </w:r>
      <w:r w:rsidR="00095091">
        <w:t>.</w:t>
      </w:r>
      <w:r w:rsidR="00A329A8" w:rsidRPr="009F2135">
        <w:t>”</w:t>
      </w:r>
      <w:r w:rsidR="00095091">
        <w:t xml:space="preserve"> </w:t>
      </w:r>
      <w:r w:rsidR="00095091">
        <w:rPr>
          <w:rStyle w:val="FootnoteReference"/>
        </w:rPr>
        <w:footnoteReference w:id="6"/>
      </w:r>
      <w:r w:rsidR="00A329A8" w:rsidRPr="00895221">
        <w:rPr>
          <w:color w:val="FF0000"/>
        </w:rPr>
        <w:t xml:space="preserve"> </w:t>
      </w:r>
    </w:p>
    <w:p w:rsidR="001A620D" w:rsidRPr="009F2135" w:rsidRDefault="001A620D" w:rsidP="00312061">
      <w:pPr>
        <w:spacing w:after="0" w:line="480" w:lineRule="auto"/>
      </w:pPr>
    </w:p>
    <w:p w:rsidR="001A620D" w:rsidRPr="009F2135" w:rsidRDefault="00B037A3" w:rsidP="00312061">
      <w:pPr>
        <w:spacing w:after="0" w:line="480" w:lineRule="auto"/>
      </w:pPr>
      <w:r w:rsidRPr="009F2135">
        <w:t xml:space="preserve">Power is </w:t>
      </w:r>
      <w:r w:rsidR="00BA12A9" w:rsidRPr="009F2135">
        <w:t xml:space="preserve">also </w:t>
      </w:r>
      <w:r w:rsidRPr="009F2135">
        <w:t>a</w:t>
      </w:r>
      <w:r w:rsidR="00BA12A9" w:rsidRPr="009F2135">
        <w:t xml:space="preserve"> key</w:t>
      </w:r>
      <w:r w:rsidRPr="009F2135">
        <w:t xml:space="preserve"> theme in ‘The History of the Peloponnesian War’ and </w:t>
      </w:r>
      <w:r w:rsidR="007C3748" w:rsidRPr="009F2135">
        <w:t>Thucydides</w:t>
      </w:r>
      <w:r w:rsidRPr="009F2135">
        <w:t xml:space="preserve"> </w:t>
      </w:r>
      <w:r w:rsidR="007C3748" w:rsidRPr="009F2135">
        <w:t xml:space="preserve">presents the use of power in different ways. In his analysis of the three Athenian </w:t>
      </w:r>
      <w:r w:rsidRPr="009F2135">
        <w:t>statesmen</w:t>
      </w:r>
      <w:r w:rsidR="007C3748" w:rsidRPr="009F2135">
        <w:t xml:space="preserve"> Pericles, Cleon and Alcibiades, he illustrates power used well and power abused</w:t>
      </w:r>
      <w:r w:rsidR="00895221">
        <w:t>.</w:t>
      </w:r>
    </w:p>
    <w:p w:rsidR="001A620D" w:rsidRPr="009F2135" w:rsidRDefault="001A620D" w:rsidP="00312061">
      <w:pPr>
        <w:spacing w:after="0" w:line="480" w:lineRule="auto"/>
        <w:rPr>
          <w:color w:val="FF0000"/>
        </w:rPr>
      </w:pPr>
    </w:p>
    <w:p w:rsidR="004065AC" w:rsidRDefault="009B3519" w:rsidP="00312061">
      <w:pPr>
        <w:spacing w:after="0" w:line="480" w:lineRule="auto"/>
      </w:pPr>
      <w:r w:rsidRPr="009F2135">
        <w:t xml:space="preserve">When </w:t>
      </w:r>
      <w:r w:rsidR="00B037A3" w:rsidRPr="009F2135">
        <w:t>Pericles</w:t>
      </w:r>
      <w:r w:rsidRPr="009F2135">
        <w:t xml:space="preserve"> begins to outline </w:t>
      </w:r>
      <w:r w:rsidR="00B02051" w:rsidRPr="009F2135">
        <w:t>the Athenian model of government as a reason for its greatness, it becomes apparent that his leadership is informed and driven</w:t>
      </w:r>
      <w:r w:rsidR="004D7AD2" w:rsidRPr="009F2135">
        <w:t xml:space="preserve"> by his</w:t>
      </w:r>
      <w:r w:rsidR="00B02051" w:rsidRPr="009F2135">
        <w:t xml:space="preserve"> love of his country</w:t>
      </w:r>
      <w:r w:rsidR="00B037A3" w:rsidRPr="009F2135">
        <w:t>,</w:t>
      </w:r>
      <w:r w:rsidR="00B02051" w:rsidRPr="009F2135">
        <w:t xml:space="preserve"> further evidenced by his statement of</w:t>
      </w:r>
      <w:r w:rsidR="00B037A3" w:rsidRPr="009F2135">
        <w:t xml:space="preserve"> </w:t>
      </w:r>
      <w:r w:rsidR="004065AC" w:rsidRPr="009F2135">
        <w:t>“</w:t>
      </w:r>
      <w:r w:rsidR="00B02051" w:rsidRPr="009F2135">
        <w:t>a</w:t>
      </w:r>
      <w:r w:rsidRPr="009F2135">
        <w:t xml:space="preserve"> man may be personally ever so well off, and yet if his country be </w:t>
      </w:r>
      <w:r w:rsidR="007911C1">
        <w:t>ruined he must be ruined with it,</w:t>
      </w:r>
      <w:r w:rsidR="00B02051" w:rsidRPr="009F2135">
        <w:t>”</w:t>
      </w:r>
      <w:r w:rsidR="00095091">
        <w:t xml:space="preserve"> </w:t>
      </w:r>
      <w:r w:rsidR="007911C1">
        <w:t xml:space="preserve">and </w:t>
      </w:r>
      <w:r w:rsidR="00B02051" w:rsidRPr="009F2135">
        <w:t xml:space="preserve">also states that </w:t>
      </w:r>
      <w:r w:rsidR="004D7AD2" w:rsidRPr="009F2135">
        <w:t>“</w:t>
      </w:r>
      <w:r w:rsidR="00B02051" w:rsidRPr="009F2135">
        <w:t>In short, I say that as a c</w:t>
      </w:r>
      <w:r w:rsidR="004D7AD2" w:rsidRPr="009F2135">
        <w:t>ity we are the school of Hellas”</w:t>
      </w:r>
      <w:r w:rsidR="0079411E">
        <w:t xml:space="preserve"> </w:t>
      </w:r>
      <w:r w:rsidR="0079411E">
        <w:rPr>
          <w:rStyle w:val="FootnoteReference"/>
        </w:rPr>
        <w:footnoteReference w:id="7"/>
      </w:r>
      <w:r w:rsidR="0079411E" w:rsidRPr="009F2135">
        <w:t xml:space="preserve"> </w:t>
      </w:r>
      <w:r w:rsidR="004D7AD2" w:rsidRPr="009F2135">
        <w:t xml:space="preserve"> and that when tested, Athens alone is greater than her reputation.</w:t>
      </w:r>
      <w:r w:rsidR="00BA12A9" w:rsidRPr="009F2135">
        <w:t xml:space="preserve"> </w:t>
      </w:r>
    </w:p>
    <w:p w:rsidR="0079411E" w:rsidRPr="009F2135" w:rsidRDefault="0079411E" w:rsidP="00312061">
      <w:pPr>
        <w:spacing w:after="0" w:line="480" w:lineRule="auto"/>
        <w:rPr>
          <w:color w:val="FF0000"/>
        </w:rPr>
      </w:pPr>
    </w:p>
    <w:p w:rsidR="007C3748" w:rsidRPr="009F2135" w:rsidRDefault="00B02051" w:rsidP="00312061">
      <w:pPr>
        <w:spacing w:after="0" w:line="480" w:lineRule="auto"/>
      </w:pPr>
      <w:r w:rsidRPr="009F2135">
        <w:t>In stark contrast to Pericles, in Book 6</w:t>
      </w:r>
      <w:r w:rsidR="00C74E19" w:rsidRPr="009F2135">
        <w:t>,</w:t>
      </w:r>
      <w:r w:rsidRPr="009F2135">
        <w:t xml:space="preserve"> </w:t>
      </w:r>
      <w:r w:rsidR="004065AC" w:rsidRPr="009F2135">
        <w:t>Alcibiades</w:t>
      </w:r>
      <w:r w:rsidRPr="009F2135">
        <w:t xml:space="preserve"> </w:t>
      </w:r>
      <w:r w:rsidR="002F41A5" w:rsidRPr="009F2135">
        <w:t xml:space="preserve">allows his </w:t>
      </w:r>
      <w:r w:rsidR="004065AC" w:rsidRPr="009F2135">
        <w:t xml:space="preserve">personal </w:t>
      </w:r>
      <w:r w:rsidR="002F41A5" w:rsidRPr="009F2135">
        <w:t>dislike of Nicias</w:t>
      </w:r>
      <w:r w:rsidR="004065AC" w:rsidRPr="009F2135">
        <w:t xml:space="preserve"> to dictate his actions</w:t>
      </w:r>
      <w:r w:rsidR="002F41A5" w:rsidRPr="009F2135">
        <w:t xml:space="preserve"> when </w:t>
      </w:r>
      <w:r w:rsidR="004065AC" w:rsidRPr="009F2135">
        <w:t xml:space="preserve">he argues </w:t>
      </w:r>
      <w:r w:rsidR="002F41A5" w:rsidRPr="009F2135">
        <w:t>in favour of</w:t>
      </w:r>
      <w:r w:rsidR="004065AC" w:rsidRPr="009F2135">
        <w:t xml:space="preserve"> launching the Sicilian expedition</w:t>
      </w:r>
      <w:r w:rsidR="002F41A5" w:rsidRPr="009F2135">
        <w:t xml:space="preserve">. Thucydides notes </w:t>
      </w:r>
      <w:r w:rsidR="001A620D" w:rsidRPr="009F2135">
        <w:t>“By far the warmest advocate of the expedition was, however, Alcibiades</w:t>
      </w:r>
      <w:r w:rsidR="002F41A5" w:rsidRPr="009F2135">
        <w:t>… who wished to thwart Nicias</w:t>
      </w:r>
      <w:r w:rsidR="001A620D" w:rsidRPr="009F2135">
        <w:t>”</w:t>
      </w:r>
      <w:r w:rsidR="002F41A5" w:rsidRPr="009F2135">
        <w:t xml:space="preserve"> and that he wanted </w:t>
      </w:r>
      <w:r w:rsidR="001A620D" w:rsidRPr="009F2135">
        <w:t>“personally to gain in wealth and reputation by means of his successes.”</w:t>
      </w:r>
      <w:r w:rsidR="00095091">
        <w:t xml:space="preserve"> </w:t>
      </w:r>
      <w:r w:rsidR="00095091">
        <w:rPr>
          <w:rStyle w:val="FootnoteReference"/>
        </w:rPr>
        <w:footnoteReference w:id="8"/>
      </w:r>
      <w:r w:rsidR="002F41A5" w:rsidRPr="009F2135">
        <w:t xml:space="preserve"> This self-interested approach to </w:t>
      </w:r>
      <w:r w:rsidR="00E1661F" w:rsidRPr="009F2135">
        <w:t>power</w:t>
      </w:r>
      <w:r w:rsidR="002F41A5" w:rsidRPr="009F2135">
        <w:t xml:space="preserve">, in which the evident sensible </w:t>
      </w:r>
      <w:r w:rsidR="00E1661F" w:rsidRPr="009F2135">
        <w:t>course for the state at large is</w:t>
      </w:r>
      <w:r w:rsidR="002F41A5" w:rsidRPr="009F2135">
        <w:t xml:space="preserve"> widely ignored in pursuit of personal grandeur</w:t>
      </w:r>
      <w:r w:rsidR="00E1661F" w:rsidRPr="009F2135">
        <w:t xml:space="preserve"> and wealth, is shown later to be an abuse of power </w:t>
      </w:r>
      <w:r w:rsidR="00EF25FE" w:rsidRPr="009F2135">
        <w:t>as it</w:t>
      </w:r>
      <w:r w:rsidR="00E1661F" w:rsidRPr="009F2135">
        <w:t xml:space="preserve"> “had not a little to do with the ruin of the Athenian state.”</w:t>
      </w:r>
      <w:r w:rsidR="00095091">
        <w:t xml:space="preserve"> </w:t>
      </w:r>
      <w:r w:rsidR="00095091">
        <w:rPr>
          <w:rStyle w:val="FootnoteReference"/>
        </w:rPr>
        <w:footnoteReference w:id="9"/>
      </w:r>
      <w:r w:rsidR="00E1661F" w:rsidRPr="009F2135">
        <w:t xml:space="preserve"> </w:t>
      </w:r>
    </w:p>
    <w:p w:rsidR="00B02051" w:rsidRPr="009F2135" w:rsidRDefault="00B02051" w:rsidP="00312061">
      <w:pPr>
        <w:spacing w:after="0" w:line="480" w:lineRule="auto"/>
        <w:rPr>
          <w:b/>
          <w:color w:val="FF0000"/>
        </w:rPr>
      </w:pPr>
    </w:p>
    <w:p w:rsidR="00BA12A9" w:rsidRPr="009F2135" w:rsidRDefault="00B02051" w:rsidP="00312061">
      <w:pPr>
        <w:spacing w:after="0" w:line="480" w:lineRule="auto"/>
      </w:pPr>
      <w:r w:rsidRPr="009F2135">
        <w:t>In the case of Cleon</w:t>
      </w:r>
      <w:r w:rsidR="004D7AD2" w:rsidRPr="009F2135">
        <w:t>, we are presented with another example of poo</w:t>
      </w:r>
      <w:r w:rsidR="003957E6" w:rsidRPr="009F2135">
        <w:t>r leadership, driven by vengeance and the expansion of empire. Cleon was</w:t>
      </w:r>
      <w:r w:rsidRPr="009F2135">
        <w:t xml:space="preserve"> known</w:t>
      </w:r>
      <w:r w:rsidR="003957E6" w:rsidRPr="009F2135">
        <w:t xml:space="preserve"> as</w:t>
      </w:r>
      <w:r w:rsidRPr="009F2135">
        <w:t xml:space="preserve"> “</w:t>
      </w:r>
      <w:r w:rsidR="003957E6" w:rsidRPr="009F2135">
        <w:t>the most violent man at Athens</w:t>
      </w:r>
      <w:r w:rsidRPr="009F2135">
        <w:t>”</w:t>
      </w:r>
      <w:r w:rsidR="00095091">
        <w:t xml:space="preserve"> </w:t>
      </w:r>
      <w:r w:rsidR="00095091">
        <w:rPr>
          <w:rStyle w:val="FootnoteReference"/>
        </w:rPr>
        <w:footnoteReference w:id="10"/>
      </w:r>
      <w:r w:rsidRPr="009F2135">
        <w:t xml:space="preserve"> </w:t>
      </w:r>
      <w:r w:rsidR="00F31EED" w:rsidRPr="009F2135">
        <w:t xml:space="preserve">and his </w:t>
      </w:r>
      <w:r w:rsidR="00895221">
        <w:t>illogical</w:t>
      </w:r>
      <w:r w:rsidR="003957E6" w:rsidRPr="009F2135">
        <w:t xml:space="preserve">, </w:t>
      </w:r>
      <w:r w:rsidR="00F31EED" w:rsidRPr="009F2135">
        <w:t xml:space="preserve">populist approach </w:t>
      </w:r>
      <w:r w:rsidR="003957E6" w:rsidRPr="009F2135">
        <w:t>to the assembly, in which he decries the use of “elaborate sophisms” to try and convince the assembly otherwise of something that had been previously decided, is essentially an attack on the system of</w:t>
      </w:r>
      <w:r w:rsidR="00C74E19" w:rsidRPr="009F2135">
        <w:t xml:space="preserve"> public</w:t>
      </w:r>
      <w:r w:rsidR="003957E6" w:rsidRPr="009F2135">
        <w:t xml:space="preserve"> </w:t>
      </w:r>
      <w:r w:rsidR="00C74E19" w:rsidRPr="009F2135">
        <w:t xml:space="preserve">debate </w:t>
      </w:r>
      <w:r w:rsidR="00BA12A9" w:rsidRPr="009F2135">
        <w:t>as a means of decision making.</w:t>
      </w:r>
    </w:p>
    <w:p w:rsidR="00C74E19" w:rsidRPr="009F2135" w:rsidRDefault="00C74E19" w:rsidP="00312061">
      <w:pPr>
        <w:spacing w:after="0" w:line="480" w:lineRule="auto"/>
        <w:rPr>
          <w:b/>
          <w:color w:val="FF0000"/>
        </w:rPr>
      </w:pPr>
    </w:p>
    <w:p w:rsidR="00BA12A9" w:rsidRPr="009F2135" w:rsidRDefault="00BA12A9" w:rsidP="00312061">
      <w:pPr>
        <w:spacing w:after="0" w:line="480" w:lineRule="auto"/>
      </w:pPr>
      <w:r w:rsidRPr="009F2135">
        <w:t>The</w:t>
      </w:r>
      <w:r w:rsidR="002C2647" w:rsidRPr="009F2135">
        <w:t xml:space="preserve"> contrasting</w:t>
      </w:r>
      <w:r w:rsidRPr="009F2135">
        <w:t xml:space="preserve"> representations of leadership and power in Thucydides can significantly assist in forming an idea on the attitudes towards imperialism within Athens. </w:t>
      </w:r>
      <w:r w:rsidR="009B45BF" w:rsidRPr="009F2135">
        <w:t xml:space="preserve">It seems that </w:t>
      </w:r>
      <w:r w:rsidRPr="009F2135">
        <w:t>Pericles</w:t>
      </w:r>
      <w:r w:rsidR="009B45BF" w:rsidRPr="009F2135">
        <w:t xml:space="preserve"> </w:t>
      </w:r>
      <w:r w:rsidR="00022134" w:rsidRPr="009F2135">
        <w:t xml:space="preserve">wholly </w:t>
      </w:r>
      <w:r w:rsidR="002C2647" w:rsidRPr="009F2135">
        <w:t>believed</w:t>
      </w:r>
      <w:r w:rsidRPr="009F2135">
        <w:t xml:space="preserve"> </w:t>
      </w:r>
      <w:r w:rsidR="0095460D">
        <w:t>in Athens</w:t>
      </w:r>
      <w:r w:rsidR="009B45BF" w:rsidRPr="009F2135">
        <w:t xml:space="preserve">. He believed </w:t>
      </w:r>
      <w:r w:rsidRPr="009F2135">
        <w:t>that Athens</w:t>
      </w:r>
      <w:r w:rsidR="002C2647" w:rsidRPr="009F2135">
        <w:t xml:space="preserve"> could teach t</w:t>
      </w:r>
      <w:r w:rsidRPr="009F2135">
        <w:t>he entire Greek world</w:t>
      </w:r>
      <w:r w:rsidR="002C2647" w:rsidRPr="009F2135">
        <w:t xml:space="preserve"> how to be better </w:t>
      </w:r>
      <w:r w:rsidR="00022134" w:rsidRPr="009F2135">
        <w:t xml:space="preserve">state </w:t>
      </w:r>
      <w:r w:rsidR="002C2647" w:rsidRPr="009F2135">
        <w:t xml:space="preserve">using their example, </w:t>
      </w:r>
      <w:r w:rsidR="009B45BF" w:rsidRPr="009F2135">
        <w:t>and justified Athenian imperialism by</w:t>
      </w:r>
      <w:r w:rsidR="002C2647" w:rsidRPr="009F2135">
        <w:t xml:space="preserve"> </w:t>
      </w:r>
      <w:r w:rsidR="009B45BF" w:rsidRPr="009F2135">
        <w:t xml:space="preserve">suggesting it was a </w:t>
      </w:r>
      <w:r w:rsidR="002C2647" w:rsidRPr="009F2135">
        <w:t>form of enlightened self-interest</w:t>
      </w:r>
      <w:r w:rsidR="009B45BF" w:rsidRPr="009F2135">
        <w:t>, whereby other states benefit from their relationship with Athens</w:t>
      </w:r>
      <w:r w:rsidR="002C2647" w:rsidRPr="009F2135">
        <w:t>,</w:t>
      </w:r>
      <w:r w:rsidR="009B45BF" w:rsidRPr="009F2135">
        <w:t xml:space="preserve"> </w:t>
      </w:r>
      <w:r w:rsidRPr="009F2135">
        <w:t xml:space="preserve">whereas Cleon and Alcibiades </w:t>
      </w:r>
      <w:r w:rsidR="002C2647" w:rsidRPr="009F2135">
        <w:t>appear to have be</w:t>
      </w:r>
      <w:r w:rsidR="00022134" w:rsidRPr="009F2135">
        <w:t>en</w:t>
      </w:r>
      <w:r w:rsidR="002C2647" w:rsidRPr="009F2135">
        <w:t xml:space="preserve"> more interested in power for powers sake and for the enrichment of self and state. </w:t>
      </w:r>
    </w:p>
    <w:p w:rsidR="00312061" w:rsidRDefault="00312061" w:rsidP="00312061">
      <w:pPr>
        <w:spacing w:after="0" w:line="480" w:lineRule="auto"/>
        <w:rPr>
          <w:b/>
        </w:rPr>
      </w:pPr>
    </w:p>
    <w:p w:rsidR="00BA12A9" w:rsidRPr="009F2135" w:rsidRDefault="00185BEC" w:rsidP="00312061">
      <w:pPr>
        <w:spacing w:after="0" w:line="480" w:lineRule="auto"/>
        <w:rPr>
          <w:b/>
        </w:rPr>
      </w:pPr>
      <w:r w:rsidRPr="009F2135">
        <w:rPr>
          <w:b/>
        </w:rPr>
        <w:t>Evaluation</w:t>
      </w:r>
      <w:r w:rsidR="00BA14B3" w:rsidRPr="009F2135">
        <w:rPr>
          <w:b/>
        </w:rPr>
        <w:t xml:space="preserve"> of text</w:t>
      </w:r>
    </w:p>
    <w:p w:rsidR="00BA14B3" w:rsidRPr="009F2135" w:rsidRDefault="00BA14B3" w:rsidP="00312061">
      <w:pPr>
        <w:spacing w:after="0" w:line="480" w:lineRule="auto"/>
      </w:pPr>
      <w:r w:rsidRPr="009F2135">
        <w:t xml:space="preserve">When considering the use </w:t>
      </w:r>
      <w:r w:rsidR="00185BEC" w:rsidRPr="009F2135">
        <w:t>Thucydides</w:t>
      </w:r>
      <w:r w:rsidRPr="009F2135">
        <w:t xml:space="preserve"> as a primary source for this period, his analytical </w:t>
      </w:r>
      <w:r w:rsidR="00B01ED1" w:rsidRPr="009F2135">
        <w:t xml:space="preserve">approach </w:t>
      </w:r>
      <w:r w:rsidRPr="009F2135">
        <w:t>and</w:t>
      </w:r>
      <w:r w:rsidR="00B73C15" w:rsidRPr="009F2135">
        <w:t xml:space="preserve"> how he writes history</w:t>
      </w:r>
      <w:r w:rsidRPr="009F2135">
        <w:t>, or at least the way he says that he writes history, can I believe be considered strength</w:t>
      </w:r>
      <w:r w:rsidR="00B73C15" w:rsidRPr="009F2135">
        <w:t xml:space="preserve">. </w:t>
      </w:r>
    </w:p>
    <w:p w:rsidR="00BA14B3" w:rsidRPr="009F2135" w:rsidRDefault="00BA14B3" w:rsidP="00312061">
      <w:pPr>
        <w:spacing w:after="0" w:line="480" w:lineRule="auto"/>
      </w:pPr>
    </w:p>
    <w:p w:rsidR="001A6546" w:rsidRPr="009F2135" w:rsidRDefault="00BA14B3" w:rsidP="00312061">
      <w:pPr>
        <w:spacing w:after="0" w:line="480" w:lineRule="auto"/>
      </w:pPr>
      <w:r w:rsidRPr="009F2135">
        <w:t xml:space="preserve">In the early stages of the text, Thucydides </w:t>
      </w:r>
      <w:r w:rsidR="0001349B" w:rsidRPr="009F2135">
        <w:t>writes</w:t>
      </w:r>
      <w:r w:rsidRPr="009F2135">
        <w:t xml:space="preserve"> “with regard to the facts of what was done in the war, I did not presume to state them on hearsay from any chance informant, nor as I thought probable myself; but those at which I was personally present, and when informed by others, only after investigating them accurately in every particular, as far as was possible.”</w:t>
      </w:r>
      <w:r w:rsidR="00095091">
        <w:t xml:space="preserve"> </w:t>
      </w:r>
      <w:r w:rsidR="00095091">
        <w:rPr>
          <w:rStyle w:val="FootnoteReference"/>
        </w:rPr>
        <w:footnoteReference w:id="11"/>
      </w:r>
      <w:r w:rsidRPr="009F2135">
        <w:t xml:space="preserve"> Historians today would of course consider eyewitness accounts to be</w:t>
      </w:r>
      <w:r w:rsidR="0001349B" w:rsidRPr="009F2135">
        <w:t xml:space="preserve"> too</w:t>
      </w:r>
      <w:r w:rsidRPr="009F2135">
        <w:t xml:space="preserve"> biased and lacking in any real reliability to serve as evidence. However, Thucydides’ specific mention of cross-referencing techniques</w:t>
      </w:r>
      <w:r w:rsidR="0001349B" w:rsidRPr="009F2135">
        <w:t xml:space="preserve"> as a method of ascertaining the</w:t>
      </w:r>
      <w:r w:rsidRPr="009F2135">
        <w:t xml:space="preserve"> truth as</w:t>
      </w:r>
      <w:r w:rsidR="0001349B" w:rsidRPr="009F2135">
        <w:t xml:space="preserve"> accurately as</w:t>
      </w:r>
      <w:r w:rsidR="001A6546" w:rsidRPr="009F2135">
        <w:t xml:space="preserve"> possible</w:t>
      </w:r>
      <w:r w:rsidRPr="009F2135">
        <w:t xml:space="preserve"> </w:t>
      </w:r>
      <w:r w:rsidR="0001349B" w:rsidRPr="009F2135">
        <w:t xml:space="preserve">and his denial of presumptions in favour of empirical evidence </w:t>
      </w:r>
      <w:r w:rsidR="001A6546" w:rsidRPr="009F2135">
        <w:t>suggests that he was driven by the truth, for the truths sake and to give as clearer picture as possible about the events that unfolded during the Peloponnesian War.</w:t>
      </w:r>
    </w:p>
    <w:p w:rsidR="001A6546" w:rsidRPr="009F2135" w:rsidRDefault="001A6546" w:rsidP="00312061">
      <w:pPr>
        <w:spacing w:after="0" w:line="480" w:lineRule="auto"/>
      </w:pPr>
    </w:p>
    <w:p w:rsidR="001A6546" w:rsidRPr="009F2135" w:rsidRDefault="001A6546" w:rsidP="00312061">
      <w:pPr>
        <w:spacing w:after="0" w:line="480" w:lineRule="auto"/>
      </w:pPr>
      <w:r w:rsidRPr="009F2135">
        <w:t xml:space="preserve">This is also supported in Book 1, where Thucydides states that the rationale for composing this text is not to make it fun, but truthful. </w:t>
      </w:r>
      <w:r w:rsidR="00C67B72" w:rsidRPr="009F2135">
        <w:t>He writes that “the unfabulous character of my work”</w:t>
      </w:r>
      <w:r w:rsidR="00095091">
        <w:t xml:space="preserve"> </w:t>
      </w:r>
      <w:r w:rsidR="00095091">
        <w:rPr>
          <w:rStyle w:val="FootnoteReference"/>
        </w:rPr>
        <w:footnoteReference w:id="12"/>
      </w:r>
      <w:r w:rsidR="00C67B72" w:rsidRPr="009F2135">
        <w:t xml:space="preserve"> and </w:t>
      </w:r>
      <w:r w:rsidRPr="009F2135">
        <w:t>“</w:t>
      </w:r>
      <w:r w:rsidR="00C67B72" w:rsidRPr="009F2135">
        <w:t>t</w:t>
      </w:r>
      <w:r w:rsidRPr="009F2135">
        <w:t>he absence of romance in my history will, I fear, detract somewhat from its interest”</w:t>
      </w:r>
      <w:r w:rsidR="00095091">
        <w:t xml:space="preserve"> </w:t>
      </w:r>
      <w:r w:rsidR="00095091">
        <w:rPr>
          <w:rStyle w:val="FootnoteReference"/>
        </w:rPr>
        <w:footnoteReference w:id="13"/>
      </w:r>
      <w:r w:rsidRPr="009F2135">
        <w:t xml:space="preserve"> </w:t>
      </w:r>
      <w:r w:rsidR="00C67B72" w:rsidRPr="009F2135">
        <w:t>which clearly suggests that the author is not concerned with entertainment, but accuracy, which strengthens the case for this to be considered a reliable historical text. He also states that “if</w:t>
      </w:r>
      <w:r w:rsidRPr="009F2135">
        <w:t xml:space="preserve"> it be judged useful by those inquirers who desire an exact knowledge of the past</w:t>
      </w:r>
      <w:r w:rsidR="00C67B72" w:rsidRPr="009F2135">
        <w:t>..</w:t>
      </w:r>
      <w:r w:rsidRPr="009F2135">
        <w:t>.</w:t>
      </w:r>
      <w:r w:rsidR="00C67B72" w:rsidRPr="009F2135">
        <w:t xml:space="preserve"> I shall be content.</w:t>
      </w:r>
      <w:r w:rsidRPr="009F2135">
        <w:t xml:space="preserve">” </w:t>
      </w:r>
      <w:r w:rsidR="0095460D">
        <w:rPr>
          <w:rStyle w:val="FootnoteReference"/>
        </w:rPr>
        <w:footnoteReference w:id="14"/>
      </w:r>
    </w:p>
    <w:p w:rsidR="00C67B72" w:rsidRPr="009F2135" w:rsidRDefault="00C67B72" w:rsidP="00312061">
      <w:pPr>
        <w:spacing w:after="0" w:line="480" w:lineRule="auto"/>
      </w:pPr>
    </w:p>
    <w:p w:rsidR="0023317D" w:rsidRPr="009F2135" w:rsidRDefault="00C67B72" w:rsidP="00312061">
      <w:pPr>
        <w:spacing w:after="0" w:line="480" w:lineRule="auto"/>
      </w:pPr>
      <w:r w:rsidRPr="009F2135">
        <w:t xml:space="preserve">Contemporary works also draw criticism from Thucydides due to their perceived </w:t>
      </w:r>
      <w:r w:rsidR="0023317D" w:rsidRPr="009F2135">
        <w:t>lack of accuracy</w:t>
      </w:r>
      <w:r w:rsidR="00C07B57" w:rsidRPr="009F2135">
        <w:t xml:space="preserve"> and their exaggerations for the sake of entertainment</w:t>
      </w:r>
      <w:r w:rsidRPr="009F2135">
        <w:t>.</w:t>
      </w:r>
      <w:r w:rsidR="0023317D" w:rsidRPr="009F2135">
        <w:t xml:space="preserve"> </w:t>
      </w:r>
      <w:r w:rsidRPr="009F2135">
        <w:t xml:space="preserve">He states that his work will not be </w:t>
      </w:r>
      <w:r w:rsidR="0023317D" w:rsidRPr="009F2135">
        <w:t>“disturbed either by the lays of a poet displaying the exaggeration of his craft, or by the compositions of the chroniclers that are attractive at truth's expense.”</w:t>
      </w:r>
      <w:r w:rsidR="00095091">
        <w:t xml:space="preserve"> </w:t>
      </w:r>
      <w:r w:rsidR="00095091">
        <w:rPr>
          <w:rStyle w:val="FootnoteReference"/>
        </w:rPr>
        <w:footnoteReference w:id="15"/>
      </w:r>
      <w:r w:rsidR="00C07B57" w:rsidRPr="009F2135">
        <w:t xml:space="preserve"> Once more Thucydides bolsters the reliability of this text by contrasting it with other histories of its day. He outlines how and why this is different and he acknowledges that it might not be entertaining for all, but will give an accurate history of this period. </w:t>
      </w:r>
    </w:p>
    <w:p w:rsidR="00C07B57" w:rsidRPr="009F2135" w:rsidRDefault="00C07B57" w:rsidP="00312061">
      <w:pPr>
        <w:spacing w:after="0" w:line="480" w:lineRule="auto"/>
      </w:pPr>
    </w:p>
    <w:p w:rsidR="00423443" w:rsidRPr="009F2135" w:rsidRDefault="00C07B57" w:rsidP="00312061">
      <w:pPr>
        <w:spacing w:after="0" w:line="480" w:lineRule="auto"/>
      </w:pPr>
      <w:r w:rsidRPr="009F2135">
        <w:t xml:space="preserve">That being said, more recently the work of Thucydides has begun to attract criticism as a factual source as the reliability of the text has been called further in to question. Duff states that </w:t>
      </w:r>
      <w:r w:rsidR="00F959A6" w:rsidRPr="009F2135">
        <w:t>in the past, The History of the Peloponnesia</w:t>
      </w:r>
      <w:r w:rsidR="007911C1">
        <w:t>n War had been given an almost ‘</w:t>
      </w:r>
      <w:r w:rsidRPr="009F2135">
        <w:t>scriptural status</w:t>
      </w:r>
      <w:r w:rsidR="007911C1">
        <w:t>’</w:t>
      </w:r>
      <w:r w:rsidR="00F959A6" w:rsidRPr="009F2135">
        <w:t xml:space="preserve"> among historians,</w:t>
      </w:r>
      <w:r w:rsidRPr="009F2135">
        <w:t xml:space="preserve"> but this has changed over time and more recently, he states, there is a willingness to “examine Thoukydides' text as a work of literature rather than as 'a source'”.</w:t>
      </w:r>
      <w:r w:rsidR="00F959A6" w:rsidRPr="009F2135">
        <w:t xml:space="preserve"> </w:t>
      </w:r>
      <w:r w:rsidR="00095091">
        <w:rPr>
          <w:rStyle w:val="FootnoteReference"/>
        </w:rPr>
        <w:footnoteReference w:id="16"/>
      </w:r>
      <w:r w:rsidR="00423443" w:rsidRPr="00A421D7">
        <w:rPr>
          <w:color w:val="FF0000"/>
        </w:rPr>
        <w:t xml:space="preserve"> </w:t>
      </w:r>
    </w:p>
    <w:p w:rsidR="00423443" w:rsidRPr="009F2135" w:rsidRDefault="00423443" w:rsidP="00312061">
      <w:pPr>
        <w:spacing w:after="0" w:line="480" w:lineRule="auto"/>
      </w:pPr>
    </w:p>
    <w:p w:rsidR="00423443" w:rsidRPr="009F2135" w:rsidRDefault="00423443" w:rsidP="00312061">
      <w:pPr>
        <w:spacing w:after="0" w:line="480" w:lineRule="auto"/>
      </w:pPr>
      <w:r w:rsidRPr="009F2135">
        <w:t xml:space="preserve">In reference to the various speeches throughout </w:t>
      </w:r>
      <w:r w:rsidR="00F959A6" w:rsidRPr="009F2135">
        <w:t>Thucydides</w:t>
      </w:r>
      <w:r w:rsidRPr="009F2135">
        <w:t xml:space="preserve">, he </w:t>
      </w:r>
      <w:r w:rsidR="00F959A6" w:rsidRPr="009F2135">
        <w:t>states that “it was hard to remember the exact words of what was said; both for myself</w:t>
      </w:r>
      <w:r w:rsidRPr="009F2135">
        <w:t>…</w:t>
      </w:r>
      <w:r w:rsidR="00F959A6" w:rsidRPr="009F2135">
        <w:t xml:space="preserve"> and to those who reported it to me from any other quarters”.</w:t>
      </w:r>
      <w:r w:rsidR="00095091">
        <w:t xml:space="preserve"> </w:t>
      </w:r>
      <w:r w:rsidR="00095091">
        <w:rPr>
          <w:rStyle w:val="FootnoteReference"/>
        </w:rPr>
        <w:footnoteReference w:id="17"/>
      </w:r>
      <w:r w:rsidR="00F959A6" w:rsidRPr="009F2135">
        <w:t xml:space="preserve"> </w:t>
      </w:r>
      <w:r w:rsidRPr="009F2135">
        <w:t xml:space="preserve">This raises serious questions about reliability of the text, as if </w:t>
      </w:r>
      <w:r w:rsidR="00F959A6" w:rsidRPr="009F2135">
        <w:t xml:space="preserve">Thucydides himself cannot be sure that </w:t>
      </w:r>
      <w:r w:rsidRPr="009F2135">
        <w:t>what he writes is accurate, the</w:t>
      </w:r>
      <w:r w:rsidR="00F959A6" w:rsidRPr="009F2135">
        <w:t xml:space="preserve"> text loses credibility</w:t>
      </w:r>
      <w:r w:rsidRPr="009F2135">
        <w:t xml:space="preserve"> because </w:t>
      </w:r>
      <w:r w:rsidR="00F959A6" w:rsidRPr="009F2135">
        <w:t xml:space="preserve">there is no way that we can be sure what has </w:t>
      </w:r>
      <w:r w:rsidRPr="009F2135">
        <w:t xml:space="preserve">been written was actually said, and no way of cross-referencing as Thucydides himself would have expected. </w:t>
      </w:r>
    </w:p>
    <w:p w:rsidR="00423443" w:rsidRPr="009F2135" w:rsidRDefault="00423443" w:rsidP="00312061">
      <w:pPr>
        <w:spacing w:after="0" w:line="480" w:lineRule="auto"/>
      </w:pPr>
    </w:p>
    <w:p w:rsidR="005C244C" w:rsidRPr="009F2135" w:rsidRDefault="00423443" w:rsidP="00312061">
      <w:pPr>
        <w:spacing w:after="0" w:line="480" w:lineRule="auto"/>
      </w:pPr>
      <w:r w:rsidRPr="009F2135">
        <w:t xml:space="preserve">Due to the potentially inaccurate recounting of the speeches within the text, </w:t>
      </w:r>
      <w:r w:rsidR="00F959A6" w:rsidRPr="009F2135">
        <w:t>Duff</w:t>
      </w:r>
      <w:r w:rsidRPr="009F2135">
        <w:t xml:space="preserve"> is led to question their validity</w:t>
      </w:r>
      <w:r w:rsidR="00FA2291" w:rsidRPr="009F2135">
        <w:t xml:space="preserve"> as primary source material</w:t>
      </w:r>
      <w:r w:rsidRPr="009F2135">
        <w:t>, and states</w:t>
      </w:r>
      <w:r w:rsidR="00F959A6" w:rsidRPr="009F2135">
        <w:t xml:space="preserve"> that </w:t>
      </w:r>
      <w:r w:rsidRPr="009F2135">
        <w:t xml:space="preserve">they are </w:t>
      </w:r>
      <w:r w:rsidR="00F959A6" w:rsidRPr="009F2135">
        <w:t>“not verbatim reports, but vehicles for his own musings</w:t>
      </w:r>
      <w:r w:rsidRPr="009F2135">
        <w:t>”</w:t>
      </w:r>
      <w:r w:rsidR="00095091">
        <w:t xml:space="preserve"> </w:t>
      </w:r>
      <w:r w:rsidR="00095091">
        <w:rPr>
          <w:rStyle w:val="FootnoteReference"/>
        </w:rPr>
        <w:footnoteReference w:id="18"/>
      </w:r>
      <w:r w:rsidR="000A2326" w:rsidRPr="009F2135">
        <w:t xml:space="preserve"> </w:t>
      </w:r>
      <w:r w:rsidRPr="00A421D7">
        <w:rPr>
          <w:color w:val="FF0000"/>
        </w:rPr>
        <w:t xml:space="preserve"> </w:t>
      </w:r>
      <w:r w:rsidRPr="009F2135">
        <w:t xml:space="preserve">so as a record of history, </w:t>
      </w:r>
      <w:r w:rsidR="00FA2291" w:rsidRPr="009F2135">
        <w:t xml:space="preserve">are </w:t>
      </w:r>
      <w:r w:rsidRPr="009F2135">
        <w:t>not accurate.</w:t>
      </w:r>
      <w:r w:rsidR="0095460D">
        <w:t xml:space="preserve"> </w:t>
      </w:r>
      <w:r w:rsidRPr="009F2135">
        <w:t xml:space="preserve">The </w:t>
      </w:r>
      <w:r w:rsidR="0095460D" w:rsidRPr="009F2135">
        <w:t>possible</w:t>
      </w:r>
      <w:r w:rsidRPr="009F2135">
        <w:t xml:space="preserve"> inaccuracies don’t mean however, that </w:t>
      </w:r>
      <w:r w:rsidR="0095460D">
        <w:t>the speeches</w:t>
      </w:r>
      <w:r w:rsidRPr="009F2135">
        <w:t xml:space="preserve"> are useless in any</w:t>
      </w:r>
      <w:r w:rsidR="005C244C" w:rsidRPr="009F2135">
        <w:t xml:space="preserve"> study. </w:t>
      </w:r>
      <w:r w:rsidRPr="009F2135">
        <w:t xml:space="preserve">These speeches can give us an indication of </w:t>
      </w:r>
      <w:r w:rsidR="000A2326" w:rsidRPr="009F2135">
        <w:t xml:space="preserve">the range of contemporary </w:t>
      </w:r>
      <w:r w:rsidRPr="009F2135">
        <w:t xml:space="preserve">attitudes </w:t>
      </w:r>
      <w:r w:rsidR="005C244C" w:rsidRPr="009F2135">
        <w:t xml:space="preserve">towards </w:t>
      </w:r>
      <w:r w:rsidR="000A2326" w:rsidRPr="009F2135">
        <w:t>“the workings of power, war and human nature”</w:t>
      </w:r>
      <w:r w:rsidR="00095091">
        <w:t xml:space="preserve"> </w:t>
      </w:r>
      <w:r w:rsidR="00095091">
        <w:rPr>
          <w:rStyle w:val="FootnoteReference"/>
        </w:rPr>
        <w:footnoteReference w:id="19"/>
      </w:r>
      <w:r w:rsidR="000A2326" w:rsidRPr="009F2135">
        <w:t xml:space="preserve"> </w:t>
      </w:r>
      <w:r w:rsidR="00043685" w:rsidRPr="009F2135">
        <w:t xml:space="preserve">and can </w:t>
      </w:r>
      <w:r w:rsidR="000A2326" w:rsidRPr="009F2135">
        <w:t xml:space="preserve">illustrate popular support, or lack thereof, for </w:t>
      </w:r>
      <w:r w:rsidR="000750AB">
        <w:t>the various political positions</w:t>
      </w:r>
      <w:r w:rsidR="000A2326" w:rsidRPr="009F2135">
        <w:t xml:space="preserve">. </w:t>
      </w:r>
      <w:r w:rsidR="005C244C" w:rsidRPr="009F2135">
        <w:t xml:space="preserve">Cleon’s </w:t>
      </w:r>
      <w:r w:rsidR="00043685" w:rsidRPr="009F2135">
        <w:t xml:space="preserve">supposed </w:t>
      </w:r>
      <w:r w:rsidR="005C244C" w:rsidRPr="009F2135">
        <w:t>attack on the</w:t>
      </w:r>
      <w:r w:rsidR="00043685" w:rsidRPr="009F2135">
        <w:t xml:space="preserve"> ‘</w:t>
      </w:r>
      <w:r w:rsidR="005C244C" w:rsidRPr="009F2135">
        <w:t>elaborate sophisms</w:t>
      </w:r>
      <w:r w:rsidR="00043685" w:rsidRPr="009F2135">
        <w:t>’</w:t>
      </w:r>
      <w:r w:rsidR="005C244C" w:rsidRPr="009F2135">
        <w:t xml:space="preserve"> of the assembly may well have been a reflection of some contemporary criticisms of the Athenian system, and likewise</w:t>
      </w:r>
      <w:r w:rsidR="00043685" w:rsidRPr="009F2135">
        <w:t>,</w:t>
      </w:r>
      <w:r w:rsidR="005C244C" w:rsidRPr="009F2135">
        <w:t xml:space="preserve"> </w:t>
      </w:r>
      <w:r w:rsidR="00043685" w:rsidRPr="009F2135">
        <w:t xml:space="preserve">the representation of </w:t>
      </w:r>
      <w:r w:rsidR="005C244C" w:rsidRPr="009F2135">
        <w:t>Alcibiades</w:t>
      </w:r>
      <w:r w:rsidR="00A421D7">
        <w:t xml:space="preserve"> </w:t>
      </w:r>
      <w:r w:rsidR="005C244C" w:rsidRPr="009F2135">
        <w:t>may well have reflected frustrations</w:t>
      </w:r>
      <w:r w:rsidR="00043685" w:rsidRPr="009F2135">
        <w:t xml:space="preserve"> with self-serving politicians generally. </w:t>
      </w:r>
    </w:p>
    <w:p w:rsidR="00C07B57" w:rsidRPr="009F2135" w:rsidRDefault="00C07B57" w:rsidP="00312061">
      <w:pPr>
        <w:spacing w:after="0" w:line="480" w:lineRule="auto"/>
      </w:pPr>
    </w:p>
    <w:p w:rsidR="00C82066" w:rsidRPr="009F2135" w:rsidRDefault="00FA2291" w:rsidP="00312061">
      <w:pPr>
        <w:spacing w:after="0" w:line="480" w:lineRule="auto"/>
      </w:pPr>
      <w:r w:rsidRPr="009F2135">
        <w:t>Another consideration when using Thucydides’ Histories is the issue of translation</w:t>
      </w:r>
      <w:r w:rsidR="00A421D7">
        <w:t xml:space="preserve">. </w:t>
      </w:r>
      <w:r w:rsidR="0080059C" w:rsidRPr="009F2135">
        <w:t>Beard states that “Thucydides wrote his History of the Peloponnesian War in almost impossibly difficult Greek</w:t>
      </w:r>
      <w:r w:rsidR="000750AB">
        <w:t>,</w:t>
      </w:r>
      <w:r w:rsidR="0080059C" w:rsidRPr="009F2135">
        <w:t>”</w:t>
      </w:r>
      <w:r w:rsidR="00095091">
        <w:t xml:space="preserve"> </w:t>
      </w:r>
      <w:r w:rsidR="00095091">
        <w:rPr>
          <w:rStyle w:val="FootnoteReference"/>
        </w:rPr>
        <w:footnoteReference w:id="20"/>
      </w:r>
      <w:r w:rsidR="0013709D" w:rsidRPr="009F2135">
        <w:t xml:space="preserve"> </w:t>
      </w:r>
      <w:r w:rsidR="00A421D7">
        <w:t>so</w:t>
      </w:r>
      <w:r w:rsidR="00C82066" w:rsidRPr="009F2135">
        <w:t xml:space="preserve"> we can assume that</w:t>
      </w:r>
      <w:r w:rsidR="0080059C" w:rsidRPr="009F2135">
        <w:t xml:space="preserve"> any translation will be quite far removed from the original text. She </w:t>
      </w:r>
      <w:r w:rsidRPr="009F2135">
        <w:t xml:space="preserve">also </w:t>
      </w:r>
      <w:r w:rsidR="0080059C" w:rsidRPr="009F2135">
        <w:t>suggests that the</w:t>
      </w:r>
      <w:r w:rsidRPr="009F2135">
        <w:t xml:space="preserve"> more</w:t>
      </w:r>
      <w:r w:rsidR="0080059C" w:rsidRPr="009F2135">
        <w:t xml:space="preserve"> easily accessible translations are likely to be the ones that least reflect the </w:t>
      </w:r>
      <w:r w:rsidR="00C82066" w:rsidRPr="009F2135">
        <w:t xml:space="preserve">original text and are </w:t>
      </w:r>
      <w:r w:rsidR="0080059C" w:rsidRPr="009F2135">
        <w:t xml:space="preserve">therefore the </w:t>
      </w:r>
      <w:r w:rsidR="00C82066" w:rsidRPr="009F2135">
        <w:t xml:space="preserve">least reliable, which would make them </w:t>
      </w:r>
      <w:r w:rsidR="0080059C" w:rsidRPr="009F2135">
        <w:t xml:space="preserve">problematic when attempting to use in an academic capacity. Kagen </w:t>
      </w:r>
      <w:r w:rsidR="00C82066" w:rsidRPr="009F2135">
        <w:t>supports this by stating</w:t>
      </w:r>
      <w:r w:rsidR="0080059C" w:rsidRPr="009F2135">
        <w:t xml:space="preserve"> that Thucydides’ style is so difficult to understand </w:t>
      </w:r>
      <w:r w:rsidR="00C82066" w:rsidRPr="009F2135">
        <w:t>“</w:t>
      </w:r>
      <w:r w:rsidR="0080059C" w:rsidRPr="009F2135">
        <w:t>that any translation is necessarily an interpretation</w:t>
      </w:r>
      <w:r w:rsidR="000750AB">
        <w:t>.</w:t>
      </w:r>
      <w:r w:rsidR="00C82066" w:rsidRPr="009F2135">
        <w:t>”</w:t>
      </w:r>
      <w:r w:rsidR="00095091">
        <w:t xml:space="preserve"> </w:t>
      </w:r>
      <w:r w:rsidR="00095091">
        <w:rPr>
          <w:rStyle w:val="FootnoteReference"/>
        </w:rPr>
        <w:footnoteReference w:id="21"/>
      </w:r>
      <w:r w:rsidR="0013709D" w:rsidRPr="009F2135">
        <w:rPr>
          <w:color w:val="FF0000"/>
        </w:rPr>
        <w:t xml:space="preserve"> </w:t>
      </w:r>
      <w:r w:rsidR="002B4C18" w:rsidRPr="009F2135">
        <w:t xml:space="preserve">This makes the use of a number of translations necessary in any study of Thucydides so that cross referencing can take place and any individual over interpretations of the source text can be moderated. </w:t>
      </w:r>
    </w:p>
    <w:p w:rsidR="002B4C18" w:rsidRPr="009F2135" w:rsidRDefault="002B4C18" w:rsidP="002268A1">
      <w:pPr>
        <w:spacing w:after="0" w:line="480" w:lineRule="auto"/>
        <w:rPr>
          <w:color w:val="FF0000"/>
        </w:rPr>
      </w:pPr>
    </w:p>
    <w:p w:rsidR="0013709D" w:rsidRPr="009F2135" w:rsidRDefault="002B4C18" w:rsidP="00312061">
      <w:pPr>
        <w:spacing w:line="480" w:lineRule="auto"/>
      </w:pPr>
      <w:r w:rsidRPr="009F2135">
        <w:t>Finally, the issue of bias needs to be considered when c</w:t>
      </w:r>
      <w:r w:rsidR="000750AB">
        <w:t>ritiquing Thucydides</w:t>
      </w:r>
      <w:r w:rsidRPr="009F2135">
        <w:t>. P</w:t>
      </w:r>
      <w:r w:rsidR="0080059C" w:rsidRPr="009F2135">
        <w:t xml:space="preserve">odoksik writes that “many commentators on Thucydides </w:t>
      </w:r>
      <w:r w:rsidR="0080059C" w:rsidRPr="009F2135">
        <w:rPr>
          <w:i/>
        </w:rPr>
        <w:t xml:space="preserve">History of the Peloponnesian War </w:t>
      </w:r>
      <w:r w:rsidR="0080059C" w:rsidRPr="009F2135">
        <w:t>will willingly admit that this work is written from the Athenian perspective and that it contains a strong pro-Athenian bias</w:t>
      </w:r>
      <w:r w:rsidRPr="009F2135">
        <w:t>.</w:t>
      </w:r>
      <w:r w:rsidR="0080059C" w:rsidRPr="009F2135">
        <w:t>”</w:t>
      </w:r>
      <w:r w:rsidR="00095091">
        <w:t xml:space="preserve"> </w:t>
      </w:r>
      <w:r w:rsidR="00095091">
        <w:rPr>
          <w:rStyle w:val="FootnoteReference"/>
        </w:rPr>
        <w:footnoteReference w:id="22"/>
      </w:r>
      <w:r w:rsidR="0013709D" w:rsidRPr="009F2135">
        <w:rPr>
          <w:color w:val="FF0000"/>
        </w:rPr>
        <w:t xml:space="preserve"> </w:t>
      </w:r>
      <w:r w:rsidR="007A5171" w:rsidRPr="009F2135">
        <w:t>This, of course</w:t>
      </w:r>
      <w:r w:rsidR="000750AB">
        <w:t>,</w:t>
      </w:r>
      <w:r w:rsidR="007A5171" w:rsidRPr="009F2135">
        <w:t xml:space="preserve"> </w:t>
      </w:r>
      <w:r w:rsidR="0080059C" w:rsidRPr="009F2135">
        <w:t>calls in to quest</w:t>
      </w:r>
      <w:r w:rsidR="0013709D" w:rsidRPr="009F2135">
        <w:t xml:space="preserve">ion the reliability of the text. </w:t>
      </w:r>
      <w:r w:rsidR="0080059C" w:rsidRPr="009F2135">
        <w:t xml:space="preserve">Thucydides even </w:t>
      </w:r>
      <w:r w:rsidRPr="009F2135">
        <w:t>mentions the</w:t>
      </w:r>
      <w:r w:rsidR="0080059C" w:rsidRPr="009F2135">
        <w:t xml:space="preserve"> “undue partiality for one side or the other</w:t>
      </w:r>
      <w:r w:rsidR="0013709D" w:rsidRPr="009F2135">
        <w:t>”</w:t>
      </w:r>
      <w:r w:rsidR="00095091">
        <w:t xml:space="preserve"> </w:t>
      </w:r>
      <w:r w:rsidR="00095091">
        <w:rPr>
          <w:rStyle w:val="FootnoteReference"/>
        </w:rPr>
        <w:footnoteReference w:id="23"/>
      </w:r>
      <w:r w:rsidRPr="009F2135">
        <w:t xml:space="preserve"> which shows us </w:t>
      </w:r>
      <w:r w:rsidR="0080059C" w:rsidRPr="009F2135">
        <w:t xml:space="preserve">his awareness for </w:t>
      </w:r>
      <w:r w:rsidRPr="009F2135">
        <w:t>potential</w:t>
      </w:r>
      <w:r w:rsidR="0080059C" w:rsidRPr="009F2135">
        <w:t xml:space="preserve"> bias in his </w:t>
      </w:r>
      <w:r w:rsidRPr="009F2135">
        <w:t>work.</w:t>
      </w:r>
      <w:r w:rsidR="0013709D" w:rsidRPr="009F2135">
        <w:t xml:space="preserve"> </w:t>
      </w:r>
      <w:r w:rsidR="007A5171" w:rsidRPr="009F2135">
        <w:t>It is possibly Thucydides’ writing of Pericles that betrays his bias</w:t>
      </w:r>
      <w:r w:rsidR="000750AB">
        <w:t xml:space="preserve"> in the most overt way</w:t>
      </w:r>
      <w:r w:rsidR="007A5171" w:rsidRPr="009F2135">
        <w:t xml:space="preserve"> and as Podoksik writes, </w:t>
      </w:r>
      <w:r w:rsidR="0013709D" w:rsidRPr="009F2135">
        <w:t>“</w:t>
      </w:r>
      <w:r w:rsidR="007A5171" w:rsidRPr="009F2135">
        <w:t>t</w:t>
      </w:r>
      <w:r w:rsidR="0013709D" w:rsidRPr="009F2135">
        <w:t>his leads many commentators to see in Thucydides an Athenian patriot who sees Pericles as an ideal ruler of Athens</w:t>
      </w:r>
      <w:r w:rsidR="000750AB">
        <w:t>,</w:t>
      </w:r>
      <w:r w:rsidR="0013709D" w:rsidRPr="009F2135">
        <w:t>”</w:t>
      </w:r>
      <w:r w:rsidR="00312061">
        <w:t xml:space="preserve"> </w:t>
      </w:r>
      <w:r w:rsidR="00312061">
        <w:rPr>
          <w:rStyle w:val="FootnoteReference"/>
        </w:rPr>
        <w:footnoteReference w:id="24"/>
      </w:r>
      <w:r w:rsidR="0013709D" w:rsidRPr="009F2135">
        <w:t xml:space="preserve"> </w:t>
      </w:r>
      <w:r w:rsidR="000750AB">
        <w:t xml:space="preserve">and someone who is therefore unable to write a balanced history. </w:t>
      </w:r>
    </w:p>
    <w:p w:rsidR="000750AB" w:rsidRDefault="000750AB" w:rsidP="000750AB">
      <w:pPr>
        <w:spacing w:after="0" w:line="480" w:lineRule="auto"/>
      </w:pPr>
    </w:p>
    <w:p w:rsidR="00423443" w:rsidRPr="009F2135" w:rsidRDefault="007A5171" w:rsidP="00312061">
      <w:pPr>
        <w:spacing w:line="480" w:lineRule="auto"/>
      </w:pPr>
      <w:r w:rsidRPr="009F2135">
        <w:t>Thucydides does however present an altogether negative image of Athens</w:t>
      </w:r>
      <w:r w:rsidR="000750AB">
        <w:t xml:space="preserve"> during the Melian dialogue and subsequent</w:t>
      </w:r>
      <w:r w:rsidRPr="009F2135">
        <w:t xml:space="preserve"> destruction of Melos, which suggests that he was willing to criticise Athens when he believed that they were wrong. </w:t>
      </w:r>
      <w:r w:rsidR="008D21D1" w:rsidRPr="009F2135">
        <w:t xml:space="preserve">The willingness to criticise and present Athens in a negative way shows </w:t>
      </w:r>
      <w:r w:rsidR="009F2135" w:rsidRPr="009F2135">
        <w:t>Thucydides’, at least in this instance,</w:t>
      </w:r>
      <w:r w:rsidR="008D21D1" w:rsidRPr="009F2135">
        <w:t xml:space="preserve"> balanced approach to the retelling of events </w:t>
      </w:r>
      <w:r w:rsidR="009F2135" w:rsidRPr="009F2135">
        <w:t xml:space="preserve">which can strengthen the case for the reliability of the whole text. </w:t>
      </w:r>
    </w:p>
    <w:p w:rsidR="0095460D" w:rsidRDefault="0095460D" w:rsidP="00312061">
      <w:pPr>
        <w:spacing w:after="0" w:line="480" w:lineRule="auto"/>
        <w:rPr>
          <w:b/>
        </w:rPr>
      </w:pPr>
    </w:p>
    <w:p w:rsidR="0080059C" w:rsidRPr="009F2135" w:rsidRDefault="009F2135" w:rsidP="00312061">
      <w:pPr>
        <w:spacing w:after="0" w:line="480" w:lineRule="auto"/>
        <w:rPr>
          <w:b/>
        </w:rPr>
      </w:pPr>
      <w:r w:rsidRPr="009F2135">
        <w:rPr>
          <w:b/>
        </w:rPr>
        <w:t>Conclusion</w:t>
      </w:r>
    </w:p>
    <w:p w:rsidR="00906B6E" w:rsidRDefault="009F2135" w:rsidP="00312061">
      <w:pPr>
        <w:spacing w:after="0" w:line="480" w:lineRule="auto"/>
      </w:pPr>
      <w:r w:rsidRPr="009F2135">
        <w:t>In conclusion then, it is clear that the work of Thucydides is hugely important when constructing any study of the period of the so called Peloponnesian War</w:t>
      </w:r>
      <w:r w:rsidR="00DE4D2E">
        <w:t xml:space="preserve">, and with regards to my study in to Athenian imperialistic behaviours, </w:t>
      </w:r>
      <w:r w:rsidR="00DE4D2E" w:rsidRPr="007B7932">
        <w:t>The H</w:t>
      </w:r>
      <w:r w:rsidR="00DE4D2E">
        <w:t xml:space="preserve">istory of the Peloponnesian War is hugely important. </w:t>
      </w:r>
      <w:r>
        <w:t xml:space="preserve">Thucydides rational and empirical </w:t>
      </w:r>
      <w:r w:rsidR="007B7932">
        <w:t>approa</w:t>
      </w:r>
      <w:r w:rsidR="00DE4D2E">
        <w:t xml:space="preserve">ch to the events of the period enables </w:t>
      </w:r>
      <w:r w:rsidR="00915E0E">
        <w:t>us</w:t>
      </w:r>
      <w:r w:rsidR="00DE4D2E">
        <w:t xml:space="preserve"> to begin to construct </w:t>
      </w:r>
      <w:r w:rsidR="007B7932">
        <w:t>a timeline of events</w:t>
      </w:r>
      <w:r w:rsidR="00DE4D2E">
        <w:t xml:space="preserve"> and </w:t>
      </w:r>
      <w:r w:rsidR="00915E0E">
        <w:t xml:space="preserve">critique </w:t>
      </w:r>
      <w:r w:rsidR="00DE4D2E">
        <w:t>the</w:t>
      </w:r>
      <w:r w:rsidR="001F71E4">
        <w:t xml:space="preserve"> causes, consequences and in some cases the way in which </w:t>
      </w:r>
      <w:r w:rsidR="00DE4D2E">
        <w:t>these events</w:t>
      </w:r>
      <w:r w:rsidR="001F71E4">
        <w:t xml:space="preserve"> w</w:t>
      </w:r>
      <w:r w:rsidR="00DE4D2E">
        <w:t>ere</w:t>
      </w:r>
      <w:r w:rsidR="00915E0E">
        <w:t xml:space="preserve"> received by contemporaries and the speeches, regardless of accuracy, give us an indication of the way in which Athenian imperialism was received. </w:t>
      </w:r>
    </w:p>
    <w:p w:rsidR="0080059C" w:rsidRDefault="00DE4D2E" w:rsidP="00312061">
      <w:pPr>
        <w:spacing w:after="0" w:line="480" w:lineRule="auto"/>
      </w:pPr>
      <w:r w:rsidRPr="00DE4D2E">
        <w:t>As discussed</w:t>
      </w:r>
      <w:r w:rsidR="00915E0E">
        <w:t xml:space="preserve"> previously</w:t>
      </w:r>
      <w:r w:rsidRPr="00DE4D2E">
        <w:t xml:space="preserve">, there are questions over the reliability of Thucydides, and so therefore </w:t>
      </w:r>
      <w:r>
        <w:t>supplementary</w:t>
      </w:r>
      <w:r w:rsidRPr="00DE4D2E">
        <w:t xml:space="preserve"> primary sources will be required</w:t>
      </w:r>
      <w:r>
        <w:t xml:space="preserve"> to moderate and cross reference supposed facts</w:t>
      </w:r>
      <w:r w:rsidR="00906B6E">
        <w:t xml:space="preserve"> and a</w:t>
      </w:r>
      <w:r>
        <w:t xml:space="preserve">s </w:t>
      </w:r>
      <w:r w:rsidRPr="007B7932">
        <w:t>The H</w:t>
      </w:r>
      <w:r>
        <w:t xml:space="preserve">istory of the Peloponnesian War does not cover the end of the war, but finishes in </w:t>
      </w:r>
      <w:r w:rsidRPr="009F2135">
        <w:t>411</w:t>
      </w:r>
      <w:r>
        <w:t xml:space="preserve"> BCE, other </w:t>
      </w:r>
      <w:r w:rsidR="00906B6E">
        <w:t xml:space="preserve">primary </w:t>
      </w:r>
      <w:r>
        <w:t>texts</w:t>
      </w:r>
      <w:r w:rsidR="00906B6E">
        <w:t xml:space="preserve"> will need to be</w:t>
      </w:r>
      <w:r>
        <w:t xml:space="preserve"> </w:t>
      </w:r>
      <w:r w:rsidR="00906B6E">
        <w:t xml:space="preserve">used to create a full </w:t>
      </w:r>
      <w:r w:rsidR="00915E0E">
        <w:t xml:space="preserve">and reliable chronology of events of the period. </w:t>
      </w:r>
    </w:p>
    <w:p w:rsidR="00DE4D2E" w:rsidRPr="00DE4D2E" w:rsidRDefault="00DE4D2E" w:rsidP="00312061">
      <w:pPr>
        <w:spacing w:after="0" w:line="480" w:lineRule="auto"/>
      </w:pPr>
    </w:p>
    <w:p w:rsidR="00A421D7" w:rsidRPr="00B01CB2" w:rsidRDefault="00A421D7" w:rsidP="00312061">
      <w:pPr>
        <w:spacing w:after="0" w:line="480" w:lineRule="auto"/>
        <w:rPr>
          <w:b/>
          <w:sz w:val="28"/>
          <w:szCs w:val="24"/>
          <w:u w:val="single"/>
        </w:rPr>
      </w:pPr>
      <w:r>
        <w:rPr>
          <w:b/>
        </w:rPr>
        <w:br w:type="page"/>
      </w:r>
      <w:r w:rsidRPr="00312061">
        <w:rPr>
          <w:b/>
          <w:sz w:val="24"/>
          <w:szCs w:val="24"/>
          <w:u w:val="single"/>
        </w:rPr>
        <w:t>Bibliography</w:t>
      </w:r>
    </w:p>
    <w:p w:rsidR="00A421D7" w:rsidRDefault="00A421D7" w:rsidP="00312061">
      <w:pPr>
        <w:spacing w:after="0" w:line="480" w:lineRule="auto"/>
        <w:rPr>
          <w:b/>
          <w:sz w:val="24"/>
          <w:szCs w:val="24"/>
          <w:u w:val="single"/>
        </w:rPr>
      </w:pPr>
      <w:r w:rsidRPr="001A6524">
        <w:rPr>
          <w:b/>
          <w:sz w:val="24"/>
          <w:szCs w:val="24"/>
          <w:u w:val="single"/>
        </w:rPr>
        <w:t>Primary Sources</w:t>
      </w:r>
    </w:p>
    <w:p w:rsidR="00A421D7" w:rsidRPr="0055731D" w:rsidRDefault="00DB0D80" w:rsidP="00312061">
      <w:pPr>
        <w:spacing w:after="0" w:line="240" w:lineRule="auto"/>
      </w:pPr>
      <w:r w:rsidRPr="0055731D">
        <w:rPr>
          <w:i/>
        </w:rPr>
        <w:t>The</w:t>
      </w:r>
      <w:r w:rsidR="00A421D7" w:rsidRPr="0055731D">
        <w:rPr>
          <w:i/>
        </w:rPr>
        <w:t> History of the Peloponnesian war</w:t>
      </w:r>
      <w:r w:rsidRPr="0055731D">
        <w:t>,</w:t>
      </w:r>
      <w:r w:rsidR="00A421D7" w:rsidRPr="0055731D">
        <w:t xml:space="preserve"> </w:t>
      </w:r>
      <w:r w:rsidRPr="0055731D">
        <w:t>ed. by Rev. Henry</w:t>
      </w:r>
      <w:r w:rsidR="00A421D7" w:rsidRPr="0055731D">
        <w:t xml:space="preserve"> Dale</w:t>
      </w:r>
      <w:r w:rsidRPr="0055731D">
        <w:t xml:space="preserve">, </w:t>
      </w:r>
      <w:r w:rsidR="00516386" w:rsidRPr="0055731D">
        <w:t>(London: Bell and Sons., 1872)</w:t>
      </w:r>
    </w:p>
    <w:p w:rsidR="00312061" w:rsidRDefault="00312061" w:rsidP="00312061">
      <w:pPr>
        <w:spacing w:after="0" w:line="240" w:lineRule="auto"/>
        <w:rPr>
          <w:i/>
        </w:rPr>
      </w:pPr>
    </w:p>
    <w:p w:rsidR="00DB0D80" w:rsidRPr="0055731D" w:rsidRDefault="0055731D" w:rsidP="00312061">
      <w:pPr>
        <w:spacing w:after="0" w:line="240" w:lineRule="auto"/>
      </w:pPr>
      <w:r w:rsidRPr="0055731D">
        <w:rPr>
          <w:i/>
        </w:rPr>
        <w:t>The H</w:t>
      </w:r>
      <w:r w:rsidR="00DB0D80" w:rsidRPr="0055731D">
        <w:rPr>
          <w:i/>
        </w:rPr>
        <w:t>istory of the Peloponnesian war</w:t>
      </w:r>
      <w:r w:rsidR="00DB0D80" w:rsidRPr="0055731D">
        <w:t>, ed. by Richard Crawley and Feetham R., (New York: Dutton, 1950).</w:t>
      </w:r>
    </w:p>
    <w:p w:rsidR="00312061" w:rsidRDefault="00312061" w:rsidP="00312061">
      <w:pPr>
        <w:spacing w:after="0" w:line="240" w:lineRule="auto"/>
        <w:rPr>
          <w:i/>
        </w:rPr>
      </w:pPr>
    </w:p>
    <w:p w:rsidR="00DB0D80" w:rsidRPr="0055731D" w:rsidRDefault="00DB0D80" w:rsidP="00312061">
      <w:pPr>
        <w:spacing w:after="0" w:line="240" w:lineRule="auto"/>
      </w:pPr>
      <w:r w:rsidRPr="0055731D">
        <w:rPr>
          <w:i/>
        </w:rPr>
        <w:t>The Peloponnesian war</w:t>
      </w:r>
      <w:r w:rsidRPr="0055731D">
        <w:t>, ed. by R. Warner (West Drayton: Penguin Books, 1954).</w:t>
      </w:r>
    </w:p>
    <w:p w:rsidR="00312061" w:rsidRDefault="00312061" w:rsidP="00312061">
      <w:pPr>
        <w:spacing w:after="0" w:line="480" w:lineRule="auto"/>
        <w:rPr>
          <w:b/>
          <w:sz w:val="24"/>
          <w:szCs w:val="24"/>
          <w:u w:val="single"/>
        </w:rPr>
      </w:pPr>
    </w:p>
    <w:p w:rsidR="00A421D7" w:rsidRDefault="00A421D7" w:rsidP="00312061">
      <w:pPr>
        <w:spacing w:after="0" w:line="480" w:lineRule="auto"/>
        <w:rPr>
          <w:b/>
          <w:sz w:val="24"/>
          <w:szCs w:val="24"/>
          <w:u w:val="single"/>
        </w:rPr>
      </w:pPr>
      <w:r>
        <w:rPr>
          <w:b/>
          <w:sz w:val="24"/>
          <w:szCs w:val="24"/>
          <w:u w:val="single"/>
        </w:rPr>
        <w:t>Secondary</w:t>
      </w:r>
      <w:r w:rsidRPr="001A6524">
        <w:rPr>
          <w:b/>
          <w:sz w:val="24"/>
          <w:szCs w:val="24"/>
          <w:u w:val="single"/>
        </w:rPr>
        <w:t xml:space="preserve"> Sources</w:t>
      </w:r>
    </w:p>
    <w:p w:rsidR="00312061" w:rsidRPr="000C1B0B" w:rsidRDefault="005D2E7C" w:rsidP="00312061">
      <w:pPr>
        <w:spacing w:after="0" w:line="240" w:lineRule="auto"/>
      </w:pPr>
      <w:r>
        <w:t xml:space="preserve">Beard, M. </w:t>
      </w:r>
      <w:r w:rsidR="000C1B0B" w:rsidRPr="005D2E7C">
        <w:rPr>
          <w:i/>
        </w:rPr>
        <w:t>Confronting the classics</w:t>
      </w:r>
      <w:r w:rsidRPr="005D2E7C">
        <w:rPr>
          <w:i/>
        </w:rPr>
        <w:t>: Traditions, Adventures, and Innovations</w:t>
      </w:r>
      <w:r>
        <w:t xml:space="preserve"> (New York</w:t>
      </w:r>
      <w:r w:rsidR="000C1B0B" w:rsidRPr="000C1B0B">
        <w:t>: Liveright</w:t>
      </w:r>
      <w:r>
        <w:t>, 2013).</w:t>
      </w:r>
    </w:p>
    <w:p w:rsidR="000C1B0B" w:rsidRDefault="000C1B0B" w:rsidP="00312061">
      <w:pPr>
        <w:spacing w:after="0" w:line="240" w:lineRule="auto"/>
      </w:pPr>
    </w:p>
    <w:p w:rsidR="00A421D7" w:rsidRDefault="00A421D7" w:rsidP="00312061">
      <w:pPr>
        <w:spacing w:after="0" w:line="240" w:lineRule="auto"/>
      </w:pPr>
      <w:r w:rsidRPr="00D44040">
        <w:t xml:space="preserve">Duff, T. (1999). </w:t>
      </w:r>
      <w:r w:rsidRPr="00D44040">
        <w:rPr>
          <w:i/>
        </w:rPr>
        <w:t>Review Article: The Accuracy of Thoukydides</w:t>
      </w:r>
      <w:r w:rsidRPr="00D44040">
        <w:t xml:space="preserve">. The International History Review, [online] 21(3), pp.690-695. Available at: </w:t>
      </w:r>
      <w:hyperlink r:id="rId9" w:history="1">
        <w:r w:rsidRPr="00D44040">
          <w:rPr>
            <w:rStyle w:val="Hyperlink"/>
          </w:rPr>
          <w:t>https://www.academia.edu/458266/The_Accuracy_of_Thucydides_review_article_</w:t>
        </w:r>
      </w:hyperlink>
      <w:r w:rsidRPr="00D44040">
        <w:t xml:space="preserve">. </w:t>
      </w:r>
    </w:p>
    <w:p w:rsidR="00312061" w:rsidRDefault="00312061" w:rsidP="005D2E7C">
      <w:pPr>
        <w:spacing w:after="0" w:line="240" w:lineRule="auto"/>
      </w:pPr>
    </w:p>
    <w:p w:rsidR="005D2E7C" w:rsidRDefault="005D2E7C" w:rsidP="005D2E7C">
      <w:pPr>
        <w:spacing w:after="0" w:line="240" w:lineRule="auto"/>
      </w:pPr>
      <w:r w:rsidRPr="00A421D7">
        <w:t xml:space="preserve">Kagan, </w:t>
      </w:r>
      <w:r>
        <w:t xml:space="preserve">D. </w:t>
      </w:r>
      <w:r w:rsidRPr="00312061">
        <w:rPr>
          <w:i/>
        </w:rPr>
        <w:t>Thucydides: the reinvention of history</w:t>
      </w:r>
      <w:r w:rsidRPr="00A421D7">
        <w:t xml:space="preserve"> (New York: Viking, 2009).</w:t>
      </w:r>
    </w:p>
    <w:p w:rsidR="005D2E7C" w:rsidRDefault="005D2E7C" w:rsidP="005D2E7C">
      <w:pPr>
        <w:spacing w:after="0" w:line="240" w:lineRule="auto"/>
      </w:pPr>
    </w:p>
    <w:p w:rsidR="00A421D7" w:rsidRPr="009F2135" w:rsidRDefault="00A421D7" w:rsidP="00312061">
      <w:pPr>
        <w:spacing w:line="240" w:lineRule="auto"/>
      </w:pPr>
      <w:r w:rsidRPr="00D44040">
        <w:t xml:space="preserve">Podoksik, E, (2005). </w:t>
      </w:r>
      <w:r w:rsidRPr="00D44040">
        <w:rPr>
          <w:i/>
        </w:rPr>
        <w:t>JUSTICE, POWER AND ATHENIAN IMPERIALISM: AN IDEOLOGICAL MOMENT IN THUCYDIDES' "HISTORY”</w:t>
      </w:r>
      <w:r w:rsidRPr="00D44040">
        <w:t xml:space="preserve">. History of Political Thought, Vol. 26, No. 1 (Spring 2005), pp. 21-42. Available at: </w:t>
      </w:r>
      <w:hyperlink r:id="rId10" w:history="1">
        <w:r w:rsidRPr="00D44040">
          <w:rPr>
            <w:rStyle w:val="Hyperlink"/>
          </w:rPr>
          <w:t>https://www.jstor.org/stable/26221725</w:t>
        </w:r>
      </w:hyperlink>
    </w:p>
    <w:sectPr w:rsidR="00A421D7" w:rsidRPr="009F2135" w:rsidSect="00B372DB">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25F8" w:rsidRDefault="000025F8" w:rsidP="00BA14B3">
      <w:pPr>
        <w:spacing w:after="0" w:line="240" w:lineRule="auto"/>
      </w:pPr>
      <w:r>
        <w:separator/>
      </w:r>
    </w:p>
  </w:endnote>
  <w:endnote w:type="continuationSeparator" w:id="0">
    <w:p w:rsidR="000025F8" w:rsidRDefault="000025F8" w:rsidP="00BA1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25F8" w:rsidRDefault="000025F8" w:rsidP="00BA14B3">
      <w:pPr>
        <w:spacing w:after="0" w:line="240" w:lineRule="auto"/>
      </w:pPr>
      <w:r>
        <w:separator/>
      </w:r>
    </w:p>
  </w:footnote>
  <w:footnote w:type="continuationSeparator" w:id="0">
    <w:p w:rsidR="000025F8" w:rsidRDefault="000025F8" w:rsidP="00BA14B3">
      <w:pPr>
        <w:spacing w:after="0" w:line="240" w:lineRule="auto"/>
      </w:pPr>
      <w:r>
        <w:continuationSeparator/>
      </w:r>
    </w:p>
  </w:footnote>
  <w:footnote w:id="1">
    <w:p w:rsidR="00071901" w:rsidRPr="005E0675" w:rsidRDefault="00071901" w:rsidP="005E0675">
      <w:pPr>
        <w:spacing w:after="0" w:line="240" w:lineRule="auto"/>
      </w:pPr>
      <w:r w:rsidRPr="00312061">
        <w:rPr>
          <w:rStyle w:val="FootnoteReference"/>
        </w:rPr>
        <w:footnoteRef/>
      </w:r>
      <w:r w:rsidRPr="00312061">
        <w:t xml:space="preserve"> </w:t>
      </w:r>
      <w:r w:rsidR="002B530F">
        <w:t xml:space="preserve">Rex Warner, </w:t>
      </w:r>
      <w:r w:rsidR="005E0675" w:rsidRPr="0055731D">
        <w:rPr>
          <w:i/>
        </w:rPr>
        <w:t>The Peloponnesian war</w:t>
      </w:r>
      <w:r w:rsidR="005E0675" w:rsidRPr="0055731D">
        <w:t xml:space="preserve">, </w:t>
      </w:r>
      <w:r w:rsidR="002B530F">
        <w:t>(West Drayton</w:t>
      </w:r>
      <w:r w:rsidR="005E0675" w:rsidRPr="0055731D">
        <w:t>, 1954)</w:t>
      </w:r>
      <w:r w:rsidR="00CF5BC3">
        <w:t xml:space="preserve"> p.</w:t>
      </w:r>
      <w:r w:rsidR="007911C1">
        <w:t xml:space="preserve"> 15.</w:t>
      </w:r>
      <w:r w:rsidR="00CF5BC3">
        <w:t xml:space="preserve"> </w:t>
      </w:r>
    </w:p>
  </w:footnote>
  <w:footnote w:id="2">
    <w:p w:rsidR="00095091" w:rsidRPr="00312061" w:rsidRDefault="00095091" w:rsidP="005E0675">
      <w:pPr>
        <w:spacing w:after="0" w:line="240" w:lineRule="auto"/>
        <w:rPr>
          <w:lang w:val="en-US"/>
        </w:rPr>
      </w:pPr>
      <w:r w:rsidRPr="00312061">
        <w:rPr>
          <w:rStyle w:val="FootnoteReference"/>
        </w:rPr>
        <w:footnoteRef/>
      </w:r>
      <w:r w:rsidRPr="00312061">
        <w:t xml:space="preserve"> </w:t>
      </w:r>
      <w:r w:rsidR="005E0675">
        <w:t>Rev. Henry Dale, ‘</w:t>
      </w:r>
      <w:r w:rsidR="005E0675" w:rsidRPr="0055731D">
        <w:rPr>
          <w:i/>
        </w:rPr>
        <w:t>The History of the Peloponnesian war</w:t>
      </w:r>
      <w:r w:rsidR="005E0675">
        <w:rPr>
          <w:i/>
        </w:rPr>
        <w:t>’</w:t>
      </w:r>
      <w:r w:rsidR="005E0675" w:rsidRPr="0055731D">
        <w:t xml:space="preserve"> (</w:t>
      </w:r>
      <w:r w:rsidR="005E0675">
        <w:t>London</w:t>
      </w:r>
      <w:r w:rsidR="005E0675" w:rsidRPr="0055731D">
        <w:t>, 1872)</w:t>
      </w:r>
      <w:r w:rsidR="005E0675">
        <w:t xml:space="preserve"> p. 139.</w:t>
      </w:r>
    </w:p>
  </w:footnote>
  <w:footnote w:id="3">
    <w:p w:rsidR="00095091" w:rsidRPr="00312061" w:rsidRDefault="00095091">
      <w:pPr>
        <w:pStyle w:val="FootnoteText"/>
        <w:rPr>
          <w:lang w:val="en-US"/>
        </w:rPr>
      </w:pPr>
      <w:r w:rsidRPr="00312061">
        <w:rPr>
          <w:rStyle w:val="FootnoteReference"/>
        </w:rPr>
        <w:footnoteRef/>
      </w:r>
      <w:r w:rsidRPr="00312061">
        <w:t xml:space="preserve"> </w:t>
      </w:r>
      <w:r w:rsidR="00A34EAF">
        <w:rPr>
          <w:sz w:val="22"/>
          <w:szCs w:val="22"/>
        </w:rPr>
        <w:t>Dale, p. 172.</w:t>
      </w:r>
    </w:p>
  </w:footnote>
  <w:footnote w:id="4">
    <w:p w:rsidR="00095091" w:rsidRPr="00C002B3" w:rsidRDefault="00095091" w:rsidP="00C002B3">
      <w:pPr>
        <w:spacing w:after="0" w:line="240" w:lineRule="auto"/>
        <w:rPr>
          <w:color w:val="FF0000"/>
          <w:lang w:val="en-US"/>
        </w:rPr>
      </w:pPr>
      <w:r w:rsidRPr="00C002B3">
        <w:rPr>
          <w:rStyle w:val="FootnoteReference"/>
        </w:rPr>
        <w:footnoteRef/>
      </w:r>
      <w:r w:rsidRPr="00C002B3">
        <w:t xml:space="preserve"> </w:t>
      </w:r>
      <w:r w:rsidR="00C002B3" w:rsidRPr="00C002B3">
        <w:t xml:space="preserve">Richard Crawley, </w:t>
      </w:r>
      <w:r w:rsidR="00C002B3" w:rsidRPr="00C002B3">
        <w:rPr>
          <w:i/>
        </w:rPr>
        <w:t xml:space="preserve">The History </w:t>
      </w:r>
      <w:r w:rsidR="00C002B3" w:rsidRPr="0055731D">
        <w:rPr>
          <w:i/>
        </w:rPr>
        <w:t>of the Peloponnesian war</w:t>
      </w:r>
      <w:r w:rsidR="00C002B3" w:rsidRPr="0055731D">
        <w:t>, (New York</w:t>
      </w:r>
      <w:r w:rsidR="00C002B3">
        <w:t>, 1950) p.</w:t>
      </w:r>
      <w:r w:rsidR="003E175A">
        <w:t xml:space="preserve"> 88.</w:t>
      </w:r>
    </w:p>
  </w:footnote>
  <w:footnote w:id="5">
    <w:p w:rsidR="00095091" w:rsidRPr="00C002B3" w:rsidRDefault="00095091">
      <w:pPr>
        <w:pStyle w:val="FootnoteText"/>
        <w:rPr>
          <w:color w:val="FF0000"/>
          <w:lang w:val="en-US"/>
        </w:rPr>
      </w:pPr>
      <w:r w:rsidRPr="003E175A">
        <w:rPr>
          <w:rStyle w:val="FootnoteReference"/>
        </w:rPr>
        <w:footnoteRef/>
      </w:r>
      <w:r w:rsidRPr="003E175A">
        <w:t xml:space="preserve"> </w:t>
      </w:r>
      <w:r w:rsidRPr="003E175A">
        <w:rPr>
          <w:sz w:val="22"/>
          <w:szCs w:val="22"/>
        </w:rPr>
        <w:t xml:space="preserve">Crawley, </w:t>
      </w:r>
      <w:r w:rsidR="003E175A" w:rsidRPr="003E175A">
        <w:rPr>
          <w:sz w:val="22"/>
          <w:szCs w:val="22"/>
        </w:rPr>
        <w:t>p. 277</w:t>
      </w:r>
      <w:r w:rsidR="00B62F85">
        <w:rPr>
          <w:sz w:val="22"/>
          <w:szCs w:val="22"/>
        </w:rPr>
        <w:t>.</w:t>
      </w:r>
    </w:p>
  </w:footnote>
  <w:footnote w:id="6">
    <w:p w:rsidR="00095091" w:rsidRPr="00C002B3" w:rsidRDefault="00095091">
      <w:pPr>
        <w:pStyle w:val="FootnoteText"/>
        <w:rPr>
          <w:color w:val="FF0000"/>
          <w:lang w:val="en-US"/>
        </w:rPr>
      </w:pPr>
      <w:r w:rsidRPr="003E175A">
        <w:rPr>
          <w:rStyle w:val="FootnoteReference"/>
        </w:rPr>
        <w:footnoteRef/>
      </w:r>
      <w:r w:rsidRPr="003E175A">
        <w:rPr>
          <w:sz w:val="22"/>
          <w:szCs w:val="22"/>
        </w:rPr>
        <w:t xml:space="preserve"> </w:t>
      </w:r>
      <w:r w:rsidR="003E175A" w:rsidRPr="003E175A">
        <w:rPr>
          <w:sz w:val="22"/>
          <w:szCs w:val="22"/>
        </w:rPr>
        <w:t>Crawley, p. 2</w:t>
      </w:r>
      <w:r w:rsidR="003E175A">
        <w:rPr>
          <w:sz w:val="22"/>
          <w:szCs w:val="22"/>
        </w:rPr>
        <w:t>68</w:t>
      </w:r>
      <w:r w:rsidR="00B62F85">
        <w:rPr>
          <w:sz w:val="22"/>
          <w:szCs w:val="22"/>
        </w:rPr>
        <w:t>.</w:t>
      </w:r>
    </w:p>
  </w:footnote>
  <w:footnote w:id="7">
    <w:p w:rsidR="0079411E" w:rsidRPr="00312061" w:rsidRDefault="0079411E" w:rsidP="0079411E">
      <w:pPr>
        <w:pStyle w:val="FootnoteText"/>
        <w:rPr>
          <w:lang w:val="en-US"/>
        </w:rPr>
      </w:pPr>
      <w:r w:rsidRPr="003E175A">
        <w:rPr>
          <w:rStyle w:val="FootnoteReference"/>
        </w:rPr>
        <w:footnoteRef/>
      </w:r>
      <w:r w:rsidRPr="003E175A">
        <w:t xml:space="preserve"> </w:t>
      </w:r>
      <w:r w:rsidRPr="003E175A">
        <w:rPr>
          <w:sz w:val="22"/>
          <w:szCs w:val="22"/>
        </w:rPr>
        <w:t>Crawley, p. 94</w:t>
      </w:r>
      <w:r w:rsidR="00B62F85">
        <w:rPr>
          <w:sz w:val="22"/>
          <w:szCs w:val="22"/>
        </w:rPr>
        <w:t>.</w:t>
      </w:r>
    </w:p>
  </w:footnote>
  <w:footnote w:id="8">
    <w:p w:rsidR="00095091" w:rsidRPr="003E175A" w:rsidRDefault="00095091">
      <w:pPr>
        <w:pStyle w:val="FootnoteText"/>
        <w:rPr>
          <w:lang w:val="en-US"/>
        </w:rPr>
      </w:pPr>
      <w:r w:rsidRPr="003E175A">
        <w:rPr>
          <w:rStyle w:val="FootnoteReference"/>
        </w:rPr>
        <w:footnoteRef/>
      </w:r>
      <w:r w:rsidRPr="003E175A">
        <w:t xml:space="preserve"> </w:t>
      </w:r>
      <w:r w:rsidR="003E175A" w:rsidRPr="003E175A">
        <w:rPr>
          <w:sz w:val="22"/>
          <w:szCs w:val="22"/>
        </w:rPr>
        <w:t>Crawley, p. 272.</w:t>
      </w:r>
    </w:p>
  </w:footnote>
  <w:footnote w:id="9">
    <w:p w:rsidR="00095091" w:rsidRPr="003E175A" w:rsidRDefault="00095091">
      <w:pPr>
        <w:pStyle w:val="FootnoteText"/>
        <w:rPr>
          <w:lang w:val="en-US"/>
        </w:rPr>
      </w:pPr>
      <w:r w:rsidRPr="003E175A">
        <w:rPr>
          <w:rStyle w:val="FootnoteReference"/>
        </w:rPr>
        <w:footnoteRef/>
      </w:r>
      <w:r w:rsidRPr="003E175A">
        <w:t xml:space="preserve"> </w:t>
      </w:r>
      <w:r w:rsidR="003E175A" w:rsidRPr="003E175A">
        <w:rPr>
          <w:sz w:val="22"/>
          <w:szCs w:val="22"/>
        </w:rPr>
        <w:t>Crawley, p. 273.</w:t>
      </w:r>
    </w:p>
  </w:footnote>
  <w:footnote w:id="10">
    <w:p w:rsidR="00095091" w:rsidRPr="00312061" w:rsidRDefault="00095091">
      <w:pPr>
        <w:pStyle w:val="FootnoteText"/>
        <w:rPr>
          <w:lang w:val="en-US"/>
        </w:rPr>
      </w:pPr>
      <w:r w:rsidRPr="003E175A">
        <w:rPr>
          <w:rStyle w:val="FootnoteReference"/>
        </w:rPr>
        <w:footnoteRef/>
      </w:r>
      <w:r w:rsidRPr="003E175A">
        <w:t xml:space="preserve"> </w:t>
      </w:r>
      <w:r w:rsidR="003E175A" w:rsidRPr="003E175A">
        <w:rPr>
          <w:sz w:val="22"/>
          <w:szCs w:val="22"/>
        </w:rPr>
        <w:t>Crawley, p. 131.</w:t>
      </w:r>
    </w:p>
  </w:footnote>
  <w:footnote w:id="11">
    <w:p w:rsidR="00095091" w:rsidRPr="003E175A" w:rsidRDefault="00095091">
      <w:pPr>
        <w:pStyle w:val="FootnoteText"/>
        <w:rPr>
          <w:lang w:val="en-US"/>
        </w:rPr>
      </w:pPr>
      <w:r w:rsidRPr="003E175A">
        <w:rPr>
          <w:rStyle w:val="FootnoteReference"/>
        </w:rPr>
        <w:footnoteRef/>
      </w:r>
      <w:r w:rsidRPr="003E175A">
        <w:t xml:space="preserve"> </w:t>
      </w:r>
      <w:r w:rsidRPr="003E175A">
        <w:rPr>
          <w:sz w:val="22"/>
          <w:szCs w:val="22"/>
        </w:rPr>
        <w:t xml:space="preserve">Dale, </w:t>
      </w:r>
      <w:r w:rsidR="00A34EAF" w:rsidRPr="003E175A">
        <w:rPr>
          <w:sz w:val="22"/>
          <w:szCs w:val="22"/>
        </w:rPr>
        <w:t>p. 14.</w:t>
      </w:r>
    </w:p>
  </w:footnote>
  <w:footnote w:id="12">
    <w:p w:rsidR="00095091" w:rsidRPr="003E175A" w:rsidRDefault="00095091">
      <w:pPr>
        <w:pStyle w:val="FootnoteText"/>
        <w:rPr>
          <w:lang w:val="en-US"/>
        </w:rPr>
      </w:pPr>
      <w:r w:rsidRPr="003E175A">
        <w:rPr>
          <w:rStyle w:val="FootnoteReference"/>
        </w:rPr>
        <w:footnoteRef/>
      </w:r>
      <w:r w:rsidRPr="003E175A">
        <w:t xml:space="preserve"> </w:t>
      </w:r>
      <w:r w:rsidR="00A34EAF" w:rsidRPr="003E175A">
        <w:rPr>
          <w:sz w:val="22"/>
          <w:szCs w:val="22"/>
        </w:rPr>
        <w:t>Dale, p. 14.</w:t>
      </w:r>
    </w:p>
  </w:footnote>
  <w:footnote w:id="13">
    <w:p w:rsidR="00095091" w:rsidRPr="003E175A" w:rsidRDefault="00095091">
      <w:pPr>
        <w:pStyle w:val="FootnoteText"/>
        <w:rPr>
          <w:lang w:val="en-US"/>
        </w:rPr>
      </w:pPr>
      <w:r w:rsidRPr="003E175A">
        <w:rPr>
          <w:rStyle w:val="FootnoteReference"/>
        </w:rPr>
        <w:footnoteRef/>
      </w:r>
      <w:r w:rsidRPr="003E175A">
        <w:t xml:space="preserve"> </w:t>
      </w:r>
      <w:r w:rsidRPr="003E175A">
        <w:rPr>
          <w:sz w:val="22"/>
          <w:szCs w:val="22"/>
        </w:rPr>
        <w:t xml:space="preserve">Crawley, </w:t>
      </w:r>
      <w:r w:rsidR="003E175A" w:rsidRPr="003E175A">
        <w:t>p. 16.</w:t>
      </w:r>
    </w:p>
  </w:footnote>
  <w:footnote w:id="14">
    <w:p w:rsidR="0095460D" w:rsidRPr="0095460D" w:rsidRDefault="0095460D">
      <w:pPr>
        <w:pStyle w:val="FootnoteText"/>
        <w:rPr>
          <w:lang w:val="en-US"/>
        </w:rPr>
      </w:pPr>
      <w:r>
        <w:rPr>
          <w:rStyle w:val="FootnoteReference"/>
        </w:rPr>
        <w:footnoteRef/>
      </w:r>
      <w:r>
        <w:t xml:space="preserve"> </w:t>
      </w:r>
      <w:r w:rsidRPr="003E175A">
        <w:rPr>
          <w:sz w:val="22"/>
          <w:szCs w:val="22"/>
        </w:rPr>
        <w:t xml:space="preserve">Crawley, </w:t>
      </w:r>
      <w:r w:rsidRPr="003E175A">
        <w:t>p. 16.</w:t>
      </w:r>
    </w:p>
  </w:footnote>
  <w:footnote w:id="15">
    <w:p w:rsidR="00095091" w:rsidRPr="003E175A" w:rsidRDefault="00095091">
      <w:pPr>
        <w:pStyle w:val="FootnoteText"/>
        <w:rPr>
          <w:color w:val="FF0000"/>
          <w:lang w:val="en-US"/>
        </w:rPr>
      </w:pPr>
      <w:r w:rsidRPr="003E175A">
        <w:rPr>
          <w:rStyle w:val="FootnoteReference"/>
        </w:rPr>
        <w:footnoteRef/>
      </w:r>
      <w:r w:rsidRPr="003E175A">
        <w:t xml:space="preserve"> </w:t>
      </w:r>
      <w:r w:rsidR="003E175A" w:rsidRPr="003E175A">
        <w:rPr>
          <w:sz w:val="22"/>
          <w:szCs w:val="22"/>
        </w:rPr>
        <w:t xml:space="preserve">Crawley, </w:t>
      </w:r>
      <w:r w:rsidR="003E175A" w:rsidRPr="003E175A">
        <w:t>p. 15.</w:t>
      </w:r>
    </w:p>
  </w:footnote>
  <w:footnote w:id="16">
    <w:p w:rsidR="00095091" w:rsidRPr="00312061" w:rsidRDefault="00095091">
      <w:pPr>
        <w:pStyle w:val="FootnoteText"/>
        <w:rPr>
          <w:lang w:val="en-US"/>
        </w:rPr>
      </w:pPr>
      <w:r w:rsidRPr="007911C1">
        <w:rPr>
          <w:rStyle w:val="FootnoteReference"/>
        </w:rPr>
        <w:footnoteRef/>
      </w:r>
      <w:r w:rsidRPr="007911C1">
        <w:t xml:space="preserve"> </w:t>
      </w:r>
      <w:r w:rsidR="007911C1" w:rsidRPr="007911C1">
        <w:rPr>
          <w:sz w:val="22"/>
          <w:szCs w:val="22"/>
        </w:rPr>
        <w:t>Timothy Duff</w:t>
      </w:r>
      <w:r w:rsidR="007911C1" w:rsidRPr="007911C1">
        <w:rPr>
          <w:i/>
          <w:sz w:val="22"/>
          <w:szCs w:val="22"/>
        </w:rPr>
        <w:t>, Review Article: The Accuracy of Thoukydides.</w:t>
      </w:r>
      <w:r w:rsidR="007911C1">
        <w:rPr>
          <w:i/>
          <w:sz w:val="22"/>
          <w:szCs w:val="22"/>
        </w:rPr>
        <w:t xml:space="preserve"> </w:t>
      </w:r>
      <w:r w:rsidR="007911C1">
        <w:rPr>
          <w:sz w:val="22"/>
          <w:szCs w:val="22"/>
        </w:rPr>
        <w:t>(1999) p. 690</w:t>
      </w:r>
      <w:r w:rsidR="00B62F85">
        <w:rPr>
          <w:sz w:val="22"/>
          <w:szCs w:val="22"/>
        </w:rPr>
        <w:t>.</w:t>
      </w:r>
    </w:p>
  </w:footnote>
  <w:footnote w:id="17">
    <w:p w:rsidR="00095091" w:rsidRPr="00312061" w:rsidRDefault="00095091">
      <w:pPr>
        <w:pStyle w:val="FootnoteText"/>
        <w:rPr>
          <w:lang w:val="en-US"/>
        </w:rPr>
      </w:pPr>
      <w:r w:rsidRPr="00312061">
        <w:rPr>
          <w:rStyle w:val="FootnoteReference"/>
        </w:rPr>
        <w:footnoteRef/>
      </w:r>
      <w:r w:rsidRPr="00312061">
        <w:t xml:space="preserve"> </w:t>
      </w:r>
      <w:r w:rsidR="00A34EAF" w:rsidRPr="00312061">
        <w:rPr>
          <w:sz w:val="22"/>
          <w:szCs w:val="22"/>
        </w:rPr>
        <w:t xml:space="preserve">Dale, </w:t>
      </w:r>
      <w:r w:rsidR="00A34EAF">
        <w:rPr>
          <w:sz w:val="22"/>
          <w:szCs w:val="22"/>
        </w:rPr>
        <w:t>p. 13.</w:t>
      </w:r>
    </w:p>
  </w:footnote>
  <w:footnote w:id="18">
    <w:p w:rsidR="00095091" w:rsidRPr="00C002B3" w:rsidRDefault="00095091">
      <w:pPr>
        <w:pStyle w:val="FootnoteText"/>
        <w:rPr>
          <w:color w:val="FF0000"/>
          <w:lang w:val="en-US"/>
        </w:rPr>
      </w:pPr>
      <w:r w:rsidRPr="007911C1">
        <w:rPr>
          <w:rStyle w:val="FootnoteReference"/>
        </w:rPr>
        <w:footnoteRef/>
      </w:r>
      <w:r w:rsidRPr="007911C1">
        <w:t xml:space="preserve"> </w:t>
      </w:r>
      <w:r w:rsidR="007911C1" w:rsidRPr="007911C1">
        <w:rPr>
          <w:sz w:val="22"/>
          <w:szCs w:val="22"/>
        </w:rPr>
        <w:t>Duff, p. 691</w:t>
      </w:r>
      <w:r w:rsidR="00B62F85">
        <w:rPr>
          <w:sz w:val="22"/>
          <w:szCs w:val="22"/>
        </w:rPr>
        <w:t>.</w:t>
      </w:r>
    </w:p>
  </w:footnote>
  <w:footnote w:id="19">
    <w:p w:rsidR="00095091" w:rsidRPr="00312061" w:rsidRDefault="00095091">
      <w:pPr>
        <w:pStyle w:val="FootnoteText"/>
        <w:rPr>
          <w:lang w:val="en-US"/>
        </w:rPr>
      </w:pPr>
      <w:r w:rsidRPr="007911C1">
        <w:rPr>
          <w:rStyle w:val="FootnoteReference"/>
        </w:rPr>
        <w:footnoteRef/>
      </w:r>
      <w:r w:rsidRPr="007911C1">
        <w:t xml:space="preserve"> </w:t>
      </w:r>
      <w:r w:rsidR="007911C1" w:rsidRPr="007911C1">
        <w:rPr>
          <w:sz w:val="22"/>
          <w:szCs w:val="22"/>
        </w:rPr>
        <w:t>Duff, p. 691</w:t>
      </w:r>
      <w:r w:rsidR="00B62F85">
        <w:rPr>
          <w:sz w:val="22"/>
          <w:szCs w:val="22"/>
        </w:rPr>
        <w:t>.</w:t>
      </w:r>
    </w:p>
  </w:footnote>
  <w:footnote w:id="20">
    <w:p w:rsidR="00095091" w:rsidRPr="00095091" w:rsidRDefault="00095091" w:rsidP="00A34EAF">
      <w:pPr>
        <w:spacing w:after="0" w:line="240" w:lineRule="auto"/>
        <w:rPr>
          <w:lang w:val="en-US"/>
        </w:rPr>
      </w:pPr>
      <w:r w:rsidRPr="00312061">
        <w:rPr>
          <w:rStyle w:val="FootnoteReference"/>
        </w:rPr>
        <w:footnoteRef/>
      </w:r>
      <w:r w:rsidRPr="00312061">
        <w:t xml:space="preserve"> </w:t>
      </w:r>
      <w:r w:rsidR="00A34EAF">
        <w:t xml:space="preserve">Mary Beard. </w:t>
      </w:r>
      <w:r w:rsidR="00A34EAF" w:rsidRPr="005D2E7C">
        <w:rPr>
          <w:i/>
        </w:rPr>
        <w:t>Confronting the classics: Traditions, Adventures, and Innovations</w:t>
      </w:r>
      <w:r w:rsidR="00A34EAF">
        <w:t xml:space="preserve"> (New York, 2013) p.32. </w:t>
      </w:r>
    </w:p>
  </w:footnote>
  <w:footnote w:id="21">
    <w:p w:rsidR="00095091" w:rsidRPr="00312061" w:rsidRDefault="00095091" w:rsidP="00A34EAF">
      <w:pPr>
        <w:spacing w:after="0" w:line="240" w:lineRule="auto"/>
        <w:rPr>
          <w:lang w:val="en-US"/>
        </w:rPr>
      </w:pPr>
      <w:r w:rsidRPr="00312061">
        <w:rPr>
          <w:rStyle w:val="FootnoteReference"/>
        </w:rPr>
        <w:footnoteRef/>
      </w:r>
      <w:r w:rsidRPr="00312061">
        <w:t xml:space="preserve"> </w:t>
      </w:r>
      <w:r w:rsidR="00A34EAF">
        <w:t xml:space="preserve">Donald </w:t>
      </w:r>
      <w:r w:rsidR="00A34EAF" w:rsidRPr="00A421D7">
        <w:t xml:space="preserve">Kagan, </w:t>
      </w:r>
      <w:r w:rsidR="00A34EAF" w:rsidRPr="00312061">
        <w:rPr>
          <w:i/>
        </w:rPr>
        <w:t>Thucydides: the reinvention of history</w:t>
      </w:r>
      <w:r w:rsidR="00A34EAF" w:rsidRPr="00A421D7">
        <w:t xml:space="preserve"> (New York</w:t>
      </w:r>
      <w:r w:rsidR="00A34EAF">
        <w:t>,</w:t>
      </w:r>
      <w:r w:rsidR="00A34EAF" w:rsidRPr="00A421D7">
        <w:t xml:space="preserve"> 2009)</w:t>
      </w:r>
      <w:r w:rsidR="007911C1">
        <w:t xml:space="preserve"> </w:t>
      </w:r>
      <w:r w:rsidR="00A34EAF">
        <w:t>p. 19</w:t>
      </w:r>
    </w:p>
  </w:footnote>
  <w:footnote w:id="22">
    <w:p w:rsidR="00095091" w:rsidRPr="00312061" w:rsidRDefault="00095091" w:rsidP="00A34EAF">
      <w:pPr>
        <w:spacing w:after="0" w:line="240" w:lineRule="auto"/>
        <w:rPr>
          <w:lang w:val="en-US"/>
        </w:rPr>
      </w:pPr>
      <w:r w:rsidRPr="00312061">
        <w:rPr>
          <w:rStyle w:val="FootnoteReference"/>
        </w:rPr>
        <w:footnoteRef/>
      </w:r>
      <w:r w:rsidRPr="00312061">
        <w:t xml:space="preserve"> </w:t>
      </w:r>
      <w:r w:rsidR="00C002B3">
        <w:t xml:space="preserve">Efraim Podoksik, </w:t>
      </w:r>
      <w:r w:rsidR="00A34EAF" w:rsidRPr="00D44040">
        <w:rPr>
          <w:i/>
        </w:rPr>
        <w:t>JUSTICE, POWER AND ATHENIAN IMPERIALISM: AN IDEOLOGICAL MOMENT IN THUCYDIDES' "HISTORY”</w:t>
      </w:r>
      <w:r w:rsidR="00A34EAF">
        <w:rPr>
          <w:i/>
        </w:rPr>
        <w:t xml:space="preserve"> </w:t>
      </w:r>
      <w:r w:rsidR="00A34EAF" w:rsidRPr="00D44040">
        <w:t>(2005).</w:t>
      </w:r>
      <w:r w:rsidR="00C002B3">
        <w:t xml:space="preserve"> p</w:t>
      </w:r>
      <w:r w:rsidR="00A34EAF">
        <w:t>.21</w:t>
      </w:r>
      <w:r w:rsidR="00B62F85">
        <w:t>.</w:t>
      </w:r>
    </w:p>
  </w:footnote>
  <w:footnote w:id="23">
    <w:p w:rsidR="00095091" w:rsidRPr="00312061" w:rsidRDefault="00095091">
      <w:pPr>
        <w:pStyle w:val="FootnoteText"/>
        <w:rPr>
          <w:lang w:val="en-US"/>
        </w:rPr>
      </w:pPr>
      <w:r w:rsidRPr="003E175A">
        <w:rPr>
          <w:rStyle w:val="FootnoteReference"/>
        </w:rPr>
        <w:footnoteRef/>
      </w:r>
      <w:r w:rsidRPr="003E175A">
        <w:t xml:space="preserve"> </w:t>
      </w:r>
      <w:r w:rsidRPr="003E175A">
        <w:rPr>
          <w:sz w:val="22"/>
          <w:szCs w:val="22"/>
        </w:rPr>
        <w:t xml:space="preserve">Crawley, </w:t>
      </w:r>
      <w:r w:rsidR="003E175A" w:rsidRPr="003E175A">
        <w:rPr>
          <w:sz w:val="22"/>
          <w:szCs w:val="22"/>
        </w:rPr>
        <w:t>p. 16.</w:t>
      </w:r>
    </w:p>
  </w:footnote>
  <w:footnote w:id="24">
    <w:p w:rsidR="00312061" w:rsidRPr="00312061" w:rsidRDefault="00312061">
      <w:pPr>
        <w:pStyle w:val="FootnoteText"/>
        <w:rPr>
          <w:lang w:val="en-US"/>
        </w:rPr>
      </w:pPr>
      <w:r w:rsidRPr="00312061">
        <w:rPr>
          <w:rStyle w:val="FootnoteReference"/>
        </w:rPr>
        <w:footnoteRef/>
      </w:r>
      <w:r w:rsidRPr="00312061">
        <w:t xml:space="preserve"> </w:t>
      </w:r>
      <w:r w:rsidR="000C1B0B" w:rsidRPr="009F2135">
        <w:rPr>
          <w:sz w:val="22"/>
          <w:szCs w:val="22"/>
        </w:rPr>
        <w:t>Podoksik</w:t>
      </w:r>
      <w:r w:rsidR="00A34EAF">
        <w:rPr>
          <w:sz w:val="22"/>
          <w:szCs w:val="22"/>
        </w:rPr>
        <w:t>,</w:t>
      </w:r>
      <w:r w:rsidR="000C1B0B" w:rsidRPr="009F2135">
        <w:rPr>
          <w:sz w:val="22"/>
          <w:szCs w:val="22"/>
        </w:rPr>
        <w:t xml:space="preserve"> </w:t>
      </w:r>
      <w:r w:rsidR="00A34EAF">
        <w:rPr>
          <w:sz w:val="22"/>
          <w:szCs w:val="22"/>
        </w:rPr>
        <w:t>p.</w:t>
      </w:r>
      <w:r w:rsidRPr="00312061">
        <w:rPr>
          <w:sz w:val="22"/>
          <w:szCs w:val="22"/>
        </w:rPr>
        <w:t xml:space="preserve"> 22.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750B8"/>
    <w:multiLevelType w:val="hybridMultilevel"/>
    <w:tmpl w:val="7DBC10A6"/>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nsid w:val="0D1E5F0A"/>
    <w:multiLevelType w:val="hybridMultilevel"/>
    <w:tmpl w:val="E0827CB8"/>
    <w:lvl w:ilvl="0" w:tplc="44090003">
      <w:start w:val="1"/>
      <w:numFmt w:val="bullet"/>
      <w:lvlText w:val="o"/>
      <w:lvlJc w:val="left"/>
      <w:pPr>
        <w:ind w:left="720" w:hanging="360"/>
      </w:pPr>
      <w:rPr>
        <w:rFonts w:ascii="Courier New" w:hAnsi="Courier New" w:cs="Courier New"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
    <w:nsid w:val="0E1916C1"/>
    <w:multiLevelType w:val="hybridMultilevel"/>
    <w:tmpl w:val="3AD45862"/>
    <w:lvl w:ilvl="0" w:tplc="44090001">
      <w:start w:val="1"/>
      <w:numFmt w:val="bullet"/>
      <w:lvlText w:val=""/>
      <w:lvlJc w:val="left"/>
      <w:pPr>
        <w:ind w:left="1080" w:hanging="360"/>
      </w:pPr>
      <w:rPr>
        <w:rFonts w:ascii="Symbol" w:hAnsi="Symbol" w:hint="default"/>
      </w:rPr>
    </w:lvl>
    <w:lvl w:ilvl="1" w:tplc="44090001">
      <w:start w:val="1"/>
      <w:numFmt w:val="bullet"/>
      <w:lvlText w:val=""/>
      <w:lvlJc w:val="left"/>
      <w:pPr>
        <w:ind w:left="1800" w:hanging="360"/>
      </w:pPr>
      <w:rPr>
        <w:rFonts w:ascii="Symbol" w:hAnsi="Symbol" w:hint="default"/>
      </w:rPr>
    </w:lvl>
    <w:lvl w:ilvl="2" w:tplc="44090005">
      <w:start w:val="1"/>
      <w:numFmt w:val="bullet"/>
      <w:lvlText w:val=""/>
      <w:lvlJc w:val="left"/>
      <w:pPr>
        <w:ind w:left="2520" w:hanging="360"/>
      </w:pPr>
      <w:rPr>
        <w:rFonts w:ascii="Wingdings" w:hAnsi="Wingdings" w:hint="default"/>
      </w:rPr>
    </w:lvl>
    <w:lvl w:ilvl="3" w:tplc="44090001" w:tentative="1">
      <w:start w:val="1"/>
      <w:numFmt w:val="bullet"/>
      <w:lvlText w:val=""/>
      <w:lvlJc w:val="left"/>
      <w:pPr>
        <w:ind w:left="3240" w:hanging="360"/>
      </w:pPr>
      <w:rPr>
        <w:rFonts w:ascii="Symbol" w:hAnsi="Symbol" w:hint="default"/>
      </w:rPr>
    </w:lvl>
    <w:lvl w:ilvl="4" w:tplc="44090003" w:tentative="1">
      <w:start w:val="1"/>
      <w:numFmt w:val="bullet"/>
      <w:lvlText w:val="o"/>
      <w:lvlJc w:val="left"/>
      <w:pPr>
        <w:ind w:left="3960" w:hanging="360"/>
      </w:pPr>
      <w:rPr>
        <w:rFonts w:ascii="Courier New" w:hAnsi="Courier New" w:cs="Courier New" w:hint="default"/>
      </w:rPr>
    </w:lvl>
    <w:lvl w:ilvl="5" w:tplc="44090005" w:tentative="1">
      <w:start w:val="1"/>
      <w:numFmt w:val="bullet"/>
      <w:lvlText w:val=""/>
      <w:lvlJc w:val="left"/>
      <w:pPr>
        <w:ind w:left="4680" w:hanging="360"/>
      </w:pPr>
      <w:rPr>
        <w:rFonts w:ascii="Wingdings" w:hAnsi="Wingdings" w:hint="default"/>
      </w:rPr>
    </w:lvl>
    <w:lvl w:ilvl="6" w:tplc="44090001" w:tentative="1">
      <w:start w:val="1"/>
      <w:numFmt w:val="bullet"/>
      <w:lvlText w:val=""/>
      <w:lvlJc w:val="left"/>
      <w:pPr>
        <w:ind w:left="5400" w:hanging="360"/>
      </w:pPr>
      <w:rPr>
        <w:rFonts w:ascii="Symbol" w:hAnsi="Symbol" w:hint="default"/>
      </w:rPr>
    </w:lvl>
    <w:lvl w:ilvl="7" w:tplc="44090003" w:tentative="1">
      <w:start w:val="1"/>
      <w:numFmt w:val="bullet"/>
      <w:lvlText w:val="o"/>
      <w:lvlJc w:val="left"/>
      <w:pPr>
        <w:ind w:left="6120" w:hanging="360"/>
      </w:pPr>
      <w:rPr>
        <w:rFonts w:ascii="Courier New" w:hAnsi="Courier New" w:cs="Courier New" w:hint="default"/>
      </w:rPr>
    </w:lvl>
    <w:lvl w:ilvl="8" w:tplc="44090005" w:tentative="1">
      <w:start w:val="1"/>
      <w:numFmt w:val="bullet"/>
      <w:lvlText w:val=""/>
      <w:lvlJc w:val="left"/>
      <w:pPr>
        <w:ind w:left="6840" w:hanging="360"/>
      </w:pPr>
      <w:rPr>
        <w:rFonts w:ascii="Wingdings" w:hAnsi="Wingdings" w:hint="default"/>
      </w:rPr>
    </w:lvl>
  </w:abstractNum>
  <w:abstractNum w:abstractNumId="3">
    <w:nsid w:val="111B6514"/>
    <w:multiLevelType w:val="hybridMultilevel"/>
    <w:tmpl w:val="4B8CBF74"/>
    <w:lvl w:ilvl="0" w:tplc="44090001">
      <w:start w:val="1"/>
      <w:numFmt w:val="bullet"/>
      <w:lvlText w:val=""/>
      <w:lvlJc w:val="left"/>
      <w:pPr>
        <w:ind w:left="720" w:hanging="360"/>
      </w:pPr>
      <w:rPr>
        <w:rFonts w:ascii="Symbol" w:hAnsi="Symbol" w:hint="default"/>
      </w:rPr>
    </w:lvl>
    <w:lvl w:ilvl="1" w:tplc="4409000F">
      <w:start w:val="1"/>
      <w:numFmt w:val="decimal"/>
      <w:lvlText w:val="%2."/>
      <w:lvlJc w:val="left"/>
      <w:pPr>
        <w:ind w:left="1440" w:hanging="360"/>
      </w:pPr>
      <w:rPr>
        <w:rFonts w:hint="default"/>
      </w:rPr>
    </w:lvl>
    <w:lvl w:ilvl="2" w:tplc="44090005">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4">
    <w:nsid w:val="145D63D6"/>
    <w:multiLevelType w:val="hybridMultilevel"/>
    <w:tmpl w:val="8B8A9D68"/>
    <w:lvl w:ilvl="0" w:tplc="44090001">
      <w:start w:val="1"/>
      <w:numFmt w:val="bullet"/>
      <w:lvlText w:val=""/>
      <w:lvlJc w:val="left"/>
      <w:pPr>
        <w:ind w:left="360" w:hanging="360"/>
      </w:pPr>
      <w:rPr>
        <w:rFonts w:ascii="Symbol" w:hAnsi="Symbol" w:hint="default"/>
      </w:rPr>
    </w:lvl>
    <w:lvl w:ilvl="1" w:tplc="44090003">
      <w:start w:val="1"/>
      <w:numFmt w:val="bullet"/>
      <w:lvlText w:val="o"/>
      <w:lvlJc w:val="left"/>
      <w:pPr>
        <w:ind w:left="1080" w:hanging="360"/>
      </w:pPr>
      <w:rPr>
        <w:rFonts w:ascii="Courier New" w:hAnsi="Courier New" w:cs="Courier New" w:hint="default"/>
      </w:rPr>
    </w:lvl>
    <w:lvl w:ilvl="2" w:tplc="44090005">
      <w:start w:val="1"/>
      <w:numFmt w:val="bullet"/>
      <w:lvlText w:val=""/>
      <w:lvlJc w:val="left"/>
      <w:pPr>
        <w:ind w:left="1800" w:hanging="360"/>
      </w:pPr>
      <w:rPr>
        <w:rFonts w:ascii="Wingdings" w:hAnsi="Wingdings" w:hint="default"/>
      </w:rPr>
    </w:lvl>
    <w:lvl w:ilvl="3" w:tplc="4409000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5">
    <w:nsid w:val="18634156"/>
    <w:multiLevelType w:val="hybridMultilevel"/>
    <w:tmpl w:val="85EAFA68"/>
    <w:lvl w:ilvl="0" w:tplc="44090001">
      <w:start w:val="1"/>
      <w:numFmt w:val="bullet"/>
      <w:lvlText w:val=""/>
      <w:lvlJc w:val="left"/>
      <w:pPr>
        <w:ind w:left="360" w:hanging="360"/>
      </w:pPr>
      <w:rPr>
        <w:rFonts w:ascii="Symbol" w:hAnsi="Symbol" w:hint="default"/>
      </w:rPr>
    </w:lvl>
    <w:lvl w:ilvl="1" w:tplc="44090003" w:tentative="1">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6">
    <w:nsid w:val="1D882DFA"/>
    <w:multiLevelType w:val="hybridMultilevel"/>
    <w:tmpl w:val="123281A8"/>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7">
    <w:nsid w:val="32313662"/>
    <w:multiLevelType w:val="hybridMultilevel"/>
    <w:tmpl w:val="FE7806E0"/>
    <w:lvl w:ilvl="0" w:tplc="44090001">
      <w:start w:val="1"/>
      <w:numFmt w:val="bullet"/>
      <w:lvlText w:val=""/>
      <w:lvlJc w:val="left"/>
      <w:pPr>
        <w:ind w:left="770" w:hanging="360"/>
      </w:pPr>
      <w:rPr>
        <w:rFonts w:ascii="Symbol" w:hAnsi="Symbol" w:hint="default"/>
      </w:rPr>
    </w:lvl>
    <w:lvl w:ilvl="1" w:tplc="44090003">
      <w:start w:val="1"/>
      <w:numFmt w:val="bullet"/>
      <w:lvlText w:val="o"/>
      <w:lvlJc w:val="left"/>
      <w:pPr>
        <w:ind w:left="1490" w:hanging="360"/>
      </w:pPr>
      <w:rPr>
        <w:rFonts w:ascii="Courier New" w:hAnsi="Courier New" w:cs="Courier New" w:hint="default"/>
      </w:rPr>
    </w:lvl>
    <w:lvl w:ilvl="2" w:tplc="44090005" w:tentative="1">
      <w:start w:val="1"/>
      <w:numFmt w:val="bullet"/>
      <w:lvlText w:val=""/>
      <w:lvlJc w:val="left"/>
      <w:pPr>
        <w:ind w:left="2210" w:hanging="360"/>
      </w:pPr>
      <w:rPr>
        <w:rFonts w:ascii="Wingdings" w:hAnsi="Wingdings" w:hint="default"/>
      </w:rPr>
    </w:lvl>
    <w:lvl w:ilvl="3" w:tplc="44090001" w:tentative="1">
      <w:start w:val="1"/>
      <w:numFmt w:val="bullet"/>
      <w:lvlText w:val=""/>
      <w:lvlJc w:val="left"/>
      <w:pPr>
        <w:ind w:left="2930" w:hanging="360"/>
      </w:pPr>
      <w:rPr>
        <w:rFonts w:ascii="Symbol" w:hAnsi="Symbol" w:hint="default"/>
      </w:rPr>
    </w:lvl>
    <w:lvl w:ilvl="4" w:tplc="44090003" w:tentative="1">
      <w:start w:val="1"/>
      <w:numFmt w:val="bullet"/>
      <w:lvlText w:val="o"/>
      <w:lvlJc w:val="left"/>
      <w:pPr>
        <w:ind w:left="3650" w:hanging="360"/>
      </w:pPr>
      <w:rPr>
        <w:rFonts w:ascii="Courier New" w:hAnsi="Courier New" w:cs="Courier New" w:hint="default"/>
      </w:rPr>
    </w:lvl>
    <w:lvl w:ilvl="5" w:tplc="44090005" w:tentative="1">
      <w:start w:val="1"/>
      <w:numFmt w:val="bullet"/>
      <w:lvlText w:val=""/>
      <w:lvlJc w:val="left"/>
      <w:pPr>
        <w:ind w:left="4370" w:hanging="360"/>
      </w:pPr>
      <w:rPr>
        <w:rFonts w:ascii="Wingdings" w:hAnsi="Wingdings" w:hint="default"/>
      </w:rPr>
    </w:lvl>
    <w:lvl w:ilvl="6" w:tplc="44090001" w:tentative="1">
      <w:start w:val="1"/>
      <w:numFmt w:val="bullet"/>
      <w:lvlText w:val=""/>
      <w:lvlJc w:val="left"/>
      <w:pPr>
        <w:ind w:left="5090" w:hanging="360"/>
      </w:pPr>
      <w:rPr>
        <w:rFonts w:ascii="Symbol" w:hAnsi="Symbol" w:hint="default"/>
      </w:rPr>
    </w:lvl>
    <w:lvl w:ilvl="7" w:tplc="44090003" w:tentative="1">
      <w:start w:val="1"/>
      <w:numFmt w:val="bullet"/>
      <w:lvlText w:val="o"/>
      <w:lvlJc w:val="left"/>
      <w:pPr>
        <w:ind w:left="5810" w:hanging="360"/>
      </w:pPr>
      <w:rPr>
        <w:rFonts w:ascii="Courier New" w:hAnsi="Courier New" w:cs="Courier New" w:hint="default"/>
      </w:rPr>
    </w:lvl>
    <w:lvl w:ilvl="8" w:tplc="44090005" w:tentative="1">
      <w:start w:val="1"/>
      <w:numFmt w:val="bullet"/>
      <w:lvlText w:val=""/>
      <w:lvlJc w:val="left"/>
      <w:pPr>
        <w:ind w:left="6530" w:hanging="360"/>
      </w:pPr>
      <w:rPr>
        <w:rFonts w:ascii="Wingdings" w:hAnsi="Wingdings" w:hint="default"/>
      </w:rPr>
    </w:lvl>
  </w:abstractNum>
  <w:abstractNum w:abstractNumId="8">
    <w:nsid w:val="32842AEC"/>
    <w:multiLevelType w:val="hybridMultilevel"/>
    <w:tmpl w:val="8F729566"/>
    <w:lvl w:ilvl="0" w:tplc="44090017">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9">
    <w:nsid w:val="35F4118F"/>
    <w:multiLevelType w:val="hybridMultilevel"/>
    <w:tmpl w:val="A470F48C"/>
    <w:lvl w:ilvl="0" w:tplc="44090001">
      <w:start w:val="1"/>
      <w:numFmt w:val="bullet"/>
      <w:lvlText w:val=""/>
      <w:lvlJc w:val="left"/>
      <w:pPr>
        <w:ind w:left="360" w:hanging="360"/>
      </w:pPr>
      <w:rPr>
        <w:rFonts w:ascii="Symbol" w:hAnsi="Symbol" w:hint="default"/>
      </w:rPr>
    </w:lvl>
    <w:lvl w:ilvl="1" w:tplc="44090003" w:tentative="1">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10">
    <w:nsid w:val="3CE42827"/>
    <w:multiLevelType w:val="hybridMultilevel"/>
    <w:tmpl w:val="3AC286BC"/>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1">
    <w:nsid w:val="3F4A4C88"/>
    <w:multiLevelType w:val="hybridMultilevel"/>
    <w:tmpl w:val="09566E90"/>
    <w:lvl w:ilvl="0" w:tplc="4409000F">
      <w:start w:val="1"/>
      <w:numFmt w:val="decimal"/>
      <w:lvlText w:val="%1."/>
      <w:lvlJc w:val="left"/>
      <w:pPr>
        <w:ind w:left="720" w:hanging="360"/>
      </w:pPr>
      <w:rPr>
        <w:rFonts w:hint="default"/>
      </w:rPr>
    </w:lvl>
    <w:lvl w:ilvl="1" w:tplc="44090001">
      <w:start w:val="1"/>
      <w:numFmt w:val="bullet"/>
      <w:lvlText w:val=""/>
      <w:lvlJc w:val="left"/>
      <w:pPr>
        <w:ind w:left="1440" w:hanging="360"/>
      </w:pPr>
      <w:rPr>
        <w:rFonts w:ascii="Symbol" w:hAnsi="Symbol" w:hint="default"/>
      </w:rPr>
    </w:lvl>
    <w:lvl w:ilvl="2" w:tplc="44090005">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2">
    <w:nsid w:val="53326970"/>
    <w:multiLevelType w:val="hybridMultilevel"/>
    <w:tmpl w:val="6742DBBA"/>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3">
    <w:nsid w:val="560134A2"/>
    <w:multiLevelType w:val="hybridMultilevel"/>
    <w:tmpl w:val="EEAA76B2"/>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4">
    <w:nsid w:val="5808714E"/>
    <w:multiLevelType w:val="hybridMultilevel"/>
    <w:tmpl w:val="3C14369C"/>
    <w:lvl w:ilvl="0" w:tplc="4409000F">
      <w:start w:val="1"/>
      <w:numFmt w:val="decimal"/>
      <w:lvlText w:val="%1."/>
      <w:lvlJc w:val="left"/>
      <w:pPr>
        <w:ind w:left="360" w:hanging="360"/>
      </w:pPr>
    </w:lvl>
    <w:lvl w:ilvl="1" w:tplc="44090019">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15">
    <w:nsid w:val="5B644E30"/>
    <w:multiLevelType w:val="hybridMultilevel"/>
    <w:tmpl w:val="745EA44C"/>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6">
    <w:nsid w:val="5FAA4E8B"/>
    <w:multiLevelType w:val="hybridMultilevel"/>
    <w:tmpl w:val="733EB59E"/>
    <w:lvl w:ilvl="0" w:tplc="44090001">
      <w:start w:val="1"/>
      <w:numFmt w:val="bullet"/>
      <w:lvlText w:val=""/>
      <w:lvlJc w:val="left"/>
      <w:pPr>
        <w:ind w:left="360" w:hanging="360"/>
      </w:pPr>
      <w:rPr>
        <w:rFonts w:ascii="Symbol" w:hAnsi="Symbol" w:hint="default"/>
      </w:rPr>
    </w:lvl>
    <w:lvl w:ilvl="1" w:tplc="44090003">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17">
    <w:nsid w:val="6193148B"/>
    <w:multiLevelType w:val="hybridMultilevel"/>
    <w:tmpl w:val="9A74D382"/>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8">
    <w:nsid w:val="61B242A5"/>
    <w:multiLevelType w:val="hybridMultilevel"/>
    <w:tmpl w:val="DE202D3A"/>
    <w:lvl w:ilvl="0" w:tplc="4409000F">
      <w:start w:val="1"/>
      <w:numFmt w:val="decimal"/>
      <w:lvlText w:val="%1."/>
      <w:lvlJc w:val="left"/>
      <w:pPr>
        <w:ind w:left="720" w:hanging="360"/>
      </w:pPr>
      <w:rPr>
        <w:rFonts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9">
    <w:nsid w:val="628858AD"/>
    <w:multiLevelType w:val="hybridMultilevel"/>
    <w:tmpl w:val="CC346F7E"/>
    <w:lvl w:ilvl="0" w:tplc="4409000F">
      <w:start w:val="1"/>
      <w:numFmt w:val="decimal"/>
      <w:lvlText w:val="%1."/>
      <w:lvlJc w:val="left"/>
      <w:pPr>
        <w:ind w:left="360" w:hanging="36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20">
    <w:nsid w:val="65FA676C"/>
    <w:multiLevelType w:val="hybridMultilevel"/>
    <w:tmpl w:val="C1BE36A8"/>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1">
    <w:nsid w:val="69BF24CA"/>
    <w:multiLevelType w:val="hybridMultilevel"/>
    <w:tmpl w:val="28F4A326"/>
    <w:lvl w:ilvl="0" w:tplc="44090001">
      <w:start w:val="1"/>
      <w:numFmt w:val="bullet"/>
      <w:lvlText w:val=""/>
      <w:lvlJc w:val="left"/>
      <w:pPr>
        <w:ind w:left="360" w:hanging="360"/>
      </w:pPr>
      <w:rPr>
        <w:rFonts w:ascii="Symbol" w:hAnsi="Symbol" w:hint="default"/>
      </w:rPr>
    </w:lvl>
    <w:lvl w:ilvl="1" w:tplc="44090003" w:tentative="1">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22">
    <w:nsid w:val="6F37717B"/>
    <w:multiLevelType w:val="hybridMultilevel"/>
    <w:tmpl w:val="6B5AE350"/>
    <w:lvl w:ilvl="0" w:tplc="C5109C1C">
      <w:start w:val="1"/>
      <w:numFmt w:val="decimal"/>
      <w:lvlText w:val="%1."/>
      <w:lvlJc w:val="left"/>
      <w:pPr>
        <w:ind w:left="720" w:hanging="360"/>
      </w:pPr>
      <w:rPr>
        <w:rFonts w:hint="default"/>
        <w:sz w:val="22"/>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3">
    <w:nsid w:val="7CE240E4"/>
    <w:multiLevelType w:val="hybridMultilevel"/>
    <w:tmpl w:val="7D7C8366"/>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5"/>
  </w:num>
  <w:num w:numId="4">
    <w:abstractNumId w:val="11"/>
  </w:num>
  <w:num w:numId="5">
    <w:abstractNumId w:val="2"/>
  </w:num>
  <w:num w:numId="6">
    <w:abstractNumId w:val="1"/>
  </w:num>
  <w:num w:numId="7">
    <w:abstractNumId w:val="4"/>
  </w:num>
  <w:num w:numId="8">
    <w:abstractNumId w:val="21"/>
  </w:num>
  <w:num w:numId="9">
    <w:abstractNumId w:val="16"/>
  </w:num>
  <w:num w:numId="10">
    <w:abstractNumId w:val="18"/>
  </w:num>
  <w:num w:numId="11">
    <w:abstractNumId w:val="14"/>
  </w:num>
  <w:num w:numId="12">
    <w:abstractNumId w:val="0"/>
  </w:num>
  <w:num w:numId="13">
    <w:abstractNumId w:val="8"/>
  </w:num>
  <w:num w:numId="14">
    <w:abstractNumId w:val="9"/>
  </w:num>
  <w:num w:numId="15">
    <w:abstractNumId w:val="20"/>
  </w:num>
  <w:num w:numId="16">
    <w:abstractNumId w:val="19"/>
  </w:num>
  <w:num w:numId="17">
    <w:abstractNumId w:val="22"/>
  </w:num>
  <w:num w:numId="18">
    <w:abstractNumId w:val="17"/>
  </w:num>
  <w:num w:numId="19">
    <w:abstractNumId w:val="23"/>
  </w:num>
  <w:num w:numId="20">
    <w:abstractNumId w:val="10"/>
  </w:num>
  <w:num w:numId="21">
    <w:abstractNumId w:val="15"/>
  </w:num>
  <w:num w:numId="22">
    <w:abstractNumId w:val="12"/>
  </w:num>
  <w:num w:numId="23">
    <w:abstractNumId w:val="6"/>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6D26"/>
    <w:rsid w:val="000025F8"/>
    <w:rsid w:val="0001349B"/>
    <w:rsid w:val="00022134"/>
    <w:rsid w:val="00042850"/>
    <w:rsid w:val="00042C29"/>
    <w:rsid w:val="00043685"/>
    <w:rsid w:val="00071901"/>
    <w:rsid w:val="000750AB"/>
    <w:rsid w:val="000812A6"/>
    <w:rsid w:val="00095091"/>
    <w:rsid w:val="0009514C"/>
    <w:rsid w:val="000A2326"/>
    <w:rsid w:val="000A322E"/>
    <w:rsid w:val="000B2DC1"/>
    <w:rsid w:val="000C1B0B"/>
    <w:rsid w:val="000C2BBE"/>
    <w:rsid w:val="00112757"/>
    <w:rsid w:val="0013709D"/>
    <w:rsid w:val="00163A4B"/>
    <w:rsid w:val="00185BEC"/>
    <w:rsid w:val="001A620D"/>
    <w:rsid w:val="001A6546"/>
    <w:rsid w:val="001F71E4"/>
    <w:rsid w:val="002268A1"/>
    <w:rsid w:val="0023317D"/>
    <w:rsid w:val="002474E3"/>
    <w:rsid w:val="00255922"/>
    <w:rsid w:val="0026160B"/>
    <w:rsid w:val="002927E4"/>
    <w:rsid w:val="002A11AD"/>
    <w:rsid w:val="002B07CE"/>
    <w:rsid w:val="002B4C18"/>
    <w:rsid w:val="002B530F"/>
    <w:rsid w:val="002C2647"/>
    <w:rsid w:val="002D49CC"/>
    <w:rsid w:val="002F41A5"/>
    <w:rsid w:val="00312061"/>
    <w:rsid w:val="00313F73"/>
    <w:rsid w:val="00315F33"/>
    <w:rsid w:val="00320E6A"/>
    <w:rsid w:val="003317A6"/>
    <w:rsid w:val="0038180C"/>
    <w:rsid w:val="003957E6"/>
    <w:rsid w:val="003B0B44"/>
    <w:rsid w:val="003E175A"/>
    <w:rsid w:val="003E798B"/>
    <w:rsid w:val="003F0710"/>
    <w:rsid w:val="004065AC"/>
    <w:rsid w:val="00423443"/>
    <w:rsid w:val="004851DA"/>
    <w:rsid w:val="004B60A5"/>
    <w:rsid w:val="004D25B1"/>
    <w:rsid w:val="004D537E"/>
    <w:rsid w:val="004D7AD2"/>
    <w:rsid w:val="004E7FB6"/>
    <w:rsid w:val="00516386"/>
    <w:rsid w:val="0055731D"/>
    <w:rsid w:val="00583C57"/>
    <w:rsid w:val="005B6530"/>
    <w:rsid w:val="005C244C"/>
    <w:rsid w:val="005D2E7C"/>
    <w:rsid w:val="005D611C"/>
    <w:rsid w:val="005E0675"/>
    <w:rsid w:val="00601B67"/>
    <w:rsid w:val="00637AE4"/>
    <w:rsid w:val="00666D26"/>
    <w:rsid w:val="007377F3"/>
    <w:rsid w:val="007911C1"/>
    <w:rsid w:val="0079411E"/>
    <w:rsid w:val="007A287C"/>
    <w:rsid w:val="007A5171"/>
    <w:rsid w:val="007B7932"/>
    <w:rsid w:val="007C3748"/>
    <w:rsid w:val="007D1F07"/>
    <w:rsid w:val="0080059C"/>
    <w:rsid w:val="00836280"/>
    <w:rsid w:val="00864874"/>
    <w:rsid w:val="00884650"/>
    <w:rsid w:val="00895221"/>
    <w:rsid w:val="008A49DD"/>
    <w:rsid w:val="008C0FF0"/>
    <w:rsid w:val="008D21D1"/>
    <w:rsid w:val="008F052C"/>
    <w:rsid w:val="008F1535"/>
    <w:rsid w:val="00906B6E"/>
    <w:rsid w:val="00915E0E"/>
    <w:rsid w:val="00916465"/>
    <w:rsid w:val="0092000C"/>
    <w:rsid w:val="0092130A"/>
    <w:rsid w:val="009434C8"/>
    <w:rsid w:val="0095460D"/>
    <w:rsid w:val="009755B3"/>
    <w:rsid w:val="009B3519"/>
    <w:rsid w:val="009B45BF"/>
    <w:rsid w:val="009C0B26"/>
    <w:rsid w:val="009D566D"/>
    <w:rsid w:val="009F2135"/>
    <w:rsid w:val="00A24EEA"/>
    <w:rsid w:val="00A32785"/>
    <w:rsid w:val="00A329A8"/>
    <w:rsid w:val="00A34EAF"/>
    <w:rsid w:val="00A421D7"/>
    <w:rsid w:val="00A82CFD"/>
    <w:rsid w:val="00AC3AC9"/>
    <w:rsid w:val="00B01ED1"/>
    <w:rsid w:val="00B02051"/>
    <w:rsid w:val="00B037A3"/>
    <w:rsid w:val="00B132EF"/>
    <w:rsid w:val="00B372DB"/>
    <w:rsid w:val="00B46AEB"/>
    <w:rsid w:val="00B62F85"/>
    <w:rsid w:val="00B73C15"/>
    <w:rsid w:val="00B76370"/>
    <w:rsid w:val="00BA12A9"/>
    <w:rsid w:val="00BA14B3"/>
    <w:rsid w:val="00BF7CD8"/>
    <w:rsid w:val="00C002B3"/>
    <w:rsid w:val="00C07B57"/>
    <w:rsid w:val="00C17DBF"/>
    <w:rsid w:val="00C34F74"/>
    <w:rsid w:val="00C513C0"/>
    <w:rsid w:val="00C67B72"/>
    <w:rsid w:val="00C74E19"/>
    <w:rsid w:val="00C82066"/>
    <w:rsid w:val="00CF5BC3"/>
    <w:rsid w:val="00D04991"/>
    <w:rsid w:val="00DB0D80"/>
    <w:rsid w:val="00DC4F83"/>
    <w:rsid w:val="00DE4D2E"/>
    <w:rsid w:val="00E1661F"/>
    <w:rsid w:val="00E867BA"/>
    <w:rsid w:val="00E922F2"/>
    <w:rsid w:val="00EF25FE"/>
    <w:rsid w:val="00F31EED"/>
    <w:rsid w:val="00F61563"/>
    <w:rsid w:val="00F959A6"/>
    <w:rsid w:val="00FA2291"/>
    <w:rsid w:val="00FC0BE4"/>
    <w:rsid w:val="00FD495C"/>
    <w:rsid w:val="00FD7CE8"/>
    <w:rsid w:val="00FE2C38"/>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MY"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6D26"/>
    <w:pPr>
      <w:ind w:left="720"/>
      <w:contextualSpacing/>
    </w:pPr>
  </w:style>
  <w:style w:type="character" w:styleId="Hyperlink">
    <w:name w:val="Hyperlink"/>
    <w:basedOn w:val="DefaultParagraphFont"/>
    <w:uiPriority w:val="99"/>
    <w:unhideWhenUsed/>
    <w:rsid w:val="00864874"/>
    <w:rPr>
      <w:color w:val="0000FF" w:themeColor="hyperlink"/>
      <w:u w:val="single"/>
    </w:rPr>
  </w:style>
  <w:style w:type="paragraph" w:styleId="EndnoteText">
    <w:name w:val="endnote text"/>
    <w:basedOn w:val="Normal"/>
    <w:link w:val="EndnoteTextChar"/>
    <w:uiPriority w:val="99"/>
    <w:semiHidden/>
    <w:unhideWhenUsed/>
    <w:rsid w:val="00BA14B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A14B3"/>
    <w:rPr>
      <w:sz w:val="20"/>
      <w:szCs w:val="20"/>
    </w:rPr>
  </w:style>
  <w:style w:type="character" w:styleId="EndnoteReference">
    <w:name w:val="endnote reference"/>
    <w:basedOn w:val="DefaultParagraphFont"/>
    <w:uiPriority w:val="99"/>
    <w:semiHidden/>
    <w:unhideWhenUsed/>
    <w:rsid w:val="00BA14B3"/>
    <w:rPr>
      <w:vertAlign w:val="superscript"/>
    </w:rPr>
  </w:style>
  <w:style w:type="paragraph" w:styleId="FootnoteText">
    <w:name w:val="footnote text"/>
    <w:basedOn w:val="Normal"/>
    <w:link w:val="FootnoteTextChar"/>
    <w:uiPriority w:val="99"/>
    <w:semiHidden/>
    <w:unhideWhenUsed/>
    <w:rsid w:val="00BA14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A14B3"/>
    <w:rPr>
      <w:sz w:val="20"/>
      <w:szCs w:val="20"/>
    </w:rPr>
  </w:style>
  <w:style w:type="character" w:styleId="FootnoteReference">
    <w:name w:val="footnote reference"/>
    <w:basedOn w:val="DefaultParagraphFont"/>
    <w:uiPriority w:val="99"/>
    <w:semiHidden/>
    <w:unhideWhenUsed/>
    <w:rsid w:val="00BA14B3"/>
    <w:rPr>
      <w:vertAlign w:val="superscript"/>
    </w:rPr>
  </w:style>
  <w:style w:type="paragraph" w:styleId="Header">
    <w:name w:val="header"/>
    <w:basedOn w:val="Normal"/>
    <w:link w:val="HeaderChar"/>
    <w:uiPriority w:val="99"/>
    <w:unhideWhenUsed/>
    <w:rsid w:val="00C820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066"/>
  </w:style>
  <w:style w:type="paragraph" w:styleId="Footer">
    <w:name w:val="footer"/>
    <w:basedOn w:val="Normal"/>
    <w:link w:val="FooterChar"/>
    <w:uiPriority w:val="99"/>
    <w:unhideWhenUsed/>
    <w:rsid w:val="00C820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066"/>
  </w:style>
  <w:style w:type="character" w:styleId="Emphasis">
    <w:name w:val="Emphasis"/>
    <w:basedOn w:val="DefaultParagraphFont"/>
    <w:uiPriority w:val="20"/>
    <w:qFormat/>
    <w:rsid w:val="00DB0D8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MY"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6D26"/>
    <w:pPr>
      <w:ind w:left="720"/>
      <w:contextualSpacing/>
    </w:pPr>
  </w:style>
  <w:style w:type="character" w:styleId="Hyperlink">
    <w:name w:val="Hyperlink"/>
    <w:basedOn w:val="DefaultParagraphFont"/>
    <w:uiPriority w:val="99"/>
    <w:unhideWhenUsed/>
    <w:rsid w:val="00864874"/>
    <w:rPr>
      <w:color w:val="0000FF" w:themeColor="hyperlink"/>
      <w:u w:val="single"/>
    </w:rPr>
  </w:style>
  <w:style w:type="paragraph" w:styleId="EndnoteText">
    <w:name w:val="endnote text"/>
    <w:basedOn w:val="Normal"/>
    <w:link w:val="EndnoteTextChar"/>
    <w:uiPriority w:val="99"/>
    <w:semiHidden/>
    <w:unhideWhenUsed/>
    <w:rsid w:val="00BA14B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A14B3"/>
    <w:rPr>
      <w:sz w:val="20"/>
      <w:szCs w:val="20"/>
    </w:rPr>
  </w:style>
  <w:style w:type="character" w:styleId="EndnoteReference">
    <w:name w:val="endnote reference"/>
    <w:basedOn w:val="DefaultParagraphFont"/>
    <w:uiPriority w:val="99"/>
    <w:semiHidden/>
    <w:unhideWhenUsed/>
    <w:rsid w:val="00BA14B3"/>
    <w:rPr>
      <w:vertAlign w:val="superscript"/>
    </w:rPr>
  </w:style>
  <w:style w:type="paragraph" w:styleId="FootnoteText">
    <w:name w:val="footnote text"/>
    <w:basedOn w:val="Normal"/>
    <w:link w:val="FootnoteTextChar"/>
    <w:uiPriority w:val="99"/>
    <w:semiHidden/>
    <w:unhideWhenUsed/>
    <w:rsid w:val="00BA14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A14B3"/>
    <w:rPr>
      <w:sz w:val="20"/>
      <w:szCs w:val="20"/>
    </w:rPr>
  </w:style>
  <w:style w:type="character" w:styleId="FootnoteReference">
    <w:name w:val="footnote reference"/>
    <w:basedOn w:val="DefaultParagraphFont"/>
    <w:uiPriority w:val="99"/>
    <w:semiHidden/>
    <w:unhideWhenUsed/>
    <w:rsid w:val="00BA14B3"/>
    <w:rPr>
      <w:vertAlign w:val="superscript"/>
    </w:rPr>
  </w:style>
  <w:style w:type="paragraph" w:styleId="Header">
    <w:name w:val="header"/>
    <w:basedOn w:val="Normal"/>
    <w:link w:val="HeaderChar"/>
    <w:uiPriority w:val="99"/>
    <w:unhideWhenUsed/>
    <w:rsid w:val="00C820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066"/>
  </w:style>
  <w:style w:type="paragraph" w:styleId="Footer">
    <w:name w:val="footer"/>
    <w:basedOn w:val="Normal"/>
    <w:link w:val="FooterChar"/>
    <w:uiPriority w:val="99"/>
    <w:unhideWhenUsed/>
    <w:rsid w:val="00C820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066"/>
  </w:style>
  <w:style w:type="character" w:styleId="Emphasis">
    <w:name w:val="Emphasis"/>
    <w:basedOn w:val="DefaultParagraphFont"/>
    <w:uiPriority w:val="20"/>
    <w:qFormat/>
    <w:rsid w:val="00DB0D8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37551">
      <w:bodyDiv w:val="1"/>
      <w:marLeft w:val="0"/>
      <w:marRight w:val="0"/>
      <w:marTop w:val="0"/>
      <w:marBottom w:val="0"/>
      <w:divBdr>
        <w:top w:val="none" w:sz="0" w:space="0" w:color="auto"/>
        <w:left w:val="none" w:sz="0" w:space="0" w:color="auto"/>
        <w:bottom w:val="none" w:sz="0" w:space="0" w:color="auto"/>
        <w:right w:val="none" w:sz="0" w:space="0" w:color="auto"/>
      </w:divBdr>
      <w:divsChild>
        <w:div w:id="405300958">
          <w:marLeft w:val="0"/>
          <w:marRight w:val="0"/>
          <w:marTop w:val="0"/>
          <w:marBottom w:val="0"/>
          <w:divBdr>
            <w:top w:val="none" w:sz="0" w:space="0" w:color="auto"/>
            <w:left w:val="none" w:sz="0" w:space="0" w:color="auto"/>
            <w:bottom w:val="none" w:sz="0" w:space="0" w:color="auto"/>
            <w:right w:val="none" w:sz="0" w:space="0" w:color="auto"/>
          </w:divBdr>
        </w:div>
      </w:divsChild>
    </w:div>
    <w:div w:id="249778751">
      <w:bodyDiv w:val="1"/>
      <w:marLeft w:val="0"/>
      <w:marRight w:val="0"/>
      <w:marTop w:val="0"/>
      <w:marBottom w:val="0"/>
      <w:divBdr>
        <w:top w:val="none" w:sz="0" w:space="0" w:color="auto"/>
        <w:left w:val="none" w:sz="0" w:space="0" w:color="auto"/>
        <w:bottom w:val="none" w:sz="0" w:space="0" w:color="auto"/>
        <w:right w:val="none" w:sz="0" w:space="0" w:color="auto"/>
      </w:divBdr>
    </w:div>
    <w:div w:id="271480921">
      <w:bodyDiv w:val="1"/>
      <w:marLeft w:val="0"/>
      <w:marRight w:val="0"/>
      <w:marTop w:val="0"/>
      <w:marBottom w:val="0"/>
      <w:divBdr>
        <w:top w:val="none" w:sz="0" w:space="0" w:color="auto"/>
        <w:left w:val="none" w:sz="0" w:space="0" w:color="auto"/>
        <w:bottom w:val="none" w:sz="0" w:space="0" w:color="auto"/>
        <w:right w:val="none" w:sz="0" w:space="0" w:color="auto"/>
      </w:divBdr>
      <w:divsChild>
        <w:div w:id="1324817165">
          <w:marLeft w:val="0"/>
          <w:marRight w:val="0"/>
          <w:marTop w:val="0"/>
          <w:marBottom w:val="0"/>
          <w:divBdr>
            <w:top w:val="none" w:sz="0" w:space="0" w:color="auto"/>
            <w:left w:val="none" w:sz="0" w:space="0" w:color="auto"/>
            <w:bottom w:val="none" w:sz="0" w:space="0" w:color="auto"/>
            <w:right w:val="none" w:sz="0" w:space="0" w:color="auto"/>
          </w:divBdr>
        </w:div>
        <w:div w:id="1116019229">
          <w:marLeft w:val="0"/>
          <w:marRight w:val="0"/>
          <w:marTop w:val="0"/>
          <w:marBottom w:val="0"/>
          <w:divBdr>
            <w:top w:val="none" w:sz="0" w:space="0" w:color="auto"/>
            <w:left w:val="none" w:sz="0" w:space="0" w:color="auto"/>
            <w:bottom w:val="none" w:sz="0" w:space="0" w:color="auto"/>
            <w:right w:val="none" w:sz="0" w:space="0" w:color="auto"/>
          </w:divBdr>
        </w:div>
        <w:div w:id="1385135637">
          <w:marLeft w:val="0"/>
          <w:marRight w:val="0"/>
          <w:marTop w:val="0"/>
          <w:marBottom w:val="0"/>
          <w:divBdr>
            <w:top w:val="none" w:sz="0" w:space="0" w:color="auto"/>
            <w:left w:val="none" w:sz="0" w:space="0" w:color="auto"/>
            <w:bottom w:val="none" w:sz="0" w:space="0" w:color="auto"/>
            <w:right w:val="none" w:sz="0" w:space="0" w:color="auto"/>
          </w:divBdr>
        </w:div>
      </w:divsChild>
    </w:div>
    <w:div w:id="374502329">
      <w:bodyDiv w:val="1"/>
      <w:marLeft w:val="0"/>
      <w:marRight w:val="0"/>
      <w:marTop w:val="0"/>
      <w:marBottom w:val="0"/>
      <w:divBdr>
        <w:top w:val="none" w:sz="0" w:space="0" w:color="auto"/>
        <w:left w:val="none" w:sz="0" w:space="0" w:color="auto"/>
        <w:bottom w:val="none" w:sz="0" w:space="0" w:color="auto"/>
        <w:right w:val="none" w:sz="0" w:space="0" w:color="auto"/>
      </w:divBdr>
      <w:divsChild>
        <w:div w:id="99953164">
          <w:marLeft w:val="0"/>
          <w:marRight w:val="0"/>
          <w:marTop w:val="0"/>
          <w:marBottom w:val="0"/>
          <w:divBdr>
            <w:top w:val="none" w:sz="0" w:space="0" w:color="auto"/>
            <w:left w:val="none" w:sz="0" w:space="0" w:color="auto"/>
            <w:bottom w:val="none" w:sz="0" w:space="0" w:color="auto"/>
            <w:right w:val="none" w:sz="0" w:space="0" w:color="auto"/>
          </w:divBdr>
        </w:div>
      </w:divsChild>
    </w:div>
    <w:div w:id="799034237">
      <w:bodyDiv w:val="1"/>
      <w:marLeft w:val="0"/>
      <w:marRight w:val="0"/>
      <w:marTop w:val="0"/>
      <w:marBottom w:val="0"/>
      <w:divBdr>
        <w:top w:val="none" w:sz="0" w:space="0" w:color="auto"/>
        <w:left w:val="none" w:sz="0" w:space="0" w:color="auto"/>
        <w:bottom w:val="none" w:sz="0" w:space="0" w:color="auto"/>
        <w:right w:val="none" w:sz="0" w:space="0" w:color="auto"/>
      </w:divBdr>
    </w:div>
    <w:div w:id="889340932">
      <w:bodyDiv w:val="1"/>
      <w:marLeft w:val="0"/>
      <w:marRight w:val="0"/>
      <w:marTop w:val="0"/>
      <w:marBottom w:val="0"/>
      <w:divBdr>
        <w:top w:val="none" w:sz="0" w:space="0" w:color="auto"/>
        <w:left w:val="none" w:sz="0" w:space="0" w:color="auto"/>
        <w:bottom w:val="none" w:sz="0" w:space="0" w:color="auto"/>
        <w:right w:val="none" w:sz="0" w:space="0" w:color="auto"/>
      </w:divBdr>
    </w:div>
    <w:div w:id="1143693348">
      <w:bodyDiv w:val="1"/>
      <w:marLeft w:val="0"/>
      <w:marRight w:val="0"/>
      <w:marTop w:val="0"/>
      <w:marBottom w:val="0"/>
      <w:divBdr>
        <w:top w:val="none" w:sz="0" w:space="0" w:color="auto"/>
        <w:left w:val="none" w:sz="0" w:space="0" w:color="auto"/>
        <w:bottom w:val="none" w:sz="0" w:space="0" w:color="auto"/>
        <w:right w:val="none" w:sz="0" w:space="0" w:color="auto"/>
      </w:divBdr>
    </w:div>
    <w:div w:id="1417746334">
      <w:bodyDiv w:val="1"/>
      <w:marLeft w:val="0"/>
      <w:marRight w:val="0"/>
      <w:marTop w:val="0"/>
      <w:marBottom w:val="0"/>
      <w:divBdr>
        <w:top w:val="none" w:sz="0" w:space="0" w:color="auto"/>
        <w:left w:val="none" w:sz="0" w:space="0" w:color="auto"/>
        <w:bottom w:val="none" w:sz="0" w:space="0" w:color="auto"/>
        <w:right w:val="none" w:sz="0" w:space="0" w:color="auto"/>
      </w:divBdr>
    </w:div>
    <w:div w:id="1420759262">
      <w:bodyDiv w:val="1"/>
      <w:marLeft w:val="0"/>
      <w:marRight w:val="0"/>
      <w:marTop w:val="0"/>
      <w:marBottom w:val="0"/>
      <w:divBdr>
        <w:top w:val="none" w:sz="0" w:space="0" w:color="auto"/>
        <w:left w:val="none" w:sz="0" w:space="0" w:color="auto"/>
        <w:bottom w:val="none" w:sz="0" w:space="0" w:color="auto"/>
        <w:right w:val="none" w:sz="0" w:space="0" w:color="auto"/>
      </w:divBdr>
      <w:divsChild>
        <w:div w:id="1861700001">
          <w:marLeft w:val="0"/>
          <w:marRight w:val="0"/>
          <w:marTop w:val="0"/>
          <w:marBottom w:val="0"/>
          <w:divBdr>
            <w:top w:val="none" w:sz="0" w:space="0" w:color="auto"/>
            <w:left w:val="none" w:sz="0" w:space="0" w:color="auto"/>
            <w:bottom w:val="none" w:sz="0" w:space="0" w:color="auto"/>
            <w:right w:val="none" w:sz="0" w:space="0" w:color="auto"/>
          </w:divBdr>
          <w:divsChild>
            <w:div w:id="953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458531">
      <w:bodyDiv w:val="1"/>
      <w:marLeft w:val="0"/>
      <w:marRight w:val="0"/>
      <w:marTop w:val="0"/>
      <w:marBottom w:val="0"/>
      <w:divBdr>
        <w:top w:val="none" w:sz="0" w:space="0" w:color="auto"/>
        <w:left w:val="none" w:sz="0" w:space="0" w:color="auto"/>
        <w:bottom w:val="none" w:sz="0" w:space="0" w:color="auto"/>
        <w:right w:val="none" w:sz="0" w:space="0" w:color="auto"/>
      </w:divBdr>
    </w:div>
    <w:div w:id="1742557652">
      <w:bodyDiv w:val="1"/>
      <w:marLeft w:val="0"/>
      <w:marRight w:val="0"/>
      <w:marTop w:val="0"/>
      <w:marBottom w:val="0"/>
      <w:divBdr>
        <w:top w:val="none" w:sz="0" w:space="0" w:color="auto"/>
        <w:left w:val="none" w:sz="0" w:space="0" w:color="auto"/>
        <w:bottom w:val="none" w:sz="0" w:space="0" w:color="auto"/>
        <w:right w:val="none" w:sz="0" w:space="0" w:color="auto"/>
      </w:divBdr>
    </w:div>
    <w:div w:id="1817381452">
      <w:bodyDiv w:val="1"/>
      <w:marLeft w:val="0"/>
      <w:marRight w:val="0"/>
      <w:marTop w:val="0"/>
      <w:marBottom w:val="0"/>
      <w:divBdr>
        <w:top w:val="none" w:sz="0" w:space="0" w:color="auto"/>
        <w:left w:val="none" w:sz="0" w:space="0" w:color="auto"/>
        <w:bottom w:val="none" w:sz="0" w:space="0" w:color="auto"/>
        <w:right w:val="none" w:sz="0" w:space="0" w:color="auto"/>
      </w:divBdr>
      <w:divsChild>
        <w:div w:id="7722406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jstor.org/stable/26221725" TargetMode="External"/><Relationship Id="rId4" Type="http://schemas.microsoft.com/office/2007/relationships/stylesWithEffects" Target="stylesWithEffects.xml"/><Relationship Id="rId9" Type="http://schemas.openxmlformats.org/officeDocument/2006/relationships/hyperlink" Target="https://www.academia.edu/458266/The_Accuracy_of_Thucydides_review_article_"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999DC6-AEFD-44F2-BFEB-1EA1718F7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1997</TotalTime>
  <Pages>1</Pages>
  <Words>2225</Words>
  <Characters>12688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Vickers</dc:creator>
  <cp:lastModifiedBy>Richard Vickers</cp:lastModifiedBy>
  <cp:revision>29</cp:revision>
  <cp:lastPrinted>2019-05-07T06:09:00Z</cp:lastPrinted>
  <dcterms:created xsi:type="dcterms:W3CDTF">2019-05-01T05:34:00Z</dcterms:created>
  <dcterms:modified xsi:type="dcterms:W3CDTF">2019-05-07T06:25:00Z</dcterms:modified>
</cp:coreProperties>
</file>