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01BECDC" w14:textId="77777777" w:rsidR="00BC7206" w:rsidRPr="00EC0B0D" w:rsidRDefault="00BC7206" w:rsidP="00BC7206">
      <w:pPr>
        <w:jc w:val="center"/>
        <w:rPr>
          <w:rFonts w:ascii="Arial" w:hAnsi="Arial" w:cs="Arial"/>
          <w:color w:val="000000" w:themeColor="text1"/>
          <w:sz w:val="48"/>
          <w:szCs w:val="48"/>
        </w:rPr>
      </w:pPr>
      <w:r w:rsidRPr="00EC0B0D">
        <w:rPr>
          <w:rFonts w:ascii="Arial" w:hAnsi="Arial" w:cs="Arial"/>
          <w:b/>
          <w:bCs/>
          <w:color w:val="000000" w:themeColor="text1"/>
          <w:sz w:val="48"/>
          <w:szCs w:val="48"/>
        </w:rPr>
        <w:t>Student Name:</w:t>
      </w:r>
      <w:r w:rsidRPr="00EC0B0D">
        <w:rPr>
          <w:rFonts w:ascii="Arial" w:hAnsi="Arial" w:cs="Arial"/>
          <w:color w:val="000000" w:themeColor="text1"/>
          <w:sz w:val="48"/>
          <w:szCs w:val="48"/>
        </w:rPr>
        <w:t xml:space="preserve"> </w:t>
      </w:r>
      <w:r w:rsidRPr="00C13BAD">
        <w:rPr>
          <w:rFonts w:ascii="Arial" w:hAnsi="Arial" w:cs="Arial"/>
          <w:b/>
          <w:bCs/>
          <w:color w:val="000000" w:themeColor="text1"/>
          <w:sz w:val="48"/>
          <w:szCs w:val="48"/>
        </w:rPr>
        <w:t>Ansar Ali</w:t>
      </w:r>
    </w:p>
    <w:p w14:paraId="0A5A91D9" w14:textId="77777777" w:rsidR="00BC7206" w:rsidRPr="00EC0B0D" w:rsidRDefault="00BC7206" w:rsidP="00BC7206">
      <w:pPr>
        <w:jc w:val="center"/>
        <w:rPr>
          <w:rFonts w:ascii="Arial" w:hAnsi="Arial" w:cs="Arial"/>
          <w:color w:val="000000" w:themeColor="text1"/>
          <w:sz w:val="44"/>
          <w:szCs w:val="44"/>
        </w:rPr>
      </w:pPr>
      <w:r w:rsidRPr="00EC0B0D">
        <w:rPr>
          <w:rFonts w:ascii="Arial" w:hAnsi="Arial" w:cs="Arial"/>
          <w:b/>
          <w:bCs/>
          <w:color w:val="000000" w:themeColor="text1"/>
          <w:sz w:val="44"/>
          <w:szCs w:val="44"/>
        </w:rPr>
        <w:t>Student Number:</w:t>
      </w:r>
      <w:r w:rsidRPr="00EC0B0D">
        <w:rPr>
          <w:rFonts w:ascii="Arial" w:hAnsi="Arial" w:cs="Arial"/>
          <w:color w:val="000000" w:themeColor="text1"/>
          <w:sz w:val="44"/>
          <w:szCs w:val="44"/>
        </w:rPr>
        <w:t xml:space="preserve"> </w:t>
      </w:r>
      <w:r w:rsidRPr="00C13BAD">
        <w:rPr>
          <w:rFonts w:ascii="Arial" w:hAnsi="Arial" w:cs="Arial"/>
          <w:b/>
          <w:bCs/>
          <w:color w:val="000000" w:themeColor="text1"/>
          <w:sz w:val="44"/>
          <w:szCs w:val="44"/>
        </w:rPr>
        <w:t>2433274</w:t>
      </w:r>
    </w:p>
    <w:p w14:paraId="4F99EC80" w14:textId="77777777" w:rsidR="00BC7206" w:rsidRPr="00EC0B0D" w:rsidRDefault="00BC7206" w:rsidP="00BC7206">
      <w:pPr>
        <w:jc w:val="center"/>
        <w:rPr>
          <w:rFonts w:ascii="Arial" w:hAnsi="Arial" w:cs="Arial"/>
          <w:color w:val="000000" w:themeColor="text1"/>
          <w:sz w:val="44"/>
          <w:szCs w:val="44"/>
        </w:rPr>
      </w:pPr>
      <w:r w:rsidRPr="00EC0B0D">
        <w:rPr>
          <w:rFonts w:ascii="Arial" w:hAnsi="Arial" w:cs="Arial"/>
          <w:b/>
          <w:bCs/>
          <w:color w:val="000000" w:themeColor="text1"/>
          <w:sz w:val="44"/>
          <w:szCs w:val="44"/>
        </w:rPr>
        <w:t>Module Name:</w:t>
      </w:r>
      <w:r w:rsidRPr="00EC0B0D">
        <w:rPr>
          <w:rFonts w:ascii="Arial" w:hAnsi="Arial" w:cs="Arial"/>
          <w:color w:val="000000" w:themeColor="text1"/>
          <w:sz w:val="44"/>
          <w:szCs w:val="44"/>
        </w:rPr>
        <w:t xml:space="preserve"> </w:t>
      </w:r>
      <w:r w:rsidRPr="00EC0B0D">
        <w:rPr>
          <w:rFonts w:ascii="Arial" w:hAnsi="Arial" w:cs="Arial"/>
          <w:b/>
          <w:sz w:val="44"/>
          <w:szCs w:val="44"/>
        </w:rPr>
        <w:t xml:space="preserve">Protecting and Supporting </w:t>
      </w:r>
      <w:r>
        <w:rPr>
          <w:rFonts w:ascii="Arial" w:hAnsi="Arial" w:cs="Arial"/>
          <w:b/>
          <w:sz w:val="44"/>
          <w:szCs w:val="44"/>
        </w:rPr>
        <w:t xml:space="preserve">                     </w:t>
      </w:r>
      <w:r w:rsidRPr="00EC0B0D">
        <w:rPr>
          <w:rFonts w:ascii="Arial" w:hAnsi="Arial" w:cs="Arial"/>
          <w:b/>
          <w:sz w:val="44"/>
          <w:szCs w:val="44"/>
        </w:rPr>
        <w:t>Families in Health and Care</w:t>
      </w:r>
    </w:p>
    <w:p w14:paraId="5F12CCF4" w14:textId="77777777" w:rsidR="00BC7206" w:rsidRPr="00C13BAD" w:rsidRDefault="00BC7206" w:rsidP="00BC7206">
      <w:pPr>
        <w:jc w:val="center"/>
        <w:rPr>
          <w:rFonts w:ascii="Arial" w:hAnsi="Arial" w:cs="Arial"/>
          <w:color w:val="000000" w:themeColor="text1"/>
          <w:sz w:val="44"/>
          <w:szCs w:val="44"/>
        </w:rPr>
      </w:pPr>
      <w:r w:rsidRPr="00C13BAD">
        <w:rPr>
          <w:rFonts w:ascii="Arial" w:hAnsi="Arial" w:cs="Arial"/>
          <w:b/>
          <w:bCs/>
          <w:color w:val="000000" w:themeColor="text1"/>
          <w:sz w:val="44"/>
          <w:szCs w:val="44"/>
        </w:rPr>
        <w:t>Module Code:</w:t>
      </w:r>
      <w:r w:rsidRPr="00C13BAD">
        <w:rPr>
          <w:rFonts w:ascii="Arial" w:hAnsi="Arial" w:cs="Arial"/>
          <w:color w:val="000000" w:themeColor="text1"/>
          <w:sz w:val="44"/>
          <w:szCs w:val="44"/>
        </w:rPr>
        <w:t xml:space="preserve"> </w:t>
      </w:r>
      <w:r w:rsidRPr="00C13BAD">
        <w:rPr>
          <w:rFonts w:ascii="Arial" w:hAnsi="Arial" w:cs="Arial"/>
          <w:b/>
          <w:sz w:val="44"/>
          <w:szCs w:val="44"/>
        </w:rPr>
        <w:t>BMHP5021</w:t>
      </w:r>
    </w:p>
    <w:p w14:paraId="6F4DA067" w14:textId="77777777" w:rsidR="00BC7206" w:rsidRPr="00FB5B9F" w:rsidRDefault="00BC7206" w:rsidP="00BC7206">
      <w:pPr>
        <w:jc w:val="center"/>
        <w:rPr>
          <w:rFonts w:ascii="Arial" w:hAnsi="Arial" w:cs="Arial"/>
          <w:b/>
          <w:bCs/>
          <w:color w:val="000000" w:themeColor="text1"/>
        </w:rPr>
      </w:pPr>
      <w:r w:rsidRPr="00C13BAD">
        <w:rPr>
          <w:rFonts w:ascii="Arial" w:hAnsi="Arial" w:cs="Arial"/>
          <w:b/>
          <w:bCs/>
          <w:color w:val="000000" w:themeColor="text1"/>
          <w:sz w:val="44"/>
          <w:szCs w:val="44"/>
        </w:rPr>
        <w:t>Lecturer:</w:t>
      </w:r>
      <w:r w:rsidRPr="00C13BAD">
        <w:rPr>
          <w:rFonts w:ascii="Arial" w:hAnsi="Arial" w:cs="Arial"/>
          <w:color w:val="000000" w:themeColor="text1"/>
          <w:sz w:val="44"/>
          <w:szCs w:val="44"/>
        </w:rPr>
        <w:t xml:space="preserve"> </w:t>
      </w:r>
      <w:r w:rsidRPr="00C13BAD">
        <w:rPr>
          <w:rFonts w:ascii="Arial" w:hAnsi="Arial" w:cs="Arial"/>
          <w:b/>
          <w:bCs/>
          <w:sz w:val="44"/>
          <w:szCs w:val="44"/>
        </w:rPr>
        <w:t>Kennedy Obohwemu</w:t>
      </w:r>
      <w:r w:rsidRPr="3001C795">
        <w:rPr>
          <w:rFonts w:ascii="Arial" w:hAnsi="Arial" w:cs="Arial"/>
          <w:b/>
          <w:bCs/>
          <w:sz w:val="22"/>
          <w:szCs w:val="22"/>
        </w:rPr>
        <w:t xml:space="preserve"> </w:t>
      </w:r>
      <w:r>
        <w:rPr>
          <w:rFonts w:ascii="Arial" w:hAnsi="Arial" w:cs="Arial"/>
          <w:b/>
          <w:bCs/>
          <w:sz w:val="22"/>
          <w:szCs w:val="22"/>
        </w:rPr>
        <w:br/>
      </w:r>
      <w:r w:rsidRPr="00C13BAD">
        <w:rPr>
          <w:rFonts w:ascii="Arial" w:hAnsi="Arial" w:cs="Arial"/>
          <w:b/>
          <w:bCs/>
          <w:sz w:val="44"/>
          <w:szCs w:val="44"/>
        </w:rPr>
        <w:br/>
      </w:r>
      <w:r w:rsidRPr="00C13BAD">
        <w:rPr>
          <w:rFonts w:ascii="Arial" w:hAnsi="Arial" w:cs="Arial"/>
          <w:b/>
          <w:bCs/>
          <w:color w:val="000000" w:themeColor="text1"/>
          <w:sz w:val="44"/>
          <w:szCs w:val="44"/>
        </w:rPr>
        <w:t xml:space="preserve">Title: </w:t>
      </w:r>
      <w:r w:rsidRPr="00C13BAD">
        <w:rPr>
          <w:rFonts w:ascii="Arial" w:hAnsi="Arial" w:cs="Arial"/>
          <w:b/>
          <w:bCs/>
          <w:sz w:val="44"/>
          <w:szCs w:val="44"/>
        </w:rPr>
        <w:t>Component 1: Presentation (Round-The-Table Group Discussion)</w:t>
      </w:r>
    </w:p>
    <w:p w14:paraId="48E51F3C" w14:textId="77777777" w:rsidR="00BC7206" w:rsidRDefault="00BC7206" w:rsidP="002E1C9F">
      <w:pPr>
        <w:pStyle w:val="muitypography-root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/>
          <w:bCs/>
          <w:color w:val="161F19"/>
          <w:sz w:val="28"/>
          <w:szCs w:val="28"/>
        </w:rPr>
      </w:pPr>
    </w:p>
    <w:p w14:paraId="36CEF97B" w14:textId="77777777" w:rsidR="00BC7206" w:rsidRDefault="00BC7206">
      <w:pPr>
        <w:spacing w:after="160" w:line="278" w:lineRule="auto"/>
        <w:rPr>
          <w:rFonts w:ascii="Arial" w:hAnsi="Arial" w:cs="Arial"/>
          <w:b/>
          <w:bCs/>
          <w:color w:val="161F19"/>
          <w:sz w:val="28"/>
          <w:szCs w:val="28"/>
        </w:rPr>
      </w:pPr>
      <w:r>
        <w:rPr>
          <w:rFonts w:ascii="Arial" w:hAnsi="Arial" w:cs="Arial"/>
          <w:b/>
          <w:bCs/>
          <w:color w:val="161F19"/>
          <w:sz w:val="28"/>
          <w:szCs w:val="28"/>
        </w:rPr>
        <w:br w:type="page"/>
      </w:r>
    </w:p>
    <w:p w14:paraId="5DE13437" w14:textId="18EC2833" w:rsidR="002E1C9F" w:rsidRPr="00664721" w:rsidRDefault="002E1C9F" w:rsidP="002E1C9F">
      <w:pPr>
        <w:pStyle w:val="muitypography-root"/>
        <w:shd w:val="clear" w:color="auto" w:fill="FFFFFF"/>
        <w:spacing w:before="0" w:beforeAutospacing="0" w:after="0" w:afterAutospacing="0" w:line="360" w:lineRule="auto"/>
        <w:rPr>
          <w:rFonts w:ascii="Open Sans" w:hAnsi="Open Sans" w:cs="Open Sans"/>
          <w:color w:val="161F19"/>
          <w:sz w:val="21"/>
          <w:szCs w:val="21"/>
        </w:rPr>
      </w:pPr>
      <w:r w:rsidRPr="004176FC">
        <w:rPr>
          <w:rFonts w:ascii="Arial" w:hAnsi="Arial" w:cs="Arial"/>
          <w:b/>
          <w:bCs/>
          <w:color w:val="161F19"/>
          <w:sz w:val="28"/>
          <w:szCs w:val="28"/>
        </w:rPr>
        <w:lastRenderedPageBreak/>
        <w:t>My References</w:t>
      </w:r>
      <w:r>
        <w:rPr>
          <w:rFonts w:ascii="Open Sans" w:hAnsi="Open Sans" w:cs="Open Sans"/>
          <w:color w:val="161F19"/>
          <w:sz w:val="21"/>
          <w:szCs w:val="21"/>
        </w:rPr>
        <w:br/>
      </w:r>
      <w:r>
        <w:br/>
      </w:r>
      <w:r w:rsidRPr="0040223F">
        <w:rPr>
          <w:rFonts w:ascii="Arial" w:hAnsi="Arial" w:cs="Arial"/>
          <w:sz w:val="22"/>
          <w:szCs w:val="22"/>
        </w:rPr>
        <w:t xml:space="preserve">Brandon, M., Belderson, P., Sorensen, P., Dickens, J., Sidebotham, P., Cleaver, H., Garstang, J., Harris, J. and Wate, R. (2020) </w:t>
      </w:r>
      <w:r w:rsidRPr="0040223F">
        <w:rPr>
          <w:rStyle w:val="Emphasis"/>
          <w:rFonts w:ascii="Arial" w:hAnsi="Arial" w:cs="Arial"/>
          <w:sz w:val="22"/>
          <w:szCs w:val="22"/>
        </w:rPr>
        <w:t>Complexity and challenge: A triennial analysis of SCRs 2014–2017</w:t>
      </w:r>
      <w:r w:rsidRPr="0040223F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  <w:r w:rsidRPr="0054383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Cramphorn, K. and Maynard, E. (2023) ‘The professional in ‘professional curiosity’; exploring the experiences of school-based pastoral staff and their use of curiosity with and about parents. An interpretative phenomenological analysis’, </w:t>
      </w:r>
      <w:r w:rsidRPr="00543830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Pastoral Care in Education</w:t>
      </w:r>
      <w:r w:rsidRPr="00543830">
        <w:rPr>
          <w:rFonts w:ascii="Arial" w:hAnsi="Arial" w:cs="Arial"/>
          <w:color w:val="222222"/>
          <w:sz w:val="22"/>
          <w:szCs w:val="22"/>
          <w:shd w:val="clear" w:color="auto" w:fill="FFFFFF"/>
        </w:rPr>
        <w:t>, 41(1), pp.84-104.</w:t>
      </w: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  <w:r w:rsidRPr="00513B2D">
        <w:rPr>
          <w:rFonts w:ascii="Arial" w:hAnsi="Arial" w:cs="Arial"/>
          <w:sz w:val="22"/>
          <w:szCs w:val="22"/>
        </w:rPr>
        <w:t xml:space="preserve">Connolly, S.E., Constable, H.L. and Mullally, S.L. (2023) ‘School distress and the school attendance crisis: a story dominated by neurodivergence and unmet need’, </w:t>
      </w:r>
      <w:r w:rsidRPr="00513B2D">
        <w:rPr>
          <w:rStyle w:val="Emphasis"/>
          <w:rFonts w:ascii="Arial" w:hAnsi="Arial" w:cs="Arial"/>
          <w:sz w:val="22"/>
          <w:szCs w:val="22"/>
        </w:rPr>
        <w:t>Frontiers in Psychiatry</w:t>
      </w:r>
      <w:r w:rsidRPr="00513B2D">
        <w:rPr>
          <w:rFonts w:ascii="Arial" w:hAnsi="Arial" w:cs="Arial"/>
          <w:sz w:val="22"/>
          <w:szCs w:val="22"/>
        </w:rPr>
        <w:t>, 14, article 1237052.</w:t>
      </w: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  <w:r w:rsidRPr="002E1CE2">
        <w:rPr>
          <w:rFonts w:ascii="Arial" w:hAnsi="Arial" w:cs="Arial"/>
          <w:sz w:val="22"/>
          <w:szCs w:val="22"/>
        </w:rPr>
        <w:t xml:space="preserve">Department for Education (2026) </w:t>
      </w:r>
      <w:r w:rsidRPr="002E1CE2">
        <w:rPr>
          <w:rStyle w:val="Emphasis"/>
          <w:rFonts w:ascii="Arial" w:hAnsi="Arial" w:cs="Arial"/>
          <w:sz w:val="22"/>
          <w:szCs w:val="22"/>
        </w:rPr>
        <w:t>Working Together to Safeguard Children 2026: A Guide to Multi-Agency Working to Help, Protect and Promote the Welfare of Children</w:t>
      </w:r>
      <w:r w:rsidRPr="002E1CE2">
        <w:rPr>
          <w:rFonts w:ascii="Arial" w:hAnsi="Arial" w:cs="Arial"/>
          <w:sz w:val="22"/>
          <w:szCs w:val="22"/>
        </w:rPr>
        <w:t>. London: Department for Education. Available at: https://assets.publishing.service.gov.uk/media/69fb1c28d0e316a40f269a5b/Working_together_to_safeguard_children_2026_a_guide_to_multi_agency_working.pdf (Accessed: 12 October 2026)</w:t>
      </w: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  <w:r w:rsidRPr="004176FC">
        <w:rPr>
          <w:rFonts w:ascii="Arial" w:hAnsi="Arial" w:cs="Arial"/>
          <w:sz w:val="22"/>
          <w:szCs w:val="22"/>
        </w:rPr>
        <w:t xml:space="preserve">Dhatariya, K. (2026) ‘Diabetic ketoacidosis and hyperosmolar crisis in adults’, </w:t>
      </w:r>
      <w:r w:rsidRPr="004176FC">
        <w:rPr>
          <w:rStyle w:val="Emphasis"/>
          <w:rFonts w:ascii="Arial" w:hAnsi="Arial" w:cs="Arial"/>
          <w:sz w:val="22"/>
          <w:szCs w:val="22"/>
        </w:rPr>
        <w:t>Medicine</w:t>
      </w:r>
      <w:r w:rsidRPr="004176FC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  <w:r w:rsidRPr="003F113D">
        <w:rPr>
          <w:rFonts w:ascii="Arial" w:hAnsi="Arial" w:cs="Arial"/>
          <w:sz w:val="22"/>
          <w:szCs w:val="22"/>
        </w:rPr>
        <w:t xml:space="preserve">Georgousopoulou, V. and Manomenidis, G. (2026) ‘When the child is not heard: Children’s rights and epistemic injustice in paediatric nursing practice’, </w:t>
      </w:r>
      <w:r w:rsidRPr="003F113D">
        <w:rPr>
          <w:rStyle w:val="Emphasis"/>
          <w:rFonts w:ascii="Arial" w:hAnsi="Arial" w:cs="Arial"/>
          <w:sz w:val="22"/>
          <w:szCs w:val="22"/>
        </w:rPr>
        <w:t>Nursing Philosophy</w:t>
      </w:r>
      <w:r w:rsidRPr="003F113D">
        <w:rPr>
          <w:rFonts w:ascii="Arial" w:hAnsi="Arial" w:cs="Arial"/>
          <w:sz w:val="22"/>
          <w:szCs w:val="22"/>
        </w:rPr>
        <w:t>, 27(4), article e70106.</w:t>
      </w:r>
      <w:r>
        <w:rPr>
          <w:rFonts w:ascii="Arial" w:hAnsi="Arial" w:cs="Arial"/>
          <w:sz w:val="22"/>
          <w:szCs w:val="22"/>
        </w:rPr>
        <w:br/>
      </w:r>
      <w:r w:rsidRPr="00596719">
        <w:rPr>
          <w:rFonts w:ascii="Arial" w:hAnsi="Arial" w:cs="Arial"/>
          <w:sz w:val="22"/>
          <w:szCs w:val="22"/>
        </w:rPr>
        <w:br/>
        <w:t xml:space="preserve">Holtom, S. (2024) </w:t>
      </w:r>
      <w:r w:rsidRPr="00596719">
        <w:rPr>
          <w:rStyle w:val="Emphasis"/>
          <w:rFonts w:ascii="Arial" w:hAnsi="Arial" w:cs="Arial"/>
          <w:sz w:val="22"/>
          <w:szCs w:val="22"/>
        </w:rPr>
        <w:t>Local child safeguarding practice review: “Child HN”</w:t>
      </w:r>
      <w:r w:rsidRPr="00596719">
        <w:rPr>
          <w:rFonts w:ascii="Arial" w:hAnsi="Arial" w:cs="Arial"/>
          <w:sz w:val="22"/>
          <w:szCs w:val="22"/>
        </w:rPr>
        <w:t xml:space="preserve">. Herefordshire Safeguarding Children Partnership. Available at: </w:t>
      </w:r>
      <w:hyperlink r:id="rId4" w:history="1">
        <w:r w:rsidRPr="00596719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https://www.herefordshiresafeguardingboards.org.uk/hscp-publishes-local-child-safeguarding-practice-review-child-hn</w:t>
        </w:r>
      </w:hyperlink>
      <w:r w:rsidRPr="0059671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596719">
        <w:rPr>
          <w:rFonts w:ascii="Arial" w:hAnsi="Arial" w:cs="Arial"/>
          <w:sz w:val="22"/>
          <w:szCs w:val="22"/>
        </w:rPr>
        <w:t>(Accessed: 12 October 2026)</w:t>
      </w:r>
      <w:r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  <w:r w:rsidRPr="00ED6F6F">
        <w:rPr>
          <w:rFonts w:ascii="Arial" w:hAnsi="Arial" w:cs="Arial"/>
          <w:sz w:val="22"/>
          <w:szCs w:val="22"/>
        </w:rPr>
        <w:t xml:space="preserve">Lamontagne, F. (2023) ‘Establishing trust through clear communication and shared decision-making’, </w:t>
      </w:r>
      <w:r w:rsidRPr="00ED6F6F">
        <w:rPr>
          <w:rStyle w:val="Emphasis"/>
          <w:rFonts w:ascii="Arial" w:hAnsi="Arial" w:cs="Arial"/>
          <w:sz w:val="22"/>
          <w:szCs w:val="22"/>
        </w:rPr>
        <w:t>Canadian Medical Association Journal</w:t>
      </w:r>
      <w:r w:rsidRPr="00ED6F6F">
        <w:rPr>
          <w:rFonts w:ascii="Arial" w:hAnsi="Arial" w:cs="Arial"/>
          <w:sz w:val="22"/>
          <w:szCs w:val="22"/>
        </w:rPr>
        <w:t>, 195(49), pp. E1725–E1726.</w:t>
      </w: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  <w:r w:rsidRPr="000351A7">
        <w:rPr>
          <w:rFonts w:ascii="Arial" w:hAnsi="Arial" w:cs="Arial"/>
          <w:sz w:val="22"/>
          <w:szCs w:val="22"/>
        </w:rPr>
        <w:lastRenderedPageBreak/>
        <w:t xml:space="preserve">Liu, S., Zhu, M., Yi, C. and Zeng, D. (2025) ‘Early rehabilitation interventions for global developmental delay in children: a narrative review’, </w:t>
      </w:r>
      <w:r w:rsidRPr="000351A7">
        <w:rPr>
          <w:rStyle w:val="Emphasis"/>
          <w:rFonts w:ascii="Arial" w:hAnsi="Arial" w:cs="Arial"/>
          <w:sz w:val="22"/>
          <w:szCs w:val="22"/>
        </w:rPr>
        <w:t xml:space="preserve">Frontiers in </w:t>
      </w:r>
      <w:proofErr w:type="spellStart"/>
      <w:r w:rsidRPr="000351A7">
        <w:rPr>
          <w:rStyle w:val="Emphasis"/>
          <w:rFonts w:ascii="Arial" w:hAnsi="Arial" w:cs="Arial"/>
          <w:sz w:val="22"/>
          <w:szCs w:val="22"/>
        </w:rPr>
        <w:t>Pediatrics</w:t>
      </w:r>
      <w:proofErr w:type="spellEnd"/>
      <w:r w:rsidRPr="000351A7">
        <w:rPr>
          <w:rFonts w:ascii="Arial" w:hAnsi="Arial" w:cs="Arial"/>
          <w:sz w:val="22"/>
          <w:szCs w:val="22"/>
        </w:rPr>
        <w:t>, 13, article 1576324.</w:t>
      </w:r>
      <w:r>
        <w:rPr>
          <w:rFonts w:ascii="Arial" w:hAnsi="Arial" w:cs="Arial"/>
          <w:sz w:val="22"/>
          <w:szCs w:val="22"/>
        </w:rPr>
        <w:br/>
      </w:r>
    </w:p>
    <w:p w14:paraId="239D0663" w14:textId="77777777" w:rsidR="002E1C9F" w:rsidRDefault="002E1C9F" w:rsidP="002E1C9F">
      <w:pPr>
        <w:pStyle w:val="muitypography-root"/>
        <w:shd w:val="clear" w:color="auto" w:fill="FFFFFF"/>
        <w:spacing w:before="0" w:beforeAutospacing="0" w:after="0" w:afterAutospacing="0" w:line="360" w:lineRule="atLeast"/>
        <w:rPr>
          <w:rFonts w:ascii="Open Sans" w:hAnsi="Open Sans" w:cs="Open Sans"/>
          <w:color w:val="161F19"/>
        </w:rPr>
      </w:pPr>
      <w:r w:rsidRPr="00646030">
        <w:rPr>
          <w:rFonts w:ascii="Arial" w:hAnsi="Arial" w:cs="Arial"/>
          <w:sz w:val="22"/>
          <w:szCs w:val="22"/>
        </w:rPr>
        <w:t xml:space="preserve">MacLochlainn, J., McFadden, P., McGrory, S., McColgan, M., Naylor, R., McGinnis, E., McSherry, D., Martin, G. and Mallett, J. (2026) ‘The effects of child protection social worker turnover on children and families: A scoping review addressing a critical gap in social work turnover research’, </w:t>
      </w:r>
      <w:r w:rsidRPr="00646030">
        <w:rPr>
          <w:rStyle w:val="Emphasis"/>
          <w:rFonts w:ascii="Arial" w:hAnsi="Arial" w:cs="Arial"/>
          <w:sz w:val="22"/>
          <w:szCs w:val="22"/>
        </w:rPr>
        <w:t>The British Journal of Social Work</w:t>
      </w:r>
      <w:r w:rsidRPr="00646030">
        <w:rPr>
          <w:rFonts w:ascii="Arial" w:hAnsi="Arial" w:cs="Arial"/>
          <w:sz w:val="22"/>
          <w:szCs w:val="22"/>
        </w:rPr>
        <w:t>, 56(3), pp. 1240–1262.</w:t>
      </w: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  <w:r w:rsidRPr="00A92428">
        <w:rPr>
          <w:rFonts w:ascii="Arial" w:hAnsi="Arial" w:cs="Arial"/>
          <w:sz w:val="22"/>
          <w:szCs w:val="22"/>
        </w:rPr>
        <w:t xml:space="preserve">National Institute for Health and Care Excellence (NICE) (2023) </w:t>
      </w:r>
      <w:r w:rsidRPr="00A92428">
        <w:rPr>
          <w:rFonts w:ascii="Arial" w:hAnsi="Arial" w:cs="Arial"/>
          <w:i/>
          <w:iCs/>
          <w:sz w:val="22"/>
          <w:szCs w:val="22"/>
        </w:rPr>
        <w:t>Diabetes (type 1 and type 2) in children and young people: diagnosis and management</w:t>
      </w:r>
      <w:r w:rsidRPr="00A92428">
        <w:rPr>
          <w:rFonts w:ascii="Arial" w:hAnsi="Arial" w:cs="Arial"/>
          <w:sz w:val="22"/>
          <w:szCs w:val="22"/>
        </w:rPr>
        <w:t xml:space="preserve"> (NG18). Available at: </w:t>
      </w:r>
      <w:hyperlink r:id="rId5" w:history="1">
        <w:r w:rsidRPr="00A92428">
          <w:rPr>
            <w:rFonts w:ascii="Arial" w:hAnsi="Arial" w:cs="Arial"/>
            <w:color w:val="000000" w:themeColor="text1"/>
            <w:sz w:val="22"/>
            <w:szCs w:val="22"/>
          </w:rPr>
          <w:t>https://www.nice.org.uk/guidance/ng18</w:t>
        </w:r>
      </w:hyperlink>
      <w:r w:rsidRPr="00A9242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A92428">
        <w:rPr>
          <w:rFonts w:ascii="Arial" w:hAnsi="Arial" w:cs="Arial"/>
          <w:sz w:val="22"/>
          <w:szCs w:val="22"/>
        </w:rPr>
        <w:t>(Accessed: 12 October 2026).</w:t>
      </w:r>
      <w:r>
        <w:rPr>
          <w:rFonts w:ascii="Arial" w:hAnsi="Arial" w:cs="Arial"/>
          <w:sz w:val="22"/>
          <w:szCs w:val="22"/>
        </w:rPr>
        <w:br/>
      </w:r>
      <w:r w:rsidRPr="00B00083">
        <w:rPr>
          <w:rFonts w:ascii="Arial" w:hAnsi="Arial" w:cs="Arial"/>
          <w:sz w:val="22"/>
          <w:szCs w:val="22"/>
        </w:rPr>
        <w:t xml:space="preserve">Ofsted (2022) </w:t>
      </w:r>
      <w:r w:rsidRPr="00B00083">
        <w:rPr>
          <w:rFonts w:ascii="Arial" w:hAnsi="Arial" w:cs="Arial"/>
          <w:i/>
          <w:iCs/>
          <w:sz w:val="22"/>
          <w:szCs w:val="22"/>
        </w:rPr>
        <w:t>Inspection of Herefordshire local authority children’s services</w:t>
      </w:r>
      <w:r w:rsidRPr="00B00083">
        <w:rPr>
          <w:rFonts w:ascii="Arial" w:hAnsi="Arial" w:cs="Arial"/>
          <w:sz w:val="22"/>
          <w:szCs w:val="22"/>
        </w:rPr>
        <w:t xml:space="preserve">. Available at: </w:t>
      </w:r>
      <w:hyperlink r:id="rId6" w:history="1">
        <w:r w:rsidRPr="005C111A">
          <w:rPr>
            <w:rFonts w:ascii="Arial" w:hAnsi="Arial" w:cs="Arial"/>
            <w:color w:val="000000" w:themeColor="text1"/>
            <w:sz w:val="22"/>
            <w:szCs w:val="22"/>
          </w:rPr>
          <w:t>https://reports.ofsted.gov.uk/provider/44/884</w:t>
        </w:r>
      </w:hyperlink>
      <w:r w:rsidRPr="0054383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B00083">
        <w:rPr>
          <w:rFonts w:ascii="Arial" w:hAnsi="Arial" w:cs="Arial"/>
          <w:sz w:val="22"/>
          <w:szCs w:val="22"/>
        </w:rPr>
        <w:t>(Accessed: 11 October 2026).</w:t>
      </w: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  <w:r w:rsidRPr="00B54133">
        <w:rPr>
          <w:rFonts w:ascii="Arial" w:hAnsi="Arial" w:cs="Arial"/>
          <w:color w:val="161F19"/>
          <w:sz w:val="22"/>
          <w:szCs w:val="22"/>
        </w:rPr>
        <w:t xml:space="preserve">North East Safeguarding Children Partnerships (2024) </w:t>
      </w:r>
      <w:r w:rsidRPr="00B54133">
        <w:rPr>
          <w:rStyle w:val="Emphasis"/>
          <w:rFonts w:ascii="Arial" w:hAnsi="Arial" w:cs="Arial"/>
          <w:color w:val="161F19"/>
          <w:sz w:val="22"/>
          <w:szCs w:val="22"/>
        </w:rPr>
        <w:t>Regional Protocol for Protecting Children who Move Across Local Authority Borders</w:t>
      </w:r>
      <w:r w:rsidRPr="00B54133">
        <w:rPr>
          <w:rFonts w:ascii="Arial" w:hAnsi="Arial" w:cs="Arial"/>
          <w:color w:val="161F19"/>
          <w:sz w:val="22"/>
          <w:szCs w:val="22"/>
        </w:rPr>
        <w:t xml:space="preserve">. Available at: </w:t>
      </w:r>
      <w:hyperlink r:id="rId7" w:tgtFrame="_blank" w:history="1">
        <w:r w:rsidRPr="00B54133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https://trixcms.trixonline.co.uk/api/assets/nesubregion/ececacb8-9ea9-44ca-bcd2-759d09f889dc/regional-protocol-for-protecting-children-who-move-across-local-authority-borders.pdf</w:t>
        </w:r>
      </w:hyperlink>
      <w:r w:rsidRPr="00B5413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B54133">
        <w:rPr>
          <w:rFonts w:ascii="Arial" w:hAnsi="Arial" w:cs="Arial"/>
          <w:color w:val="161F19"/>
          <w:sz w:val="22"/>
          <w:szCs w:val="22"/>
        </w:rPr>
        <w:t>(Accessed: 12 October 2026).</w:t>
      </w:r>
    </w:p>
    <w:p w14:paraId="45178D80" w14:textId="1953DD16" w:rsidR="002E1C9F" w:rsidRPr="002E1C9F" w:rsidRDefault="002E1C9F" w:rsidP="002E1C9F">
      <w:pPr>
        <w:spacing w:line="300" w:lineRule="atLeast"/>
        <w:rPr>
          <w:rFonts w:ascii="Segoe UI" w:hAnsi="Segoe UI" w:cs="Segoe UI"/>
          <w:sz w:val="21"/>
          <w:szCs w:val="21"/>
        </w:rPr>
      </w:pPr>
      <w:r>
        <w:rPr>
          <w:rFonts w:ascii="Segoe UI" w:hAnsi="Segoe UI" w:cs="Segoe UI"/>
          <w:sz w:val="21"/>
          <w:szCs w:val="21"/>
        </w:rPr>
        <w:br/>
      </w:r>
      <w:r w:rsidRPr="007176A0">
        <w:rPr>
          <w:rFonts w:ascii="Arial" w:hAnsi="Arial" w:cs="Arial"/>
          <w:sz w:val="22"/>
          <w:szCs w:val="22"/>
        </w:rPr>
        <w:t xml:space="preserve">Ominyi, J. and Alabi, A. (2025) ‘Enhancing evidence-based practice implementation in acute care: a qualitative case study of nurses’ roles, interprofessional collaboration, and professional development’, </w:t>
      </w:r>
      <w:r w:rsidRPr="007176A0">
        <w:rPr>
          <w:rStyle w:val="Emphasis"/>
          <w:rFonts w:ascii="Arial" w:hAnsi="Arial" w:cs="Arial"/>
          <w:sz w:val="22"/>
          <w:szCs w:val="22"/>
        </w:rPr>
        <w:t>Canadian Journal of Nursing Research</w:t>
      </w:r>
      <w:r w:rsidRPr="007176A0">
        <w:rPr>
          <w:rFonts w:ascii="Arial" w:hAnsi="Arial" w:cs="Arial"/>
          <w:sz w:val="22"/>
          <w:szCs w:val="22"/>
        </w:rPr>
        <w:t>, 57(4), pp. 517–529.</w:t>
      </w:r>
      <w:r>
        <w:rPr>
          <w:rFonts w:ascii="Segoe UI" w:hAnsi="Segoe UI" w:cs="Segoe UI"/>
          <w:sz w:val="21"/>
          <w:szCs w:val="21"/>
        </w:rPr>
        <w:br/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br/>
      </w:r>
      <w:r w:rsidRPr="001129D4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Taylor, J., Dickens, J., Garstang, J., Cook, L., Hallett, N. and Molloy, E.(2024) ‘Tackling the ‘normalisation of neglect’: Messages from child protection reviews in England’, </w:t>
      </w:r>
      <w:r w:rsidRPr="001129D4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Child abuse review</w:t>
      </w:r>
      <w:r w:rsidRPr="001129D4">
        <w:rPr>
          <w:rFonts w:ascii="Arial" w:hAnsi="Arial" w:cs="Arial"/>
          <w:color w:val="222222"/>
          <w:sz w:val="22"/>
          <w:szCs w:val="22"/>
          <w:shd w:val="clear" w:color="auto" w:fill="FFFFFF"/>
        </w:rPr>
        <w:t>, 33(1), e2841.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br/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br/>
      </w:r>
      <w:r w:rsidRPr="008C6E11">
        <w:rPr>
          <w:rFonts w:ascii="Arial" w:hAnsi="Arial" w:cs="Arial"/>
          <w:sz w:val="22"/>
          <w:szCs w:val="22"/>
        </w:rPr>
        <w:t xml:space="preserve">Törrönen, M. (2025) ‘Empowering elements of holistic well-being: a framework for social work research’, in </w:t>
      </w:r>
      <w:r w:rsidRPr="008C6E11">
        <w:rPr>
          <w:rStyle w:val="Emphasis"/>
          <w:rFonts w:ascii="Arial" w:hAnsi="Arial" w:cs="Arial"/>
          <w:sz w:val="22"/>
          <w:szCs w:val="22"/>
        </w:rPr>
        <w:t>Handbook of Research Methods in Social Work</w:t>
      </w:r>
      <w:r w:rsidRPr="008C6E11">
        <w:rPr>
          <w:rFonts w:ascii="Arial" w:hAnsi="Arial" w:cs="Arial"/>
          <w:sz w:val="22"/>
          <w:szCs w:val="22"/>
        </w:rPr>
        <w:t>. Cheltenham: Edward Elgar Publishing, pp. 52–64.</w:t>
      </w:r>
      <w:r>
        <w:br/>
      </w:r>
      <w:r>
        <w:br/>
      </w:r>
      <w:r w:rsidRPr="00075B9B">
        <w:rPr>
          <w:rFonts w:ascii="Arial" w:hAnsi="Arial" w:cs="Arial"/>
          <w:sz w:val="22"/>
          <w:szCs w:val="22"/>
        </w:rPr>
        <w:t xml:space="preserve">Tschider, C., Compagnucci, M.C. and Minssen, T. (2024) ‘The new EU–US data protection framework’s implications for healthcare’, </w:t>
      </w:r>
      <w:r w:rsidRPr="00075B9B">
        <w:rPr>
          <w:rStyle w:val="Emphasis"/>
          <w:rFonts w:ascii="Arial" w:hAnsi="Arial" w:cs="Arial"/>
          <w:sz w:val="22"/>
          <w:szCs w:val="22"/>
        </w:rPr>
        <w:t>Journal of Law and the Biosciences</w:t>
      </w:r>
      <w:r w:rsidRPr="00075B9B">
        <w:rPr>
          <w:rFonts w:ascii="Arial" w:hAnsi="Arial" w:cs="Arial"/>
          <w:sz w:val="22"/>
          <w:szCs w:val="22"/>
        </w:rPr>
        <w:t>, 11(2), article lsae022.</w:t>
      </w: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  <w:r w:rsidRPr="00F469F5">
        <w:rPr>
          <w:rFonts w:ascii="Arial" w:hAnsi="Arial" w:cs="Arial"/>
          <w:sz w:val="22"/>
          <w:szCs w:val="22"/>
        </w:rPr>
        <w:t xml:space="preserve">Vehkamäki, A., Vesinurm, M., Helminen, R.R., Halminen, O. and Lillrank, P. (2025) ‘Causes of care discontinuity in chronic outpatient care: A mixed method case study’, </w:t>
      </w:r>
      <w:r w:rsidRPr="00F469F5">
        <w:rPr>
          <w:rStyle w:val="Emphasis"/>
          <w:rFonts w:ascii="Arial" w:hAnsi="Arial" w:cs="Arial"/>
          <w:sz w:val="22"/>
          <w:szCs w:val="22"/>
        </w:rPr>
        <w:t>Health Services Management Research</w:t>
      </w:r>
      <w:r w:rsidRPr="00F469F5">
        <w:rPr>
          <w:rFonts w:ascii="Arial" w:hAnsi="Arial" w:cs="Arial"/>
          <w:sz w:val="22"/>
          <w:szCs w:val="22"/>
        </w:rPr>
        <w:t>, 38(3), pp. 154–163.</w:t>
      </w: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sectPr w:rsidR="002E1C9F" w:rsidRPr="002E1C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1C9F"/>
    <w:rsid w:val="002E1C9F"/>
    <w:rsid w:val="00810E0F"/>
    <w:rsid w:val="00BC72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4CCDA7"/>
  <w15:chartTrackingRefBased/>
  <w15:docId w15:val="{7BA4EFB9-F9A1-C348-8AF7-5EC077071C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1C9F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E1C9F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1C9F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1C9F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1C9F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1C9F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1C9F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1C9F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1C9F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1C9F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1C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1C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1C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1C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1C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1C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1C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1C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1C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1C9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2E1C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1C9F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2E1C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1C9F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2E1C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1C9F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2E1C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1C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1C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1C9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E1C9F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2E1C9F"/>
    <w:rPr>
      <w:i/>
      <w:iCs/>
    </w:rPr>
  </w:style>
  <w:style w:type="paragraph" w:customStyle="1" w:styleId="muitypography-root">
    <w:name w:val="muitypography-root"/>
    <w:basedOn w:val="Normal"/>
    <w:rsid w:val="002E1C9F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trixcms.trixonline.co.uk/api/assets/nesubregion/ececacb8-9ea9-44ca-bcd2-759d09f889dc/regional-protocol-for-protecting-children-who-move-across-local-authority-borders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reports.ofsted.gov.uk/provider/44/884" TargetMode="External"/><Relationship Id="rId5" Type="http://schemas.openxmlformats.org/officeDocument/2006/relationships/hyperlink" Target="https://www.nice.org.uk/guidance/ng18" TargetMode="External"/><Relationship Id="rId4" Type="http://schemas.openxmlformats.org/officeDocument/2006/relationships/hyperlink" Target="https://www.herefordshiresafeguardingboards.org.uk/hscp-publishes-local-child-safeguarding-practice-review-child-hn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737</Words>
  <Characters>4203</Characters>
  <Application>Microsoft Office Word</Application>
  <DocSecurity>0</DocSecurity>
  <Lines>35</Lines>
  <Paragraphs>9</Paragraphs>
  <ScaleCrop>false</ScaleCrop>
  <Company/>
  <LinksUpToDate>false</LinksUpToDate>
  <CharactersWithSpaces>4931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Ansar Ali (2433274)</dc:creator>
  <cp:keywords/>
  <dc:description/>
  <cp:lastModifiedBy>Ansar Ali (2433274)</cp:lastModifiedBy>
  <cp:revision>2</cp:revision>
  <dcterms:created xsi:type="dcterms:W3CDTF">2026-10-14T12:34:00Z</dcterms:created>
  <dcterms:modified xsi:type="dcterms:W3CDTF">2026-10-14T16:06:00Z</dcterms:modified>
</cp:coreProperties>
</file>