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D8C999" w14:textId="25FE68AE" w:rsidR="00C934E1" w:rsidRDefault="0015556C" w:rsidP="002539C4">
      <w:pPr>
        <w:ind w:hanging="630"/>
      </w:pPr>
      <w:r w:rsidRPr="007920DD">
        <w:rPr>
          <w:noProof/>
        </w:rPr>
        <w:drawing>
          <wp:anchor distT="0" distB="0" distL="114300" distR="114300" simplePos="0" relativeHeight="251659264" behindDoc="0" locked="0" layoutInCell="1" allowOverlap="1" wp14:anchorId="2C02AA7D" wp14:editId="23633E2E">
            <wp:simplePos x="0" y="0"/>
            <wp:positionH relativeFrom="column">
              <wp:posOffset>-176169</wp:posOffset>
            </wp:positionH>
            <wp:positionV relativeFrom="paragraph">
              <wp:posOffset>0</wp:posOffset>
            </wp:positionV>
            <wp:extent cx="1809750" cy="723900"/>
            <wp:effectExtent l="0" t="0" r="635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B240759" w14:textId="77777777" w:rsidR="0015556C" w:rsidRDefault="0015556C" w:rsidP="002539C4">
      <w:pPr>
        <w:ind w:hanging="630"/>
      </w:pPr>
    </w:p>
    <w:p w14:paraId="0E8892EF" w14:textId="77777777" w:rsidR="0015556C" w:rsidRDefault="0015556C" w:rsidP="002539C4">
      <w:pPr>
        <w:ind w:hanging="630"/>
      </w:pPr>
    </w:p>
    <w:p w14:paraId="09E37BDB" w14:textId="61DA3758" w:rsidR="00C934E1" w:rsidRPr="00AF5365" w:rsidRDefault="0015556C" w:rsidP="00AF5365">
      <w:pPr>
        <w:ind w:hanging="630"/>
      </w:pPr>
      <w:r>
        <w:rPr>
          <w:noProof/>
        </w:rPr>
        <w:drawing>
          <wp:inline distT="0" distB="0" distL="0" distR="0" wp14:anchorId="4DC35873" wp14:editId="5EC2DFFD">
            <wp:extent cx="6727971" cy="7097086"/>
            <wp:effectExtent l="0" t="0" r="0" b="0"/>
            <wp:docPr id="5"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a:picLocks/>
                    </pic:cNvPicPr>
                  </pic:nvPicPr>
                  <pic:blipFill rotWithShape="1">
                    <a:blip r:embed="rId10">
                      <a:extLst>
                        <a:ext uri="{28A0092B-C50C-407E-A947-70E740481C1C}">
                          <a14:useLocalDpi xmlns:a14="http://schemas.microsoft.com/office/drawing/2010/main" val="0"/>
                        </a:ext>
                      </a:extLst>
                    </a:blip>
                    <a:srcRect r="28285"/>
                    <a:stretch>
                      <a:fillRect/>
                    </a:stretch>
                  </pic:blipFill>
                  <pic:spPr bwMode="auto">
                    <a:xfrm>
                      <a:off x="0" y="0"/>
                      <a:ext cx="6772691" cy="7144259"/>
                    </a:xfrm>
                    <a:prstGeom prst="rect">
                      <a:avLst/>
                    </a:prstGeom>
                    <a:noFill/>
                    <a:ln>
                      <a:noFill/>
                    </a:ln>
                    <a:extLst>
                      <a:ext uri="{53640926-AAD7-44D8-BBD7-CCE9431645EC}">
                        <a14:shadowObscured xmlns:a14="http://schemas.microsoft.com/office/drawing/2010/main"/>
                      </a:ext>
                    </a:extLst>
                  </pic:spPr>
                </pic:pic>
              </a:graphicData>
            </a:graphic>
          </wp:inline>
        </w:drawing>
      </w:r>
    </w:p>
    <w:sdt>
      <w:sdtPr>
        <w:rPr>
          <w:rFonts w:asciiTheme="minorHAnsi" w:eastAsiaTheme="minorEastAsia" w:hAnsiTheme="minorHAnsi" w:cstheme="minorBidi"/>
          <w:b w:val="0"/>
          <w:bCs w:val="0"/>
          <w:color w:val="auto"/>
          <w:kern w:val="2"/>
          <w:sz w:val="24"/>
          <w:szCs w:val="24"/>
          <w:lang w:eastAsia="zh-TW"/>
          <w14:ligatures w14:val="standardContextual"/>
        </w:rPr>
        <w:id w:val="-1481371790"/>
        <w:docPartObj>
          <w:docPartGallery w:val="Table of Contents"/>
          <w:docPartUnique/>
        </w:docPartObj>
      </w:sdtPr>
      <w:sdtEndPr>
        <w:rPr>
          <w:noProof/>
        </w:rPr>
      </w:sdtEndPr>
      <w:sdtContent>
        <w:p w14:paraId="6B5506BF" w14:textId="05CAE5B3" w:rsidR="00C934E1" w:rsidRDefault="00C934E1">
          <w:pPr>
            <w:pStyle w:val="TOCHeading"/>
          </w:pPr>
          <w:r>
            <w:t>Table of Contents</w:t>
          </w:r>
        </w:p>
        <w:p w14:paraId="1A868988" w14:textId="60D52770" w:rsidR="00D31375" w:rsidRDefault="00C934E1">
          <w:pPr>
            <w:pStyle w:val="TOC1"/>
            <w:tabs>
              <w:tab w:val="left" w:pos="423"/>
              <w:tab w:val="right" w:leader="dot" w:pos="9350"/>
            </w:tabs>
            <w:rPr>
              <w:b w:val="0"/>
              <w:bCs w:val="0"/>
              <w:caps w:val="0"/>
              <w:noProof/>
              <w:sz w:val="24"/>
              <w:szCs w:val="24"/>
              <w:u w:val="none"/>
            </w:rPr>
          </w:pPr>
          <w:r>
            <w:rPr>
              <w:b w:val="0"/>
              <w:bCs w:val="0"/>
            </w:rPr>
            <w:fldChar w:fldCharType="begin"/>
          </w:r>
          <w:r>
            <w:instrText xml:space="preserve"> TOC \o "1-3" \h \z \u </w:instrText>
          </w:r>
          <w:r>
            <w:rPr>
              <w:b w:val="0"/>
              <w:bCs w:val="0"/>
            </w:rPr>
            <w:fldChar w:fldCharType="separate"/>
          </w:r>
          <w:hyperlink w:anchor="_Toc208061989" w:history="1">
            <w:r w:rsidR="00D31375" w:rsidRPr="00697DAB">
              <w:rPr>
                <w:rStyle w:val="Hyperlink"/>
                <w:noProof/>
              </w:rPr>
              <w:t>1.</w:t>
            </w:r>
            <w:r w:rsidR="00D31375">
              <w:rPr>
                <w:b w:val="0"/>
                <w:bCs w:val="0"/>
                <w:caps w:val="0"/>
                <w:noProof/>
                <w:sz w:val="24"/>
                <w:szCs w:val="24"/>
                <w:u w:val="none"/>
              </w:rPr>
              <w:tab/>
            </w:r>
            <w:r w:rsidR="00D31375" w:rsidRPr="00697DAB">
              <w:rPr>
                <w:rStyle w:val="Hyperlink"/>
                <w:noProof/>
              </w:rPr>
              <w:t>Abstract – From Adoption to Monetisation in Digital Trade Finance</w:t>
            </w:r>
            <w:r w:rsidR="00D31375">
              <w:rPr>
                <w:noProof/>
                <w:webHidden/>
              </w:rPr>
              <w:tab/>
            </w:r>
            <w:r w:rsidR="00D31375">
              <w:rPr>
                <w:noProof/>
                <w:webHidden/>
              </w:rPr>
              <w:fldChar w:fldCharType="begin"/>
            </w:r>
            <w:r w:rsidR="00D31375">
              <w:rPr>
                <w:noProof/>
                <w:webHidden/>
              </w:rPr>
              <w:instrText xml:space="preserve"> PAGEREF _Toc208061989 \h </w:instrText>
            </w:r>
            <w:r w:rsidR="00D31375">
              <w:rPr>
                <w:noProof/>
                <w:webHidden/>
              </w:rPr>
            </w:r>
            <w:r w:rsidR="00D31375">
              <w:rPr>
                <w:noProof/>
                <w:webHidden/>
              </w:rPr>
              <w:fldChar w:fldCharType="separate"/>
            </w:r>
            <w:r w:rsidR="00D31375">
              <w:rPr>
                <w:noProof/>
                <w:webHidden/>
              </w:rPr>
              <w:t>5</w:t>
            </w:r>
            <w:r w:rsidR="00D31375">
              <w:rPr>
                <w:noProof/>
                <w:webHidden/>
              </w:rPr>
              <w:fldChar w:fldCharType="end"/>
            </w:r>
          </w:hyperlink>
        </w:p>
        <w:p w14:paraId="3656F11C" w14:textId="5C000438" w:rsidR="00D31375" w:rsidRDefault="00D31375">
          <w:pPr>
            <w:pStyle w:val="TOC1"/>
            <w:tabs>
              <w:tab w:val="left" w:pos="423"/>
              <w:tab w:val="right" w:leader="dot" w:pos="9350"/>
            </w:tabs>
            <w:rPr>
              <w:b w:val="0"/>
              <w:bCs w:val="0"/>
              <w:caps w:val="0"/>
              <w:noProof/>
              <w:sz w:val="24"/>
              <w:szCs w:val="24"/>
              <w:u w:val="none"/>
            </w:rPr>
          </w:pPr>
          <w:hyperlink w:anchor="_Toc208061990" w:history="1">
            <w:r w:rsidRPr="00697DAB">
              <w:rPr>
                <w:rStyle w:val="Hyperlink"/>
                <w:noProof/>
              </w:rPr>
              <w:t>2.</w:t>
            </w:r>
            <w:r>
              <w:rPr>
                <w:b w:val="0"/>
                <w:bCs w:val="0"/>
                <w:caps w:val="0"/>
                <w:noProof/>
                <w:sz w:val="24"/>
                <w:szCs w:val="24"/>
                <w:u w:val="none"/>
              </w:rPr>
              <w:tab/>
            </w:r>
            <w:r w:rsidRPr="00697DAB">
              <w:rPr>
                <w:rStyle w:val="Hyperlink"/>
                <w:noProof/>
              </w:rPr>
              <w:t>Design a Project with Clarity and Precision</w:t>
            </w:r>
            <w:r>
              <w:rPr>
                <w:noProof/>
                <w:webHidden/>
              </w:rPr>
              <w:tab/>
            </w:r>
            <w:r>
              <w:rPr>
                <w:noProof/>
                <w:webHidden/>
              </w:rPr>
              <w:fldChar w:fldCharType="begin"/>
            </w:r>
            <w:r>
              <w:rPr>
                <w:noProof/>
                <w:webHidden/>
              </w:rPr>
              <w:instrText xml:space="preserve"> PAGEREF _Toc208061990 \h </w:instrText>
            </w:r>
            <w:r>
              <w:rPr>
                <w:noProof/>
                <w:webHidden/>
              </w:rPr>
            </w:r>
            <w:r>
              <w:rPr>
                <w:noProof/>
                <w:webHidden/>
              </w:rPr>
              <w:fldChar w:fldCharType="separate"/>
            </w:r>
            <w:r>
              <w:rPr>
                <w:noProof/>
                <w:webHidden/>
              </w:rPr>
              <w:t>6</w:t>
            </w:r>
            <w:r>
              <w:rPr>
                <w:noProof/>
                <w:webHidden/>
              </w:rPr>
              <w:fldChar w:fldCharType="end"/>
            </w:r>
          </w:hyperlink>
        </w:p>
        <w:p w14:paraId="406C9CAF" w14:textId="54EDBBA0" w:rsidR="00D31375" w:rsidRDefault="00D31375">
          <w:pPr>
            <w:pStyle w:val="TOC2"/>
            <w:tabs>
              <w:tab w:val="left" w:pos="578"/>
              <w:tab w:val="right" w:leader="dot" w:pos="9350"/>
            </w:tabs>
            <w:rPr>
              <w:b w:val="0"/>
              <w:bCs w:val="0"/>
              <w:smallCaps w:val="0"/>
              <w:noProof/>
              <w:sz w:val="24"/>
              <w:szCs w:val="24"/>
            </w:rPr>
          </w:pPr>
          <w:hyperlink w:anchor="_Toc208061991" w:history="1">
            <w:r w:rsidRPr="00697DAB">
              <w:rPr>
                <w:rStyle w:val="Hyperlink"/>
                <w:noProof/>
              </w:rPr>
              <w:t xml:space="preserve">2.1 </w:t>
            </w:r>
            <w:r>
              <w:rPr>
                <w:b w:val="0"/>
                <w:bCs w:val="0"/>
                <w:smallCaps w:val="0"/>
                <w:noProof/>
                <w:sz w:val="24"/>
                <w:szCs w:val="24"/>
              </w:rPr>
              <w:tab/>
            </w:r>
            <w:r w:rsidRPr="00697DAB">
              <w:rPr>
                <w:rStyle w:val="Hyperlink"/>
                <w:noProof/>
              </w:rPr>
              <w:t>The Adoption – Monetisation Gap in Digital Trade Finance</w:t>
            </w:r>
            <w:r>
              <w:rPr>
                <w:noProof/>
                <w:webHidden/>
              </w:rPr>
              <w:tab/>
            </w:r>
            <w:r>
              <w:rPr>
                <w:noProof/>
                <w:webHidden/>
              </w:rPr>
              <w:fldChar w:fldCharType="begin"/>
            </w:r>
            <w:r>
              <w:rPr>
                <w:noProof/>
                <w:webHidden/>
              </w:rPr>
              <w:instrText xml:space="preserve"> PAGEREF _Toc208061991 \h </w:instrText>
            </w:r>
            <w:r>
              <w:rPr>
                <w:noProof/>
                <w:webHidden/>
              </w:rPr>
            </w:r>
            <w:r>
              <w:rPr>
                <w:noProof/>
                <w:webHidden/>
              </w:rPr>
              <w:fldChar w:fldCharType="separate"/>
            </w:r>
            <w:r>
              <w:rPr>
                <w:noProof/>
                <w:webHidden/>
              </w:rPr>
              <w:t>6</w:t>
            </w:r>
            <w:r>
              <w:rPr>
                <w:noProof/>
                <w:webHidden/>
              </w:rPr>
              <w:fldChar w:fldCharType="end"/>
            </w:r>
          </w:hyperlink>
        </w:p>
        <w:p w14:paraId="21C3B36D" w14:textId="242B5FF5" w:rsidR="00D31375" w:rsidRDefault="00D31375">
          <w:pPr>
            <w:pStyle w:val="TOC2"/>
            <w:tabs>
              <w:tab w:val="left" w:pos="541"/>
              <w:tab w:val="right" w:leader="dot" w:pos="9350"/>
            </w:tabs>
            <w:rPr>
              <w:b w:val="0"/>
              <w:bCs w:val="0"/>
              <w:smallCaps w:val="0"/>
              <w:noProof/>
              <w:sz w:val="24"/>
              <w:szCs w:val="24"/>
            </w:rPr>
          </w:pPr>
          <w:hyperlink w:anchor="_Toc208061992" w:history="1">
            <w:r w:rsidRPr="00697DAB">
              <w:rPr>
                <w:rStyle w:val="Hyperlink"/>
                <w:noProof/>
              </w:rPr>
              <w:t>2.2</w:t>
            </w:r>
            <w:r>
              <w:rPr>
                <w:b w:val="0"/>
                <w:bCs w:val="0"/>
                <w:smallCaps w:val="0"/>
                <w:noProof/>
                <w:sz w:val="24"/>
                <w:szCs w:val="24"/>
              </w:rPr>
              <w:tab/>
            </w:r>
            <w:r w:rsidRPr="00697DAB">
              <w:rPr>
                <w:rStyle w:val="Hyperlink"/>
                <w:noProof/>
              </w:rPr>
              <w:t>Aim and Objective</w:t>
            </w:r>
            <w:r>
              <w:rPr>
                <w:noProof/>
                <w:webHidden/>
              </w:rPr>
              <w:tab/>
            </w:r>
            <w:r>
              <w:rPr>
                <w:noProof/>
                <w:webHidden/>
              </w:rPr>
              <w:fldChar w:fldCharType="begin"/>
            </w:r>
            <w:r>
              <w:rPr>
                <w:noProof/>
                <w:webHidden/>
              </w:rPr>
              <w:instrText xml:space="preserve"> PAGEREF _Toc208061992 \h </w:instrText>
            </w:r>
            <w:r>
              <w:rPr>
                <w:noProof/>
                <w:webHidden/>
              </w:rPr>
            </w:r>
            <w:r>
              <w:rPr>
                <w:noProof/>
                <w:webHidden/>
              </w:rPr>
              <w:fldChar w:fldCharType="separate"/>
            </w:r>
            <w:r>
              <w:rPr>
                <w:noProof/>
                <w:webHidden/>
              </w:rPr>
              <w:t>7</w:t>
            </w:r>
            <w:r>
              <w:rPr>
                <w:noProof/>
                <w:webHidden/>
              </w:rPr>
              <w:fldChar w:fldCharType="end"/>
            </w:r>
          </w:hyperlink>
        </w:p>
        <w:p w14:paraId="6BC72BDF" w14:textId="223DE879" w:rsidR="00D31375" w:rsidRDefault="00D31375">
          <w:pPr>
            <w:pStyle w:val="TOC2"/>
            <w:tabs>
              <w:tab w:val="left" w:pos="578"/>
              <w:tab w:val="right" w:leader="dot" w:pos="9350"/>
            </w:tabs>
            <w:rPr>
              <w:b w:val="0"/>
              <w:bCs w:val="0"/>
              <w:smallCaps w:val="0"/>
              <w:noProof/>
              <w:sz w:val="24"/>
              <w:szCs w:val="24"/>
            </w:rPr>
          </w:pPr>
          <w:hyperlink w:anchor="_Toc208061993" w:history="1">
            <w:r w:rsidRPr="00697DAB">
              <w:rPr>
                <w:rStyle w:val="Hyperlink"/>
                <w:noProof/>
              </w:rPr>
              <w:t xml:space="preserve">2.3 </w:t>
            </w:r>
            <w:r>
              <w:rPr>
                <w:b w:val="0"/>
                <w:bCs w:val="0"/>
                <w:smallCaps w:val="0"/>
                <w:noProof/>
                <w:sz w:val="24"/>
                <w:szCs w:val="24"/>
              </w:rPr>
              <w:tab/>
            </w:r>
            <w:r w:rsidRPr="00697DAB">
              <w:rPr>
                <w:rStyle w:val="Hyperlink"/>
                <w:noProof/>
              </w:rPr>
              <w:t>Research Questions</w:t>
            </w:r>
            <w:r>
              <w:rPr>
                <w:noProof/>
                <w:webHidden/>
              </w:rPr>
              <w:tab/>
            </w:r>
            <w:r>
              <w:rPr>
                <w:noProof/>
                <w:webHidden/>
              </w:rPr>
              <w:fldChar w:fldCharType="begin"/>
            </w:r>
            <w:r>
              <w:rPr>
                <w:noProof/>
                <w:webHidden/>
              </w:rPr>
              <w:instrText xml:space="preserve"> PAGEREF _Toc208061993 \h </w:instrText>
            </w:r>
            <w:r>
              <w:rPr>
                <w:noProof/>
                <w:webHidden/>
              </w:rPr>
            </w:r>
            <w:r>
              <w:rPr>
                <w:noProof/>
                <w:webHidden/>
              </w:rPr>
              <w:fldChar w:fldCharType="separate"/>
            </w:r>
            <w:r>
              <w:rPr>
                <w:noProof/>
                <w:webHidden/>
              </w:rPr>
              <w:t>7</w:t>
            </w:r>
            <w:r>
              <w:rPr>
                <w:noProof/>
                <w:webHidden/>
              </w:rPr>
              <w:fldChar w:fldCharType="end"/>
            </w:r>
          </w:hyperlink>
        </w:p>
        <w:p w14:paraId="52EAEA98" w14:textId="3A0563A6" w:rsidR="00D31375" w:rsidRDefault="00D31375">
          <w:pPr>
            <w:pStyle w:val="TOC2"/>
            <w:tabs>
              <w:tab w:val="left" w:pos="578"/>
              <w:tab w:val="right" w:leader="dot" w:pos="9350"/>
            </w:tabs>
            <w:rPr>
              <w:b w:val="0"/>
              <w:bCs w:val="0"/>
              <w:smallCaps w:val="0"/>
              <w:noProof/>
              <w:sz w:val="24"/>
              <w:szCs w:val="24"/>
            </w:rPr>
          </w:pPr>
          <w:hyperlink w:anchor="_Toc208061994" w:history="1">
            <w:r w:rsidRPr="00697DAB">
              <w:rPr>
                <w:rStyle w:val="Hyperlink"/>
                <w:noProof/>
              </w:rPr>
              <w:t xml:space="preserve">2.4 </w:t>
            </w:r>
            <w:r>
              <w:rPr>
                <w:b w:val="0"/>
                <w:bCs w:val="0"/>
                <w:smallCaps w:val="0"/>
                <w:noProof/>
                <w:sz w:val="24"/>
                <w:szCs w:val="24"/>
              </w:rPr>
              <w:tab/>
            </w:r>
            <w:r w:rsidRPr="00697DAB">
              <w:rPr>
                <w:rStyle w:val="Hyperlink"/>
                <w:noProof/>
              </w:rPr>
              <w:t>Theoretical Framework and Philosophical Position</w:t>
            </w:r>
            <w:r>
              <w:rPr>
                <w:noProof/>
                <w:webHidden/>
              </w:rPr>
              <w:tab/>
            </w:r>
            <w:r>
              <w:rPr>
                <w:noProof/>
                <w:webHidden/>
              </w:rPr>
              <w:fldChar w:fldCharType="begin"/>
            </w:r>
            <w:r>
              <w:rPr>
                <w:noProof/>
                <w:webHidden/>
              </w:rPr>
              <w:instrText xml:space="preserve"> PAGEREF _Toc208061994 \h </w:instrText>
            </w:r>
            <w:r>
              <w:rPr>
                <w:noProof/>
                <w:webHidden/>
              </w:rPr>
            </w:r>
            <w:r>
              <w:rPr>
                <w:noProof/>
                <w:webHidden/>
              </w:rPr>
              <w:fldChar w:fldCharType="separate"/>
            </w:r>
            <w:r>
              <w:rPr>
                <w:noProof/>
                <w:webHidden/>
              </w:rPr>
              <w:t>8</w:t>
            </w:r>
            <w:r>
              <w:rPr>
                <w:noProof/>
                <w:webHidden/>
              </w:rPr>
              <w:fldChar w:fldCharType="end"/>
            </w:r>
          </w:hyperlink>
        </w:p>
        <w:p w14:paraId="1936A84E" w14:textId="7652EE82" w:rsidR="00D31375" w:rsidRDefault="00D31375">
          <w:pPr>
            <w:pStyle w:val="TOC3"/>
            <w:tabs>
              <w:tab w:val="left" w:pos="755"/>
              <w:tab w:val="right" w:leader="dot" w:pos="9350"/>
            </w:tabs>
            <w:rPr>
              <w:smallCaps w:val="0"/>
              <w:noProof/>
              <w:sz w:val="24"/>
              <w:szCs w:val="24"/>
            </w:rPr>
          </w:pPr>
          <w:hyperlink w:anchor="_Toc208061995" w:history="1">
            <w:r w:rsidRPr="00697DAB">
              <w:rPr>
                <w:rStyle w:val="Hyperlink"/>
                <w:noProof/>
              </w:rPr>
              <w:t xml:space="preserve">2.4.1 </w:t>
            </w:r>
            <w:r>
              <w:rPr>
                <w:smallCaps w:val="0"/>
                <w:noProof/>
                <w:sz w:val="24"/>
                <w:szCs w:val="24"/>
              </w:rPr>
              <w:tab/>
            </w:r>
            <w:r w:rsidRPr="00697DAB">
              <w:rPr>
                <w:rStyle w:val="Hyperlink"/>
                <w:noProof/>
              </w:rPr>
              <w:t>Theoretical Framework</w:t>
            </w:r>
            <w:r>
              <w:rPr>
                <w:noProof/>
                <w:webHidden/>
              </w:rPr>
              <w:tab/>
            </w:r>
            <w:r>
              <w:rPr>
                <w:noProof/>
                <w:webHidden/>
              </w:rPr>
              <w:fldChar w:fldCharType="begin"/>
            </w:r>
            <w:r>
              <w:rPr>
                <w:noProof/>
                <w:webHidden/>
              </w:rPr>
              <w:instrText xml:space="preserve"> PAGEREF _Toc208061995 \h </w:instrText>
            </w:r>
            <w:r>
              <w:rPr>
                <w:noProof/>
                <w:webHidden/>
              </w:rPr>
            </w:r>
            <w:r>
              <w:rPr>
                <w:noProof/>
                <w:webHidden/>
              </w:rPr>
              <w:fldChar w:fldCharType="separate"/>
            </w:r>
            <w:r>
              <w:rPr>
                <w:noProof/>
                <w:webHidden/>
              </w:rPr>
              <w:t>8</w:t>
            </w:r>
            <w:r>
              <w:rPr>
                <w:noProof/>
                <w:webHidden/>
              </w:rPr>
              <w:fldChar w:fldCharType="end"/>
            </w:r>
          </w:hyperlink>
        </w:p>
        <w:p w14:paraId="60E37F11" w14:textId="78EDF280" w:rsidR="00D31375" w:rsidRDefault="00D31375">
          <w:pPr>
            <w:pStyle w:val="TOC3"/>
            <w:tabs>
              <w:tab w:val="left" w:pos="718"/>
              <w:tab w:val="right" w:leader="dot" w:pos="9350"/>
            </w:tabs>
            <w:rPr>
              <w:smallCaps w:val="0"/>
              <w:noProof/>
              <w:sz w:val="24"/>
              <w:szCs w:val="24"/>
            </w:rPr>
          </w:pPr>
          <w:hyperlink w:anchor="_Toc208061996" w:history="1">
            <w:r w:rsidRPr="00697DAB">
              <w:rPr>
                <w:rStyle w:val="Hyperlink"/>
                <w:noProof/>
              </w:rPr>
              <w:t>2.4.2</w:t>
            </w:r>
            <w:r>
              <w:rPr>
                <w:smallCaps w:val="0"/>
                <w:noProof/>
                <w:sz w:val="24"/>
                <w:szCs w:val="24"/>
              </w:rPr>
              <w:tab/>
            </w:r>
            <w:r w:rsidRPr="00697DAB">
              <w:rPr>
                <w:rStyle w:val="Hyperlink"/>
                <w:noProof/>
              </w:rPr>
              <w:t xml:space="preserve"> Philosophical Position</w:t>
            </w:r>
            <w:r>
              <w:rPr>
                <w:noProof/>
                <w:webHidden/>
              </w:rPr>
              <w:tab/>
            </w:r>
            <w:r>
              <w:rPr>
                <w:noProof/>
                <w:webHidden/>
              </w:rPr>
              <w:fldChar w:fldCharType="begin"/>
            </w:r>
            <w:r>
              <w:rPr>
                <w:noProof/>
                <w:webHidden/>
              </w:rPr>
              <w:instrText xml:space="preserve"> PAGEREF _Toc208061996 \h </w:instrText>
            </w:r>
            <w:r>
              <w:rPr>
                <w:noProof/>
                <w:webHidden/>
              </w:rPr>
            </w:r>
            <w:r>
              <w:rPr>
                <w:noProof/>
                <w:webHidden/>
              </w:rPr>
              <w:fldChar w:fldCharType="separate"/>
            </w:r>
            <w:r>
              <w:rPr>
                <w:noProof/>
                <w:webHidden/>
              </w:rPr>
              <w:t>8</w:t>
            </w:r>
            <w:r>
              <w:rPr>
                <w:noProof/>
                <w:webHidden/>
              </w:rPr>
              <w:fldChar w:fldCharType="end"/>
            </w:r>
          </w:hyperlink>
        </w:p>
        <w:p w14:paraId="128E9B00" w14:textId="68CAA754" w:rsidR="00D31375" w:rsidRDefault="00D31375">
          <w:pPr>
            <w:pStyle w:val="TOC2"/>
            <w:tabs>
              <w:tab w:val="left" w:pos="578"/>
              <w:tab w:val="right" w:leader="dot" w:pos="9350"/>
            </w:tabs>
            <w:rPr>
              <w:b w:val="0"/>
              <w:bCs w:val="0"/>
              <w:smallCaps w:val="0"/>
              <w:noProof/>
              <w:sz w:val="24"/>
              <w:szCs w:val="24"/>
            </w:rPr>
          </w:pPr>
          <w:hyperlink w:anchor="_Toc208061997" w:history="1">
            <w:r w:rsidRPr="00697DAB">
              <w:rPr>
                <w:rStyle w:val="Hyperlink"/>
                <w:noProof/>
              </w:rPr>
              <w:t xml:space="preserve">2.5 </w:t>
            </w:r>
            <w:r>
              <w:rPr>
                <w:b w:val="0"/>
                <w:bCs w:val="0"/>
                <w:smallCaps w:val="0"/>
                <w:noProof/>
                <w:sz w:val="24"/>
                <w:szCs w:val="24"/>
              </w:rPr>
              <w:tab/>
            </w:r>
            <w:r w:rsidRPr="00697DAB">
              <w:rPr>
                <w:rStyle w:val="Hyperlink"/>
                <w:noProof/>
              </w:rPr>
              <w:t>Anticipate Contributions</w:t>
            </w:r>
            <w:r>
              <w:rPr>
                <w:noProof/>
                <w:webHidden/>
              </w:rPr>
              <w:tab/>
            </w:r>
            <w:r>
              <w:rPr>
                <w:noProof/>
                <w:webHidden/>
              </w:rPr>
              <w:fldChar w:fldCharType="begin"/>
            </w:r>
            <w:r>
              <w:rPr>
                <w:noProof/>
                <w:webHidden/>
              </w:rPr>
              <w:instrText xml:space="preserve"> PAGEREF _Toc208061997 \h </w:instrText>
            </w:r>
            <w:r>
              <w:rPr>
                <w:noProof/>
                <w:webHidden/>
              </w:rPr>
            </w:r>
            <w:r>
              <w:rPr>
                <w:noProof/>
                <w:webHidden/>
              </w:rPr>
              <w:fldChar w:fldCharType="separate"/>
            </w:r>
            <w:r>
              <w:rPr>
                <w:noProof/>
                <w:webHidden/>
              </w:rPr>
              <w:t>9</w:t>
            </w:r>
            <w:r>
              <w:rPr>
                <w:noProof/>
                <w:webHidden/>
              </w:rPr>
              <w:fldChar w:fldCharType="end"/>
            </w:r>
          </w:hyperlink>
        </w:p>
        <w:p w14:paraId="03DD1117" w14:textId="3A71006D" w:rsidR="00D31375" w:rsidRDefault="00D31375">
          <w:pPr>
            <w:pStyle w:val="TOC1"/>
            <w:tabs>
              <w:tab w:val="left" w:pos="408"/>
              <w:tab w:val="right" w:leader="dot" w:pos="9350"/>
            </w:tabs>
            <w:rPr>
              <w:b w:val="0"/>
              <w:bCs w:val="0"/>
              <w:caps w:val="0"/>
              <w:noProof/>
              <w:sz w:val="24"/>
              <w:szCs w:val="24"/>
              <w:u w:val="none"/>
            </w:rPr>
          </w:pPr>
          <w:hyperlink w:anchor="_Toc208061998" w:history="1">
            <w:r w:rsidRPr="00697DAB">
              <w:rPr>
                <w:rStyle w:val="Hyperlink"/>
                <w:noProof/>
              </w:rPr>
              <w:t>3.</w:t>
            </w:r>
            <w:r>
              <w:rPr>
                <w:b w:val="0"/>
                <w:bCs w:val="0"/>
                <w:caps w:val="0"/>
                <w:noProof/>
                <w:sz w:val="24"/>
                <w:szCs w:val="24"/>
                <w:u w:val="none"/>
              </w:rPr>
              <w:tab/>
            </w:r>
            <w:r w:rsidRPr="00697DAB">
              <w:rPr>
                <w:rStyle w:val="Hyperlink"/>
                <w:noProof/>
              </w:rPr>
              <w:t>Theoretical Framework</w:t>
            </w:r>
            <w:r>
              <w:rPr>
                <w:noProof/>
                <w:webHidden/>
              </w:rPr>
              <w:tab/>
            </w:r>
            <w:r>
              <w:rPr>
                <w:noProof/>
                <w:webHidden/>
              </w:rPr>
              <w:fldChar w:fldCharType="begin"/>
            </w:r>
            <w:r>
              <w:rPr>
                <w:noProof/>
                <w:webHidden/>
              </w:rPr>
              <w:instrText xml:space="preserve"> PAGEREF _Toc208061998 \h </w:instrText>
            </w:r>
            <w:r>
              <w:rPr>
                <w:noProof/>
                <w:webHidden/>
              </w:rPr>
            </w:r>
            <w:r>
              <w:rPr>
                <w:noProof/>
                <w:webHidden/>
              </w:rPr>
              <w:fldChar w:fldCharType="separate"/>
            </w:r>
            <w:r>
              <w:rPr>
                <w:noProof/>
                <w:webHidden/>
              </w:rPr>
              <w:t>10</w:t>
            </w:r>
            <w:r>
              <w:rPr>
                <w:noProof/>
                <w:webHidden/>
              </w:rPr>
              <w:fldChar w:fldCharType="end"/>
            </w:r>
          </w:hyperlink>
        </w:p>
        <w:p w14:paraId="52E55AC6" w14:textId="177963BC" w:rsidR="00D31375" w:rsidRDefault="00D31375">
          <w:pPr>
            <w:pStyle w:val="TOC2"/>
            <w:tabs>
              <w:tab w:val="left" w:pos="541"/>
              <w:tab w:val="right" w:leader="dot" w:pos="9350"/>
            </w:tabs>
            <w:rPr>
              <w:b w:val="0"/>
              <w:bCs w:val="0"/>
              <w:smallCaps w:val="0"/>
              <w:noProof/>
              <w:sz w:val="24"/>
              <w:szCs w:val="24"/>
            </w:rPr>
          </w:pPr>
          <w:hyperlink w:anchor="_Toc208061999" w:history="1">
            <w:r w:rsidRPr="00697DAB">
              <w:rPr>
                <w:rStyle w:val="Hyperlink"/>
                <w:noProof/>
              </w:rPr>
              <w:t>3.1</w:t>
            </w:r>
            <w:r>
              <w:rPr>
                <w:b w:val="0"/>
                <w:bCs w:val="0"/>
                <w:smallCaps w:val="0"/>
                <w:noProof/>
                <w:sz w:val="24"/>
                <w:szCs w:val="24"/>
              </w:rPr>
              <w:tab/>
            </w:r>
            <w:r w:rsidRPr="00697DAB">
              <w:rPr>
                <w:rStyle w:val="Hyperlink"/>
                <w:noProof/>
              </w:rPr>
              <w:t>TOE Lens</w:t>
            </w:r>
            <w:r>
              <w:rPr>
                <w:noProof/>
                <w:webHidden/>
              </w:rPr>
              <w:tab/>
            </w:r>
            <w:r>
              <w:rPr>
                <w:noProof/>
                <w:webHidden/>
              </w:rPr>
              <w:fldChar w:fldCharType="begin"/>
            </w:r>
            <w:r>
              <w:rPr>
                <w:noProof/>
                <w:webHidden/>
              </w:rPr>
              <w:instrText xml:space="preserve"> PAGEREF _Toc208061999 \h </w:instrText>
            </w:r>
            <w:r>
              <w:rPr>
                <w:noProof/>
                <w:webHidden/>
              </w:rPr>
            </w:r>
            <w:r>
              <w:rPr>
                <w:noProof/>
                <w:webHidden/>
              </w:rPr>
              <w:fldChar w:fldCharType="separate"/>
            </w:r>
            <w:r>
              <w:rPr>
                <w:noProof/>
                <w:webHidden/>
              </w:rPr>
              <w:t>10</w:t>
            </w:r>
            <w:r>
              <w:rPr>
                <w:noProof/>
                <w:webHidden/>
              </w:rPr>
              <w:fldChar w:fldCharType="end"/>
            </w:r>
          </w:hyperlink>
        </w:p>
        <w:p w14:paraId="43D83958" w14:textId="76CD75B5" w:rsidR="00D31375" w:rsidRDefault="00D31375">
          <w:pPr>
            <w:pStyle w:val="TOC2"/>
            <w:tabs>
              <w:tab w:val="left" w:pos="578"/>
              <w:tab w:val="right" w:leader="dot" w:pos="9350"/>
            </w:tabs>
            <w:rPr>
              <w:b w:val="0"/>
              <w:bCs w:val="0"/>
              <w:smallCaps w:val="0"/>
              <w:noProof/>
              <w:sz w:val="24"/>
              <w:szCs w:val="24"/>
            </w:rPr>
          </w:pPr>
          <w:hyperlink w:anchor="_Toc208062000" w:history="1">
            <w:r w:rsidRPr="00697DAB">
              <w:rPr>
                <w:rStyle w:val="Hyperlink"/>
                <w:noProof/>
              </w:rPr>
              <w:t xml:space="preserve">3.2 </w:t>
            </w:r>
            <w:r>
              <w:rPr>
                <w:b w:val="0"/>
                <w:bCs w:val="0"/>
                <w:smallCaps w:val="0"/>
                <w:noProof/>
                <w:sz w:val="24"/>
                <w:szCs w:val="24"/>
              </w:rPr>
              <w:tab/>
            </w:r>
            <w:r w:rsidRPr="00697DAB">
              <w:rPr>
                <w:rStyle w:val="Hyperlink"/>
                <w:noProof/>
              </w:rPr>
              <w:t>SDL and Value Co-Creation</w:t>
            </w:r>
            <w:r>
              <w:rPr>
                <w:noProof/>
                <w:webHidden/>
              </w:rPr>
              <w:tab/>
            </w:r>
            <w:r>
              <w:rPr>
                <w:noProof/>
                <w:webHidden/>
              </w:rPr>
              <w:fldChar w:fldCharType="begin"/>
            </w:r>
            <w:r>
              <w:rPr>
                <w:noProof/>
                <w:webHidden/>
              </w:rPr>
              <w:instrText xml:space="preserve"> PAGEREF _Toc208062000 \h </w:instrText>
            </w:r>
            <w:r>
              <w:rPr>
                <w:noProof/>
                <w:webHidden/>
              </w:rPr>
            </w:r>
            <w:r>
              <w:rPr>
                <w:noProof/>
                <w:webHidden/>
              </w:rPr>
              <w:fldChar w:fldCharType="separate"/>
            </w:r>
            <w:r>
              <w:rPr>
                <w:noProof/>
                <w:webHidden/>
              </w:rPr>
              <w:t>11</w:t>
            </w:r>
            <w:r>
              <w:rPr>
                <w:noProof/>
                <w:webHidden/>
              </w:rPr>
              <w:fldChar w:fldCharType="end"/>
            </w:r>
          </w:hyperlink>
        </w:p>
        <w:p w14:paraId="591CAF85" w14:textId="2C44E8E1" w:rsidR="00D31375" w:rsidRDefault="00D31375">
          <w:pPr>
            <w:pStyle w:val="TOC2"/>
            <w:tabs>
              <w:tab w:val="left" w:pos="541"/>
              <w:tab w:val="right" w:leader="dot" w:pos="9350"/>
            </w:tabs>
            <w:rPr>
              <w:b w:val="0"/>
              <w:bCs w:val="0"/>
              <w:smallCaps w:val="0"/>
              <w:noProof/>
              <w:sz w:val="24"/>
              <w:szCs w:val="24"/>
            </w:rPr>
          </w:pPr>
          <w:hyperlink w:anchor="_Toc208062001" w:history="1">
            <w:r w:rsidRPr="00697DAB">
              <w:rPr>
                <w:rStyle w:val="Hyperlink"/>
                <w:noProof/>
              </w:rPr>
              <w:t>3.3</w:t>
            </w:r>
            <w:r>
              <w:rPr>
                <w:b w:val="0"/>
                <w:bCs w:val="0"/>
                <w:smallCaps w:val="0"/>
                <w:noProof/>
                <w:sz w:val="24"/>
                <w:szCs w:val="24"/>
              </w:rPr>
              <w:tab/>
            </w:r>
            <w:r w:rsidRPr="00697DAB">
              <w:rPr>
                <w:rStyle w:val="Hyperlink"/>
                <w:noProof/>
              </w:rPr>
              <w:t>Integrating Risk – Talent Nexus into TOE and SDL</w:t>
            </w:r>
            <w:r>
              <w:rPr>
                <w:noProof/>
                <w:webHidden/>
              </w:rPr>
              <w:tab/>
            </w:r>
            <w:r>
              <w:rPr>
                <w:noProof/>
                <w:webHidden/>
              </w:rPr>
              <w:fldChar w:fldCharType="begin"/>
            </w:r>
            <w:r>
              <w:rPr>
                <w:noProof/>
                <w:webHidden/>
              </w:rPr>
              <w:instrText xml:space="preserve"> PAGEREF _Toc208062001 \h </w:instrText>
            </w:r>
            <w:r>
              <w:rPr>
                <w:noProof/>
                <w:webHidden/>
              </w:rPr>
            </w:r>
            <w:r>
              <w:rPr>
                <w:noProof/>
                <w:webHidden/>
              </w:rPr>
              <w:fldChar w:fldCharType="separate"/>
            </w:r>
            <w:r>
              <w:rPr>
                <w:noProof/>
                <w:webHidden/>
              </w:rPr>
              <w:t>12</w:t>
            </w:r>
            <w:r>
              <w:rPr>
                <w:noProof/>
                <w:webHidden/>
              </w:rPr>
              <w:fldChar w:fldCharType="end"/>
            </w:r>
          </w:hyperlink>
        </w:p>
        <w:p w14:paraId="3C867741" w14:textId="1C71C5E6" w:rsidR="00D31375" w:rsidRDefault="00D31375">
          <w:pPr>
            <w:pStyle w:val="TOC2"/>
            <w:tabs>
              <w:tab w:val="left" w:pos="541"/>
              <w:tab w:val="right" w:leader="dot" w:pos="9350"/>
            </w:tabs>
            <w:rPr>
              <w:b w:val="0"/>
              <w:bCs w:val="0"/>
              <w:smallCaps w:val="0"/>
              <w:noProof/>
              <w:sz w:val="24"/>
              <w:szCs w:val="24"/>
            </w:rPr>
          </w:pPr>
          <w:hyperlink w:anchor="_Toc208062002" w:history="1">
            <w:r w:rsidRPr="00697DAB">
              <w:rPr>
                <w:rStyle w:val="Hyperlink"/>
                <w:noProof/>
              </w:rPr>
              <w:t>3.4</w:t>
            </w:r>
            <w:r>
              <w:rPr>
                <w:b w:val="0"/>
                <w:bCs w:val="0"/>
                <w:smallCaps w:val="0"/>
                <w:noProof/>
                <w:sz w:val="24"/>
                <w:szCs w:val="24"/>
              </w:rPr>
              <w:tab/>
            </w:r>
            <w:r w:rsidRPr="00697DAB">
              <w:rPr>
                <w:rStyle w:val="Hyperlink"/>
                <w:noProof/>
              </w:rPr>
              <w:t>Adoption of Monetisation Hypotheses Model</w:t>
            </w:r>
            <w:r>
              <w:rPr>
                <w:noProof/>
                <w:webHidden/>
              </w:rPr>
              <w:tab/>
            </w:r>
            <w:r>
              <w:rPr>
                <w:noProof/>
                <w:webHidden/>
              </w:rPr>
              <w:fldChar w:fldCharType="begin"/>
            </w:r>
            <w:r>
              <w:rPr>
                <w:noProof/>
                <w:webHidden/>
              </w:rPr>
              <w:instrText xml:space="preserve"> PAGEREF _Toc208062002 \h </w:instrText>
            </w:r>
            <w:r>
              <w:rPr>
                <w:noProof/>
                <w:webHidden/>
              </w:rPr>
            </w:r>
            <w:r>
              <w:rPr>
                <w:noProof/>
                <w:webHidden/>
              </w:rPr>
              <w:fldChar w:fldCharType="separate"/>
            </w:r>
            <w:r>
              <w:rPr>
                <w:noProof/>
                <w:webHidden/>
              </w:rPr>
              <w:t>12</w:t>
            </w:r>
            <w:r>
              <w:rPr>
                <w:noProof/>
                <w:webHidden/>
              </w:rPr>
              <w:fldChar w:fldCharType="end"/>
            </w:r>
          </w:hyperlink>
        </w:p>
        <w:p w14:paraId="0D99CEB6" w14:textId="4D28D01E" w:rsidR="00D31375" w:rsidRDefault="00D31375">
          <w:pPr>
            <w:pStyle w:val="TOC3"/>
            <w:tabs>
              <w:tab w:val="left" w:pos="755"/>
              <w:tab w:val="right" w:leader="dot" w:pos="9350"/>
            </w:tabs>
            <w:rPr>
              <w:smallCaps w:val="0"/>
              <w:noProof/>
              <w:sz w:val="24"/>
              <w:szCs w:val="24"/>
            </w:rPr>
          </w:pPr>
          <w:hyperlink w:anchor="_Toc208062003" w:history="1">
            <w:r w:rsidRPr="00697DAB">
              <w:rPr>
                <w:rStyle w:val="Hyperlink"/>
                <w:noProof/>
              </w:rPr>
              <w:t xml:space="preserve">3.4.1 </w:t>
            </w:r>
            <w:r>
              <w:rPr>
                <w:smallCaps w:val="0"/>
                <w:noProof/>
                <w:sz w:val="24"/>
                <w:szCs w:val="24"/>
              </w:rPr>
              <w:tab/>
            </w:r>
            <w:r w:rsidRPr="00697DAB">
              <w:rPr>
                <w:rStyle w:val="Hyperlink"/>
                <w:noProof/>
              </w:rPr>
              <w:t>The Risk–Talent Nexus</w:t>
            </w:r>
            <w:r>
              <w:rPr>
                <w:noProof/>
                <w:webHidden/>
              </w:rPr>
              <w:tab/>
            </w:r>
            <w:r>
              <w:rPr>
                <w:noProof/>
                <w:webHidden/>
              </w:rPr>
              <w:fldChar w:fldCharType="begin"/>
            </w:r>
            <w:r>
              <w:rPr>
                <w:noProof/>
                <w:webHidden/>
              </w:rPr>
              <w:instrText xml:space="preserve"> PAGEREF _Toc208062003 \h </w:instrText>
            </w:r>
            <w:r>
              <w:rPr>
                <w:noProof/>
                <w:webHidden/>
              </w:rPr>
            </w:r>
            <w:r>
              <w:rPr>
                <w:noProof/>
                <w:webHidden/>
              </w:rPr>
              <w:fldChar w:fldCharType="separate"/>
            </w:r>
            <w:r>
              <w:rPr>
                <w:noProof/>
                <w:webHidden/>
              </w:rPr>
              <w:t>13</w:t>
            </w:r>
            <w:r>
              <w:rPr>
                <w:noProof/>
                <w:webHidden/>
              </w:rPr>
              <w:fldChar w:fldCharType="end"/>
            </w:r>
          </w:hyperlink>
        </w:p>
        <w:p w14:paraId="609BC447" w14:textId="6A46CAA6" w:rsidR="00D31375" w:rsidRDefault="00D31375">
          <w:pPr>
            <w:pStyle w:val="TOC2"/>
            <w:tabs>
              <w:tab w:val="left" w:pos="541"/>
              <w:tab w:val="right" w:leader="dot" w:pos="9350"/>
            </w:tabs>
            <w:rPr>
              <w:b w:val="0"/>
              <w:bCs w:val="0"/>
              <w:smallCaps w:val="0"/>
              <w:noProof/>
              <w:sz w:val="24"/>
              <w:szCs w:val="24"/>
            </w:rPr>
          </w:pPr>
          <w:hyperlink w:anchor="_Toc208062004" w:history="1">
            <w:r w:rsidRPr="00697DAB">
              <w:rPr>
                <w:rStyle w:val="Hyperlink"/>
                <w:noProof/>
              </w:rPr>
              <w:t>3.5</w:t>
            </w:r>
            <w:r>
              <w:rPr>
                <w:b w:val="0"/>
                <w:bCs w:val="0"/>
                <w:smallCaps w:val="0"/>
                <w:noProof/>
                <w:sz w:val="24"/>
                <w:szCs w:val="24"/>
              </w:rPr>
              <w:tab/>
            </w:r>
            <w:r w:rsidRPr="00697DAB">
              <w:rPr>
                <w:rStyle w:val="Hyperlink"/>
                <w:noProof/>
              </w:rPr>
              <w:t>Philosophical Paradigms and Implications</w:t>
            </w:r>
            <w:r>
              <w:rPr>
                <w:noProof/>
                <w:webHidden/>
              </w:rPr>
              <w:tab/>
            </w:r>
            <w:r>
              <w:rPr>
                <w:noProof/>
                <w:webHidden/>
              </w:rPr>
              <w:fldChar w:fldCharType="begin"/>
            </w:r>
            <w:r>
              <w:rPr>
                <w:noProof/>
                <w:webHidden/>
              </w:rPr>
              <w:instrText xml:space="preserve"> PAGEREF _Toc208062004 \h </w:instrText>
            </w:r>
            <w:r>
              <w:rPr>
                <w:noProof/>
                <w:webHidden/>
              </w:rPr>
            </w:r>
            <w:r>
              <w:rPr>
                <w:noProof/>
                <w:webHidden/>
              </w:rPr>
              <w:fldChar w:fldCharType="separate"/>
            </w:r>
            <w:r>
              <w:rPr>
                <w:noProof/>
                <w:webHidden/>
              </w:rPr>
              <w:t>14</w:t>
            </w:r>
            <w:r>
              <w:rPr>
                <w:noProof/>
                <w:webHidden/>
              </w:rPr>
              <w:fldChar w:fldCharType="end"/>
            </w:r>
          </w:hyperlink>
        </w:p>
        <w:p w14:paraId="52C5BF6B" w14:textId="7F8081ED" w:rsidR="00D31375" w:rsidRDefault="00D31375">
          <w:pPr>
            <w:pStyle w:val="TOC2"/>
            <w:tabs>
              <w:tab w:val="left" w:pos="541"/>
              <w:tab w:val="right" w:leader="dot" w:pos="9350"/>
            </w:tabs>
            <w:rPr>
              <w:b w:val="0"/>
              <w:bCs w:val="0"/>
              <w:smallCaps w:val="0"/>
              <w:noProof/>
              <w:sz w:val="24"/>
              <w:szCs w:val="24"/>
            </w:rPr>
          </w:pPr>
          <w:hyperlink w:anchor="_Toc208062005" w:history="1">
            <w:r w:rsidRPr="00697DAB">
              <w:rPr>
                <w:rStyle w:val="Hyperlink"/>
                <w:noProof/>
              </w:rPr>
              <w:t>3.6</w:t>
            </w:r>
            <w:r>
              <w:rPr>
                <w:b w:val="0"/>
                <w:bCs w:val="0"/>
                <w:smallCaps w:val="0"/>
                <w:noProof/>
                <w:sz w:val="24"/>
                <w:szCs w:val="24"/>
              </w:rPr>
              <w:tab/>
            </w:r>
            <w:r w:rsidRPr="00697DAB">
              <w:rPr>
                <w:rStyle w:val="Hyperlink"/>
                <w:noProof/>
              </w:rPr>
              <w:t>Identifying Research Gaps</w:t>
            </w:r>
            <w:r>
              <w:rPr>
                <w:noProof/>
                <w:webHidden/>
              </w:rPr>
              <w:tab/>
            </w:r>
            <w:r>
              <w:rPr>
                <w:noProof/>
                <w:webHidden/>
              </w:rPr>
              <w:fldChar w:fldCharType="begin"/>
            </w:r>
            <w:r>
              <w:rPr>
                <w:noProof/>
                <w:webHidden/>
              </w:rPr>
              <w:instrText xml:space="preserve"> PAGEREF _Toc208062005 \h </w:instrText>
            </w:r>
            <w:r>
              <w:rPr>
                <w:noProof/>
                <w:webHidden/>
              </w:rPr>
            </w:r>
            <w:r>
              <w:rPr>
                <w:noProof/>
                <w:webHidden/>
              </w:rPr>
              <w:fldChar w:fldCharType="separate"/>
            </w:r>
            <w:r>
              <w:rPr>
                <w:noProof/>
                <w:webHidden/>
              </w:rPr>
              <w:t>15</w:t>
            </w:r>
            <w:r>
              <w:rPr>
                <w:noProof/>
                <w:webHidden/>
              </w:rPr>
              <w:fldChar w:fldCharType="end"/>
            </w:r>
          </w:hyperlink>
        </w:p>
        <w:p w14:paraId="074D4DBB" w14:textId="66399DC2" w:rsidR="00D31375" w:rsidRDefault="00D31375">
          <w:pPr>
            <w:pStyle w:val="TOC2"/>
            <w:tabs>
              <w:tab w:val="left" w:pos="541"/>
              <w:tab w:val="right" w:leader="dot" w:pos="9350"/>
            </w:tabs>
            <w:rPr>
              <w:b w:val="0"/>
              <w:bCs w:val="0"/>
              <w:smallCaps w:val="0"/>
              <w:noProof/>
              <w:sz w:val="24"/>
              <w:szCs w:val="24"/>
            </w:rPr>
          </w:pPr>
          <w:hyperlink w:anchor="_Toc208062006" w:history="1">
            <w:r w:rsidRPr="00697DAB">
              <w:rPr>
                <w:rStyle w:val="Hyperlink"/>
                <w:noProof/>
              </w:rPr>
              <w:t>3.7</w:t>
            </w:r>
            <w:r>
              <w:rPr>
                <w:b w:val="0"/>
                <w:bCs w:val="0"/>
                <w:smallCaps w:val="0"/>
                <w:noProof/>
                <w:sz w:val="24"/>
                <w:szCs w:val="24"/>
              </w:rPr>
              <w:tab/>
            </w:r>
            <w:r w:rsidRPr="00697DAB">
              <w:rPr>
                <w:rStyle w:val="Hyperlink"/>
                <w:noProof/>
              </w:rPr>
              <w:t>Conclusion to Section 3</w:t>
            </w:r>
            <w:r>
              <w:rPr>
                <w:noProof/>
                <w:webHidden/>
              </w:rPr>
              <w:tab/>
            </w:r>
            <w:r>
              <w:rPr>
                <w:noProof/>
                <w:webHidden/>
              </w:rPr>
              <w:fldChar w:fldCharType="begin"/>
            </w:r>
            <w:r>
              <w:rPr>
                <w:noProof/>
                <w:webHidden/>
              </w:rPr>
              <w:instrText xml:space="preserve"> PAGEREF _Toc208062006 \h </w:instrText>
            </w:r>
            <w:r>
              <w:rPr>
                <w:noProof/>
                <w:webHidden/>
              </w:rPr>
            </w:r>
            <w:r>
              <w:rPr>
                <w:noProof/>
                <w:webHidden/>
              </w:rPr>
              <w:fldChar w:fldCharType="separate"/>
            </w:r>
            <w:r>
              <w:rPr>
                <w:noProof/>
                <w:webHidden/>
              </w:rPr>
              <w:t>15</w:t>
            </w:r>
            <w:r>
              <w:rPr>
                <w:noProof/>
                <w:webHidden/>
              </w:rPr>
              <w:fldChar w:fldCharType="end"/>
            </w:r>
          </w:hyperlink>
        </w:p>
        <w:p w14:paraId="3BABBAF4" w14:textId="26356DC6" w:rsidR="00D31375" w:rsidRDefault="00D31375">
          <w:pPr>
            <w:pStyle w:val="TOC1"/>
            <w:tabs>
              <w:tab w:val="left" w:pos="358"/>
              <w:tab w:val="right" w:leader="dot" w:pos="9350"/>
            </w:tabs>
            <w:rPr>
              <w:b w:val="0"/>
              <w:bCs w:val="0"/>
              <w:caps w:val="0"/>
              <w:noProof/>
              <w:sz w:val="24"/>
              <w:szCs w:val="24"/>
              <w:u w:val="none"/>
            </w:rPr>
          </w:pPr>
          <w:hyperlink w:anchor="_Toc208062007" w:history="1">
            <w:r w:rsidRPr="00697DAB">
              <w:rPr>
                <w:rStyle w:val="Hyperlink"/>
                <w:noProof/>
              </w:rPr>
              <w:t>4</w:t>
            </w:r>
            <w:r>
              <w:rPr>
                <w:b w:val="0"/>
                <w:bCs w:val="0"/>
                <w:caps w:val="0"/>
                <w:noProof/>
                <w:sz w:val="24"/>
                <w:szCs w:val="24"/>
                <w:u w:val="none"/>
              </w:rPr>
              <w:tab/>
            </w:r>
            <w:r w:rsidRPr="00697DAB">
              <w:rPr>
                <w:rStyle w:val="Hyperlink"/>
                <w:noProof/>
              </w:rPr>
              <w:t>Research Methodology</w:t>
            </w:r>
            <w:r>
              <w:rPr>
                <w:noProof/>
                <w:webHidden/>
              </w:rPr>
              <w:tab/>
            </w:r>
            <w:r>
              <w:rPr>
                <w:noProof/>
                <w:webHidden/>
              </w:rPr>
              <w:fldChar w:fldCharType="begin"/>
            </w:r>
            <w:r>
              <w:rPr>
                <w:noProof/>
                <w:webHidden/>
              </w:rPr>
              <w:instrText xml:space="preserve"> PAGEREF _Toc208062007 \h </w:instrText>
            </w:r>
            <w:r>
              <w:rPr>
                <w:noProof/>
                <w:webHidden/>
              </w:rPr>
            </w:r>
            <w:r>
              <w:rPr>
                <w:noProof/>
                <w:webHidden/>
              </w:rPr>
              <w:fldChar w:fldCharType="separate"/>
            </w:r>
            <w:r>
              <w:rPr>
                <w:noProof/>
                <w:webHidden/>
              </w:rPr>
              <w:t>15</w:t>
            </w:r>
            <w:r>
              <w:rPr>
                <w:noProof/>
                <w:webHidden/>
              </w:rPr>
              <w:fldChar w:fldCharType="end"/>
            </w:r>
          </w:hyperlink>
        </w:p>
        <w:p w14:paraId="462FE913" w14:textId="0B5F18EB" w:rsidR="00D31375" w:rsidRDefault="00D31375">
          <w:pPr>
            <w:pStyle w:val="TOC2"/>
            <w:tabs>
              <w:tab w:val="left" w:pos="541"/>
              <w:tab w:val="right" w:leader="dot" w:pos="9350"/>
            </w:tabs>
            <w:rPr>
              <w:b w:val="0"/>
              <w:bCs w:val="0"/>
              <w:smallCaps w:val="0"/>
              <w:noProof/>
              <w:sz w:val="24"/>
              <w:szCs w:val="24"/>
            </w:rPr>
          </w:pPr>
          <w:hyperlink w:anchor="_Toc208062008" w:history="1">
            <w:r w:rsidRPr="00697DAB">
              <w:rPr>
                <w:rStyle w:val="Hyperlink"/>
                <w:noProof/>
              </w:rPr>
              <w:t>4.1</w:t>
            </w:r>
            <w:r>
              <w:rPr>
                <w:b w:val="0"/>
                <w:bCs w:val="0"/>
                <w:smallCaps w:val="0"/>
                <w:noProof/>
                <w:sz w:val="24"/>
                <w:szCs w:val="24"/>
              </w:rPr>
              <w:tab/>
            </w:r>
            <w:r w:rsidRPr="00697DAB">
              <w:rPr>
                <w:rStyle w:val="Hyperlink"/>
                <w:noProof/>
              </w:rPr>
              <w:t>Justification for Qualitative Orientation</w:t>
            </w:r>
            <w:r>
              <w:rPr>
                <w:noProof/>
                <w:webHidden/>
              </w:rPr>
              <w:tab/>
            </w:r>
            <w:r>
              <w:rPr>
                <w:noProof/>
                <w:webHidden/>
              </w:rPr>
              <w:fldChar w:fldCharType="begin"/>
            </w:r>
            <w:r>
              <w:rPr>
                <w:noProof/>
                <w:webHidden/>
              </w:rPr>
              <w:instrText xml:space="preserve"> PAGEREF _Toc208062008 \h </w:instrText>
            </w:r>
            <w:r>
              <w:rPr>
                <w:noProof/>
                <w:webHidden/>
              </w:rPr>
            </w:r>
            <w:r>
              <w:rPr>
                <w:noProof/>
                <w:webHidden/>
              </w:rPr>
              <w:fldChar w:fldCharType="separate"/>
            </w:r>
            <w:r>
              <w:rPr>
                <w:noProof/>
                <w:webHidden/>
              </w:rPr>
              <w:t>16</w:t>
            </w:r>
            <w:r>
              <w:rPr>
                <w:noProof/>
                <w:webHidden/>
              </w:rPr>
              <w:fldChar w:fldCharType="end"/>
            </w:r>
          </w:hyperlink>
        </w:p>
        <w:p w14:paraId="370D4DDA" w14:textId="2290B20F" w:rsidR="00D31375" w:rsidRDefault="00D31375">
          <w:pPr>
            <w:pStyle w:val="TOC2"/>
            <w:tabs>
              <w:tab w:val="left" w:pos="541"/>
              <w:tab w:val="right" w:leader="dot" w:pos="9350"/>
            </w:tabs>
            <w:rPr>
              <w:b w:val="0"/>
              <w:bCs w:val="0"/>
              <w:smallCaps w:val="0"/>
              <w:noProof/>
              <w:sz w:val="24"/>
              <w:szCs w:val="24"/>
            </w:rPr>
          </w:pPr>
          <w:hyperlink w:anchor="_Toc208062009" w:history="1">
            <w:r w:rsidRPr="00697DAB">
              <w:rPr>
                <w:rStyle w:val="Hyperlink"/>
                <w:noProof/>
              </w:rPr>
              <w:t>4.2</w:t>
            </w:r>
            <w:r>
              <w:rPr>
                <w:b w:val="0"/>
                <w:bCs w:val="0"/>
                <w:smallCaps w:val="0"/>
                <w:noProof/>
                <w:sz w:val="24"/>
                <w:szCs w:val="24"/>
              </w:rPr>
              <w:tab/>
            </w:r>
            <w:r w:rsidRPr="00697DAB">
              <w:rPr>
                <w:rStyle w:val="Hyperlink"/>
                <w:noProof/>
              </w:rPr>
              <w:t>Data Collection Methods</w:t>
            </w:r>
            <w:r>
              <w:rPr>
                <w:noProof/>
                <w:webHidden/>
              </w:rPr>
              <w:tab/>
            </w:r>
            <w:r>
              <w:rPr>
                <w:noProof/>
                <w:webHidden/>
              </w:rPr>
              <w:fldChar w:fldCharType="begin"/>
            </w:r>
            <w:r>
              <w:rPr>
                <w:noProof/>
                <w:webHidden/>
              </w:rPr>
              <w:instrText xml:space="preserve"> PAGEREF _Toc208062009 \h </w:instrText>
            </w:r>
            <w:r>
              <w:rPr>
                <w:noProof/>
                <w:webHidden/>
              </w:rPr>
            </w:r>
            <w:r>
              <w:rPr>
                <w:noProof/>
                <w:webHidden/>
              </w:rPr>
              <w:fldChar w:fldCharType="separate"/>
            </w:r>
            <w:r>
              <w:rPr>
                <w:noProof/>
                <w:webHidden/>
              </w:rPr>
              <w:t>16</w:t>
            </w:r>
            <w:r>
              <w:rPr>
                <w:noProof/>
                <w:webHidden/>
              </w:rPr>
              <w:fldChar w:fldCharType="end"/>
            </w:r>
          </w:hyperlink>
        </w:p>
        <w:p w14:paraId="147076C5" w14:textId="6E282F67" w:rsidR="00D31375" w:rsidRDefault="00D31375">
          <w:pPr>
            <w:pStyle w:val="TOC2"/>
            <w:tabs>
              <w:tab w:val="left" w:pos="541"/>
              <w:tab w:val="right" w:leader="dot" w:pos="9350"/>
            </w:tabs>
            <w:rPr>
              <w:b w:val="0"/>
              <w:bCs w:val="0"/>
              <w:smallCaps w:val="0"/>
              <w:noProof/>
              <w:sz w:val="24"/>
              <w:szCs w:val="24"/>
            </w:rPr>
          </w:pPr>
          <w:hyperlink w:anchor="_Toc208062010" w:history="1">
            <w:r w:rsidRPr="00697DAB">
              <w:rPr>
                <w:rStyle w:val="Hyperlink"/>
                <w:noProof/>
              </w:rPr>
              <w:t>4.3</w:t>
            </w:r>
            <w:r>
              <w:rPr>
                <w:b w:val="0"/>
                <w:bCs w:val="0"/>
                <w:smallCaps w:val="0"/>
                <w:noProof/>
                <w:sz w:val="24"/>
                <w:szCs w:val="24"/>
              </w:rPr>
              <w:tab/>
            </w:r>
            <w:r w:rsidRPr="00697DAB">
              <w:rPr>
                <w:rStyle w:val="Hyperlink"/>
                <w:noProof/>
              </w:rPr>
              <w:t>Data Collection Procedures</w:t>
            </w:r>
            <w:r>
              <w:rPr>
                <w:noProof/>
                <w:webHidden/>
              </w:rPr>
              <w:tab/>
            </w:r>
            <w:r>
              <w:rPr>
                <w:noProof/>
                <w:webHidden/>
              </w:rPr>
              <w:fldChar w:fldCharType="begin"/>
            </w:r>
            <w:r>
              <w:rPr>
                <w:noProof/>
                <w:webHidden/>
              </w:rPr>
              <w:instrText xml:space="preserve"> PAGEREF _Toc208062010 \h </w:instrText>
            </w:r>
            <w:r>
              <w:rPr>
                <w:noProof/>
                <w:webHidden/>
              </w:rPr>
            </w:r>
            <w:r>
              <w:rPr>
                <w:noProof/>
                <w:webHidden/>
              </w:rPr>
              <w:fldChar w:fldCharType="separate"/>
            </w:r>
            <w:r>
              <w:rPr>
                <w:noProof/>
                <w:webHidden/>
              </w:rPr>
              <w:t>17</w:t>
            </w:r>
            <w:r>
              <w:rPr>
                <w:noProof/>
                <w:webHidden/>
              </w:rPr>
              <w:fldChar w:fldCharType="end"/>
            </w:r>
          </w:hyperlink>
        </w:p>
        <w:p w14:paraId="39891D7D" w14:textId="64ABF118" w:rsidR="00D31375" w:rsidRDefault="00D31375">
          <w:pPr>
            <w:pStyle w:val="TOC2"/>
            <w:tabs>
              <w:tab w:val="left" w:pos="541"/>
              <w:tab w:val="right" w:leader="dot" w:pos="9350"/>
            </w:tabs>
            <w:rPr>
              <w:b w:val="0"/>
              <w:bCs w:val="0"/>
              <w:smallCaps w:val="0"/>
              <w:noProof/>
              <w:sz w:val="24"/>
              <w:szCs w:val="24"/>
            </w:rPr>
          </w:pPr>
          <w:hyperlink w:anchor="_Toc208062011" w:history="1">
            <w:r w:rsidRPr="00697DAB">
              <w:rPr>
                <w:rStyle w:val="Hyperlink"/>
                <w:noProof/>
              </w:rPr>
              <w:t>4.4</w:t>
            </w:r>
            <w:r>
              <w:rPr>
                <w:b w:val="0"/>
                <w:bCs w:val="0"/>
                <w:smallCaps w:val="0"/>
                <w:noProof/>
                <w:sz w:val="24"/>
                <w:szCs w:val="24"/>
              </w:rPr>
              <w:tab/>
            </w:r>
            <w:r w:rsidRPr="00697DAB">
              <w:rPr>
                <w:rStyle w:val="Hyperlink"/>
                <w:noProof/>
              </w:rPr>
              <w:t>Data Analysis Procedures</w:t>
            </w:r>
            <w:r>
              <w:rPr>
                <w:noProof/>
                <w:webHidden/>
              </w:rPr>
              <w:tab/>
            </w:r>
            <w:r>
              <w:rPr>
                <w:noProof/>
                <w:webHidden/>
              </w:rPr>
              <w:fldChar w:fldCharType="begin"/>
            </w:r>
            <w:r>
              <w:rPr>
                <w:noProof/>
                <w:webHidden/>
              </w:rPr>
              <w:instrText xml:space="preserve"> PAGEREF _Toc208062011 \h </w:instrText>
            </w:r>
            <w:r>
              <w:rPr>
                <w:noProof/>
                <w:webHidden/>
              </w:rPr>
            </w:r>
            <w:r>
              <w:rPr>
                <w:noProof/>
                <w:webHidden/>
              </w:rPr>
              <w:fldChar w:fldCharType="separate"/>
            </w:r>
            <w:r>
              <w:rPr>
                <w:noProof/>
                <w:webHidden/>
              </w:rPr>
              <w:t>18</w:t>
            </w:r>
            <w:r>
              <w:rPr>
                <w:noProof/>
                <w:webHidden/>
              </w:rPr>
              <w:fldChar w:fldCharType="end"/>
            </w:r>
          </w:hyperlink>
        </w:p>
        <w:p w14:paraId="5C3D078B" w14:textId="306FCF05" w:rsidR="00D31375" w:rsidRDefault="00D31375">
          <w:pPr>
            <w:pStyle w:val="TOC2"/>
            <w:tabs>
              <w:tab w:val="left" w:pos="541"/>
              <w:tab w:val="right" w:leader="dot" w:pos="9350"/>
            </w:tabs>
            <w:rPr>
              <w:b w:val="0"/>
              <w:bCs w:val="0"/>
              <w:smallCaps w:val="0"/>
              <w:noProof/>
              <w:sz w:val="24"/>
              <w:szCs w:val="24"/>
            </w:rPr>
          </w:pPr>
          <w:hyperlink w:anchor="_Toc208062012" w:history="1">
            <w:r w:rsidRPr="00697DAB">
              <w:rPr>
                <w:rStyle w:val="Hyperlink"/>
                <w:noProof/>
              </w:rPr>
              <w:t>4.5</w:t>
            </w:r>
            <w:r>
              <w:rPr>
                <w:b w:val="0"/>
                <w:bCs w:val="0"/>
                <w:smallCaps w:val="0"/>
                <w:noProof/>
                <w:sz w:val="24"/>
                <w:szCs w:val="24"/>
              </w:rPr>
              <w:tab/>
            </w:r>
            <w:r w:rsidRPr="00697DAB">
              <w:rPr>
                <w:rStyle w:val="Hyperlink"/>
                <w:noProof/>
              </w:rPr>
              <w:t>Ethical Consideration</w:t>
            </w:r>
            <w:r>
              <w:rPr>
                <w:noProof/>
                <w:webHidden/>
              </w:rPr>
              <w:tab/>
            </w:r>
            <w:r>
              <w:rPr>
                <w:noProof/>
                <w:webHidden/>
              </w:rPr>
              <w:fldChar w:fldCharType="begin"/>
            </w:r>
            <w:r>
              <w:rPr>
                <w:noProof/>
                <w:webHidden/>
              </w:rPr>
              <w:instrText xml:space="preserve"> PAGEREF _Toc208062012 \h </w:instrText>
            </w:r>
            <w:r>
              <w:rPr>
                <w:noProof/>
                <w:webHidden/>
              </w:rPr>
            </w:r>
            <w:r>
              <w:rPr>
                <w:noProof/>
                <w:webHidden/>
              </w:rPr>
              <w:fldChar w:fldCharType="separate"/>
            </w:r>
            <w:r>
              <w:rPr>
                <w:noProof/>
                <w:webHidden/>
              </w:rPr>
              <w:t>19</w:t>
            </w:r>
            <w:r>
              <w:rPr>
                <w:noProof/>
                <w:webHidden/>
              </w:rPr>
              <w:fldChar w:fldCharType="end"/>
            </w:r>
          </w:hyperlink>
        </w:p>
        <w:p w14:paraId="2C57561C" w14:textId="7923F24B" w:rsidR="00D31375" w:rsidRDefault="00D31375">
          <w:pPr>
            <w:pStyle w:val="TOC2"/>
            <w:tabs>
              <w:tab w:val="left" w:pos="541"/>
              <w:tab w:val="right" w:leader="dot" w:pos="9350"/>
            </w:tabs>
            <w:rPr>
              <w:b w:val="0"/>
              <w:bCs w:val="0"/>
              <w:smallCaps w:val="0"/>
              <w:noProof/>
              <w:sz w:val="24"/>
              <w:szCs w:val="24"/>
            </w:rPr>
          </w:pPr>
          <w:hyperlink w:anchor="_Toc208062013" w:history="1">
            <w:r w:rsidRPr="00697DAB">
              <w:rPr>
                <w:rStyle w:val="Hyperlink"/>
                <w:noProof/>
              </w:rPr>
              <w:t>4.6</w:t>
            </w:r>
            <w:r>
              <w:rPr>
                <w:b w:val="0"/>
                <w:bCs w:val="0"/>
                <w:smallCaps w:val="0"/>
                <w:noProof/>
                <w:sz w:val="24"/>
                <w:szCs w:val="24"/>
              </w:rPr>
              <w:tab/>
            </w:r>
            <w:r w:rsidRPr="00697DAB">
              <w:rPr>
                <w:rStyle w:val="Hyperlink"/>
                <w:noProof/>
              </w:rPr>
              <w:t>Qualitative Limitation</w:t>
            </w:r>
            <w:r>
              <w:rPr>
                <w:noProof/>
                <w:webHidden/>
              </w:rPr>
              <w:tab/>
            </w:r>
            <w:r>
              <w:rPr>
                <w:noProof/>
                <w:webHidden/>
              </w:rPr>
              <w:fldChar w:fldCharType="begin"/>
            </w:r>
            <w:r>
              <w:rPr>
                <w:noProof/>
                <w:webHidden/>
              </w:rPr>
              <w:instrText xml:space="preserve"> PAGEREF _Toc208062013 \h </w:instrText>
            </w:r>
            <w:r>
              <w:rPr>
                <w:noProof/>
                <w:webHidden/>
              </w:rPr>
            </w:r>
            <w:r>
              <w:rPr>
                <w:noProof/>
                <w:webHidden/>
              </w:rPr>
              <w:fldChar w:fldCharType="separate"/>
            </w:r>
            <w:r>
              <w:rPr>
                <w:noProof/>
                <w:webHidden/>
              </w:rPr>
              <w:t>19</w:t>
            </w:r>
            <w:r>
              <w:rPr>
                <w:noProof/>
                <w:webHidden/>
              </w:rPr>
              <w:fldChar w:fldCharType="end"/>
            </w:r>
          </w:hyperlink>
        </w:p>
        <w:p w14:paraId="2D8F3841" w14:textId="40E5D810" w:rsidR="00D31375" w:rsidRDefault="00D31375">
          <w:pPr>
            <w:pStyle w:val="TOC2"/>
            <w:tabs>
              <w:tab w:val="left" w:pos="541"/>
              <w:tab w:val="right" w:leader="dot" w:pos="9350"/>
            </w:tabs>
            <w:rPr>
              <w:b w:val="0"/>
              <w:bCs w:val="0"/>
              <w:smallCaps w:val="0"/>
              <w:noProof/>
              <w:sz w:val="24"/>
              <w:szCs w:val="24"/>
            </w:rPr>
          </w:pPr>
          <w:hyperlink w:anchor="_Toc208062014" w:history="1">
            <w:r w:rsidRPr="00697DAB">
              <w:rPr>
                <w:rStyle w:val="Hyperlink"/>
                <w:noProof/>
              </w:rPr>
              <w:t>4.7</w:t>
            </w:r>
            <w:r>
              <w:rPr>
                <w:b w:val="0"/>
                <w:bCs w:val="0"/>
                <w:smallCaps w:val="0"/>
                <w:noProof/>
                <w:sz w:val="24"/>
                <w:szCs w:val="24"/>
              </w:rPr>
              <w:tab/>
            </w:r>
            <w:r w:rsidRPr="00697DAB">
              <w:rPr>
                <w:rStyle w:val="Hyperlink"/>
                <w:noProof/>
              </w:rPr>
              <w:t>Research Timeline</w:t>
            </w:r>
            <w:r>
              <w:rPr>
                <w:noProof/>
                <w:webHidden/>
              </w:rPr>
              <w:tab/>
            </w:r>
            <w:r>
              <w:rPr>
                <w:noProof/>
                <w:webHidden/>
              </w:rPr>
              <w:fldChar w:fldCharType="begin"/>
            </w:r>
            <w:r>
              <w:rPr>
                <w:noProof/>
                <w:webHidden/>
              </w:rPr>
              <w:instrText xml:space="preserve"> PAGEREF _Toc208062014 \h </w:instrText>
            </w:r>
            <w:r>
              <w:rPr>
                <w:noProof/>
                <w:webHidden/>
              </w:rPr>
            </w:r>
            <w:r>
              <w:rPr>
                <w:noProof/>
                <w:webHidden/>
              </w:rPr>
              <w:fldChar w:fldCharType="separate"/>
            </w:r>
            <w:r>
              <w:rPr>
                <w:noProof/>
                <w:webHidden/>
              </w:rPr>
              <w:t>20</w:t>
            </w:r>
            <w:r>
              <w:rPr>
                <w:noProof/>
                <w:webHidden/>
              </w:rPr>
              <w:fldChar w:fldCharType="end"/>
            </w:r>
          </w:hyperlink>
        </w:p>
        <w:p w14:paraId="6A6DE569" w14:textId="7E0FA952" w:rsidR="00D31375" w:rsidRDefault="00D31375">
          <w:pPr>
            <w:pStyle w:val="TOC2"/>
            <w:tabs>
              <w:tab w:val="left" w:pos="541"/>
              <w:tab w:val="right" w:leader="dot" w:pos="9350"/>
            </w:tabs>
            <w:rPr>
              <w:b w:val="0"/>
              <w:bCs w:val="0"/>
              <w:smallCaps w:val="0"/>
              <w:noProof/>
              <w:sz w:val="24"/>
              <w:szCs w:val="24"/>
            </w:rPr>
          </w:pPr>
          <w:hyperlink w:anchor="_Toc208062015" w:history="1">
            <w:r w:rsidRPr="00697DAB">
              <w:rPr>
                <w:rStyle w:val="Hyperlink"/>
                <w:noProof/>
              </w:rPr>
              <w:t>4.8</w:t>
            </w:r>
            <w:r>
              <w:rPr>
                <w:b w:val="0"/>
                <w:bCs w:val="0"/>
                <w:smallCaps w:val="0"/>
                <w:noProof/>
                <w:sz w:val="24"/>
                <w:szCs w:val="24"/>
              </w:rPr>
              <w:tab/>
            </w:r>
            <w:r w:rsidRPr="00697DAB">
              <w:rPr>
                <w:rStyle w:val="Hyperlink"/>
                <w:noProof/>
              </w:rPr>
              <w:t>Limitations of the Design</w:t>
            </w:r>
            <w:r>
              <w:rPr>
                <w:noProof/>
                <w:webHidden/>
              </w:rPr>
              <w:tab/>
            </w:r>
            <w:r>
              <w:rPr>
                <w:noProof/>
                <w:webHidden/>
              </w:rPr>
              <w:fldChar w:fldCharType="begin"/>
            </w:r>
            <w:r>
              <w:rPr>
                <w:noProof/>
                <w:webHidden/>
              </w:rPr>
              <w:instrText xml:space="preserve"> PAGEREF _Toc208062015 \h </w:instrText>
            </w:r>
            <w:r>
              <w:rPr>
                <w:noProof/>
                <w:webHidden/>
              </w:rPr>
            </w:r>
            <w:r>
              <w:rPr>
                <w:noProof/>
                <w:webHidden/>
              </w:rPr>
              <w:fldChar w:fldCharType="separate"/>
            </w:r>
            <w:r>
              <w:rPr>
                <w:noProof/>
                <w:webHidden/>
              </w:rPr>
              <w:t>20</w:t>
            </w:r>
            <w:r>
              <w:rPr>
                <w:noProof/>
                <w:webHidden/>
              </w:rPr>
              <w:fldChar w:fldCharType="end"/>
            </w:r>
          </w:hyperlink>
        </w:p>
        <w:p w14:paraId="1506D825" w14:textId="56B90777" w:rsidR="00D31375" w:rsidRDefault="00D31375">
          <w:pPr>
            <w:pStyle w:val="TOC2"/>
            <w:tabs>
              <w:tab w:val="left" w:pos="541"/>
              <w:tab w:val="right" w:leader="dot" w:pos="9350"/>
            </w:tabs>
            <w:rPr>
              <w:b w:val="0"/>
              <w:bCs w:val="0"/>
              <w:smallCaps w:val="0"/>
              <w:noProof/>
              <w:sz w:val="24"/>
              <w:szCs w:val="24"/>
            </w:rPr>
          </w:pPr>
          <w:hyperlink w:anchor="_Toc208062016" w:history="1">
            <w:r w:rsidRPr="00697DAB">
              <w:rPr>
                <w:rStyle w:val="Hyperlink"/>
                <w:noProof/>
                <w:kern w:val="0"/>
                <w14:ligatures w14:val="none"/>
              </w:rPr>
              <w:t>4.9</w:t>
            </w:r>
            <w:r>
              <w:rPr>
                <w:b w:val="0"/>
                <w:bCs w:val="0"/>
                <w:smallCaps w:val="0"/>
                <w:noProof/>
                <w:sz w:val="24"/>
                <w:szCs w:val="24"/>
              </w:rPr>
              <w:tab/>
            </w:r>
            <w:r w:rsidRPr="00697DAB">
              <w:rPr>
                <w:rStyle w:val="Hyperlink"/>
                <w:noProof/>
              </w:rPr>
              <w:t>Conclusion to Section 4</w:t>
            </w:r>
            <w:r>
              <w:rPr>
                <w:noProof/>
                <w:webHidden/>
              </w:rPr>
              <w:tab/>
            </w:r>
            <w:r>
              <w:rPr>
                <w:noProof/>
                <w:webHidden/>
              </w:rPr>
              <w:fldChar w:fldCharType="begin"/>
            </w:r>
            <w:r>
              <w:rPr>
                <w:noProof/>
                <w:webHidden/>
              </w:rPr>
              <w:instrText xml:space="preserve"> PAGEREF _Toc208062016 \h </w:instrText>
            </w:r>
            <w:r>
              <w:rPr>
                <w:noProof/>
                <w:webHidden/>
              </w:rPr>
            </w:r>
            <w:r>
              <w:rPr>
                <w:noProof/>
                <w:webHidden/>
              </w:rPr>
              <w:fldChar w:fldCharType="separate"/>
            </w:r>
            <w:r>
              <w:rPr>
                <w:noProof/>
                <w:webHidden/>
              </w:rPr>
              <w:t>21</w:t>
            </w:r>
            <w:r>
              <w:rPr>
                <w:noProof/>
                <w:webHidden/>
              </w:rPr>
              <w:fldChar w:fldCharType="end"/>
            </w:r>
          </w:hyperlink>
        </w:p>
        <w:p w14:paraId="429EC59A" w14:textId="700A9A67" w:rsidR="00D31375" w:rsidRDefault="00D31375">
          <w:pPr>
            <w:pStyle w:val="TOC1"/>
            <w:tabs>
              <w:tab w:val="left" w:pos="358"/>
              <w:tab w:val="right" w:leader="dot" w:pos="9350"/>
            </w:tabs>
            <w:rPr>
              <w:b w:val="0"/>
              <w:bCs w:val="0"/>
              <w:caps w:val="0"/>
              <w:noProof/>
              <w:sz w:val="24"/>
              <w:szCs w:val="24"/>
              <w:u w:val="none"/>
            </w:rPr>
          </w:pPr>
          <w:hyperlink w:anchor="_Toc208062017" w:history="1">
            <w:r w:rsidRPr="00697DAB">
              <w:rPr>
                <w:rStyle w:val="Hyperlink"/>
                <w:noProof/>
              </w:rPr>
              <w:t>5</w:t>
            </w:r>
            <w:r>
              <w:rPr>
                <w:b w:val="0"/>
                <w:bCs w:val="0"/>
                <w:caps w:val="0"/>
                <w:noProof/>
                <w:sz w:val="24"/>
                <w:szCs w:val="24"/>
                <w:u w:val="none"/>
              </w:rPr>
              <w:tab/>
            </w:r>
            <w:r w:rsidRPr="00697DAB">
              <w:rPr>
                <w:rStyle w:val="Hyperlink"/>
                <w:noProof/>
              </w:rPr>
              <w:t>Advance Your Philosophical Understanding of Research Approaches</w:t>
            </w:r>
            <w:r>
              <w:rPr>
                <w:noProof/>
                <w:webHidden/>
              </w:rPr>
              <w:tab/>
            </w:r>
            <w:r>
              <w:rPr>
                <w:noProof/>
                <w:webHidden/>
              </w:rPr>
              <w:fldChar w:fldCharType="begin"/>
            </w:r>
            <w:r>
              <w:rPr>
                <w:noProof/>
                <w:webHidden/>
              </w:rPr>
              <w:instrText xml:space="preserve"> PAGEREF _Toc208062017 \h </w:instrText>
            </w:r>
            <w:r>
              <w:rPr>
                <w:noProof/>
                <w:webHidden/>
              </w:rPr>
            </w:r>
            <w:r>
              <w:rPr>
                <w:noProof/>
                <w:webHidden/>
              </w:rPr>
              <w:fldChar w:fldCharType="separate"/>
            </w:r>
            <w:r>
              <w:rPr>
                <w:noProof/>
                <w:webHidden/>
              </w:rPr>
              <w:t>21</w:t>
            </w:r>
            <w:r>
              <w:rPr>
                <w:noProof/>
                <w:webHidden/>
              </w:rPr>
              <w:fldChar w:fldCharType="end"/>
            </w:r>
          </w:hyperlink>
        </w:p>
        <w:p w14:paraId="600F8DB2" w14:textId="5E59C98C" w:rsidR="00D31375" w:rsidRDefault="00D31375">
          <w:pPr>
            <w:pStyle w:val="TOC2"/>
            <w:tabs>
              <w:tab w:val="left" w:pos="541"/>
              <w:tab w:val="right" w:leader="dot" w:pos="9350"/>
            </w:tabs>
            <w:rPr>
              <w:b w:val="0"/>
              <w:bCs w:val="0"/>
              <w:smallCaps w:val="0"/>
              <w:noProof/>
              <w:sz w:val="24"/>
              <w:szCs w:val="24"/>
            </w:rPr>
          </w:pPr>
          <w:hyperlink w:anchor="_Toc208062018" w:history="1">
            <w:r w:rsidRPr="00697DAB">
              <w:rPr>
                <w:rStyle w:val="Hyperlink"/>
                <w:noProof/>
              </w:rPr>
              <w:t>5.1</w:t>
            </w:r>
            <w:r>
              <w:rPr>
                <w:b w:val="0"/>
                <w:bCs w:val="0"/>
                <w:smallCaps w:val="0"/>
                <w:noProof/>
                <w:sz w:val="24"/>
                <w:szCs w:val="24"/>
              </w:rPr>
              <w:tab/>
            </w:r>
            <w:r w:rsidRPr="00697DAB">
              <w:rPr>
                <w:rStyle w:val="Hyperlink"/>
                <w:noProof/>
              </w:rPr>
              <w:t>Innovation of the Research Framework</w:t>
            </w:r>
            <w:r>
              <w:rPr>
                <w:noProof/>
                <w:webHidden/>
              </w:rPr>
              <w:tab/>
            </w:r>
            <w:r>
              <w:rPr>
                <w:noProof/>
                <w:webHidden/>
              </w:rPr>
              <w:fldChar w:fldCharType="begin"/>
            </w:r>
            <w:r>
              <w:rPr>
                <w:noProof/>
                <w:webHidden/>
              </w:rPr>
              <w:instrText xml:space="preserve"> PAGEREF _Toc208062018 \h </w:instrText>
            </w:r>
            <w:r>
              <w:rPr>
                <w:noProof/>
                <w:webHidden/>
              </w:rPr>
            </w:r>
            <w:r>
              <w:rPr>
                <w:noProof/>
                <w:webHidden/>
              </w:rPr>
              <w:fldChar w:fldCharType="separate"/>
            </w:r>
            <w:r>
              <w:rPr>
                <w:noProof/>
                <w:webHidden/>
              </w:rPr>
              <w:t>21</w:t>
            </w:r>
            <w:r>
              <w:rPr>
                <w:noProof/>
                <w:webHidden/>
              </w:rPr>
              <w:fldChar w:fldCharType="end"/>
            </w:r>
          </w:hyperlink>
        </w:p>
        <w:p w14:paraId="4FBBBCF4" w14:textId="5035208E" w:rsidR="00D31375" w:rsidRDefault="00D31375">
          <w:pPr>
            <w:pStyle w:val="TOC2"/>
            <w:tabs>
              <w:tab w:val="left" w:pos="541"/>
              <w:tab w:val="right" w:leader="dot" w:pos="9350"/>
            </w:tabs>
            <w:rPr>
              <w:b w:val="0"/>
              <w:bCs w:val="0"/>
              <w:smallCaps w:val="0"/>
              <w:noProof/>
              <w:sz w:val="24"/>
              <w:szCs w:val="24"/>
            </w:rPr>
          </w:pPr>
          <w:hyperlink w:anchor="_Toc208062019" w:history="1">
            <w:r w:rsidRPr="00697DAB">
              <w:rPr>
                <w:rStyle w:val="Hyperlink"/>
                <w:noProof/>
                <w:kern w:val="0"/>
                <w14:ligatures w14:val="none"/>
              </w:rPr>
              <w:t>5.2</w:t>
            </w:r>
            <w:r>
              <w:rPr>
                <w:b w:val="0"/>
                <w:bCs w:val="0"/>
                <w:smallCaps w:val="0"/>
                <w:noProof/>
                <w:sz w:val="24"/>
                <w:szCs w:val="24"/>
              </w:rPr>
              <w:tab/>
            </w:r>
            <w:r w:rsidRPr="00697DAB">
              <w:rPr>
                <w:rStyle w:val="Hyperlink"/>
                <w:noProof/>
              </w:rPr>
              <w:t>Theoretical Contributions</w:t>
            </w:r>
            <w:r>
              <w:rPr>
                <w:noProof/>
                <w:webHidden/>
              </w:rPr>
              <w:tab/>
            </w:r>
            <w:r>
              <w:rPr>
                <w:noProof/>
                <w:webHidden/>
              </w:rPr>
              <w:fldChar w:fldCharType="begin"/>
            </w:r>
            <w:r>
              <w:rPr>
                <w:noProof/>
                <w:webHidden/>
              </w:rPr>
              <w:instrText xml:space="preserve"> PAGEREF _Toc208062019 \h </w:instrText>
            </w:r>
            <w:r>
              <w:rPr>
                <w:noProof/>
                <w:webHidden/>
              </w:rPr>
            </w:r>
            <w:r>
              <w:rPr>
                <w:noProof/>
                <w:webHidden/>
              </w:rPr>
              <w:fldChar w:fldCharType="separate"/>
            </w:r>
            <w:r>
              <w:rPr>
                <w:noProof/>
                <w:webHidden/>
              </w:rPr>
              <w:t>22</w:t>
            </w:r>
            <w:r>
              <w:rPr>
                <w:noProof/>
                <w:webHidden/>
              </w:rPr>
              <w:fldChar w:fldCharType="end"/>
            </w:r>
          </w:hyperlink>
        </w:p>
        <w:p w14:paraId="704CCDEE" w14:textId="17EAB95A" w:rsidR="00D31375" w:rsidRDefault="00D31375">
          <w:pPr>
            <w:pStyle w:val="TOC2"/>
            <w:tabs>
              <w:tab w:val="left" w:pos="541"/>
              <w:tab w:val="right" w:leader="dot" w:pos="9350"/>
            </w:tabs>
            <w:rPr>
              <w:b w:val="0"/>
              <w:bCs w:val="0"/>
              <w:smallCaps w:val="0"/>
              <w:noProof/>
              <w:sz w:val="24"/>
              <w:szCs w:val="24"/>
            </w:rPr>
          </w:pPr>
          <w:hyperlink w:anchor="_Toc208062020" w:history="1">
            <w:r w:rsidRPr="00697DAB">
              <w:rPr>
                <w:rStyle w:val="Hyperlink"/>
                <w:noProof/>
              </w:rPr>
              <w:t>5.3</w:t>
            </w:r>
            <w:r>
              <w:rPr>
                <w:b w:val="0"/>
                <w:bCs w:val="0"/>
                <w:smallCaps w:val="0"/>
                <w:noProof/>
                <w:sz w:val="24"/>
                <w:szCs w:val="24"/>
              </w:rPr>
              <w:tab/>
            </w:r>
            <w:r w:rsidRPr="00697DAB">
              <w:rPr>
                <w:rStyle w:val="Hyperlink"/>
                <w:noProof/>
              </w:rPr>
              <w:t>Practical Contributions</w:t>
            </w:r>
            <w:r>
              <w:rPr>
                <w:noProof/>
                <w:webHidden/>
              </w:rPr>
              <w:tab/>
            </w:r>
            <w:r>
              <w:rPr>
                <w:noProof/>
                <w:webHidden/>
              </w:rPr>
              <w:fldChar w:fldCharType="begin"/>
            </w:r>
            <w:r>
              <w:rPr>
                <w:noProof/>
                <w:webHidden/>
              </w:rPr>
              <w:instrText xml:space="preserve"> PAGEREF _Toc208062020 \h </w:instrText>
            </w:r>
            <w:r>
              <w:rPr>
                <w:noProof/>
                <w:webHidden/>
              </w:rPr>
            </w:r>
            <w:r>
              <w:rPr>
                <w:noProof/>
                <w:webHidden/>
              </w:rPr>
              <w:fldChar w:fldCharType="separate"/>
            </w:r>
            <w:r>
              <w:rPr>
                <w:noProof/>
                <w:webHidden/>
              </w:rPr>
              <w:t>24</w:t>
            </w:r>
            <w:r>
              <w:rPr>
                <w:noProof/>
                <w:webHidden/>
              </w:rPr>
              <w:fldChar w:fldCharType="end"/>
            </w:r>
          </w:hyperlink>
        </w:p>
        <w:p w14:paraId="4D8515E0" w14:textId="727419AD" w:rsidR="00D31375" w:rsidRDefault="00D31375">
          <w:pPr>
            <w:pStyle w:val="TOC3"/>
            <w:tabs>
              <w:tab w:val="left" w:pos="755"/>
              <w:tab w:val="right" w:leader="dot" w:pos="9350"/>
            </w:tabs>
            <w:rPr>
              <w:smallCaps w:val="0"/>
              <w:noProof/>
              <w:sz w:val="24"/>
              <w:szCs w:val="24"/>
            </w:rPr>
          </w:pPr>
          <w:hyperlink w:anchor="_Toc208062021" w:history="1">
            <w:r w:rsidRPr="00697DAB">
              <w:rPr>
                <w:rStyle w:val="Hyperlink"/>
                <w:noProof/>
              </w:rPr>
              <w:t xml:space="preserve">5.3.1 </w:t>
            </w:r>
            <w:r>
              <w:rPr>
                <w:smallCaps w:val="0"/>
                <w:noProof/>
                <w:sz w:val="24"/>
                <w:szCs w:val="24"/>
              </w:rPr>
              <w:tab/>
            </w:r>
            <w:r w:rsidRPr="00697DAB">
              <w:rPr>
                <w:rStyle w:val="Hyperlink"/>
                <w:noProof/>
              </w:rPr>
              <w:t>Managerial Implications for Banks, Regulators and Corporations</w:t>
            </w:r>
            <w:r>
              <w:rPr>
                <w:noProof/>
                <w:webHidden/>
              </w:rPr>
              <w:tab/>
            </w:r>
            <w:r>
              <w:rPr>
                <w:noProof/>
                <w:webHidden/>
              </w:rPr>
              <w:fldChar w:fldCharType="begin"/>
            </w:r>
            <w:r>
              <w:rPr>
                <w:noProof/>
                <w:webHidden/>
              </w:rPr>
              <w:instrText xml:space="preserve"> PAGEREF _Toc208062021 \h </w:instrText>
            </w:r>
            <w:r>
              <w:rPr>
                <w:noProof/>
                <w:webHidden/>
              </w:rPr>
            </w:r>
            <w:r>
              <w:rPr>
                <w:noProof/>
                <w:webHidden/>
              </w:rPr>
              <w:fldChar w:fldCharType="separate"/>
            </w:r>
            <w:r>
              <w:rPr>
                <w:noProof/>
                <w:webHidden/>
              </w:rPr>
              <w:t>24</w:t>
            </w:r>
            <w:r>
              <w:rPr>
                <w:noProof/>
                <w:webHidden/>
              </w:rPr>
              <w:fldChar w:fldCharType="end"/>
            </w:r>
          </w:hyperlink>
        </w:p>
        <w:p w14:paraId="05A51A4E" w14:textId="77AA7929" w:rsidR="00D31375" w:rsidRDefault="00D31375">
          <w:pPr>
            <w:pStyle w:val="TOC2"/>
            <w:tabs>
              <w:tab w:val="left" w:pos="541"/>
              <w:tab w:val="right" w:leader="dot" w:pos="9350"/>
            </w:tabs>
            <w:rPr>
              <w:b w:val="0"/>
              <w:bCs w:val="0"/>
              <w:smallCaps w:val="0"/>
              <w:noProof/>
              <w:sz w:val="24"/>
              <w:szCs w:val="24"/>
            </w:rPr>
          </w:pPr>
          <w:hyperlink w:anchor="_Toc208062022" w:history="1">
            <w:r w:rsidRPr="00697DAB">
              <w:rPr>
                <w:rStyle w:val="Hyperlink"/>
                <w:noProof/>
                <w:kern w:val="0"/>
                <w14:ligatures w14:val="none"/>
              </w:rPr>
              <w:t>5.4</w:t>
            </w:r>
            <w:r>
              <w:rPr>
                <w:b w:val="0"/>
                <w:bCs w:val="0"/>
                <w:smallCaps w:val="0"/>
                <w:noProof/>
                <w:sz w:val="24"/>
                <w:szCs w:val="24"/>
              </w:rPr>
              <w:tab/>
            </w:r>
            <w:r w:rsidRPr="00697DAB">
              <w:rPr>
                <w:rStyle w:val="Hyperlink"/>
                <w:noProof/>
              </w:rPr>
              <w:t>Limitations and Directions for Future Research</w:t>
            </w:r>
            <w:r>
              <w:rPr>
                <w:noProof/>
                <w:webHidden/>
              </w:rPr>
              <w:tab/>
            </w:r>
            <w:r>
              <w:rPr>
                <w:noProof/>
                <w:webHidden/>
              </w:rPr>
              <w:fldChar w:fldCharType="begin"/>
            </w:r>
            <w:r>
              <w:rPr>
                <w:noProof/>
                <w:webHidden/>
              </w:rPr>
              <w:instrText xml:space="preserve"> PAGEREF _Toc208062022 \h </w:instrText>
            </w:r>
            <w:r>
              <w:rPr>
                <w:noProof/>
                <w:webHidden/>
              </w:rPr>
            </w:r>
            <w:r>
              <w:rPr>
                <w:noProof/>
                <w:webHidden/>
              </w:rPr>
              <w:fldChar w:fldCharType="separate"/>
            </w:r>
            <w:r>
              <w:rPr>
                <w:noProof/>
                <w:webHidden/>
              </w:rPr>
              <w:t>25</w:t>
            </w:r>
            <w:r>
              <w:rPr>
                <w:noProof/>
                <w:webHidden/>
              </w:rPr>
              <w:fldChar w:fldCharType="end"/>
            </w:r>
          </w:hyperlink>
        </w:p>
        <w:p w14:paraId="29EED357" w14:textId="60FE73D3" w:rsidR="00D31375" w:rsidRDefault="00D31375">
          <w:pPr>
            <w:pStyle w:val="TOC2"/>
            <w:tabs>
              <w:tab w:val="left" w:pos="541"/>
              <w:tab w:val="right" w:leader="dot" w:pos="9350"/>
            </w:tabs>
            <w:rPr>
              <w:b w:val="0"/>
              <w:bCs w:val="0"/>
              <w:smallCaps w:val="0"/>
              <w:noProof/>
              <w:sz w:val="24"/>
              <w:szCs w:val="24"/>
            </w:rPr>
          </w:pPr>
          <w:hyperlink w:anchor="_Toc208062023" w:history="1">
            <w:r w:rsidRPr="00697DAB">
              <w:rPr>
                <w:rStyle w:val="Hyperlink"/>
                <w:noProof/>
                <w:kern w:val="0"/>
                <w14:ligatures w14:val="none"/>
              </w:rPr>
              <w:t>5.5</w:t>
            </w:r>
            <w:r>
              <w:rPr>
                <w:b w:val="0"/>
                <w:bCs w:val="0"/>
                <w:smallCaps w:val="0"/>
                <w:noProof/>
                <w:sz w:val="24"/>
                <w:szCs w:val="24"/>
              </w:rPr>
              <w:tab/>
            </w:r>
            <w:r w:rsidRPr="00697DAB">
              <w:rPr>
                <w:rStyle w:val="Hyperlink"/>
                <w:noProof/>
              </w:rPr>
              <w:t>Future Research Directions</w:t>
            </w:r>
            <w:r>
              <w:rPr>
                <w:noProof/>
                <w:webHidden/>
              </w:rPr>
              <w:tab/>
            </w:r>
            <w:r>
              <w:rPr>
                <w:noProof/>
                <w:webHidden/>
              </w:rPr>
              <w:fldChar w:fldCharType="begin"/>
            </w:r>
            <w:r>
              <w:rPr>
                <w:noProof/>
                <w:webHidden/>
              </w:rPr>
              <w:instrText xml:space="preserve"> PAGEREF _Toc208062023 \h </w:instrText>
            </w:r>
            <w:r>
              <w:rPr>
                <w:noProof/>
                <w:webHidden/>
              </w:rPr>
            </w:r>
            <w:r>
              <w:rPr>
                <w:noProof/>
                <w:webHidden/>
              </w:rPr>
              <w:fldChar w:fldCharType="separate"/>
            </w:r>
            <w:r>
              <w:rPr>
                <w:noProof/>
                <w:webHidden/>
              </w:rPr>
              <w:t>26</w:t>
            </w:r>
            <w:r>
              <w:rPr>
                <w:noProof/>
                <w:webHidden/>
              </w:rPr>
              <w:fldChar w:fldCharType="end"/>
            </w:r>
          </w:hyperlink>
        </w:p>
        <w:p w14:paraId="4A2E8280" w14:textId="67DA077F" w:rsidR="00D31375" w:rsidRDefault="00D31375">
          <w:pPr>
            <w:pStyle w:val="TOC1"/>
            <w:tabs>
              <w:tab w:val="left" w:pos="358"/>
              <w:tab w:val="right" w:leader="dot" w:pos="9350"/>
            </w:tabs>
            <w:rPr>
              <w:b w:val="0"/>
              <w:bCs w:val="0"/>
              <w:caps w:val="0"/>
              <w:noProof/>
              <w:sz w:val="24"/>
              <w:szCs w:val="24"/>
              <w:u w:val="none"/>
            </w:rPr>
          </w:pPr>
          <w:hyperlink w:anchor="_Toc208062024" w:history="1">
            <w:r w:rsidRPr="00697DAB">
              <w:rPr>
                <w:rStyle w:val="Hyperlink"/>
                <w:noProof/>
              </w:rPr>
              <w:t>6</w:t>
            </w:r>
            <w:r>
              <w:rPr>
                <w:b w:val="0"/>
                <w:bCs w:val="0"/>
                <w:caps w:val="0"/>
                <w:noProof/>
                <w:sz w:val="24"/>
                <w:szCs w:val="24"/>
                <w:u w:val="none"/>
              </w:rPr>
              <w:tab/>
            </w:r>
            <w:r w:rsidRPr="00697DAB">
              <w:rPr>
                <w:rStyle w:val="Hyperlink"/>
                <w:noProof/>
              </w:rPr>
              <w:t>Conclusion – Towards Risk-Proofed and Talent-Enabled Digital Ecosystems</w:t>
            </w:r>
            <w:r>
              <w:rPr>
                <w:noProof/>
                <w:webHidden/>
              </w:rPr>
              <w:tab/>
            </w:r>
            <w:r>
              <w:rPr>
                <w:noProof/>
                <w:webHidden/>
              </w:rPr>
              <w:fldChar w:fldCharType="begin"/>
            </w:r>
            <w:r>
              <w:rPr>
                <w:noProof/>
                <w:webHidden/>
              </w:rPr>
              <w:instrText xml:space="preserve"> PAGEREF _Toc208062024 \h </w:instrText>
            </w:r>
            <w:r>
              <w:rPr>
                <w:noProof/>
                <w:webHidden/>
              </w:rPr>
            </w:r>
            <w:r>
              <w:rPr>
                <w:noProof/>
                <w:webHidden/>
              </w:rPr>
              <w:fldChar w:fldCharType="separate"/>
            </w:r>
            <w:r>
              <w:rPr>
                <w:noProof/>
                <w:webHidden/>
              </w:rPr>
              <w:t>27</w:t>
            </w:r>
            <w:r>
              <w:rPr>
                <w:noProof/>
                <w:webHidden/>
              </w:rPr>
              <w:fldChar w:fldCharType="end"/>
            </w:r>
          </w:hyperlink>
        </w:p>
        <w:p w14:paraId="755156CB" w14:textId="713EA2AA" w:rsidR="00D31375" w:rsidRDefault="00D31375">
          <w:pPr>
            <w:pStyle w:val="TOC1"/>
            <w:tabs>
              <w:tab w:val="left" w:pos="358"/>
              <w:tab w:val="right" w:leader="dot" w:pos="9350"/>
            </w:tabs>
            <w:rPr>
              <w:b w:val="0"/>
              <w:bCs w:val="0"/>
              <w:caps w:val="0"/>
              <w:noProof/>
              <w:sz w:val="24"/>
              <w:szCs w:val="24"/>
              <w:u w:val="none"/>
            </w:rPr>
          </w:pPr>
          <w:hyperlink w:anchor="_Toc208062025" w:history="1">
            <w:r w:rsidRPr="00697DAB">
              <w:rPr>
                <w:rStyle w:val="Hyperlink"/>
                <w:noProof/>
              </w:rPr>
              <w:t>7</w:t>
            </w:r>
            <w:r>
              <w:rPr>
                <w:b w:val="0"/>
                <w:bCs w:val="0"/>
                <w:caps w:val="0"/>
                <w:noProof/>
                <w:sz w:val="24"/>
                <w:szCs w:val="24"/>
                <w:u w:val="none"/>
              </w:rPr>
              <w:tab/>
            </w:r>
            <w:r w:rsidRPr="00697DAB">
              <w:rPr>
                <w:rStyle w:val="Hyperlink"/>
                <w:noProof/>
              </w:rPr>
              <w:t>Annotated Bibliography</w:t>
            </w:r>
            <w:r>
              <w:rPr>
                <w:noProof/>
                <w:webHidden/>
              </w:rPr>
              <w:tab/>
            </w:r>
            <w:r>
              <w:rPr>
                <w:noProof/>
                <w:webHidden/>
              </w:rPr>
              <w:fldChar w:fldCharType="begin"/>
            </w:r>
            <w:r>
              <w:rPr>
                <w:noProof/>
                <w:webHidden/>
              </w:rPr>
              <w:instrText xml:space="preserve"> PAGEREF _Toc208062025 \h </w:instrText>
            </w:r>
            <w:r>
              <w:rPr>
                <w:noProof/>
                <w:webHidden/>
              </w:rPr>
            </w:r>
            <w:r>
              <w:rPr>
                <w:noProof/>
                <w:webHidden/>
              </w:rPr>
              <w:fldChar w:fldCharType="separate"/>
            </w:r>
            <w:r>
              <w:rPr>
                <w:noProof/>
                <w:webHidden/>
              </w:rPr>
              <w:t>29</w:t>
            </w:r>
            <w:r>
              <w:rPr>
                <w:noProof/>
                <w:webHidden/>
              </w:rPr>
              <w:fldChar w:fldCharType="end"/>
            </w:r>
          </w:hyperlink>
        </w:p>
        <w:p w14:paraId="37F0D05D" w14:textId="4C7B91F9" w:rsidR="00C934E1" w:rsidRDefault="00C934E1">
          <w:r>
            <w:rPr>
              <w:b/>
              <w:bCs/>
              <w:noProof/>
            </w:rPr>
            <w:fldChar w:fldCharType="end"/>
          </w:r>
        </w:p>
      </w:sdtContent>
    </w:sdt>
    <w:p w14:paraId="358C8848" w14:textId="77777777" w:rsidR="00C934E1" w:rsidRDefault="00C934E1" w:rsidP="00FE2725">
      <w:pPr>
        <w:spacing w:before="100" w:beforeAutospacing="1" w:after="100" w:afterAutospacing="1" w:line="360" w:lineRule="auto"/>
        <w:jc w:val="both"/>
        <w:rPr>
          <w:rFonts w:ascii="Arial" w:eastAsia="Times New Roman" w:hAnsi="Arial" w:cs="Arial"/>
          <w:b/>
          <w:bCs/>
          <w:color w:val="000000"/>
          <w:kern w:val="0"/>
          <w14:ligatures w14:val="none"/>
        </w:rPr>
      </w:pPr>
    </w:p>
    <w:p w14:paraId="6E38543B" w14:textId="77777777" w:rsidR="00C934E1" w:rsidRDefault="00C934E1">
      <w:pPr>
        <w:rPr>
          <w:rFonts w:ascii="Arial" w:eastAsia="Times New Roman" w:hAnsi="Arial" w:cs="Arial"/>
          <w:b/>
          <w:bCs/>
          <w:color w:val="000000"/>
          <w:kern w:val="0"/>
          <w14:ligatures w14:val="none"/>
        </w:rPr>
      </w:pPr>
      <w:r>
        <w:rPr>
          <w:rFonts w:ascii="Arial" w:eastAsia="Times New Roman" w:hAnsi="Arial" w:cs="Arial"/>
          <w:b/>
          <w:bCs/>
          <w:color w:val="000000"/>
          <w:kern w:val="0"/>
          <w14:ligatures w14:val="none"/>
        </w:rPr>
        <w:br w:type="page"/>
      </w:r>
    </w:p>
    <w:p w14:paraId="7379C7A5" w14:textId="77777777" w:rsidR="005B246A" w:rsidRDefault="005B246A" w:rsidP="005B246A">
      <w:pPr>
        <w:spacing w:line="360" w:lineRule="auto"/>
        <w:jc w:val="center"/>
        <w:rPr>
          <w:rStyle w:val="Strong"/>
          <w:color w:val="000000"/>
          <w:sz w:val="52"/>
          <w:szCs w:val="52"/>
        </w:rPr>
      </w:pPr>
    </w:p>
    <w:p w14:paraId="199294BB" w14:textId="77777777" w:rsidR="005B246A" w:rsidRDefault="005B246A" w:rsidP="005B246A">
      <w:pPr>
        <w:spacing w:line="360" w:lineRule="auto"/>
        <w:jc w:val="center"/>
        <w:rPr>
          <w:rStyle w:val="Strong"/>
          <w:color w:val="000000"/>
          <w:sz w:val="52"/>
          <w:szCs w:val="52"/>
        </w:rPr>
      </w:pPr>
    </w:p>
    <w:p w14:paraId="3CC34ACA" w14:textId="77777777" w:rsidR="005B246A" w:rsidRDefault="005B246A" w:rsidP="005B246A">
      <w:pPr>
        <w:spacing w:line="360" w:lineRule="auto"/>
        <w:jc w:val="center"/>
        <w:rPr>
          <w:rStyle w:val="Strong"/>
          <w:color w:val="000000"/>
          <w:sz w:val="52"/>
          <w:szCs w:val="52"/>
        </w:rPr>
      </w:pPr>
    </w:p>
    <w:p w14:paraId="43866458" w14:textId="77777777" w:rsidR="005B246A" w:rsidRDefault="005B246A" w:rsidP="005B246A">
      <w:pPr>
        <w:spacing w:line="360" w:lineRule="auto"/>
        <w:jc w:val="center"/>
        <w:rPr>
          <w:rStyle w:val="Strong"/>
          <w:color w:val="000000"/>
          <w:sz w:val="52"/>
          <w:szCs w:val="52"/>
        </w:rPr>
      </w:pPr>
    </w:p>
    <w:p w14:paraId="74231697" w14:textId="7C25F0DB" w:rsidR="0023484E" w:rsidRPr="005B246A" w:rsidRDefault="005B246A" w:rsidP="005B246A">
      <w:pPr>
        <w:spacing w:line="360" w:lineRule="auto"/>
        <w:jc w:val="center"/>
        <w:rPr>
          <w:rFonts w:eastAsia="Times New Roman" w:cs="Arial"/>
          <w:b/>
          <w:bCs/>
          <w:color w:val="000000"/>
          <w:kern w:val="0"/>
          <w:sz w:val="52"/>
          <w:szCs w:val="52"/>
          <w14:ligatures w14:val="none"/>
        </w:rPr>
      </w:pPr>
      <w:r w:rsidRPr="005B246A">
        <w:rPr>
          <w:rStyle w:val="Strong"/>
          <w:color w:val="000000"/>
          <w:sz w:val="52"/>
          <w:szCs w:val="52"/>
        </w:rPr>
        <w:t xml:space="preserve">New Way of Winning Corporate Clients: Bridging Adoption and </w:t>
      </w:r>
      <w:proofErr w:type="spellStart"/>
      <w:r w:rsidRPr="005B246A">
        <w:rPr>
          <w:rStyle w:val="Strong"/>
          <w:color w:val="000000"/>
          <w:sz w:val="52"/>
          <w:szCs w:val="52"/>
        </w:rPr>
        <w:t>Moneti</w:t>
      </w:r>
      <w:r w:rsidR="001350AC">
        <w:rPr>
          <w:rStyle w:val="Strong"/>
          <w:color w:val="000000"/>
          <w:sz w:val="52"/>
          <w:szCs w:val="52"/>
        </w:rPr>
        <w:t>s</w:t>
      </w:r>
      <w:r w:rsidRPr="005B246A">
        <w:rPr>
          <w:rStyle w:val="Strong"/>
          <w:color w:val="000000"/>
          <w:sz w:val="52"/>
          <w:szCs w:val="52"/>
        </w:rPr>
        <w:t>ation</w:t>
      </w:r>
      <w:proofErr w:type="spellEnd"/>
      <w:r w:rsidRPr="005B246A">
        <w:rPr>
          <w:rStyle w:val="Strong"/>
          <w:color w:val="000000"/>
          <w:sz w:val="52"/>
          <w:szCs w:val="52"/>
        </w:rPr>
        <w:t xml:space="preserve"> in Digital Trade Finance</w:t>
      </w:r>
      <w:r w:rsidR="0023484E" w:rsidRPr="005B246A">
        <w:rPr>
          <w:rFonts w:eastAsia="Times New Roman" w:cs="Arial"/>
          <w:b/>
          <w:bCs/>
          <w:color w:val="000000"/>
          <w:kern w:val="0"/>
          <w:sz w:val="52"/>
          <w:szCs w:val="52"/>
          <w14:ligatures w14:val="none"/>
        </w:rPr>
        <w:br w:type="page"/>
      </w:r>
    </w:p>
    <w:p w14:paraId="18D9C7F9" w14:textId="54D9BB7C" w:rsidR="00D326CE" w:rsidRPr="00B064B8" w:rsidRDefault="00D326CE" w:rsidP="00F72705">
      <w:pPr>
        <w:pStyle w:val="Heading1"/>
        <w:numPr>
          <w:ilvl w:val="0"/>
          <w:numId w:val="24"/>
        </w:numPr>
        <w:tabs>
          <w:tab w:val="left" w:pos="0"/>
          <w:tab w:val="left" w:pos="360"/>
        </w:tabs>
        <w:ind w:left="0" w:firstLine="0"/>
        <w:rPr>
          <w:rFonts w:asciiTheme="minorHAnsi" w:hAnsiTheme="minorHAnsi"/>
        </w:rPr>
      </w:pPr>
      <w:bookmarkStart w:id="0" w:name="_Toc206886329"/>
      <w:bookmarkStart w:id="1" w:name="_Toc208061989"/>
      <w:r w:rsidRPr="00B064B8">
        <w:rPr>
          <w:rFonts w:asciiTheme="minorHAnsi" w:hAnsiTheme="minorHAnsi"/>
        </w:rPr>
        <w:lastRenderedPageBreak/>
        <w:t>Abstract</w:t>
      </w:r>
      <w:bookmarkEnd w:id="0"/>
      <w:r w:rsidR="0023484E">
        <w:rPr>
          <w:rFonts w:asciiTheme="minorHAnsi" w:hAnsiTheme="minorHAnsi"/>
        </w:rPr>
        <w:t xml:space="preserve"> – From Adoption to </w:t>
      </w:r>
      <w:proofErr w:type="spellStart"/>
      <w:r w:rsidR="0023484E">
        <w:rPr>
          <w:rFonts w:asciiTheme="minorHAnsi" w:hAnsiTheme="minorHAnsi"/>
        </w:rPr>
        <w:t>Moneti</w:t>
      </w:r>
      <w:r w:rsidR="001350AC">
        <w:rPr>
          <w:rFonts w:asciiTheme="minorHAnsi" w:hAnsiTheme="minorHAnsi"/>
        </w:rPr>
        <w:t>s</w:t>
      </w:r>
      <w:r w:rsidR="0023484E">
        <w:rPr>
          <w:rFonts w:asciiTheme="minorHAnsi" w:hAnsiTheme="minorHAnsi"/>
        </w:rPr>
        <w:t>ation</w:t>
      </w:r>
      <w:proofErr w:type="spellEnd"/>
      <w:r w:rsidR="0023484E">
        <w:rPr>
          <w:rFonts w:asciiTheme="minorHAnsi" w:hAnsiTheme="minorHAnsi"/>
        </w:rPr>
        <w:t xml:space="preserve"> in Digital Trade Finance</w:t>
      </w:r>
      <w:bookmarkEnd w:id="1"/>
    </w:p>
    <w:p w14:paraId="2ACAA505" w14:textId="508E7766" w:rsidR="000C1051" w:rsidRPr="007C41CC" w:rsidRDefault="008F74B3" w:rsidP="007C41CC">
      <w:pPr>
        <w:autoSpaceDE w:val="0"/>
        <w:autoSpaceDN w:val="0"/>
        <w:adjustRightInd w:val="0"/>
        <w:spacing w:after="240" w:line="360" w:lineRule="auto"/>
        <w:jc w:val="both"/>
        <w:rPr>
          <w:rFonts w:eastAsia="Times New Roman" w:cs="Arial"/>
          <w:color w:val="000000"/>
          <w:kern w:val="0"/>
          <w14:ligatures w14:val="none"/>
        </w:rPr>
      </w:pPr>
      <w:r>
        <w:rPr>
          <w:color w:val="000000"/>
          <w:kern w:val="0"/>
          <w14:ligatures w14:val="none"/>
        </w:rPr>
        <w:t xml:space="preserve">The Hong Kong banking sector has heavily invested in digital trade finance platforms to </w:t>
      </w:r>
      <w:proofErr w:type="spellStart"/>
      <w:r>
        <w:rPr>
          <w:color w:val="000000"/>
          <w:kern w:val="0"/>
          <w14:ligatures w14:val="none"/>
        </w:rPr>
        <w:t>modernise</w:t>
      </w:r>
      <w:proofErr w:type="spellEnd"/>
      <w:r>
        <w:rPr>
          <w:color w:val="000000"/>
          <w:kern w:val="0"/>
          <w14:ligatures w14:val="none"/>
        </w:rPr>
        <w:t xml:space="preserve"> processes and align with the Hong Kong Monetary Authority’s (HKMA) </w:t>
      </w:r>
      <w:proofErr w:type="spellStart"/>
      <w:r>
        <w:rPr>
          <w:color w:val="000000"/>
          <w:kern w:val="0"/>
          <w14:ligatures w14:val="none"/>
        </w:rPr>
        <w:t>digitalisation</w:t>
      </w:r>
      <w:proofErr w:type="spellEnd"/>
      <w:r>
        <w:rPr>
          <w:color w:val="000000"/>
          <w:kern w:val="0"/>
          <w14:ligatures w14:val="none"/>
        </w:rPr>
        <w:t xml:space="preserve"> agenda. However, adoption among corporate treasurers remains inconsistent, and </w:t>
      </w:r>
      <w:proofErr w:type="spellStart"/>
      <w:r>
        <w:rPr>
          <w:color w:val="000000"/>
          <w:kern w:val="0"/>
          <w14:ligatures w14:val="none"/>
        </w:rPr>
        <w:t>monetisation</w:t>
      </w:r>
      <w:proofErr w:type="spellEnd"/>
      <w:r>
        <w:rPr>
          <w:color w:val="000000"/>
          <w:kern w:val="0"/>
          <w14:ligatures w14:val="none"/>
        </w:rPr>
        <w:t xml:space="preserve"> results are limited, as platforms are often viewed as cost-saving utilities rather than as value-creating ecosystems. The primary aim of this study is to explore the </w:t>
      </w:r>
      <w:proofErr w:type="spellStart"/>
      <w:r>
        <w:rPr>
          <w:color w:val="000000"/>
          <w:kern w:val="0"/>
          <w14:ligatures w14:val="none"/>
        </w:rPr>
        <w:t>behavioural</w:t>
      </w:r>
      <w:proofErr w:type="spellEnd"/>
      <w:r>
        <w:rPr>
          <w:color w:val="000000"/>
          <w:kern w:val="0"/>
          <w14:ligatures w14:val="none"/>
        </w:rPr>
        <w:t xml:space="preserve"> factors influencing corporate clients in Hong Kong to adopt digital trade finance platforms and to assess the impact of this adoption on </w:t>
      </w:r>
      <w:proofErr w:type="spellStart"/>
      <w:r>
        <w:rPr>
          <w:color w:val="000000"/>
          <w:kern w:val="0"/>
          <w14:ligatures w14:val="none"/>
        </w:rPr>
        <w:t>monetisation</w:t>
      </w:r>
      <w:proofErr w:type="spellEnd"/>
      <w:r>
        <w:rPr>
          <w:color w:val="000000"/>
          <w:kern w:val="0"/>
          <w14:ligatures w14:val="none"/>
        </w:rPr>
        <w:t xml:space="preserve"> outcomes. For this purpose, the study pursues four objectives: to investigate the role of workflow compatibility in adoption decisions, to assess how familiarity with digital channels affects treasurers’ confidence, to evaluate how perceived benefits interact with risks such as cybersecurity and regulatory uncertainty, and to examine how institutional trust moderates adoption and </w:t>
      </w:r>
      <w:proofErr w:type="spellStart"/>
      <w:r>
        <w:rPr>
          <w:color w:val="000000"/>
          <w:kern w:val="0"/>
          <w14:ligatures w14:val="none"/>
        </w:rPr>
        <w:t>monetisation</w:t>
      </w:r>
      <w:proofErr w:type="spellEnd"/>
      <w:r>
        <w:rPr>
          <w:color w:val="000000"/>
          <w:kern w:val="0"/>
          <w14:ligatures w14:val="none"/>
        </w:rPr>
        <w:t xml:space="preserve"> pathways. Drawing on the Technology–</w:t>
      </w:r>
      <w:proofErr w:type="spellStart"/>
      <w:r>
        <w:rPr>
          <w:color w:val="000000"/>
          <w:kern w:val="0"/>
          <w14:ligatures w14:val="none"/>
        </w:rPr>
        <w:t>Organisation</w:t>
      </w:r>
      <w:proofErr w:type="spellEnd"/>
      <w:r>
        <w:rPr>
          <w:color w:val="000000"/>
          <w:kern w:val="0"/>
          <w14:ligatures w14:val="none"/>
        </w:rPr>
        <w:t xml:space="preserve">–Environment (TOE) framework and Service-Dominant Logic (SDL), and enriched with insights from the Hong Kong Institute for Monetary and Financial Research (2025), the study underscores the importance of risk governance and talent readiness alongside </w:t>
      </w:r>
      <w:proofErr w:type="spellStart"/>
      <w:r>
        <w:rPr>
          <w:color w:val="000000"/>
          <w:kern w:val="0"/>
          <w14:ligatures w14:val="none"/>
        </w:rPr>
        <w:t>behavioural</w:t>
      </w:r>
      <w:proofErr w:type="spellEnd"/>
      <w:r>
        <w:rPr>
          <w:color w:val="000000"/>
          <w:kern w:val="0"/>
          <w14:ligatures w14:val="none"/>
        </w:rPr>
        <w:t xml:space="preserve"> drivers. A qualitative case study approach, based on interviews with senior trade product heads and treasury managers, situates adoption decisions within Hong Kong’s regulatory and competitive environment. The research contributes theoretically by extending adoption constructs into corporate trade finance and linking adoption to </w:t>
      </w:r>
      <w:proofErr w:type="spellStart"/>
      <w:r>
        <w:rPr>
          <w:color w:val="000000"/>
          <w:kern w:val="0"/>
          <w14:ligatures w14:val="none"/>
        </w:rPr>
        <w:t>monetisation</w:t>
      </w:r>
      <w:proofErr w:type="spellEnd"/>
      <w:r>
        <w:rPr>
          <w:color w:val="000000"/>
          <w:kern w:val="0"/>
          <w14:ligatures w14:val="none"/>
        </w:rPr>
        <w:t>, and practically by offering a Hong Kong-specific model that helps banks reposition platforms as trust-</w:t>
      </w:r>
      <w:proofErr w:type="spellStart"/>
      <w:r>
        <w:rPr>
          <w:color w:val="000000"/>
          <w:kern w:val="0"/>
          <w14:ligatures w14:val="none"/>
        </w:rPr>
        <w:t>centred</w:t>
      </w:r>
      <w:proofErr w:type="spellEnd"/>
      <w:r>
        <w:rPr>
          <w:color w:val="000000"/>
          <w:kern w:val="0"/>
          <w14:ligatures w14:val="none"/>
        </w:rPr>
        <w:t>, value-generating ecosystems.</w:t>
      </w:r>
    </w:p>
    <w:p w14:paraId="170D00A8" w14:textId="4CF9D7AC" w:rsidR="003776B2" w:rsidRPr="00B064B8" w:rsidRDefault="003776B2" w:rsidP="000C1051">
      <w:pPr>
        <w:pStyle w:val="NormalWeb"/>
        <w:tabs>
          <w:tab w:val="left" w:pos="0"/>
          <w:tab w:val="left" w:pos="360"/>
        </w:tabs>
        <w:spacing w:before="0" w:beforeAutospacing="0" w:after="0" w:afterAutospacing="0" w:line="360" w:lineRule="auto"/>
        <w:jc w:val="both"/>
        <w:rPr>
          <w:rFonts w:asciiTheme="minorHAnsi" w:hAnsiTheme="minorHAnsi" w:cs="Arial"/>
          <w:b/>
          <w:bCs/>
          <w:color w:val="000000"/>
          <w:sz w:val="22"/>
          <w:szCs w:val="22"/>
        </w:rPr>
      </w:pPr>
      <w:r w:rsidRPr="00B064B8">
        <w:rPr>
          <w:rFonts w:asciiTheme="minorHAnsi" w:hAnsiTheme="minorHAnsi" w:cs="Arial"/>
          <w:b/>
          <w:bCs/>
          <w:color w:val="000000"/>
          <w:sz w:val="22"/>
          <w:szCs w:val="22"/>
        </w:rPr>
        <w:t>Keywords:</w:t>
      </w:r>
    </w:p>
    <w:p w14:paraId="47075591" w14:textId="23363E56" w:rsidR="007D518F" w:rsidRPr="007C41CC" w:rsidRDefault="003776B2" w:rsidP="000C1051">
      <w:pPr>
        <w:pStyle w:val="NormalWeb"/>
        <w:spacing w:before="0" w:beforeAutospacing="0" w:after="0" w:afterAutospacing="0" w:line="360" w:lineRule="auto"/>
        <w:rPr>
          <w:rFonts w:asciiTheme="minorHAnsi" w:hAnsiTheme="minorHAnsi" w:cs="Arial"/>
          <w:color w:val="000000"/>
        </w:rPr>
      </w:pPr>
      <w:r w:rsidRPr="007C41CC">
        <w:rPr>
          <w:rFonts w:asciiTheme="minorHAnsi" w:hAnsiTheme="minorHAnsi" w:cs="Arial"/>
          <w:color w:val="000000"/>
        </w:rPr>
        <w:t>Digital Trade Finance Adoption, Corporate Client Behaviour, Technology–Organi</w:t>
      </w:r>
      <w:r w:rsidR="005C0101" w:rsidRPr="007C41CC">
        <w:rPr>
          <w:rFonts w:asciiTheme="minorHAnsi" w:hAnsiTheme="minorHAnsi" w:cs="Arial"/>
          <w:color w:val="000000"/>
        </w:rPr>
        <w:t>s</w:t>
      </w:r>
      <w:r w:rsidRPr="007C41CC">
        <w:rPr>
          <w:rFonts w:asciiTheme="minorHAnsi" w:hAnsiTheme="minorHAnsi" w:cs="Arial"/>
          <w:color w:val="000000"/>
        </w:rPr>
        <w:t>ation–Environment (TOE) Framework, Service-Dominant Logic (SDL), Trust and Risk Perception</w:t>
      </w:r>
      <w:bookmarkStart w:id="2" w:name="_Toc206886330"/>
    </w:p>
    <w:p w14:paraId="260BD2C7" w14:textId="14BBD78D" w:rsidR="00BE21A2" w:rsidRPr="00B064B8" w:rsidRDefault="007D518F" w:rsidP="007D518F">
      <w:pPr>
        <w:pStyle w:val="Heading1"/>
        <w:numPr>
          <w:ilvl w:val="0"/>
          <w:numId w:val="24"/>
        </w:numPr>
        <w:rPr>
          <w:rFonts w:asciiTheme="minorHAnsi" w:hAnsiTheme="minorHAnsi"/>
        </w:rPr>
      </w:pPr>
      <w:r w:rsidRPr="00B064B8">
        <w:rPr>
          <w:rFonts w:asciiTheme="minorHAnsi" w:hAnsiTheme="minorHAnsi"/>
        </w:rPr>
        <w:lastRenderedPageBreak/>
        <w:t xml:space="preserve">  </w:t>
      </w:r>
      <w:r w:rsidRPr="00B064B8">
        <w:rPr>
          <w:rFonts w:asciiTheme="minorHAnsi" w:hAnsiTheme="minorHAnsi"/>
        </w:rPr>
        <w:tab/>
      </w:r>
      <w:bookmarkStart w:id="3" w:name="_Toc208061990"/>
      <w:r w:rsidR="00BE21A2" w:rsidRPr="00B064B8">
        <w:rPr>
          <w:rFonts w:asciiTheme="minorHAnsi" w:hAnsiTheme="minorHAnsi"/>
        </w:rPr>
        <w:t>Design a Project with Clarity and Precision</w:t>
      </w:r>
      <w:bookmarkEnd w:id="2"/>
      <w:bookmarkEnd w:id="3"/>
    </w:p>
    <w:p w14:paraId="78AD9B63" w14:textId="77C07FCC" w:rsidR="0024157B" w:rsidRPr="00B064B8" w:rsidRDefault="0024157B" w:rsidP="007D518F">
      <w:pPr>
        <w:spacing w:line="360" w:lineRule="auto"/>
        <w:jc w:val="both"/>
        <w:rPr>
          <w:rFonts w:eastAsia="Times New Roman" w:cs="Arial"/>
          <w:color w:val="000000"/>
          <w:kern w:val="0"/>
          <w:sz w:val="22"/>
          <w:szCs w:val="22"/>
          <w14:ligatures w14:val="none"/>
        </w:rPr>
      </w:pPr>
      <w:bookmarkStart w:id="4" w:name="_Toc206886331"/>
      <w:r w:rsidRPr="00B064B8">
        <w:rPr>
          <w:rFonts w:eastAsia="Times New Roman" w:cs="Arial"/>
          <w:color w:val="000000"/>
          <w:kern w:val="0"/>
          <w:sz w:val="22"/>
          <w:szCs w:val="22"/>
          <w14:ligatures w14:val="none"/>
        </w:rPr>
        <w:t xml:space="preserve">The Hong Kong </w:t>
      </w:r>
      <w:r w:rsidRPr="00B064B8">
        <w:t xml:space="preserve">banking sector is recognised as one of the world’s foremost trade and financial hubs and continues to play a pivotal role in facilitating international commerce. Over the past decade, banks in Hong Kong have invested heavily in digital trade finance platforms designed to modernise paper-based processes, accelerate transaction cycles, and align with the Hong Kong Monetary Authority’s (HKMA) digitalisation agenda. </w:t>
      </w:r>
      <w:r w:rsidR="00F63318" w:rsidRPr="00B064B8">
        <w:t>Several</w:t>
      </w:r>
      <w:r w:rsidRPr="00B064B8">
        <w:t xml:space="preserve"> studies have highlighted that such platforms are positioned as enablers of international trade transactions, streamlining financing for </w:t>
      </w:r>
      <w:r w:rsidR="00DC74BD" w:rsidRPr="00B064B8">
        <w:t>exporters and importers</w:t>
      </w:r>
      <w:r w:rsidR="00A268CF" w:rsidRPr="00B064B8">
        <w:t xml:space="preserve"> b</w:t>
      </w:r>
      <w:r w:rsidR="00DC74BD" w:rsidRPr="00B064B8">
        <w:t xml:space="preserve">y reducing documentary </w:t>
      </w:r>
      <w:r w:rsidR="008F74B3">
        <w:t xml:space="preserve">bottlenecks, enhancing transparency, and increasing procedural efficiency. Additionally, </w:t>
      </w:r>
      <w:r w:rsidR="00E266F6">
        <w:t>they</w:t>
      </w:r>
      <w:r w:rsidR="00A268CF" w:rsidRPr="00B064B8">
        <w:t xml:space="preserve"> enable</w:t>
      </w:r>
      <w:r w:rsidRPr="00B064B8">
        <w:t xml:space="preserve"> AI-</w:t>
      </w:r>
      <w:r w:rsidR="00A268CF" w:rsidRPr="00B064B8">
        <w:t>assisted</w:t>
      </w:r>
      <w:r w:rsidRPr="00B064B8">
        <w:t xml:space="preserve"> risk assessment and compliance monitoring (Tanveer et al., 2025; HKMA, 2024). In line with this agenda, the HKMA’s Fintech 2025 strategy has accelerated the integration of fintech across the sector</w:t>
      </w:r>
      <w:r w:rsidR="00E266F6">
        <w:t>,</w:t>
      </w:r>
      <w:r w:rsidRPr="00B064B8">
        <w:t xml:space="preserve"> with all retail banks embedding digital tools into their operations. Initiatives such as the Generative AI Sandbox, the Fintech Connect platform, and various cross-sector collaborations have enhanced customer experience, strengthened fraud prevention, and improved risk management. At the same time, the HKMA reports record-breaking growth in RMB business, with the Real-Time Gross Settlement system processing an average daily turnover of RMB 3.1 trillion in 2024, supported by the RMB100 billion Trade Financing Liquidity </w:t>
      </w:r>
      <w:r w:rsidRPr="0099453E">
        <w:t>Facility. These developments demonstrate that effective digital adoption contributes not only to commercial growth</w:t>
      </w:r>
      <w:r w:rsidRPr="0099453E">
        <w:rPr>
          <w:rFonts w:eastAsia="Times New Roman" w:cs="Arial"/>
          <w:color w:val="000000"/>
          <w:kern w:val="0"/>
          <w14:ligatures w14:val="none"/>
        </w:rPr>
        <w:t xml:space="preserve"> but also to systemic resilience.</w:t>
      </w:r>
    </w:p>
    <w:p w14:paraId="09203D8E" w14:textId="505B7B91" w:rsidR="0024157B" w:rsidRPr="00B064B8" w:rsidRDefault="00F72705" w:rsidP="0024157B">
      <w:pPr>
        <w:pStyle w:val="Heading2"/>
        <w:tabs>
          <w:tab w:val="left" w:pos="0"/>
          <w:tab w:val="left" w:pos="360"/>
        </w:tabs>
        <w:spacing w:line="360" w:lineRule="auto"/>
        <w:rPr>
          <w:rFonts w:asciiTheme="minorHAnsi" w:eastAsia="Times New Roman" w:hAnsiTheme="minorHAnsi" w:cs="Arial"/>
          <w:color w:val="000000"/>
          <w:sz w:val="22"/>
          <w:szCs w:val="22"/>
          <w14:ligatures w14:val="none"/>
        </w:rPr>
      </w:pPr>
      <w:bookmarkStart w:id="5" w:name="_Toc208061991"/>
      <w:r w:rsidRPr="00B064B8">
        <w:rPr>
          <w:rFonts w:asciiTheme="minorHAnsi" w:hAnsiTheme="minorHAnsi"/>
        </w:rPr>
        <w:t xml:space="preserve">2.1 </w:t>
      </w:r>
      <w:r w:rsidR="00C934E1" w:rsidRPr="00B064B8">
        <w:rPr>
          <w:rFonts w:asciiTheme="minorHAnsi" w:hAnsiTheme="minorHAnsi"/>
        </w:rPr>
        <w:tab/>
      </w:r>
      <w:bookmarkStart w:id="6" w:name="_Toc206886332"/>
      <w:bookmarkEnd w:id="4"/>
      <w:r w:rsidR="0023484E">
        <w:rPr>
          <w:rFonts w:asciiTheme="minorHAnsi" w:hAnsiTheme="minorHAnsi"/>
        </w:rPr>
        <w:t xml:space="preserve">The Adoption – </w:t>
      </w:r>
      <w:proofErr w:type="spellStart"/>
      <w:r w:rsidR="0023484E">
        <w:rPr>
          <w:rFonts w:asciiTheme="minorHAnsi" w:hAnsiTheme="minorHAnsi"/>
        </w:rPr>
        <w:t>Moneti</w:t>
      </w:r>
      <w:r w:rsidR="00FE5F2B">
        <w:rPr>
          <w:rFonts w:asciiTheme="minorHAnsi" w:hAnsiTheme="minorHAnsi"/>
        </w:rPr>
        <w:t>s</w:t>
      </w:r>
      <w:r w:rsidR="0023484E">
        <w:rPr>
          <w:rFonts w:asciiTheme="minorHAnsi" w:hAnsiTheme="minorHAnsi"/>
        </w:rPr>
        <w:t>ation</w:t>
      </w:r>
      <w:proofErr w:type="spellEnd"/>
      <w:r w:rsidR="0023484E">
        <w:rPr>
          <w:rFonts w:asciiTheme="minorHAnsi" w:hAnsiTheme="minorHAnsi"/>
        </w:rPr>
        <w:t xml:space="preserve"> Gap in Digital Trade Finance</w:t>
      </w:r>
      <w:bookmarkEnd w:id="5"/>
    </w:p>
    <w:p w14:paraId="52F3258E" w14:textId="5003EC61" w:rsidR="001C7952" w:rsidRPr="0099453E" w:rsidRDefault="008F74B3" w:rsidP="001C7952">
      <w:pPr>
        <w:spacing w:line="360" w:lineRule="auto"/>
        <w:jc w:val="both"/>
      </w:pPr>
      <w:r>
        <w:rPr>
          <w:kern w:val="0"/>
          <w14:ligatures w14:val="none"/>
        </w:rPr>
        <w:t xml:space="preserve">Despite notable efficiency gains, banks often struggle to convert them into revenue, even though Curley et al. (2025) estimate that advanced digital processes can cut operational costs by 30–40%. HKIMR (2025) confirms that adoption depends on risk and talent readiness, not just efficiency. This gap in </w:t>
      </w:r>
      <w:proofErr w:type="spellStart"/>
      <w:r>
        <w:rPr>
          <w:kern w:val="0"/>
          <w14:ligatures w14:val="none"/>
        </w:rPr>
        <w:t>monetising</w:t>
      </w:r>
      <w:proofErr w:type="spellEnd"/>
      <w:r>
        <w:rPr>
          <w:kern w:val="0"/>
          <w14:ligatures w14:val="none"/>
        </w:rPr>
        <w:t xml:space="preserve"> adoption is the main issue addressed by this study. Similarly, HKIMR (2025) reports that 95% of institutions see risk</w:t>
      </w:r>
      <w:r>
        <w:rPr>
          <w:color w:val="000000"/>
          <w:kern w:val="0"/>
          <w14:ligatures w14:val="none"/>
        </w:rPr>
        <w:t xml:space="preserve"> control</w:t>
      </w:r>
      <w:r>
        <w:rPr>
          <w:kern w:val="0"/>
          <w14:ligatures w14:val="none"/>
        </w:rPr>
        <w:t xml:space="preserve"> and workforce capability gaps as significant barriers, indicating challenges extend beyond mere efficiency. Adoption decisions are driven more by </w:t>
      </w:r>
      <w:proofErr w:type="spellStart"/>
      <w:r>
        <w:rPr>
          <w:kern w:val="0"/>
          <w14:ligatures w14:val="none"/>
        </w:rPr>
        <w:t>behavioural</w:t>
      </w:r>
      <w:proofErr w:type="spellEnd"/>
      <w:r>
        <w:rPr>
          <w:kern w:val="0"/>
          <w14:ligatures w14:val="none"/>
        </w:rPr>
        <w:t xml:space="preserve"> factors, such as compatibility with treasury systems, perceived regulatory risks, and institutional trust (Singh, 2023; JAFB, </w:t>
      </w:r>
      <w:r>
        <w:rPr>
          <w:kern w:val="0"/>
          <w14:ligatures w14:val="none"/>
        </w:rPr>
        <w:lastRenderedPageBreak/>
        <w:t xml:space="preserve">2025). This cautious stance is reinforced by concerns over data privacy, model accuracy, and cybersecurity, while gaps in technical and compliance expertise limit banks’ ability to reassure clients. As a result, a misalignment </w:t>
      </w:r>
      <w:r w:rsidR="00FE5F2B">
        <w:rPr>
          <w:kern w:val="0"/>
          <w14:ligatures w14:val="none"/>
        </w:rPr>
        <w:t xml:space="preserve">remains </w:t>
      </w:r>
      <w:r>
        <w:rPr>
          <w:kern w:val="0"/>
          <w14:ligatures w14:val="none"/>
        </w:rPr>
        <w:t>between banks’ focus on structural upgrades and clients’ risk-aware assessments.</w:t>
      </w:r>
    </w:p>
    <w:p w14:paraId="2383A0AF" w14:textId="4728F618" w:rsidR="00F72705" w:rsidRPr="00B064B8" w:rsidRDefault="00C934E1" w:rsidP="009621DF">
      <w:pPr>
        <w:pStyle w:val="Heading2"/>
        <w:numPr>
          <w:ilvl w:val="1"/>
          <w:numId w:val="24"/>
        </w:numPr>
        <w:tabs>
          <w:tab w:val="left" w:pos="0"/>
          <w:tab w:val="left" w:pos="360"/>
        </w:tabs>
        <w:rPr>
          <w:rFonts w:asciiTheme="minorHAnsi" w:hAnsiTheme="minorHAnsi"/>
        </w:rPr>
      </w:pPr>
      <w:r w:rsidRPr="00B064B8">
        <w:rPr>
          <w:rFonts w:asciiTheme="minorHAnsi" w:hAnsiTheme="minorHAnsi"/>
        </w:rPr>
        <w:tab/>
      </w:r>
      <w:bookmarkStart w:id="7" w:name="_Toc208061992"/>
      <w:r w:rsidR="0024157B" w:rsidRPr="00B064B8">
        <w:rPr>
          <w:rFonts w:asciiTheme="minorHAnsi" w:hAnsiTheme="minorHAnsi"/>
        </w:rPr>
        <w:t xml:space="preserve">Aim and </w:t>
      </w:r>
      <w:r w:rsidR="00F72705" w:rsidRPr="00B064B8">
        <w:rPr>
          <w:rFonts w:asciiTheme="minorHAnsi" w:hAnsiTheme="minorHAnsi"/>
        </w:rPr>
        <w:t>Objective</w:t>
      </w:r>
      <w:bookmarkEnd w:id="7"/>
      <w:r w:rsidR="00F72705" w:rsidRPr="00B064B8">
        <w:rPr>
          <w:rFonts w:asciiTheme="minorHAnsi" w:hAnsiTheme="minorHAnsi"/>
        </w:rPr>
        <w:t xml:space="preserve"> </w:t>
      </w:r>
      <w:bookmarkEnd w:id="6"/>
    </w:p>
    <w:p w14:paraId="2A014752" w14:textId="07EB0981" w:rsidR="0024157B" w:rsidRPr="00B064B8" w:rsidRDefault="008F74B3" w:rsidP="00A268CF">
      <w:pPr>
        <w:spacing w:line="360" w:lineRule="auto"/>
        <w:jc w:val="both"/>
      </w:pPr>
      <w:bookmarkStart w:id="8" w:name="_Toc206886333"/>
      <w:r>
        <w:rPr>
          <w:kern w:val="0"/>
          <w14:ligatures w14:val="none"/>
        </w:rPr>
        <w:t xml:space="preserve">The primary aim of this study is to explore the </w:t>
      </w:r>
      <w:proofErr w:type="spellStart"/>
      <w:r>
        <w:rPr>
          <w:kern w:val="0"/>
          <w14:ligatures w14:val="none"/>
        </w:rPr>
        <w:t>behavioural</w:t>
      </w:r>
      <w:proofErr w:type="spellEnd"/>
      <w:r>
        <w:rPr>
          <w:kern w:val="0"/>
          <w14:ligatures w14:val="none"/>
        </w:rPr>
        <w:t xml:space="preserve"> factors that influence corporate clients in Hong Kong to adopt digital trade finance platforms and to examine how this adoption results in </w:t>
      </w:r>
      <w:proofErr w:type="spellStart"/>
      <w:r>
        <w:rPr>
          <w:kern w:val="0"/>
          <w14:ligatures w14:val="none"/>
        </w:rPr>
        <w:t>monetisation</w:t>
      </w:r>
      <w:proofErr w:type="spellEnd"/>
      <w:r>
        <w:rPr>
          <w:kern w:val="0"/>
          <w14:ligatures w14:val="none"/>
        </w:rPr>
        <w:t xml:space="preserve"> outcomes. This will be achieved through four objectives: First, to </w:t>
      </w:r>
      <w:proofErr w:type="spellStart"/>
      <w:r>
        <w:rPr>
          <w:kern w:val="0"/>
          <w14:ligatures w14:val="none"/>
        </w:rPr>
        <w:t>analyse</w:t>
      </w:r>
      <w:proofErr w:type="spellEnd"/>
      <w:r>
        <w:rPr>
          <w:kern w:val="0"/>
          <w14:ligatures w14:val="none"/>
        </w:rPr>
        <w:t xml:space="preserve"> how perceived compatibility between digital trade platforms and corporate treasury workflows affects adoption decisions. Second, to evaluate how familiarity with digital banking channels impacts treasurers’ confidence in using these platforms. Third, to investigate how perceived benefits, such as operational efficiency, regulatory compliance, and AI-powered insights, interact with perceived risks like cybersecurity and regulatory uncertainty, in shaping adoption </w:t>
      </w:r>
      <w:proofErr w:type="spellStart"/>
      <w:r>
        <w:rPr>
          <w:kern w:val="0"/>
          <w14:ligatures w14:val="none"/>
        </w:rPr>
        <w:t>behaviour</w:t>
      </w:r>
      <w:proofErr w:type="spellEnd"/>
      <w:r>
        <w:rPr>
          <w:kern w:val="0"/>
          <w14:ligatures w14:val="none"/>
        </w:rPr>
        <w:t xml:space="preserve">. Fourth, to ascertain how initial trust in institutional credibility and platform reliability moderates the relationship between benefits, risks, and the intention to adopt, and how these pathways ultimately influence </w:t>
      </w:r>
      <w:proofErr w:type="spellStart"/>
      <w:r>
        <w:rPr>
          <w:kern w:val="0"/>
          <w14:ligatures w14:val="none"/>
        </w:rPr>
        <w:t>monetisation</w:t>
      </w:r>
      <w:proofErr w:type="spellEnd"/>
      <w:r>
        <w:rPr>
          <w:kern w:val="0"/>
          <w14:ligatures w14:val="none"/>
        </w:rPr>
        <w:t xml:space="preserve"> outcomes.</w:t>
      </w:r>
    </w:p>
    <w:p w14:paraId="54EE682A" w14:textId="01F83476" w:rsidR="00F72705" w:rsidRPr="00B064B8" w:rsidRDefault="00F72705" w:rsidP="0024157B">
      <w:pPr>
        <w:pStyle w:val="Heading2"/>
        <w:tabs>
          <w:tab w:val="left" w:pos="0"/>
          <w:tab w:val="left" w:pos="360"/>
        </w:tabs>
        <w:rPr>
          <w:rFonts w:asciiTheme="minorHAnsi" w:hAnsiTheme="minorHAnsi"/>
        </w:rPr>
      </w:pPr>
      <w:bookmarkStart w:id="9" w:name="_Toc208061993"/>
      <w:r w:rsidRPr="00B064B8">
        <w:rPr>
          <w:rFonts w:asciiTheme="minorHAnsi" w:hAnsiTheme="minorHAnsi"/>
        </w:rPr>
        <w:t xml:space="preserve">2.3 </w:t>
      </w:r>
      <w:r w:rsidR="00C934E1" w:rsidRPr="00B064B8">
        <w:rPr>
          <w:rFonts w:asciiTheme="minorHAnsi" w:hAnsiTheme="minorHAnsi"/>
        </w:rPr>
        <w:tab/>
      </w:r>
      <w:r w:rsidRPr="00B064B8">
        <w:rPr>
          <w:rFonts w:asciiTheme="minorHAnsi" w:hAnsiTheme="minorHAnsi"/>
        </w:rPr>
        <w:t>Research Question</w:t>
      </w:r>
      <w:bookmarkEnd w:id="8"/>
      <w:r w:rsidR="00C21C38" w:rsidRPr="00B064B8">
        <w:rPr>
          <w:rFonts w:asciiTheme="minorHAnsi" w:hAnsiTheme="minorHAnsi"/>
        </w:rPr>
        <w:t>s</w:t>
      </w:r>
      <w:bookmarkEnd w:id="9"/>
      <w:r w:rsidRPr="00B064B8">
        <w:rPr>
          <w:rFonts w:asciiTheme="minorHAnsi" w:hAnsiTheme="minorHAnsi"/>
        </w:rPr>
        <w:t xml:space="preserve"> </w:t>
      </w:r>
    </w:p>
    <w:p w14:paraId="4A4F1E73" w14:textId="02DFD7E7" w:rsidR="0024157B" w:rsidRPr="00B064B8" w:rsidRDefault="0024157B" w:rsidP="00F32744">
      <w:pPr>
        <w:pStyle w:val="NormalWeb"/>
        <w:numPr>
          <w:ilvl w:val="0"/>
          <w:numId w:val="42"/>
        </w:numPr>
        <w:spacing w:line="360" w:lineRule="auto"/>
        <w:jc w:val="both"/>
        <w:rPr>
          <w:rFonts w:asciiTheme="minorHAnsi" w:hAnsiTheme="minorHAnsi" w:cs="Arial"/>
        </w:rPr>
      </w:pPr>
      <w:bookmarkStart w:id="10" w:name="_Toc206886334"/>
      <w:r w:rsidRPr="00B064B8">
        <w:rPr>
          <w:rFonts w:asciiTheme="minorHAnsi" w:hAnsiTheme="minorHAnsi" w:cs="Arial"/>
        </w:rPr>
        <w:t xml:space="preserve">How does perceived compatibility with treasury and trade workflows influence </w:t>
      </w:r>
      <w:r w:rsidR="00F63318" w:rsidRPr="00B064B8">
        <w:rPr>
          <w:rFonts w:asciiTheme="minorHAnsi" w:hAnsiTheme="minorHAnsi" w:cs="Arial"/>
        </w:rPr>
        <w:t xml:space="preserve">the </w:t>
      </w:r>
      <w:r w:rsidRPr="00B064B8">
        <w:rPr>
          <w:rFonts w:asciiTheme="minorHAnsi" w:hAnsiTheme="minorHAnsi" w:cs="Arial"/>
        </w:rPr>
        <w:t>adoption of digital trade finance platforms?</w:t>
      </w:r>
    </w:p>
    <w:p w14:paraId="584FEC7B" w14:textId="142456A0" w:rsidR="0024157B" w:rsidRPr="00B064B8" w:rsidRDefault="00DC74BD" w:rsidP="00F32744">
      <w:pPr>
        <w:pStyle w:val="NormalWeb"/>
        <w:numPr>
          <w:ilvl w:val="0"/>
          <w:numId w:val="42"/>
        </w:numPr>
        <w:spacing w:line="360" w:lineRule="auto"/>
        <w:jc w:val="both"/>
        <w:rPr>
          <w:rFonts w:asciiTheme="minorHAnsi" w:hAnsiTheme="minorHAnsi" w:cs="Arial"/>
        </w:rPr>
      </w:pPr>
      <w:r w:rsidRPr="00B064B8">
        <w:rPr>
          <w:rFonts w:asciiTheme="minorHAnsi" w:hAnsiTheme="minorHAnsi" w:cs="Arial"/>
        </w:rPr>
        <w:t>How does familiarity with digital banking channels enhance confidence in adopting them within the corporate trade finance sector?</w:t>
      </w:r>
    </w:p>
    <w:p w14:paraId="0D300833" w14:textId="1514AC36" w:rsidR="0024157B" w:rsidRPr="00B064B8" w:rsidRDefault="0024157B" w:rsidP="00F32744">
      <w:pPr>
        <w:pStyle w:val="NormalWeb"/>
        <w:numPr>
          <w:ilvl w:val="0"/>
          <w:numId w:val="42"/>
        </w:numPr>
        <w:spacing w:line="360" w:lineRule="auto"/>
        <w:jc w:val="both"/>
        <w:rPr>
          <w:rFonts w:asciiTheme="minorHAnsi" w:hAnsiTheme="minorHAnsi" w:cs="Arial"/>
        </w:rPr>
      </w:pPr>
      <w:r w:rsidRPr="00B064B8">
        <w:rPr>
          <w:rFonts w:asciiTheme="minorHAnsi" w:hAnsiTheme="minorHAnsi" w:cs="Arial"/>
        </w:rPr>
        <w:t>How do perceived relative benefits and risks interact in shaping adoption behaviour?</w:t>
      </w:r>
    </w:p>
    <w:p w14:paraId="06B73405" w14:textId="551F5494" w:rsidR="0024157B" w:rsidRPr="00B064B8" w:rsidRDefault="0024157B" w:rsidP="00F32744">
      <w:pPr>
        <w:pStyle w:val="NormalWeb"/>
        <w:numPr>
          <w:ilvl w:val="0"/>
          <w:numId w:val="42"/>
        </w:numPr>
        <w:spacing w:line="360" w:lineRule="auto"/>
        <w:jc w:val="both"/>
        <w:rPr>
          <w:rFonts w:asciiTheme="minorHAnsi" w:hAnsiTheme="minorHAnsi" w:cs="Arial"/>
        </w:rPr>
      </w:pPr>
      <w:r w:rsidRPr="00B064B8">
        <w:rPr>
          <w:rFonts w:asciiTheme="minorHAnsi" w:hAnsiTheme="minorHAnsi" w:cs="Arial"/>
        </w:rPr>
        <w:t>To what extent does initial trust mediate the relationship between adoption constructs and monetisation outcomes in Hong Kong’s banking sector?</w:t>
      </w:r>
    </w:p>
    <w:p w14:paraId="5D0FC317" w14:textId="036C73B9" w:rsidR="00F72705" w:rsidRPr="00B064B8" w:rsidRDefault="00F72705" w:rsidP="00612F21">
      <w:pPr>
        <w:pStyle w:val="Heading2"/>
        <w:tabs>
          <w:tab w:val="left" w:pos="0"/>
          <w:tab w:val="left" w:pos="360"/>
        </w:tabs>
        <w:spacing w:line="360" w:lineRule="auto"/>
        <w:rPr>
          <w:rFonts w:asciiTheme="minorHAnsi" w:hAnsiTheme="minorHAnsi"/>
        </w:rPr>
      </w:pPr>
      <w:bookmarkStart w:id="11" w:name="_Toc208061994"/>
      <w:r w:rsidRPr="00B064B8">
        <w:rPr>
          <w:rFonts w:asciiTheme="minorHAnsi" w:hAnsiTheme="minorHAnsi"/>
        </w:rPr>
        <w:lastRenderedPageBreak/>
        <w:t xml:space="preserve">2.4 </w:t>
      </w:r>
      <w:r w:rsidR="00C934E1" w:rsidRPr="00B064B8">
        <w:rPr>
          <w:rFonts w:asciiTheme="minorHAnsi" w:hAnsiTheme="minorHAnsi"/>
        </w:rPr>
        <w:tab/>
      </w:r>
      <w:r w:rsidRPr="00B064B8">
        <w:rPr>
          <w:rFonts w:asciiTheme="minorHAnsi" w:hAnsiTheme="minorHAnsi"/>
        </w:rPr>
        <w:t xml:space="preserve">Theoretical </w:t>
      </w:r>
      <w:bookmarkEnd w:id="10"/>
      <w:r w:rsidR="0024157B" w:rsidRPr="00B064B8">
        <w:rPr>
          <w:rFonts w:asciiTheme="minorHAnsi" w:hAnsiTheme="minorHAnsi"/>
        </w:rPr>
        <w:t>Framework and Philosophical Position</w:t>
      </w:r>
      <w:bookmarkEnd w:id="11"/>
      <w:r w:rsidRPr="00B064B8">
        <w:rPr>
          <w:rFonts w:asciiTheme="minorHAnsi" w:hAnsiTheme="minorHAnsi"/>
        </w:rPr>
        <w:t xml:space="preserve"> </w:t>
      </w:r>
    </w:p>
    <w:p w14:paraId="4AAAEC21" w14:textId="4CD0613D" w:rsidR="001C7952" w:rsidRPr="00B064B8" w:rsidRDefault="001C7952" w:rsidP="004F2797">
      <w:pPr>
        <w:pStyle w:val="Heading3"/>
      </w:pPr>
      <w:bookmarkStart w:id="12" w:name="_Toc206886335"/>
      <w:bookmarkStart w:id="13" w:name="_Toc208061995"/>
      <w:r w:rsidRPr="00B064B8">
        <w:t xml:space="preserve">2.4.1 </w:t>
      </w:r>
      <w:r w:rsidR="004F2797">
        <w:tab/>
      </w:r>
      <w:r w:rsidRPr="00B064B8">
        <w:t>Theoretical Framework</w:t>
      </w:r>
      <w:bookmarkEnd w:id="13"/>
      <w:r w:rsidRPr="00B064B8">
        <w:t xml:space="preserve"> </w:t>
      </w:r>
    </w:p>
    <w:p w14:paraId="1E3603FD" w14:textId="70140189" w:rsidR="001060A9" w:rsidRPr="00B064B8" w:rsidRDefault="008F74B3" w:rsidP="001060A9">
      <w:pPr>
        <w:autoSpaceDE w:val="0"/>
        <w:autoSpaceDN w:val="0"/>
        <w:adjustRightInd w:val="0"/>
        <w:spacing w:after="240" w:line="360" w:lineRule="auto"/>
        <w:jc w:val="both"/>
      </w:pPr>
      <w:r>
        <w:rPr>
          <w:kern w:val="0"/>
          <w14:ligatures w14:val="none"/>
        </w:rPr>
        <w:t>The study relies on the Technology–</w:t>
      </w:r>
      <w:proofErr w:type="spellStart"/>
      <w:r>
        <w:rPr>
          <w:kern w:val="0"/>
          <w14:ligatures w14:val="none"/>
        </w:rPr>
        <w:t>Organisation</w:t>
      </w:r>
      <w:proofErr w:type="spellEnd"/>
      <w:r>
        <w:rPr>
          <w:kern w:val="0"/>
          <w14:ligatures w14:val="none"/>
        </w:rPr>
        <w:t xml:space="preserve">–Environment (TOE) framework and Service-Dominant Logic (SDL). TOE provides a systematic way to </w:t>
      </w:r>
      <w:proofErr w:type="spellStart"/>
      <w:r>
        <w:rPr>
          <w:kern w:val="0"/>
          <w14:ligatures w14:val="none"/>
        </w:rPr>
        <w:t>analyse</w:t>
      </w:r>
      <w:proofErr w:type="spellEnd"/>
      <w:r>
        <w:rPr>
          <w:kern w:val="0"/>
          <w14:ligatures w14:val="none"/>
        </w:rPr>
        <w:t xml:space="preserve"> adoption by considering technological readiness, </w:t>
      </w:r>
      <w:proofErr w:type="spellStart"/>
      <w:r>
        <w:rPr>
          <w:kern w:val="0"/>
          <w14:ligatures w14:val="none"/>
        </w:rPr>
        <w:t>organisational</w:t>
      </w:r>
      <w:proofErr w:type="spellEnd"/>
      <w:r>
        <w:rPr>
          <w:kern w:val="0"/>
          <w14:ligatures w14:val="none"/>
        </w:rPr>
        <w:t xml:space="preserve"> capacity, and environmental pressures (Zhang et al., 2020). In this research, technological readiness </w:t>
      </w:r>
      <w:r w:rsidR="00FE5F2B">
        <w:rPr>
          <w:kern w:val="0"/>
          <w14:ligatures w14:val="none"/>
        </w:rPr>
        <w:t>encompasses system integration, cybersecurity resilience, and the ability to manage model risk, which have become crucial factors</w:t>
      </w:r>
      <w:r>
        <w:rPr>
          <w:kern w:val="0"/>
          <w14:ligatures w14:val="none"/>
        </w:rPr>
        <w:t xml:space="preserve"> in the adoption of digital finance (Yin &amp; Wang, 2025). </w:t>
      </w:r>
      <w:proofErr w:type="spellStart"/>
      <w:r>
        <w:rPr>
          <w:kern w:val="0"/>
          <w14:ligatures w14:val="none"/>
        </w:rPr>
        <w:t>Organisational</w:t>
      </w:r>
      <w:proofErr w:type="spellEnd"/>
      <w:r>
        <w:rPr>
          <w:kern w:val="0"/>
          <w14:ligatures w14:val="none"/>
        </w:rPr>
        <w:t xml:space="preserve"> capacity involves staff training and talent strategies, ensuring banks possess not only the infrastructure but also the human expertise to support treasurers in adopting digital trade platforms. Environmental influences are reflected in the Hong Kong Monetary Authority’s (HKMA, 2024) regulatory mandates and broader </w:t>
      </w:r>
      <w:proofErr w:type="spellStart"/>
      <w:r>
        <w:rPr>
          <w:kern w:val="0"/>
          <w14:ligatures w14:val="none"/>
        </w:rPr>
        <w:t>digitalisation</w:t>
      </w:r>
      <w:proofErr w:type="spellEnd"/>
      <w:r>
        <w:rPr>
          <w:kern w:val="0"/>
          <w14:ligatures w14:val="none"/>
        </w:rPr>
        <w:t xml:space="preserve"> initiatives. SDL complements TOE by </w:t>
      </w:r>
      <w:proofErr w:type="spellStart"/>
      <w:r>
        <w:rPr>
          <w:kern w:val="0"/>
          <w14:ligatures w14:val="none"/>
        </w:rPr>
        <w:t>emphasising</w:t>
      </w:r>
      <w:proofErr w:type="spellEnd"/>
      <w:r>
        <w:rPr>
          <w:kern w:val="0"/>
          <w14:ligatures w14:val="none"/>
        </w:rPr>
        <w:t xml:space="preserve"> that value is not delivered solely by banks but is co-created through trust, fairness, and the credibility of client-facing staff (Hossain, 2024). Together, TOE and SDL form a comprehensive framework that captures structural enablers, relational trust, and the importance of skilled talent in shaping adoption and </w:t>
      </w:r>
      <w:proofErr w:type="spellStart"/>
      <w:r>
        <w:rPr>
          <w:kern w:val="0"/>
          <w14:ligatures w14:val="none"/>
        </w:rPr>
        <w:t>monetisation</w:t>
      </w:r>
      <w:proofErr w:type="spellEnd"/>
      <w:r>
        <w:rPr>
          <w:kern w:val="0"/>
          <w14:ligatures w14:val="none"/>
        </w:rPr>
        <w:t xml:space="preserve"> outcomes.</w:t>
      </w:r>
    </w:p>
    <w:p w14:paraId="25DBB905" w14:textId="233AAAFA" w:rsidR="001C7952" w:rsidRPr="00B064B8" w:rsidRDefault="001C7952" w:rsidP="001060A9">
      <w:pPr>
        <w:autoSpaceDE w:val="0"/>
        <w:autoSpaceDN w:val="0"/>
        <w:adjustRightInd w:val="0"/>
        <w:spacing w:after="240" w:line="360" w:lineRule="auto"/>
        <w:jc w:val="both"/>
      </w:pPr>
      <w:r w:rsidRPr="00B064B8">
        <w:t xml:space="preserve">Within the TOE framework, risk management and talent readiness can be explicitly integrated as critical sub-constructs that shape adoption. </w:t>
      </w:r>
      <w:r w:rsidR="003C6290">
        <w:t>T</w:t>
      </w:r>
      <w:r w:rsidR="003C6290" w:rsidRPr="003C6290">
        <w:t xml:space="preserve">echnological readiness now includes cybersecurity resilience and governance for model and regulatory risks. </w:t>
      </w:r>
      <w:proofErr w:type="spellStart"/>
      <w:r w:rsidR="003C6290" w:rsidRPr="003C6290">
        <w:t>Organisational</w:t>
      </w:r>
      <w:proofErr w:type="spellEnd"/>
      <w:r w:rsidR="003C6290" w:rsidRPr="003C6290">
        <w:t xml:space="preserve"> capacity depends on upskilling to address technical (80%) and compliance </w:t>
      </w:r>
      <w:r w:rsidR="008F74B3">
        <w:t xml:space="preserve">(60%) skill gaps (HKIMR, 2025). Regulators demand AI governance and reskilling, demonstrating </w:t>
      </w:r>
      <w:r w:rsidR="00FE5F2B">
        <w:t xml:space="preserve">that </w:t>
      </w:r>
      <w:r w:rsidR="00A333D5" w:rsidRPr="00A333D5">
        <w:t>adoption depends on risk-proofed, talent-enabled ecosystems.</w:t>
      </w:r>
    </w:p>
    <w:p w14:paraId="5D8FB68F" w14:textId="06B5D12A" w:rsidR="004F2797" w:rsidRDefault="001C7952" w:rsidP="004F2797">
      <w:pPr>
        <w:pStyle w:val="Heading3"/>
      </w:pPr>
      <w:bookmarkStart w:id="14" w:name="_Toc208061996"/>
      <w:r w:rsidRPr="00B064B8">
        <w:t>2.4.2</w:t>
      </w:r>
      <w:r w:rsidRPr="00B064B8">
        <w:tab/>
        <w:t xml:space="preserve"> Philosophical Position</w:t>
      </w:r>
      <w:bookmarkEnd w:id="14"/>
      <w:r w:rsidRPr="00B064B8">
        <w:t xml:space="preserve"> </w:t>
      </w:r>
    </w:p>
    <w:p w14:paraId="0AE4E243" w14:textId="01E2A84F" w:rsidR="00A333D5" w:rsidRDefault="001060A9" w:rsidP="004F2797">
      <w:pPr>
        <w:spacing w:line="360" w:lineRule="auto"/>
        <w:jc w:val="both"/>
      </w:pPr>
      <w:r w:rsidRPr="00B064B8">
        <w:t xml:space="preserve">Philosophically, the research engages three paradigms. </w:t>
      </w:r>
      <w:r w:rsidR="00A268CF" w:rsidRPr="00B064B8">
        <w:t xml:space="preserve">(1) </w:t>
      </w:r>
      <w:r w:rsidRPr="00B064B8">
        <w:t>Positivism, which dominates adoption studies in c</w:t>
      </w:r>
      <w:r w:rsidR="00A268CF" w:rsidRPr="00B064B8">
        <w:t>orporate</w:t>
      </w:r>
      <w:r w:rsidRPr="00B064B8">
        <w:t xml:space="preserve"> banking, treats constructs such as risk, trust, and compatibility as quantifiable variables to be tested statistically (Susanty et al., 2025). While producing generalisable models, this approach risks reductionism by overlooking the </w:t>
      </w:r>
      <w:r w:rsidRPr="00B064B8">
        <w:lastRenderedPageBreak/>
        <w:t xml:space="preserve">relational and talent-based dynamics of corporate treasuries. </w:t>
      </w:r>
      <w:r w:rsidR="00A268CF" w:rsidRPr="00B064B8">
        <w:t xml:space="preserve">(2) </w:t>
      </w:r>
      <w:r w:rsidRPr="00B064B8">
        <w:t>Interpretivism, by contrast, views adoption as socially constructed and best understood through the lived experiences of treasurers, particularly in how they interpret risks such as compliance, cybersecurity, and model risk</w:t>
      </w:r>
      <w:r w:rsidR="00E266F6">
        <w:t>,</w:t>
      </w:r>
      <w:r w:rsidRPr="00B064B8">
        <w:t xml:space="preserve"> </w:t>
      </w:r>
      <w:r w:rsidR="00AA1AEA" w:rsidRPr="00B064B8">
        <w:t>considering</w:t>
      </w:r>
      <w:r w:rsidRPr="00B064B8">
        <w:t xml:space="preserve"> institutional support. </w:t>
      </w:r>
      <w:r w:rsidR="001E016A">
        <w:t xml:space="preserve">However, </w:t>
      </w:r>
      <w:r w:rsidRPr="00B064B8">
        <w:t xml:space="preserve">interpretivism alone neglects systemic constraints imposed by regulatory requirements or competitive pressures. </w:t>
      </w:r>
      <w:r w:rsidR="0099453E" w:rsidRPr="0099453E">
        <w:rPr>
          <w:color w:val="000000"/>
        </w:rPr>
        <w:t>(Abdurrahman et al., 2024)</w:t>
      </w:r>
      <w:r w:rsidR="0099453E" w:rsidRPr="00B064B8">
        <w:t xml:space="preserve"> </w:t>
      </w:r>
      <w:r w:rsidR="00A268CF" w:rsidRPr="00B064B8">
        <w:t xml:space="preserve">(3) </w:t>
      </w:r>
      <w:r w:rsidRPr="00B064B8">
        <w:t>Critical realism provides the synthesis: it accepts that perceptions of trust and risk are real and consequential but shaped by deeper institutional structures such as regulatory oversight, industry-wide risk management practices, and the preparedness of banking talent (Abdurrahman et al., 2024).</w:t>
      </w:r>
      <w:r w:rsidR="004F2797">
        <w:t xml:space="preserve"> </w:t>
      </w:r>
      <w:r w:rsidR="00A333D5" w:rsidRPr="00A333D5">
        <w:t xml:space="preserve">In the absence of assurance frameworks, adoption and </w:t>
      </w:r>
      <w:proofErr w:type="spellStart"/>
      <w:r w:rsidR="00A333D5" w:rsidRPr="00A333D5">
        <w:t>monetisation</w:t>
      </w:r>
      <w:proofErr w:type="spellEnd"/>
      <w:r w:rsidR="00A333D5" w:rsidRPr="00A333D5">
        <w:t xml:space="preserve"> remain constrained. Banks must invest in </w:t>
      </w:r>
      <w:r w:rsidR="00FE5F2B">
        <w:t xml:space="preserve">both </w:t>
      </w:r>
      <w:r w:rsidR="00A333D5" w:rsidRPr="00A333D5">
        <w:t xml:space="preserve">technical expertise and relational skills to reinforce trust, </w:t>
      </w:r>
      <w:r w:rsidR="00FE5F2B">
        <w:t>demonstrat</w:t>
      </w:r>
      <w:r w:rsidR="00A333D5" w:rsidRPr="00A333D5">
        <w:t xml:space="preserve">ing that both depend on </w:t>
      </w:r>
      <w:r w:rsidR="00FE5F2B">
        <w:t xml:space="preserve">effective </w:t>
      </w:r>
      <w:r w:rsidR="00A333D5" w:rsidRPr="00A333D5">
        <w:t>risk governance and human capital.</w:t>
      </w:r>
    </w:p>
    <w:p w14:paraId="31DDB53B" w14:textId="3507E4E5" w:rsidR="00F72705" w:rsidRPr="00B064B8" w:rsidRDefault="0024157B" w:rsidP="0024157B">
      <w:pPr>
        <w:pStyle w:val="Heading2"/>
        <w:tabs>
          <w:tab w:val="left" w:pos="0"/>
          <w:tab w:val="left" w:pos="360"/>
        </w:tabs>
        <w:rPr>
          <w:rFonts w:asciiTheme="minorHAnsi" w:hAnsiTheme="minorHAnsi"/>
        </w:rPr>
      </w:pPr>
      <w:bookmarkStart w:id="15" w:name="_Toc208061997"/>
      <w:r w:rsidRPr="00B064B8">
        <w:rPr>
          <w:rFonts w:asciiTheme="minorHAnsi" w:hAnsiTheme="minorHAnsi"/>
        </w:rPr>
        <w:t xml:space="preserve">2.5 </w:t>
      </w:r>
      <w:r w:rsidR="003A2D1D" w:rsidRPr="00B064B8">
        <w:rPr>
          <w:rFonts w:asciiTheme="minorHAnsi" w:hAnsiTheme="minorHAnsi"/>
        </w:rPr>
        <w:tab/>
      </w:r>
      <w:r w:rsidR="00F72705" w:rsidRPr="00B064B8">
        <w:rPr>
          <w:rFonts w:asciiTheme="minorHAnsi" w:hAnsiTheme="minorHAnsi"/>
        </w:rPr>
        <w:t>Anticipate Contributions</w:t>
      </w:r>
      <w:bookmarkEnd w:id="12"/>
      <w:bookmarkEnd w:id="15"/>
      <w:r w:rsidR="00F72705" w:rsidRPr="00B064B8">
        <w:rPr>
          <w:rFonts w:asciiTheme="minorHAnsi" w:hAnsiTheme="minorHAnsi"/>
        </w:rPr>
        <w:t xml:space="preserve"> </w:t>
      </w:r>
    </w:p>
    <w:p w14:paraId="26488869" w14:textId="6705C44F" w:rsidR="001E016A" w:rsidRPr="001E016A" w:rsidRDefault="001E016A" w:rsidP="001E016A">
      <w:pPr>
        <w:pStyle w:val="NormalWeb"/>
        <w:spacing w:line="360" w:lineRule="auto"/>
        <w:jc w:val="both"/>
        <w:rPr>
          <w:rFonts w:asciiTheme="minorHAnsi" w:hAnsiTheme="minorHAnsi" w:cs="Arial"/>
          <w:color w:val="000000"/>
        </w:rPr>
      </w:pPr>
      <w:r w:rsidRPr="001E016A">
        <w:rPr>
          <w:rFonts w:asciiTheme="minorHAnsi" w:hAnsiTheme="minorHAnsi" w:cs="Arial"/>
          <w:color w:val="000000"/>
        </w:rPr>
        <w:t xml:space="preserve">The contribution </w:t>
      </w:r>
      <w:r w:rsidR="00E266F6">
        <w:rPr>
          <w:rFonts w:asciiTheme="minorHAnsi" w:hAnsiTheme="minorHAnsi" w:cs="Arial"/>
          <w:color w:val="000000"/>
        </w:rPr>
        <w:t>to</w:t>
      </w:r>
      <w:r w:rsidRPr="001E016A">
        <w:rPr>
          <w:rFonts w:asciiTheme="minorHAnsi" w:hAnsiTheme="minorHAnsi" w:cs="Arial"/>
          <w:color w:val="000000"/>
        </w:rPr>
        <w:t xml:space="preserve"> addressing this </w:t>
      </w:r>
      <w:r w:rsidR="008F74B3">
        <w:rPr>
          <w:rFonts w:asciiTheme="minorHAnsi" w:hAnsiTheme="minorHAnsi" w:cs="Arial"/>
          <w:color w:val="000000"/>
        </w:rPr>
        <w:t>issue</w:t>
      </w:r>
      <w:r w:rsidRPr="001E016A">
        <w:rPr>
          <w:rFonts w:asciiTheme="minorHAnsi" w:hAnsiTheme="minorHAnsi" w:cs="Arial"/>
          <w:color w:val="000000"/>
        </w:rPr>
        <w:t xml:space="preserve"> unfolds in three stages. Firstly, at the theoretical level, the study extends adoption constructs validated in banking into the less explored corporate trade finance sector. It reinforces </w:t>
      </w:r>
      <w:r w:rsidR="00712FF8">
        <w:rPr>
          <w:rFonts w:asciiTheme="minorHAnsi" w:hAnsiTheme="minorHAnsi" w:cs="Arial"/>
          <w:color w:val="000000"/>
        </w:rPr>
        <w:t xml:space="preserve">the </w:t>
      </w:r>
      <w:r w:rsidRPr="001E016A">
        <w:rPr>
          <w:rFonts w:asciiTheme="minorHAnsi" w:hAnsiTheme="minorHAnsi" w:cs="Arial"/>
          <w:color w:val="000000"/>
        </w:rPr>
        <w:t>TOE framework and SDL by explicitly incorporating behavioural insights, which include risk perception</w:t>
      </w:r>
      <w:r w:rsidR="00777963">
        <w:rPr>
          <w:rFonts w:asciiTheme="minorHAnsi" w:hAnsiTheme="minorHAnsi" w:cs="Arial"/>
          <w:color w:val="000000"/>
        </w:rPr>
        <w:t xml:space="preserve"> </w:t>
      </w:r>
      <w:r w:rsidR="008F74B3">
        <w:rPr>
          <w:rFonts w:asciiTheme="minorHAnsi" w:hAnsiTheme="minorHAnsi" w:cs="Arial"/>
          <w:color w:val="000000"/>
        </w:rPr>
        <w:t>related to</w:t>
      </w:r>
      <w:r w:rsidRPr="001E016A">
        <w:rPr>
          <w:rFonts w:asciiTheme="minorHAnsi" w:hAnsiTheme="minorHAnsi" w:cs="Arial"/>
          <w:color w:val="000000"/>
        </w:rPr>
        <w:t xml:space="preserve"> cybersecurity, regulatory compliance, and model risk</w:t>
      </w:r>
      <w:r w:rsidR="00712FF8">
        <w:rPr>
          <w:rFonts w:asciiTheme="minorHAnsi" w:hAnsiTheme="minorHAnsi" w:cs="Arial"/>
          <w:color w:val="000000"/>
        </w:rPr>
        <w:t>,</w:t>
      </w:r>
      <w:r w:rsidRPr="001E016A">
        <w:rPr>
          <w:rFonts w:asciiTheme="minorHAnsi" w:hAnsiTheme="minorHAnsi" w:cs="Arial"/>
          <w:color w:val="000000"/>
        </w:rPr>
        <w:t xml:space="preserve"> a</w:t>
      </w:r>
      <w:r w:rsidR="00712FF8">
        <w:rPr>
          <w:rFonts w:asciiTheme="minorHAnsi" w:hAnsiTheme="minorHAnsi" w:cs="Arial"/>
          <w:color w:val="000000"/>
        </w:rPr>
        <w:t>s well as</w:t>
      </w:r>
      <w:r w:rsidRPr="001E016A">
        <w:rPr>
          <w:rFonts w:asciiTheme="minorHAnsi" w:hAnsiTheme="minorHAnsi" w:cs="Arial"/>
          <w:color w:val="000000"/>
        </w:rPr>
        <w:t xml:space="preserve"> the mediating role of talent </w:t>
      </w:r>
      <w:r w:rsidR="008F74B3" w:rsidRPr="008F74B3">
        <w:rPr>
          <w:rFonts w:asciiTheme="minorHAnsi" w:hAnsiTheme="minorHAnsi" w:cs="Arial"/>
          <w:color w:val="000000"/>
        </w:rPr>
        <w:t xml:space="preserve">readiness, encompassing staff capability, training, and relational credibility. </w:t>
      </w:r>
      <w:r w:rsidRPr="001E016A">
        <w:rPr>
          <w:rFonts w:asciiTheme="minorHAnsi" w:hAnsiTheme="minorHAnsi" w:cs="Arial"/>
          <w:color w:val="000000"/>
        </w:rPr>
        <w:t xml:space="preserve">Secondly, on a practical level, the research offers strategies for banks to reposition digital trade platforms as trust-based, value-generating ecosystems. </w:t>
      </w:r>
      <w:r w:rsidR="00A333D5" w:rsidRPr="00A333D5">
        <w:rPr>
          <w:rFonts w:asciiTheme="minorHAnsi" w:hAnsiTheme="minorHAnsi" w:cs="Arial"/>
          <w:color w:val="000000"/>
        </w:rPr>
        <w:t xml:space="preserve">Adoption and </w:t>
      </w:r>
      <w:proofErr w:type="spellStart"/>
      <w:r w:rsidR="00A333D5" w:rsidRPr="00A333D5">
        <w:rPr>
          <w:rFonts w:asciiTheme="minorHAnsi" w:hAnsiTheme="minorHAnsi" w:cs="Arial"/>
          <w:color w:val="000000"/>
        </w:rPr>
        <w:t>monetisation</w:t>
      </w:r>
      <w:proofErr w:type="spellEnd"/>
      <w:r w:rsidR="00A333D5" w:rsidRPr="00A333D5">
        <w:rPr>
          <w:rFonts w:asciiTheme="minorHAnsi" w:hAnsiTheme="minorHAnsi" w:cs="Arial"/>
          <w:color w:val="000000"/>
        </w:rPr>
        <w:t xml:space="preserve"> are more sustainable when banks integrate risk management and invest in talent to address treasurers’ concerns</w:t>
      </w:r>
      <w:r w:rsidRPr="001E016A">
        <w:rPr>
          <w:rFonts w:asciiTheme="minorHAnsi" w:hAnsiTheme="minorHAnsi" w:cs="Arial"/>
          <w:color w:val="000000"/>
        </w:rPr>
        <w:t>. These capabilities enable banks to turn platform features into credible value propositions, thereby bolstering institutional trust.</w:t>
      </w:r>
    </w:p>
    <w:p w14:paraId="4986A48A" w14:textId="2E9FA935" w:rsidR="001E016A" w:rsidRPr="001E016A" w:rsidRDefault="001E016A" w:rsidP="001E016A">
      <w:pPr>
        <w:pStyle w:val="NormalWeb"/>
        <w:spacing w:line="360" w:lineRule="auto"/>
        <w:jc w:val="both"/>
        <w:rPr>
          <w:rFonts w:asciiTheme="minorHAnsi" w:hAnsiTheme="minorHAnsi" w:cs="Arial"/>
          <w:color w:val="000000"/>
        </w:rPr>
      </w:pPr>
      <w:r w:rsidRPr="001E016A">
        <w:rPr>
          <w:rFonts w:asciiTheme="minorHAnsi" w:hAnsiTheme="minorHAnsi" w:cs="Arial"/>
          <w:color w:val="000000"/>
        </w:rPr>
        <w:t xml:space="preserve">Finally, the study contributes by identifying monetisation pathways that incorporate tiered fee structures, AI-assisted compliance services, and cross-sell opportunities while maintaining transparency and fairness. To support this process, key performance indicators (KPIs) are proposed, including adoption rate, fee-per-transaction uplift, cross-sell ratio, </w:t>
      </w:r>
      <w:r w:rsidRPr="001E016A">
        <w:rPr>
          <w:rFonts w:asciiTheme="minorHAnsi" w:hAnsiTheme="minorHAnsi" w:cs="Arial"/>
          <w:color w:val="000000"/>
        </w:rPr>
        <w:lastRenderedPageBreak/>
        <w:t>client lifetime value, a trust and risk index and a talent capability score. For regulators such as the Hong Kong Monetary Authority (HKMA), the study clarifies how adoption factors</w:t>
      </w:r>
      <w:r w:rsidR="00712FF8">
        <w:rPr>
          <w:rFonts w:asciiTheme="minorHAnsi" w:hAnsiTheme="minorHAnsi" w:cs="Arial"/>
          <w:color w:val="000000"/>
        </w:rPr>
        <w:t>, including</w:t>
      </w:r>
      <w:r w:rsidR="00777963">
        <w:rPr>
          <w:rFonts w:asciiTheme="minorHAnsi" w:hAnsiTheme="minorHAnsi" w:cs="Arial"/>
          <w:color w:val="000000"/>
        </w:rPr>
        <w:t xml:space="preserve"> </w:t>
      </w:r>
      <w:r w:rsidRPr="001E016A">
        <w:rPr>
          <w:rFonts w:asciiTheme="minorHAnsi" w:hAnsiTheme="minorHAnsi" w:cs="Arial"/>
          <w:color w:val="000000"/>
        </w:rPr>
        <w:t>trust, risk perception, and talent credibility</w:t>
      </w:r>
      <w:r w:rsidR="00712FF8">
        <w:rPr>
          <w:rFonts w:asciiTheme="minorHAnsi" w:hAnsiTheme="minorHAnsi" w:cs="Arial"/>
          <w:color w:val="000000"/>
        </w:rPr>
        <w:t>,</w:t>
      </w:r>
      <w:r w:rsidR="00777963">
        <w:rPr>
          <w:rFonts w:asciiTheme="minorHAnsi" w:hAnsiTheme="minorHAnsi" w:cs="Arial"/>
          <w:color w:val="000000"/>
        </w:rPr>
        <w:t xml:space="preserve"> </w:t>
      </w:r>
      <w:r w:rsidRPr="001E016A">
        <w:rPr>
          <w:rFonts w:asciiTheme="minorHAnsi" w:hAnsiTheme="minorHAnsi" w:cs="Arial"/>
          <w:color w:val="000000"/>
        </w:rPr>
        <w:t xml:space="preserve">intersect with systemic objectives, including financial stability and </w:t>
      </w:r>
      <w:r w:rsidR="00E266F6">
        <w:rPr>
          <w:rFonts w:asciiTheme="minorHAnsi" w:hAnsiTheme="minorHAnsi" w:cs="Arial"/>
          <w:color w:val="000000"/>
        </w:rPr>
        <w:t>th</w:t>
      </w:r>
      <w:r w:rsidRPr="001E016A">
        <w:rPr>
          <w:rFonts w:asciiTheme="minorHAnsi" w:hAnsiTheme="minorHAnsi" w:cs="Arial"/>
          <w:color w:val="000000"/>
        </w:rPr>
        <w:t xml:space="preserve">e </w:t>
      </w:r>
      <w:r w:rsidR="00E266F6">
        <w:rPr>
          <w:rFonts w:asciiTheme="minorHAnsi" w:hAnsiTheme="minorHAnsi" w:cs="Arial"/>
          <w:color w:val="000000"/>
        </w:rPr>
        <w:t>responsible</w:t>
      </w:r>
      <w:r w:rsidRPr="001E016A">
        <w:rPr>
          <w:rFonts w:asciiTheme="minorHAnsi" w:hAnsiTheme="minorHAnsi" w:cs="Arial"/>
          <w:color w:val="000000"/>
        </w:rPr>
        <w:t xml:space="preserve"> adoption</w:t>
      </w:r>
      <w:r w:rsidR="00E266F6">
        <w:rPr>
          <w:rFonts w:asciiTheme="minorHAnsi" w:hAnsiTheme="minorHAnsi" w:cs="Arial"/>
          <w:color w:val="000000"/>
        </w:rPr>
        <w:t xml:space="preserve"> of AI</w:t>
      </w:r>
      <w:r w:rsidRPr="001E016A">
        <w:rPr>
          <w:rFonts w:asciiTheme="minorHAnsi" w:hAnsiTheme="minorHAnsi" w:cs="Arial"/>
          <w:color w:val="000000"/>
        </w:rPr>
        <w:t>. In this way, the research supports the HKMA’s Fintech 2025 agenda and reinforces the finding that responsible digital transformation requires progress in both risk governance and workforce capability.</w:t>
      </w:r>
    </w:p>
    <w:p w14:paraId="6A6C6108" w14:textId="77777777" w:rsidR="0023484E" w:rsidRDefault="0023484E" w:rsidP="0023484E">
      <w:pPr>
        <w:pStyle w:val="Heading1"/>
        <w:numPr>
          <w:ilvl w:val="0"/>
          <w:numId w:val="24"/>
        </w:numPr>
        <w:tabs>
          <w:tab w:val="left" w:pos="0"/>
          <w:tab w:val="left" w:pos="360"/>
        </w:tabs>
        <w:ind w:left="0" w:firstLine="0"/>
        <w:rPr>
          <w:rFonts w:asciiTheme="minorHAnsi" w:hAnsiTheme="minorHAnsi"/>
        </w:rPr>
      </w:pPr>
      <w:bookmarkStart w:id="16" w:name="_Toc208061998"/>
      <w:r>
        <w:rPr>
          <w:rFonts w:asciiTheme="minorHAnsi" w:hAnsiTheme="minorHAnsi"/>
        </w:rPr>
        <w:t>Theoretical Framework</w:t>
      </w:r>
      <w:bookmarkEnd w:id="16"/>
      <w:r>
        <w:rPr>
          <w:rFonts w:asciiTheme="minorHAnsi" w:hAnsiTheme="minorHAnsi"/>
        </w:rPr>
        <w:t xml:space="preserve"> </w:t>
      </w:r>
    </w:p>
    <w:p w14:paraId="2CA28678" w14:textId="783F8D02" w:rsidR="00F72705" w:rsidRPr="00B064B8" w:rsidRDefault="008F74B3" w:rsidP="003E36A3">
      <w:pPr>
        <w:tabs>
          <w:tab w:val="left" w:pos="0"/>
          <w:tab w:val="left" w:pos="360"/>
        </w:tabs>
        <w:spacing w:before="100" w:beforeAutospacing="1" w:after="100" w:afterAutospacing="1" w:line="360" w:lineRule="auto"/>
        <w:jc w:val="both"/>
        <w:rPr>
          <w:rFonts w:eastAsia="Times New Roman" w:cs="Arial"/>
          <w:color w:val="000000"/>
          <w:kern w:val="0"/>
          <w:sz w:val="22"/>
          <w:szCs w:val="22"/>
          <w14:ligatures w14:val="none"/>
        </w:rPr>
      </w:pPr>
      <w:r>
        <w:rPr>
          <w:rFonts w:eastAsia="Times New Roman" w:cs="Arial"/>
          <w:color w:val="000000"/>
          <w:kern w:val="0"/>
          <w:sz w:val="22"/>
          <w:szCs w:val="22"/>
          <w14:ligatures w14:val="none"/>
        </w:rPr>
        <w:t xml:space="preserve">The </w:t>
      </w:r>
      <w:r>
        <w:rPr>
          <w:kern w:val="0"/>
          <w14:ligatures w14:val="none"/>
        </w:rPr>
        <w:t xml:space="preserve">literature on digital trade finance adoption uncovers a consistent tension between technological potential and real-world implementation. A significant body of research </w:t>
      </w:r>
      <w:proofErr w:type="spellStart"/>
      <w:r>
        <w:rPr>
          <w:kern w:val="0"/>
          <w14:ligatures w14:val="none"/>
        </w:rPr>
        <w:t>emphasises</w:t>
      </w:r>
      <w:proofErr w:type="spellEnd"/>
      <w:r>
        <w:rPr>
          <w:kern w:val="0"/>
          <w14:ligatures w14:val="none"/>
        </w:rPr>
        <w:t xml:space="preserve"> </w:t>
      </w:r>
      <w:proofErr w:type="spellStart"/>
      <w:r>
        <w:rPr>
          <w:kern w:val="0"/>
          <w14:ligatures w14:val="none"/>
        </w:rPr>
        <w:t>digitalisation's</w:t>
      </w:r>
      <w:proofErr w:type="spellEnd"/>
      <w:r>
        <w:rPr>
          <w:kern w:val="0"/>
          <w14:ligatures w14:val="none"/>
        </w:rPr>
        <w:t xml:space="preserve"> ability to accelerate documentation processes, reduce compliance obstacles, and improve transparency in international trade (Tanveer et al., 2025). However, the belief that efficiency improvements alone are enough to encourage adoption has not been supported by practice. Corporate treasurers adopt unevenly, and </w:t>
      </w:r>
      <w:proofErr w:type="spellStart"/>
      <w:r>
        <w:rPr>
          <w:kern w:val="0"/>
          <w14:ligatures w14:val="none"/>
        </w:rPr>
        <w:t>monetisation</w:t>
      </w:r>
      <w:proofErr w:type="spellEnd"/>
      <w:r>
        <w:rPr>
          <w:kern w:val="0"/>
          <w14:ligatures w14:val="none"/>
        </w:rPr>
        <w:t xml:space="preserve"> remains </w:t>
      </w:r>
      <w:r w:rsidR="00FE5F2B">
        <w:rPr>
          <w:kern w:val="0"/>
          <w14:ligatures w14:val="none"/>
        </w:rPr>
        <w:t>challenging</w:t>
      </w:r>
      <w:r>
        <w:rPr>
          <w:kern w:val="0"/>
          <w14:ligatures w14:val="none"/>
        </w:rPr>
        <w:t xml:space="preserve"> to achieve. This paradox indicates that adoption cannot be explained solely by structural efficiency, and that the common assumption—namely, that readiness and efficiency lead to adoption—needs to be critically re-evaluated</w:t>
      </w:r>
      <w:r>
        <w:rPr>
          <w:rFonts w:eastAsia="Times New Roman" w:cs="Arial"/>
          <w:color w:val="000000"/>
          <w:kern w:val="0"/>
          <w:sz w:val="22"/>
          <w:szCs w:val="22"/>
          <w14:ligatures w14:val="none"/>
        </w:rPr>
        <w:t>.</w:t>
      </w:r>
    </w:p>
    <w:p w14:paraId="4931095C" w14:textId="6F33C27B" w:rsidR="007779A3" w:rsidRPr="00B064B8" w:rsidRDefault="0023484E" w:rsidP="00F72705">
      <w:pPr>
        <w:pStyle w:val="Heading2"/>
        <w:numPr>
          <w:ilvl w:val="1"/>
          <w:numId w:val="35"/>
        </w:numPr>
        <w:tabs>
          <w:tab w:val="left" w:pos="0"/>
          <w:tab w:val="left" w:pos="360"/>
        </w:tabs>
        <w:ind w:left="0" w:firstLine="0"/>
        <w:rPr>
          <w:rFonts w:asciiTheme="minorHAnsi" w:hAnsiTheme="minorHAnsi"/>
        </w:rPr>
      </w:pPr>
      <w:bookmarkStart w:id="17" w:name="_Toc208061999"/>
      <w:r>
        <w:rPr>
          <w:rFonts w:asciiTheme="minorHAnsi" w:hAnsiTheme="minorHAnsi"/>
        </w:rPr>
        <w:t>TOE Lens</w:t>
      </w:r>
      <w:bookmarkEnd w:id="17"/>
    </w:p>
    <w:p w14:paraId="3DC44003" w14:textId="096EDC5E" w:rsidR="0034731E" w:rsidRPr="004F2797" w:rsidRDefault="008F74B3" w:rsidP="003E36A3">
      <w:pPr>
        <w:pStyle w:val="NormalWeb"/>
        <w:spacing w:line="360" w:lineRule="auto"/>
        <w:jc w:val="both"/>
        <w:rPr>
          <w:rFonts w:asciiTheme="minorHAnsi" w:eastAsiaTheme="minorEastAsia" w:hAnsiTheme="minorHAnsi" w:cstheme="minorBidi"/>
        </w:rPr>
      </w:pPr>
      <w:bookmarkStart w:id="18" w:name="_Toc206886338"/>
      <w:r w:rsidRPr="004F2797">
        <w:rPr>
          <w:rFonts w:asciiTheme="minorHAnsi" w:hAnsiTheme="minorHAnsi"/>
        </w:rPr>
        <w:t xml:space="preserve">The TOE framework has been widely used to explain </w:t>
      </w:r>
      <w:proofErr w:type="spellStart"/>
      <w:r w:rsidRPr="004F2797">
        <w:rPr>
          <w:rFonts w:asciiTheme="minorHAnsi" w:hAnsiTheme="minorHAnsi"/>
        </w:rPr>
        <w:t>organisational</w:t>
      </w:r>
      <w:proofErr w:type="spellEnd"/>
      <w:r w:rsidRPr="004F2797">
        <w:rPr>
          <w:rFonts w:asciiTheme="minorHAnsi" w:hAnsiTheme="minorHAnsi"/>
        </w:rPr>
        <w:t xml:space="preserve"> adoption of innovation. Its strength lies in identifying technological readiness, </w:t>
      </w:r>
      <w:proofErr w:type="spellStart"/>
      <w:r w:rsidRPr="004F2797">
        <w:rPr>
          <w:rFonts w:asciiTheme="minorHAnsi" w:hAnsiTheme="minorHAnsi"/>
        </w:rPr>
        <w:t>organisational</w:t>
      </w:r>
      <w:proofErr w:type="spellEnd"/>
      <w:r w:rsidRPr="004F2797">
        <w:rPr>
          <w:rFonts w:asciiTheme="minorHAnsi" w:hAnsiTheme="minorHAnsi"/>
        </w:rPr>
        <w:t xml:space="preserve"> capacity, and environmental pressures (Zhang et al., 2020). Recent research confirms its relevance in banking, where dynamic capabilities embedded within the TOE framework are shown to improve digital transformation and performance outcomes (Abdurrahman et al., 2024). TOE is especially relevant given banks’ significant investments in treasury system integration, the availability of onboarding resources, and the strong influence of HKMA’s </w:t>
      </w:r>
      <w:proofErr w:type="spellStart"/>
      <w:r w:rsidRPr="004F2797">
        <w:rPr>
          <w:rFonts w:asciiTheme="minorHAnsi" w:hAnsiTheme="minorHAnsi"/>
        </w:rPr>
        <w:t>digitalisation</w:t>
      </w:r>
      <w:proofErr w:type="spellEnd"/>
      <w:r w:rsidRPr="004F2797">
        <w:rPr>
          <w:rFonts w:asciiTheme="minorHAnsi" w:hAnsiTheme="minorHAnsi"/>
        </w:rPr>
        <w:t xml:space="preserve"> agenda (HKMA, 2024). From this perspective, TOE offers a structured explanation of adoption conditions.</w:t>
      </w:r>
    </w:p>
    <w:p w14:paraId="45F2747A" w14:textId="64DD9055" w:rsidR="0034731E" w:rsidRPr="00B064B8" w:rsidRDefault="0034731E" w:rsidP="003E36A3">
      <w:pPr>
        <w:pStyle w:val="NormalWeb"/>
        <w:spacing w:line="360" w:lineRule="auto"/>
        <w:jc w:val="both"/>
        <w:rPr>
          <w:rFonts w:asciiTheme="minorHAnsi" w:hAnsiTheme="minorHAnsi" w:cs="Arial"/>
          <w:color w:val="000000"/>
          <w:sz w:val="22"/>
          <w:szCs w:val="22"/>
        </w:rPr>
      </w:pPr>
      <w:r w:rsidRPr="00B064B8">
        <w:rPr>
          <w:rFonts w:asciiTheme="minorHAnsi" w:eastAsiaTheme="minorEastAsia" w:hAnsiTheme="minorHAnsi" w:cstheme="minorBidi"/>
        </w:rPr>
        <w:lastRenderedPageBreak/>
        <w:t xml:space="preserve">Nonetheless, TOE demonstrates limitations in the corporate trade finance context. It tends to </w:t>
      </w:r>
      <w:r w:rsidR="00E266F6">
        <w:rPr>
          <w:rFonts w:asciiTheme="minorHAnsi" w:eastAsiaTheme="minorEastAsia" w:hAnsiTheme="minorHAnsi" w:cstheme="minorBidi"/>
        </w:rPr>
        <w:t>a</w:t>
      </w:r>
      <w:r w:rsidR="00F32744" w:rsidRPr="00B064B8">
        <w:rPr>
          <w:rFonts w:asciiTheme="minorHAnsi" w:eastAsiaTheme="minorEastAsia" w:hAnsiTheme="minorHAnsi" w:cstheme="minorBidi"/>
        </w:rPr>
        <w:t xml:space="preserve">ssume rational alignment between readiness and adoption. In practice, adoption is influenced by behavioural perceptions and compliance-driven governance. Studies in digital banking indicate that factors such as compatibility, familiarity, perceived benefits, risks, and trust often outweigh purely structural readiness (JAFB, 2025; Singh, 2023). </w:t>
      </w:r>
      <w:r w:rsidR="008F74B3">
        <w:rPr>
          <w:rFonts w:asciiTheme="minorHAnsi" w:eastAsiaTheme="minorEastAsia" w:hAnsiTheme="minorHAnsi" w:cstheme="minorBidi"/>
        </w:rPr>
        <w:t>For example, a treasury may have the technological capacity to integrate a platform but delay</w:t>
      </w:r>
      <w:r w:rsidR="00FE5F2B">
        <w:rPr>
          <w:rFonts w:asciiTheme="minorHAnsi" w:eastAsiaTheme="minorEastAsia" w:hAnsiTheme="minorHAnsi" w:cstheme="minorBidi"/>
        </w:rPr>
        <w:t xml:space="preserve"> it</w:t>
      </w:r>
      <w:r w:rsidR="008F74B3">
        <w:rPr>
          <w:rFonts w:asciiTheme="minorHAnsi" w:eastAsiaTheme="minorEastAsia" w:hAnsiTheme="minorHAnsi" w:cstheme="minorBidi"/>
        </w:rPr>
        <w:t xml:space="preserve">. </w:t>
      </w:r>
      <w:r w:rsidR="00FE5F2B">
        <w:rPr>
          <w:rFonts w:asciiTheme="minorHAnsi" w:eastAsiaTheme="minorEastAsia" w:hAnsiTheme="minorHAnsi" w:cstheme="minorBidi"/>
        </w:rPr>
        <w:t>The a</w:t>
      </w:r>
      <w:r w:rsidR="00F32744" w:rsidRPr="00B064B8">
        <w:rPr>
          <w:rFonts w:asciiTheme="minorHAnsi" w:eastAsiaTheme="minorEastAsia" w:hAnsiTheme="minorHAnsi" w:cstheme="minorBidi"/>
        </w:rPr>
        <w:t xml:space="preserve">doption </w:t>
      </w:r>
      <w:r w:rsidR="00FE5F2B">
        <w:rPr>
          <w:rFonts w:asciiTheme="minorHAnsi" w:eastAsiaTheme="minorEastAsia" w:hAnsiTheme="minorHAnsi" w:cstheme="minorBidi"/>
        </w:rPr>
        <w:t>o</w:t>
      </w:r>
      <w:r w:rsidR="00F32744" w:rsidRPr="00B064B8">
        <w:rPr>
          <w:rFonts w:asciiTheme="minorHAnsi" w:eastAsiaTheme="minorEastAsia" w:hAnsiTheme="minorHAnsi" w:cstheme="minorBidi"/>
        </w:rPr>
        <w:t>f regulatory risks seem</w:t>
      </w:r>
      <w:r w:rsidR="00FE5F2B">
        <w:rPr>
          <w:rFonts w:asciiTheme="minorHAnsi" w:eastAsiaTheme="minorEastAsia" w:hAnsiTheme="minorHAnsi" w:cstheme="minorBidi"/>
        </w:rPr>
        <w:t>s</w:t>
      </w:r>
      <w:r w:rsidR="00F32744" w:rsidRPr="00B064B8">
        <w:rPr>
          <w:rFonts w:asciiTheme="minorHAnsi" w:eastAsiaTheme="minorEastAsia" w:hAnsiTheme="minorHAnsi" w:cstheme="minorBidi"/>
        </w:rPr>
        <w:t xml:space="preserve"> too high</w:t>
      </w:r>
      <w:r w:rsidR="00FE5F2B">
        <w:rPr>
          <w:rFonts w:asciiTheme="minorHAnsi" w:eastAsiaTheme="minorEastAsia" w:hAnsiTheme="minorHAnsi" w:cstheme="minorBidi"/>
        </w:rPr>
        <w:t>,</w:t>
      </w:r>
      <w:r w:rsidR="00F32744" w:rsidRPr="00B064B8">
        <w:rPr>
          <w:rFonts w:asciiTheme="minorHAnsi" w:eastAsiaTheme="minorEastAsia" w:hAnsiTheme="minorHAnsi" w:cstheme="minorBidi"/>
        </w:rPr>
        <w:t xml:space="preserve"> or </w:t>
      </w:r>
      <w:r w:rsidR="008F1DCF">
        <w:rPr>
          <w:rFonts w:asciiTheme="minorHAnsi" w:eastAsiaTheme="minorEastAsia" w:hAnsiTheme="minorHAnsi" w:cstheme="minorBidi"/>
        </w:rPr>
        <w:t xml:space="preserve">there is a lack of </w:t>
      </w:r>
      <w:r w:rsidR="00F32744" w:rsidRPr="00B064B8">
        <w:rPr>
          <w:rFonts w:asciiTheme="minorHAnsi" w:eastAsiaTheme="minorEastAsia" w:hAnsiTheme="minorHAnsi" w:cstheme="minorBidi"/>
        </w:rPr>
        <w:t>trust. TOE may underestimate the relational and behavioural aspects of adoption</w:t>
      </w:r>
      <w:r w:rsidR="008F1DCF">
        <w:rPr>
          <w:rFonts w:asciiTheme="minorHAnsi" w:eastAsiaTheme="minorEastAsia" w:hAnsiTheme="minorHAnsi" w:cstheme="minorBidi"/>
        </w:rPr>
        <w:t xml:space="preserve">. </w:t>
      </w:r>
      <w:r w:rsidR="008F1DCF" w:rsidRPr="008F1DCF">
        <w:rPr>
          <w:rFonts w:asciiTheme="minorHAnsi" w:eastAsiaTheme="minorEastAsia" w:hAnsiTheme="minorHAnsi" w:cstheme="minorBidi"/>
        </w:rPr>
        <w:t>While TOE explains readiness, it does not resolve the adoption–monetisation gap outlined earlier, since treasurers weigh behavioural perceptions more heavily than efficiency metrics.</w:t>
      </w:r>
    </w:p>
    <w:p w14:paraId="74DE65F0" w14:textId="35EFF2CE" w:rsidR="00FE2725" w:rsidRPr="00B064B8" w:rsidRDefault="0034731E" w:rsidP="0034731E">
      <w:pPr>
        <w:pStyle w:val="Heading2"/>
        <w:spacing w:line="360" w:lineRule="auto"/>
        <w:rPr>
          <w:rFonts w:asciiTheme="minorHAnsi" w:hAnsiTheme="minorHAnsi"/>
        </w:rPr>
      </w:pPr>
      <w:bookmarkStart w:id="19" w:name="_Toc208062000"/>
      <w:bookmarkEnd w:id="18"/>
      <w:r w:rsidRPr="00B064B8">
        <w:rPr>
          <w:rFonts w:asciiTheme="minorHAnsi" w:hAnsiTheme="minorHAnsi"/>
        </w:rPr>
        <w:t>3.2</w:t>
      </w:r>
      <w:r w:rsidR="00FC351E" w:rsidRPr="00B064B8">
        <w:rPr>
          <w:rFonts w:asciiTheme="minorHAnsi" w:hAnsiTheme="minorHAnsi"/>
        </w:rPr>
        <w:t xml:space="preserve"> </w:t>
      </w:r>
      <w:r w:rsidR="00FC351E" w:rsidRPr="00B064B8">
        <w:rPr>
          <w:rFonts w:asciiTheme="minorHAnsi" w:hAnsiTheme="minorHAnsi"/>
        </w:rPr>
        <w:tab/>
      </w:r>
      <w:r w:rsidRPr="00B064B8">
        <w:rPr>
          <w:rFonts w:asciiTheme="minorHAnsi" w:hAnsiTheme="minorHAnsi"/>
        </w:rPr>
        <w:t xml:space="preserve">SDL </w:t>
      </w:r>
      <w:r w:rsidR="0023484E">
        <w:rPr>
          <w:rFonts w:asciiTheme="minorHAnsi" w:hAnsiTheme="minorHAnsi"/>
        </w:rPr>
        <w:t>and Value Co-Creation</w:t>
      </w:r>
      <w:bookmarkEnd w:id="19"/>
    </w:p>
    <w:p w14:paraId="004E1F37" w14:textId="4D782BAA" w:rsidR="0034731E" w:rsidRPr="00B064B8" w:rsidRDefault="00FC351E" w:rsidP="000573F5">
      <w:pPr>
        <w:spacing w:line="360" w:lineRule="auto"/>
        <w:jc w:val="both"/>
      </w:pPr>
      <w:r w:rsidRPr="00B064B8">
        <w:rPr>
          <w:rStyle w:val="Strong"/>
          <w:rFonts w:eastAsiaTheme="majorEastAsia" w:cs="Arial"/>
          <w:b w:val="0"/>
          <w:bCs w:val="0"/>
          <w:color w:val="000000"/>
          <w:sz w:val="22"/>
          <w:szCs w:val="22"/>
        </w:rPr>
        <w:t>SDL</w:t>
      </w:r>
      <w:r w:rsidR="0034731E" w:rsidRPr="00B064B8">
        <w:rPr>
          <w:rStyle w:val="apple-converted-space"/>
          <w:rFonts w:eastAsiaTheme="majorEastAsia" w:cs="Arial"/>
          <w:b/>
          <w:bCs/>
          <w:color w:val="000000"/>
          <w:sz w:val="22"/>
          <w:szCs w:val="22"/>
        </w:rPr>
        <w:t> </w:t>
      </w:r>
      <w:r w:rsidR="0034731E" w:rsidRPr="00B064B8">
        <w:rPr>
          <w:rFonts w:cs="Arial"/>
          <w:color w:val="000000"/>
          <w:sz w:val="22"/>
          <w:szCs w:val="22"/>
        </w:rPr>
        <w:t>offers a complementary perspective by reframing adoption as a process of co-creation between banks and clients</w:t>
      </w:r>
      <w:r w:rsidR="0034731E" w:rsidRPr="00B064B8">
        <w:t xml:space="preserve">. In trade finance, SDL highlights that platforms derive value when treasurers perceive trust, compliance assurance, and </w:t>
      </w:r>
      <w:r w:rsidR="00DC74BD" w:rsidRPr="00B064B8">
        <w:t>informational transparency (Hossain, 202</w:t>
      </w:r>
      <w:r w:rsidR="007709CB">
        <w:t>4</w:t>
      </w:r>
      <w:r w:rsidR="00DC74BD" w:rsidRPr="00B064B8">
        <w:t xml:space="preserve">). There is evidence to suggest that adoption is more likely when </w:t>
      </w:r>
      <w:r w:rsidR="00CC5E1F" w:rsidRPr="00B064B8">
        <w:t>platforms are positioned as ecosystems that enable co-creation, rather than as narrow,</w:t>
      </w:r>
      <w:r w:rsidR="0034731E" w:rsidRPr="00B064B8">
        <w:t xml:space="preserve"> cost-saving utilities</w:t>
      </w:r>
      <w:r w:rsidR="004F5947">
        <w:t>.</w:t>
      </w:r>
    </w:p>
    <w:p w14:paraId="1F5002C6" w14:textId="07182AEF" w:rsidR="00193739" w:rsidRPr="00B064B8" w:rsidRDefault="000573F5" w:rsidP="000573F5">
      <w:pPr>
        <w:spacing w:line="360" w:lineRule="auto"/>
        <w:jc w:val="both"/>
        <w:rPr>
          <w:kern w:val="0"/>
          <w14:ligatures w14:val="none"/>
        </w:rPr>
      </w:pPr>
      <w:r>
        <w:rPr>
          <w:kern w:val="0"/>
          <w14:ligatures w14:val="none"/>
        </w:rPr>
        <w:t xml:space="preserve">However, SDL risks overstating client agency by assuming a willingness to co-create that </w:t>
      </w:r>
      <w:r w:rsidR="008F74B3">
        <w:rPr>
          <w:kern w:val="0"/>
          <w14:ligatures w14:val="none"/>
        </w:rPr>
        <w:t xml:space="preserve">does not always align with corporate realities. In practice, treasurers operate under scrutiny </w:t>
      </w:r>
      <w:r>
        <w:rPr>
          <w:kern w:val="0"/>
          <w14:ligatures w14:val="none"/>
        </w:rPr>
        <w:t xml:space="preserve">from boards and risk committees, which often leads to a cautious approach to innovation. Empirical evidence from Zhou and Li (2023) confirms this scepticism: their study shows that corporate adoption of digital transformation initiatives depended on demonstrated reliability, strong institutional backing, and compatibility with treasury workflows, </w:t>
      </w:r>
      <w:r w:rsidR="008F74B3">
        <w:rPr>
          <w:kern w:val="0"/>
          <w14:ligatures w14:val="none"/>
        </w:rPr>
        <w:t xml:space="preserve">rather than on an abstract willingness to co-create. Taken together, these insights suggest that </w:t>
      </w:r>
      <w:r>
        <w:rPr>
          <w:kern w:val="0"/>
          <w14:ligatures w14:val="none"/>
        </w:rPr>
        <w:t>while SDL addresses the structural emphasis of TOE, its reliance on client agency may overstate willingness and underestimate the constraints imposed by corporate governance.</w:t>
      </w:r>
    </w:p>
    <w:p w14:paraId="0870F2BE" w14:textId="314926B6" w:rsidR="003E36A3" w:rsidRPr="00B064B8" w:rsidRDefault="003E36A3" w:rsidP="003E36A3">
      <w:pPr>
        <w:pStyle w:val="Heading2"/>
        <w:spacing w:line="360" w:lineRule="auto"/>
        <w:rPr>
          <w:rFonts w:asciiTheme="minorHAnsi" w:hAnsiTheme="minorHAnsi"/>
        </w:rPr>
      </w:pPr>
      <w:bookmarkStart w:id="20" w:name="_Toc208062001"/>
      <w:r w:rsidRPr="00B064B8">
        <w:rPr>
          <w:rFonts w:asciiTheme="minorHAnsi" w:hAnsiTheme="minorHAnsi"/>
        </w:rPr>
        <w:lastRenderedPageBreak/>
        <w:t>3.3</w:t>
      </w:r>
      <w:r w:rsidRPr="00B064B8">
        <w:rPr>
          <w:rFonts w:asciiTheme="minorHAnsi" w:hAnsiTheme="minorHAnsi"/>
        </w:rPr>
        <w:tab/>
      </w:r>
      <w:r w:rsidR="0023484E">
        <w:rPr>
          <w:rFonts w:asciiTheme="minorHAnsi" w:hAnsiTheme="minorHAnsi"/>
        </w:rPr>
        <w:t>Integrating Risk – Talent Nexus into TOE and SDL</w:t>
      </w:r>
      <w:bookmarkEnd w:id="20"/>
    </w:p>
    <w:p w14:paraId="710E0957" w14:textId="2AB36A65" w:rsidR="0034731E" w:rsidRPr="00B064B8" w:rsidRDefault="00193739" w:rsidP="003E36A3">
      <w:pPr>
        <w:pStyle w:val="NormalWeb"/>
        <w:spacing w:line="360" w:lineRule="auto"/>
        <w:jc w:val="both"/>
        <w:rPr>
          <w:rFonts w:asciiTheme="minorHAnsi" w:eastAsiaTheme="minorEastAsia" w:hAnsiTheme="minorHAnsi" w:cstheme="minorBidi"/>
        </w:rPr>
      </w:pPr>
      <w:r w:rsidRPr="00B064B8">
        <w:rPr>
          <w:rFonts w:asciiTheme="minorHAnsi" w:eastAsiaTheme="minorEastAsia" w:hAnsiTheme="minorHAnsi" w:cstheme="minorBidi"/>
        </w:rPr>
        <w:t>Overall</w:t>
      </w:r>
      <w:r w:rsidR="0034731E" w:rsidRPr="00B064B8">
        <w:rPr>
          <w:rFonts w:asciiTheme="minorHAnsi" w:eastAsiaTheme="minorEastAsia" w:hAnsiTheme="minorHAnsi" w:cstheme="minorBidi"/>
        </w:rPr>
        <w:t>,</w:t>
      </w:r>
      <w:r w:rsidRPr="00B064B8">
        <w:rPr>
          <w:rFonts w:asciiTheme="minorHAnsi" w:eastAsiaTheme="minorEastAsia" w:hAnsiTheme="minorHAnsi" w:cstheme="minorBidi"/>
        </w:rPr>
        <w:t xml:space="preserve"> these finding</w:t>
      </w:r>
      <w:r w:rsidR="008F74B3">
        <w:rPr>
          <w:rFonts w:asciiTheme="minorHAnsi" w:eastAsiaTheme="minorEastAsia" w:hAnsiTheme="minorHAnsi" w:cstheme="minorBidi"/>
        </w:rPr>
        <w:t>s</w:t>
      </w:r>
      <w:r w:rsidRPr="00B064B8">
        <w:rPr>
          <w:rFonts w:asciiTheme="minorHAnsi" w:eastAsiaTheme="minorEastAsia" w:hAnsiTheme="minorHAnsi" w:cstheme="minorBidi"/>
        </w:rPr>
        <w:t xml:space="preserve"> suggest that</w:t>
      </w:r>
      <w:r w:rsidR="0034731E" w:rsidRPr="00B064B8">
        <w:rPr>
          <w:rFonts w:asciiTheme="minorHAnsi" w:eastAsiaTheme="minorEastAsia" w:hAnsiTheme="minorHAnsi" w:cstheme="minorBidi"/>
        </w:rPr>
        <w:t xml:space="preserve"> TOE and SDL provide complementary but incomplete explanations. TOE addresses readiness; SDL highlights relational co-creation. However, neither sufficiently integrates behavioural adoption constructs validated in consumer and SME contexts. Research </w:t>
      </w:r>
      <w:r w:rsidR="00DC74BD" w:rsidRPr="00B064B8">
        <w:rPr>
          <w:rFonts w:asciiTheme="minorHAnsi" w:eastAsiaTheme="minorEastAsia" w:hAnsiTheme="minorHAnsi" w:cstheme="minorBidi"/>
        </w:rPr>
        <w:t xml:space="preserve">shows that compatibility, familiarity, benefit, risk, and trust influence behavioural intention (Singh, </w:t>
      </w:r>
      <w:r w:rsidR="0034731E" w:rsidRPr="00B064B8">
        <w:rPr>
          <w:rFonts w:asciiTheme="minorHAnsi" w:eastAsiaTheme="minorEastAsia" w:hAnsiTheme="minorHAnsi" w:cstheme="minorBidi"/>
        </w:rPr>
        <w:t xml:space="preserve">2023; JAFB, 2025). Additional </w:t>
      </w:r>
      <w:r w:rsidR="00F63318" w:rsidRPr="00B064B8">
        <w:rPr>
          <w:rFonts w:asciiTheme="minorHAnsi" w:eastAsiaTheme="minorEastAsia" w:hAnsiTheme="minorHAnsi" w:cstheme="minorBidi"/>
        </w:rPr>
        <w:t>constructs, such as competitive pressure and government support, have also proven influential (Good SME Copy,</w:t>
      </w:r>
      <w:r w:rsidR="0034731E" w:rsidRPr="00B064B8">
        <w:rPr>
          <w:rFonts w:asciiTheme="minorHAnsi" w:eastAsiaTheme="minorEastAsia" w:hAnsiTheme="minorHAnsi" w:cstheme="minorBidi"/>
        </w:rPr>
        <w:t xml:space="preserve"> 2025).</w:t>
      </w:r>
    </w:p>
    <w:p w14:paraId="30017026" w14:textId="3CC67D0E" w:rsidR="0034731E" w:rsidRPr="008F74B3" w:rsidRDefault="008F74B3" w:rsidP="003E36A3">
      <w:pPr>
        <w:pStyle w:val="NormalWeb"/>
        <w:spacing w:line="360" w:lineRule="auto"/>
        <w:jc w:val="both"/>
        <w:rPr>
          <w:rFonts w:asciiTheme="minorHAnsi" w:eastAsiaTheme="minorEastAsia" w:hAnsiTheme="minorHAnsi" w:cstheme="minorBidi"/>
        </w:rPr>
      </w:pPr>
      <w:r w:rsidRPr="008F74B3">
        <w:rPr>
          <w:rFonts w:asciiTheme="minorHAnsi" w:hAnsiTheme="minorHAnsi"/>
        </w:rPr>
        <w:t xml:space="preserve">Applying these constructs to corporate treasuries offers a more nuanced model. In Hong Kong, adoption </w:t>
      </w:r>
      <w:proofErr w:type="spellStart"/>
      <w:r w:rsidRPr="008F74B3">
        <w:rPr>
          <w:rFonts w:asciiTheme="minorHAnsi" w:hAnsiTheme="minorHAnsi"/>
        </w:rPr>
        <w:t>behaviour</w:t>
      </w:r>
      <w:proofErr w:type="spellEnd"/>
      <w:r w:rsidRPr="008F74B3">
        <w:rPr>
          <w:rFonts w:asciiTheme="minorHAnsi" w:hAnsiTheme="minorHAnsi"/>
        </w:rPr>
        <w:t xml:space="preserve"> reflects not only technical readiness but also relational trust, perceived risks, regulatory expectations, and industry competition. </w:t>
      </w:r>
      <w:r w:rsidR="00FE5F2B">
        <w:rPr>
          <w:rFonts w:asciiTheme="minorHAnsi" w:hAnsiTheme="minorHAnsi"/>
        </w:rPr>
        <w:t>Signific</w:t>
      </w:r>
      <w:r w:rsidRPr="008F74B3">
        <w:rPr>
          <w:rFonts w:asciiTheme="minorHAnsi" w:hAnsiTheme="minorHAnsi"/>
        </w:rPr>
        <w:t>antly, this study broadens the model to include </w:t>
      </w:r>
      <w:proofErr w:type="spellStart"/>
      <w:r w:rsidRPr="008F74B3">
        <w:rPr>
          <w:rFonts w:asciiTheme="minorHAnsi" w:hAnsiTheme="minorHAnsi"/>
        </w:rPr>
        <w:t>monetisation</w:t>
      </w:r>
      <w:proofErr w:type="spellEnd"/>
      <w:r w:rsidRPr="008F74B3">
        <w:rPr>
          <w:rFonts w:asciiTheme="minorHAnsi" w:hAnsiTheme="minorHAnsi"/>
        </w:rPr>
        <w:t xml:space="preserve"> outcomes, addressing a</w:t>
      </w:r>
      <w:r w:rsidR="00FE5F2B">
        <w:rPr>
          <w:rFonts w:asciiTheme="minorHAnsi" w:hAnsiTheme="minorHAnsi"/>
        </w:rPr>
        <w:t>n</w:t>
      </w:r>
      <w:r w:rsidRPr="008F74B3">
        <w:rPr>
          <w:rFonts w:asciiTheme="minorHAnsi" w:hAnsiTheme="minorHAnsi"/>
        </w:rPr>
        <w:t xml:space="preserve"> overlooked connection: whether adoption intention and usage lead to fee income, cross-selling, and relationship deepening.</w:t>
      </w:r>
    </w:p>
    <w:p w14:paraId="5FF7FE4C" w14:textId="1E7AD30A" w:rsidR="007779A3" w:rsidRPr="00B064B8" w:rsidRDefault="00C21C38" w:rsidP="003E36A3">
      <w:pPr>
        <w:pStyle w:val="Heading2"/>
        <w:numPr>
          <w:ilvl w:val="1"/>
          <w:numId w:val="48"/>
        </w:numPr>
        <w:tabs>
          <w:tab w:val="left" w:pos="0"/>
          <w:tab w:val="left" w:pos="360"/>
        </w:tabs>
        <w:spacing w:line="360" w:lineRule="auto"/>
        <w:rPr>
          <w:rFonts w:asciiTheme="minorHAnsi" w:hAnsiTheme="minorHAnsi"/>
        </w:rPr>
      </w:pPr>
      <w:bookmarkStart w:id="21" w:name="_Toc208062002"/>
      <w:r w:rsidRPr="00B064B8">
        <w:rPr>
          <w:rFonts w:asciiTheme="minorHAnsi" w:hAnsiTheme="minorHAnsi"/>
        </w:rPr>
        <w:t xml:space="preserve">Adoption </w:t>
      </w:r>
      <w:r w:rsidR="00F63318" w:rsidRPr="00B064B8">
        <w:rPr>
          <w:rFonts w:asciiTheme="minorHAnsi" w:hAnsiTheme="minorHAnsi"/>
        </w:rPr>
        <w:t>of</w:t>
      </w:r>
      <w:r w:rsidRPr="00B064B8">
        <w:rPr>
          <w:rFonts w:asciiTheme="minorHAnsi" w:hAnsiTheme="minorHAnsi"/>
        </w:rPr>
        <w:t xml:space="preserve"> Moneti</w:t>
      </w:r>
      <w:r w:rsidR="00F63318" w:rsidRPr="00B064B8">
        <w:rPr>
          <w:rFonts w:asciiTheme="minorHAnsi" w:hAnsiTheme="minorHAnsi"/>
        </w:rPr>
        <w:t>s</w:t>
      </w:r>
      <w:r w:rsidRPr="00B064B8">
        <w:rPr>
          <w:rFonts w:asciiTheme="minorHAnsi" w:hAnsiTheme="minorHAnsi"/>
        </w:rPr>
        <w:t>ation Hypotheses Model</w:t>
      </w:r>
      <w:bookmarkEnd w:id="21"/>
    </w:p>
    <w:p w14:paraId="49F87463" w14:textId="002D2917" w:rsidR="00193739" w:rsidRDefault="00193739" w:rsidP="00193739">
      <w:pPr>
        <w:spacing w:line="360" w:lineRule="auto"/>
        <w:jc w:val="both"/>
      </w:pPr>
      <w:r w:rsidRPr="00B064B8">
        <w:t xml:space="preserve">The model </w:t>
      </w:r>
      <w:r w:rsidR="009B55CA" w:rsidRPr="00B064B8">
        <w:t>hypothesizes</w:t>
      </w:r>
      <w:r w:rsidRPr="00B064B8">
        <w:t xml:space="preserve"> that both individual perceptions and systemic conditions influence the adoption of digital trade finance platforms in Hong Kong. Specifically, perceived compatibility (H1), familiarity with digital banking (H2), and relative benefits (H3) are expected to boost initial trust, while perceived risk (H4) is likely to reduce it. Trust (H5) then functions as a behavioural anchor, translating perceptions into adoption intentions. Meanwhile, performance expectancy (H6), effort expectancy (H7), social influence (H8), competitive pressure (H9), and government support (H10) are </w:t>
      </w:r>
      <w:proofErr w:type="spellStart"/>
      <w:r w:rsidR="009B55CA" w:rsidRPr="00B064B8">
        <w:t>hypothesi</w:t>
      </w:r>
      <w:r w:rsidR="007709CB">
        <w:t>s</w:t>
      </w:r>
      <w:r w:rsidR="009B55CA" w:rsidRPr="00B064B8">
        <w:t>ed</w:t>
      </w:r>
      <w:proofErr w:type="spellEnd"/>
      <w:r w:rsidRPr="00B064B8">
        <w:t xml:space="preserve"> to impact adoption intention (H11)</w:t>
      </w:r>
      <w:r w:rsidR="007709CB">
        <w:t xml:space="preserve"> directly</w:t>
      </w:r>
      <w:r w:rsidRPr="00B064B8">
        <w:t xml:space="preserve">. Adoption intention is predicted to lead to actual usage (H12), which subsequently drives monetisation outcomes, including transaction volume growth (H13) and uptake of value-added services (H14). Overall, this framework supports the study’s </w:t>
      </w:r>
      <w:r w:rsidR="00E266F6">
        <w:t>primary</w:t>
      </w:r>
      <w:r w:rsidRPr="00B064B8">
        <w:t xml:space="preserve"> aim by explaining not only why corporates adopt digital trade platforms but also how such adoption results in monetisation, thereby bridging the gap between </w:t>
      </w:r>
      <w:r w:rsidRPr="00B064B8">
        <w:lastRenderedPageBreak/>
        <w:t>efficiency-driven digitalisation and Hong Kong’s strategic goal of generating sustainable fee-based income (see Diagram 1). The following hypotheses extend this adoption model accordingly.</w:t>
      </w:r>
    </w:p>
    <w:p w14:paraId="2BBDCA4F" w14:textId="6249FAB4" w:rsidR="00ED2D81" w:rsidRPr="004F2797" w:rsidRDefault="00ED2D81" w:rsidP="004F2797">
      <w:pPr>
        <w:pStyle w:val="Heading3"/>
      </w:pPr>
      <w:bookmarkStart w:id="22" w:name="_Toc208062003"/>
      <w:r w:rsidRPr="004F2797">
        <w:t xml:space="preserve">3.4.1 </w:t>
      </w:r>
      <w:r w:rsidR="004F2797">
        <w:tab/>
      </w:r>
      <w:r w:rsidRPr="004F2797">
        <w:t>The Risk–Talent Nexus</w:t>
      </w:r>
      <w:bookmarkEnd w:id="22"/>
    </w:p>
    <w:p w14:paraId="595460E1" w14:textId="7B057B8A" w:rsidR="00B064B8" w:rsidRPr="0023484E" w:rsidRDefault="008F74B3" w:rsidP="0023484E">
      <w:pPr>
        <w:spacing w:line="360" w:lineRule="auto"/>
        <w:jc w:val="both"/>
        <w:rPr>
          <w:rStyle w:val="Strong"/>
          <w:b w:val="0"/>
          <w:bCs w:val="0"/>
        </w:rPr>
      </w:pPr>
      <w:r>
        <w:rPr>
          <w:kern w:val="0"/>
          <w14:ligatures w14:val="none"/>
        </w:rPr>
        <w:t xml:space="preserve">Recent studies have shown that adoption in corporate banking is influenced not only by technological readiness but also by the interaction between risk governance and workforce capabilities. HKIMR (2025) reports that 95% of institutions </w:t>
      </w:r>
      <w:r w:rsidR="00FE5F2B">
        <w:rPr>
          <w:kern w:val="0"/>
          <w14:ligatures w14:val="none"/>
        </w:rPr>
        <w:t>view</w:t>
      </w:r>
      <w:r>
        <w:rPr>
          <w:kern w:val="0"/>
          <w14:ligatures w14:val="none"/>
        </w:rPr>
        <w:t xml:space="preserve"> risk control as a barrier, while 80% and 60% note shortages in technical and compliance skills</w:t>
      </w:r>
      <w:r w:rsidR="00FE5F2B">
        <w:rPr>
          <w:kern w:val="0"/>
          <w14:ligatures w14:val="none"/>
        </w:rPr>
        <w:t>, respectively</w:t>
      </w:r>
      <w:r>
        <w:rPr>
          <w:kern w:val="0"/>
          <w14:ligatures w14:val="none"/>
        </w:rPr>
        <w:t xml:space="preserve">. This study </w:t>
      </w:r>
      <w:proofErr w:type="spellStart"/>
      <w:r>
        <w:rPr>
          <w:kern w:val="0"/>
          <w14:ligatures w14:val="none"/>
        </w:rPr>
        <w:t>conceptualises</w:t>
      </w:r>
      <w:proofErr w:type="spellEnd"/>
      <w:r>
        <w:rPr>
          <w:kern w:val="0"/>
          <w14:ligatures w14:val="none"/>
        </w:rPr>
        <w:t xml:space="preserve"> these interdependencies as a Risk–Talent Nexus, where cybersecurity, regulatory, and model risks intersect with staff capability, training, and relational credibility. Incorporating this construct into the TOE framework ensures that adoption depends on both governance safeguards and human capital readiness.</w:t>
      </w:r>
    </w:p>
    <w:p w14:paraId="36145E35" w14:textId="2284F79A" w:rsidR="00B73319" w:rsidRPr="00B73319" w:rsidRDefault="00322C06" w:rsidP="00B73319">
      <w:pPr>
        <w:pStyle w:val="NormalWeb"/>
        <w:tabs>
          <w:tab w:val="left" w:pos="0"/>
          <w:tab w:val="left" w:pos="360"/>
        </w:tabs>
        <w:spacing w:after="0" w:afterAutospacing="0" w:line="360" w:lineRule="auto"/>
        <w:jc w:val="center"/>
        <w:rPr>
          <w:rFonts w:asciiTheme="minorHAnsi" w:eastAsiaTheme="majorEastAsia" w:hAnsiTheme="minorHAnsi" w:cs="Arial"/>
          <w:b/>
          <w:bCs/>
          <w:color w:val="000000"/>
          <w:sz w:val="22"/>
          <w:szCs w:val="22"/>
        </w:rPr>
      </w:pPr>
      <w:r w:rsidRPr="00B064B8">
        <w:rPr>
          <w:rStyle w:val="Strong"/>
          <w:rFonts w:asciiTheme="minorHAnsi" w:eastAsiaTheme="majorEastAsia" w:hAnsiTheme="minorHAnsi" w:cs="Arial"/>
          <w:color w:val="000000"/>
          <w:sz w:val="22"/>
          <w:szCs w:val="22"/>
        </w:rPr>
        <w:t>Diagram</w:t>
      </w:r>
      <w:r w:rsidR="007779A3" w:rsidRPr="00B064B8">
        <w:rPr>
          <w:rStyle w:val="Strong"/>
          <w:rFonts w:asciiTheme="minorHAnsi" w:eastAsiaTheme="majorEastAsia" w:hAnsiTheme="minorHAnsi" w:cs="Arial"/>
          <w:color w:val="000000"/>
          <w:sz w:val="22"/>
          <w:szCs w:val="22"/>
        </w:rPr>
        <w:t xml:space="preserve"> 1. Conceptual model of corporate client adoption of trade finance platforms</w:t>
      </w:r>
    </w:p>
    <w:p w14:paraId="6BCE9BF8" w14:textId="1960D443" w:rsidR="007779A3" w:rsidRPr="00B064B8" w:rsidRDefault="004F2797" w:rsidP="004858D3">
      <w:pPr>
        <w:tabs>
          <w:tab w:val="left" w:pos="0"/>
          <w:tab w:val="left" w:pos="360"/>
        </w:tabs>
        <w:spacing w:after="0" w:line="240" w:lineRule="auto"/>
        <w:jc w:val="both"/>
        <w:rPr>
          <w:rFonts w:eastAsia="Times New Roman" w:cs="Arial"/>
          <w:color w:val="000000"/>
          <w:kern w:val="0"/>
          <w:sz w:val="22"/>
          <w:szCs w:val="22"/>
          <w14:ligatures w14:val="none"/>
        </w:rPr>
      </w:pPr>
      <w:r>
        <w:rPr>
          <w:noProof/>
        </w:rPr>
        <w:drawing>
          <wp:inline distT="0" distB="0" distL="0" distR="0" wp14:anchorId="32BBDB24" wp14:editId="3FDCF644">
            <wp:extent cx="5943600" cy="3072130"/>
            <wp:effectExtent l="0" t="0" r="0" b="0"/>
            <wp:docPr id="174071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7183" name=""/>
                    <pic:cNvPicPr/>
                  </pic:nvPicPr>
                  <pic:blipFill>
                    <a:blip r:embed="rId11"/>
                    <a:stretch>
                      <a:fillRect/>
                    </a:stretch>
                  </pic:blipFill>
                  <pic:spPr>
                    <a:xfrm>
                      <a:off x="0" y="0"/>
                      <a:ext cx="5943600" cy="3072130"/>
                    </a:xfrm>
                    <a:prstGeom prst="rect">
                      <a:avLst/>
                    </a:prstGeom>
                  </pic:spPr>
                </pic:pic>
              </a:graphicData>
            </a:graphic>
          </wp:inline>
        </w:drawing>
      </w:r>
    </w:p>
    <w:p w14:paraId="47751F10" w14:textId="707DD194" w:rsidR="007779A3" w:rsidRPr="00B064B8" w:rsidRDefault="00AE734E" w:rsidP="00F72705">
      <w:pPr>
        <w:tabs>
          <w:tab w:val="left" w:pos="0"/>
          <w:tab w:val="left" w:pos="360"/>
        </w:tabs>
        <w:spacing w:before="100" w:beforeAutospacing="1" w:after="100" w:afterAutospacing="1" w:line="360" w:lineRule="auto"/>
        <w:jc w:val="both"/>
        <w:rPr>
          <w:rFonts w:eastAsia="Times New Roman" w:cs="Arial"/>
          <w:color w:val="000000"/>
          <w:kern w:val="0"/>
          <w:sz w:val="22"/>
          <w:szCs w:val="22"/>
          <w14:ligatures w14:val="none"/>
        </w:rPr>
      </w:pPr>
      <w:r w:rsidRPr="00B064B8">
        <w:rPr>
          <w:rFonts w:eastAsia="Times New Roman" w:cs="Arial"/>
          <w:noProof/>
          <w:color w:val="000000"/>
          <w:kern w:val="0"/>
          <w:sz w:val="22"/>
          <w:szCs w:val="22"/>
          <w14:ligatures w14:val="none"/>
        </w:rPr>
        <w:lastRenderedPageBreak/>
        <w:drawing>
          <wp:inline distT="0" distB="0" distL="0" distR="0" wp14:anchorId="25DE20BD" wp14:editId="5EA2F265">
            <wp:extent cx="5589146" cy="2666365"/>
            <wp:effectExtent l="0" t="0" r="0" b="0"/>
            <wp:docPr id="14475684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568424" name=""/>
                    <pic:cNvPicPr/>
                  </pic:nvPicPr>
                  <pic:blipFill rotWithShape="1">
                    <a:blip r:embed="rId12"/>
                    <a:srcRect l="5941"/>
                    <a:stretch>
                      <a:fillRect/>
                    </a:stretch>
                  </pic:blipFill>
                  <pic:spPr bwMode="auto">
                    <a:xfrm>
                      <a:off x="0" y="0"/>
                      <a:ext cx="5589146" cy="2666365"/>
                    </a:xfrm>
                    <a:prstGeom prst="rect">
                      <a:avLst/>
                    </a:prstGeom>
                    <a:ln>
                      <a:noFill/>
                    </a:ln>
                    <a:extLst>
                      <a:ext uri="{53640926-AAD7-44D8-BBD7-CCE9431645EC}">
                        <a14:shadowObscured xmlns:a14="http://schemas.microsoft.com/office/drawing/2010/main"/>
                      </a:ext>
                    </a:extLst>
                  </pic:spPr>
                </pic:pic>
              </a:graphicData>
            </a:graphic>
          </wp:inline>
        </w:drawing>
      </w:r>
    </w:p>
    <w:p w14:paraId="458DE3E1" w14:textId="2C4A1ABA" w:rsidR="007779A3" w:rsidRPr="00B064B8" w:rsidRDefault="007779A3" w:rsidP="003E36A3">
      <w:pPr>
        <w:pStyle w:val="Heading2"/>
        <w:numPr>
          <w:ilvl w:val="1"/>
          <w:numId w:val="48"/>
        </w:numPr>
        <w:tabs>
          <w:tab w:val="left" w:pos="0"/>
          <w:tab w:val="left" w:pos="360"/>
        </w:tabs>
        <w:ind w:left="0" w:firstLine="0"/>
        <w:rPr>
          <w:rFonts w:asciiTheme="minorHAnsi" w:hAnsiTheme="minorHAnsi"/>
        </w:rPr>
      </w:pPr>
      <w:bookmarkStart w:id="23" w:name="_Toc206886340"/>
      <w:bookmarkStart w:id="24" w:name="_Toc208062004"/>
      <w:r w:rsidRPr="00B064B8">
        <w:rPr>
          <w:rFonts w:asciiTheme="minorHAnsi" w:hAnsiTheme="minorHAnsi"/>
        </w:rPr>
        <w:t xml:space="preserve">Philosophical </w:t>
      </w:r>
      <w:r w:rsidR="002A4A96">
        <w:rPr>
          <w:rFonts w:asciiTheme="minorHAnsi" w:hAnsiTheme="minorHAnsi"/>
        </w:rPr>
        <w:t>P</w:t>
      </w:r>
      <w:r w:rsidRPr="00B064B8">
        <w:rPr>
          <w:rFonts w:asciiTheme="minorHAnsi" w:hAnsiTheme="minorHAnsi"/>
        </w:rPr>
        <w:t xml:space="preserve">aradigms and </w:t>
      </w:r>
      <w:r w:rsidR="002A4A96">
        <w:rPr>
          <w:rFonts w:asciiTheme="minorHAnsi" w:hAnsiTheme="minorHAnsi"/>
        </w:rPr>
        <w:t>I</w:t>
      </w:r>
      <w:r w:rsidRPr="00B064B8">
        <w:rPr>
          <w:rFonts w:asciiTheme="minorHAnsi" w:hAnsiTheme="minorHAnsi"/>
        </w:rPr>
        <w:t>mplications</w:t>
      </w:r>
      <w:bookmarkEnd w:id="23"/>
      <w:bookmarkEnd w:id="24"/>
    </w:p>
    <w:p w14:paraId="4194293B" w14:textId="4A89CB6B" w:rsidR="0034731E" w:rsidRPr="00B064B8" w:rsidRDefault="0034731E" w:rsidP="0034731E">
      <w:pPr>
        <w:pStyle w:val="NormalWeb"/>
        <w:spacing w:line="360" w:lineRule="auto"/>
        <w:jc w:val="both"/>
        <w:rPr>
          <w:rFonts w:asciiTheme="minorHAnsi" w:eastAsiaTheme="minorEastAsia" w:hAnsiTheme="minorHAnsi" w:cstheme="minorBidi"/>
        </w:rPr>
      </w:pPr>
      <w:r w:rsidRPr="00B064B8">
        <w:rPr>
          <w:rFonts w:asciiTheme="minorHAnsi" w:eastAsiaTheme="minorEastAsia" w:hAnsiTheme="minorHAnsi" w:cstheme="minorBidi"/>
        </w:rPr>
        <w:t>The debate between TOE and SDL reflects deeper philosophical orientations. </w:t>
      </w:r>
      <w:r w:rsidR="00ED2D81" w:rsidRPr="00ED2D81">
        <w:rPr>
          <w:rFonts w:asciiTheme="minorHAnsi" w:eastAsiaTheme="minorEastAsia" w:hAnsiTheme="minorHAnsi" w:cstheme="minorBidi"/>
        </w:rPr>
        <w:t xml:space="preserve">While positivism has provided valuable generalisable insights in consumer and SME contexts, this study adopts an interpretivist–critical realist stance to capture meaning and structure. Positivist methods, such as SEM, are </w:t>
      </w:r>
      <w:proofErr w:type="spellStart"/>
      <w:r w:rsidR="008F74B3">
        <w:rPr>
          <w:rFonts w:asciiTheme="minorHAnsi" w:eastAsiaTheme="minorEastAsia" w:hAnsiTheme="minorHAnsi" w:cstheme="minorBidi"/>
        </w:rPr>
        <w:t>recognis</w:t>
      </w:r>
      <w:r w:rsidR="00ED2D81" w:rsidRPr="00ED2D81">
        <w:rPr>
          <w:rFonts w:asciiTheme="minorHAnsi" w:eastAsiaTheme="minorEastAsia" w:hAnsiTheme="minorHAnsi" w:cstheme="minorBidi"/>
        </w:rPr>
        <w:t>ed</w:t>
      </w:r>
      <w:proofErr w:type="spellEnd"/>
      <w:r w:rsidR="00ED2D81" w:rsidRPr="00ED2D81">
        <w:rPr>
          <w:rFonts w:asciiTheme="minorHAnsi" w:eastAsiaTheme="minorEastAsia" w:hAnsiTheme="minorHAnsi" w:cstheme="minorBidi"/>
        </w:rPr>
        <w:t xml:space="preserve"> only as potential complements for future large-scale validation.</w:t>
      </w:r>
      <w:r w:rsidR="00566B6E" w:rsidRPr="00566B6E">
        <w:t xml:space="preserve"> </w:t>
      </w:r>
      <w:r w:rsidR="00566B6E" w:rsidRPr="00566B6E">
        <w:rPr>
          <w:rFonts w:asciiTheme="minorHAnsi" w:eastAsiaTheme="minorEastAsia" w:hAnsiTheme="minorHAnsi" w:cstheme="minorBidi"/>
        </w:rPr>
        <w:t>Susanty et al. (2025)</w:t>
      </w:r>
      <w:r w:rsidR="00566B6E">
        <w:rPr>
          <w:rFonts w:asciiTheme="minorHAnsi" w:eastAsiaTheme="minorEastAsia" w:hAnsiTheme="minorHAnsi" w:cstheme="minorBidi"/>
        </w:rPr>
        <w:t>.</w:t>
      </w:r>
    </w:p>
    <w:p w14:paraId="6BFE9D17" w14:textId="64294D7F" w:rsidR="0034731E" w:rsidRPr="00B064B8" w:rsidRDefault="00975C7B" w:rsidP="0034731E">
      <w:pPr>
        <w:pStyle w:val="NormalWeb"/>
        <w:spacing w:line="360" w:lineRule="auto"/>
        <w:jc w:val="both"/>
        <w:rPr>
          <w:rFonts w:asciiTheme="minorHAnsi" w:eastAsiaTheme="minorEastAsia" w:hAnsiTheme="minorHAnsi" w:cstheme="minorBidi"/>
        </w:rPr>
      </w:pPr>
      <w:r w:rsidRPr="00B064B8">
        <w:rPr>
          <w:rFonts w:asciiTheme="minorHAnsi" w:eastAsiaTheme="minorEastAsia" w:hAnsiTheme="minorHAnsi" w:cstheme="minorBidi"/>
        </w:rPr>
        <w:t xml:space="preserve">Interpretivist approaches emphasise subjective meaning, illustrating how adoption is shaped by prior experience. </w:t>
      </w:r>
      <w:r w:rsidR="00672EE4" w:rsidRPr="00672EE4">
        <w:rPr>
          <w:rFonts w:asciiTheme="minorHAnsi" w:eastAsiaTheme="minorEastAsia" w:hAnsiTheme="minorHAnsi" w:cstheme="minorBidi"/>
        </w:rPr>
        <w:t>Singh (2023) highlight</w:t>
      </w:r>
      <w:r w:rsidR="008F74B3">
        <w:rPr>
          <w:rFonts w:asciiTheme="minorHAnsi" w:eastAsiaTheme="minorEastAsia" w:hAnsiTheme="minorHAnsi" w:cstheme="minorBidi"/>
        </w:rPr>
        <w:t>s</w:t>
      </w:r>
      <w:r w:rsidR="00672EE4" w:rsidRPr="00672EE4">
        <w:rPr>
          <w:rFonts w:asciiTheme="minorHAnsi" w:eastAsiaTheme="minorEastAsia" w:hAnsiTheme="minorHAnsi" w:cstheme="minorBidi"/>
        </w:rPr>
        <w:t xml:space="preserve"> </w:t>
      </w:r>
      <w:proofErr w:type="spellStart"/>
      <w:r w:rsidR="00672EE4" w:rsidRPr="00672EE4">
        <w:rPr>
          <w:rFonts w:asciiTheme="minorHAnsi" w:eastAsiaTheme="minorEastAsia" w:hAnsiTheme="minorHAnsi" w:cstheme="minorBidi"/>
        </w:rPr>
        <w:t>behavioural</w:t>
      </w:r>
      <w:proofErr w:type="spellEnd"/>
      <w:r w:rsidR="00672EE4" w:rsidRPr="00672EE4">
        <w:rPr>
          <w:rFonts w:asciiTheme="minorHAnsi" w:eastAsiaTheme="minorEastAsia" w:hAnsiTheme="minorHAnsi" w:cstheme="minorBidi"/>
        </w:rPr>
        <w:t xml:space="preserve"> adoption constructs (trust, risk, familiarity, </w:t>
      </w:r>
      <w:r w:rsidR="00672EE4">
        <w:rPr>
          <w:rFonts w:asciiTheme="minorHAnsi" w:eastAsiaTheme="minorEastAsia" w:hAnsiTheme="minorHAnsi" w:cstheme="minorBidi"/>
        </w:rPr>
        <w:t xml:space="preserve">and </w:t>
      </w:r>
      <w:r w:rsidR="00672EE4" w:rsidRPr="00672EE4">
        <w:rPr>
          <w:rFonts w:asciiTheme="minorHAnsi" w:eastAsiaTheme="minorEastAsia" w:hAnsiTheme="minorHAnsi" w:cstheme="minorBidi"/>
        </w:rPr>
        <w:t>compatibility)</w:t>
      </w:r>
      <w:r w:rsidR="00672EE4">
        <w:rPr>
          <w:rFonts w:asciiTheme="minorHAnsi" w:eastAsiaTheme="minorEastAsia" w:hAnsiTheme="minorHAnsi" w:cstheme="minorBidi"/>
        </w:rPr>
        <w:t>, which are</w:t>
      </w:r>
      <w:r w:rsidR="00672EE4" w:rsidRPr="00672EE4">
        <w:rPr>
          <w:rFonts w:asciiTheme="minorHAnsi" w:eastAsiaTheme="minorEastAsia" w:hAnsiTheme="minorHAnsi" w:cstheme="minorBidi"/>
        </w:rPr>
        <w:t xml:space="preserve"> validated in consumer and SME banking contexts</w:t>
      </w:r>
      <w:r w:rsidR="00672EE4">
        <w:rPr>
          <w:rFonts w:asciiTheme="minorHAnsi" w:eastAsiaTheme="minorEastAsia" w:hAnsiTheme="minorHAnsi" w:cstheme="minorBidi"/>
        </w:rPr>
        <w:t xml:space="preserve">. </w:t>
      </w:r>
      <w:r w:rsidRPr="00B064B8">
        <w:rPr>
          <w:rFonts w:asciiTheme="minorHAnsi" w:eastAsiaTheme="minorEastAsia" w:hAnsiTheme="minorHAnsi" w:cstheme="minorBidi"/>
        </w:rPr>
        <w:t>However, interpretivism is often criticised for its limited generalisability and for overlooking systemic structures, such as regulation.</w:t>
      </w:r>
    </w:p>
    <w:p w14:paraId="2D9A75A9" w14:textId="1FA4C720" w:rsidR="0034731E" w:rsidRPr="008F74B3" w:rsidRDefault="008F74B3" w:rsidP="0034731E">
      <w:pPr>
        <w:pStyle w:val="NormalWeb"/>
        <w:spacing w:line="360" w:lineRule="auto"/>
        <w:jc w:val="both"/>
        <w:rPr>
          <w:rFonts w:asciiTheme="minorHAnsi" w:hAnsiTheme="minorHAnsi" w:cs="Arial"/>
          <w:color w:val="000000"/>
        </w:rPr>
      </w:pPr>
      <w:r w:rsidRPr="008F74B3">
        <w:rPr>
          <w:rFonts w:asciiTheme="minorHAnsi" w:hAnsiTheme="minorHAnsi"/>
        </w:rPr>
        <w:t xml:space="preserve">Critical realism offers a more balanced perspective. It acknowledges that perceptions are real and impactful, yet also shaped by underlying structures such as HKMA mandates, competitive pressures, and </w:t>
      </w:r>
      <w:proofErr w:type="spellStart"/>
      <w:r w:rsidRPr="008F74B3">
        <w:rPr>
          <w:rFonts w:asciiTheme="minorHAnsi" w:hAnsiTheme="minorHAnsi"/>
        </w:rPr>
        <w:t>organisational</w:t>
      </w:r>
      <w:proofErr w:type="spellEnd"/>
      <w:r w:rsidRPr="008F74B3">
        <w:rPr>
          <w:rFonts w:asciiTheme="minorHAnsi" w:hAnsiTheme="minorHAnsi"/>
        </w:rPr>
        <w:t xml:space="preserve"> resources. For this study, adopting a critical realist stance is crucial. It supports the interpretive investigation of treasurers’ perceptions while </w:t>
      </w:r>
      <w:proofErr w:type="spellStart"/>
      <w:r w:rsidRPr="008F74B3">
        <w:rPr>
          <w:rFonts w:asciiTheme="minorHAnsi" w:hAnsiTheme="minorHAnsi"/>
        </w:rPr>
        <w:t>recognising</w:t>
      </w:r>
      <w:proofErr w:type="spellEnd"/>
      <w:r w:rsidRPr="008F74B3">
        <w:rPr>
          <w:rFonts w:asciiTheme="minorHAnsi" w:hAnsiTheme="minorHAnsi"/>
        </w:rPr>
        <w:t xml:space="preserve"> systemic influences. This approach thus justifies a hybrid framework that </w:t>
      </w:r>
      <w:r w:rsidRPr="008F74B3">
        <w:rPr>
          <w:rFonts w:asciiTheme="minorHAnsi" w:hAnsiTheme="minorHAnsi"/>
        </w:rPr>
        <w:lastRenderedPageBreak/>
        <w:t xml:space="preserve">combines TOE, SDL, and </w:t>
      </w:r>
      <w:proofErr w:type="spellStart"/>
      <w:r w:rsidRPr="008F74B3">
        <w:rPr>
          <w:rFonts w:asciiTheme="minorHAnsi" w:hAnsiTheme="minorHAnsi"/>
        </w:rPr>
        <w:t>behavioural</w:t>
      </w:r>
      <w:proofErr w:type="spellEnd"/>
      <w:r w:rsidRPr="008F74B3">
        <w:rPr>
          <w:rFonts w:asciiTheme="minorHAnsi" w:hAnsiTheme="minorHAnsi"/>
        </w:rPr>
        <w:t xml:space="preserve"> adoption constructs</w:t>
      </w:r>
      <w:r w:rsidRPr="008F74B3">
        <w:rPr>
          <w:rFonts w:asciiTheme="minorHAnsi" w:hAnsiTheme="minorHAnsi" w:cs="Arial"/>
          <w:color w:val="000000"/>
        </w:rPr>
        <w:t xml:space="preserve">, with explicit focus on </w:t>
      </w:r>
      <w:proofErr w:type="spellStart"/>
      <w:r w:rsidRPr="008F74B3">
        <w:rPr>
          <w:rFonts w:asciiTheme="minorHAnsi" w:hAnsiTheme="minorHAnsi" w:cs="Arial"/>
          <w:color w:val="000000"/>
        </w:rPr>
        <w:t>monetisation</w:t>
      </w:r>
      <w:proofErr w:type="spellEnd"/>
      <w:r w:rsidRPr="008F74B3">
        <w:rPr>
          <w:rFonts w:asciiTheme="minorHAnsi" w:hAnsiTheme="minorHAnsi" w:cs="Arial"/>
          <w:color w:val="000000"/>
        </w:rPr>
        <w:t xml:space="preserve"> outcomes.</w:t>
      </w:r>
    </w:p>
    <w:p w14:paraId="2F5C27ED" w14:textId="5EE93327" w:rsidR="007779A3" w:rsidRPr="00B064B8" w:rsidRDefault="007779A3" w:rsidP="003E36A3">
      <w:pPr>
        <w:pStyle w:val="Heading2"/>
        <w:numPr>
          <w:ilvl w:val="1"/>
          <w:numId w:val="48"/>
        </w:numPr>
        <w:tabs>
          <w:tab w:val="left" w:pos="0"/>
          <w:tab w:val="left" w:pos="360"/>
        </w:tabs>
        <w:ind w:left="0" w:firstLine="0"/>
        <w:rPr>
          <w:rFonts w:asciiTheme="minorHAnsi" w:hAnsiTheme="minorHAnsi"/>
        </w:rPr>
      </w:pPr>
      <w:bookmarkStart w:id="25" w:name="_Toc206886341"/>
      <w:bookmarkStart w:id="26" w:name="_Toc208062005"/>
      <w:r w:rsidRPr="00B064B8">
        <w:rPr>
          <w:rFonts w:asciiTheme="minorHAnsi" w:hAnsiTheme="minorHAnsi"/>
        </w:rPr>
        <w:t xml:space="preserve">Identifying </w:t>
      </w:r>
      <w:r w:rsidR="002A4A96">
        <w:rPr>
          <w:rFonts w:asciiTheme="minorHAnsi" w:hAnsiTheme="minorHAnsi"/>
        </w:rPr>
        <w:t>R</w:t>
      </w:r>
      <w:r w:rsidRPr="00B064B8">
        <w:rPr>
          <w:rFonts w:asciiTheme="minorHAnsi" w:hAnsiTheme="minorHAnsi"/>
        </w:rPr>
        <w:t xml:space="preserve">esearch </w:t>
      </w:r>
      <w:r w:rsidR="002A4A96">
        <w:rPr>
          <w:rFonts w:asciiTheme="minorHAnsi" w:hAnsiTheme="minorHAnsi"/>
        </w:rPr>
        <w:t>G</w:t>
      </w:r>
      <w:r w:rsidRPr="00B064B8">
        <w:rPr>
          <w:rFonts w:asciiTheme="minorHAnsi" w:hAnsiTheme="minorHAnsi"/>
        </w:rPr>
        <w:t>aps</w:t>
      </w:r>
      <w:bookmarkEnd w:id="25"/>
      <w:bookmarkEnd w:id="26"/>
    </w:p>
    <w:p w14:paraId="670DE29E" w14:textId="080DA9C5" w:rsidR="00ED2D81" w:rsidRPr="009B55CA" w:rsidRDefault="000573F5" w:rsidP="00F72705">
      <w:pPr>
        <w:tabs>
          <w:tab w:val="left" w:pos="0"/>
          <w:tab w:val="left" w:pos="360"/>
        </w:tabs>
        <w:spacing w:before="100" w:beforeAutospacing="1" w:after="100" w:afterAutospacing="1" w:line="360" w:lineRule="auto"/>
        <w:jc w:val="both"/>
        <w:rPr>
          <w:rFonts w:eastAsia="Times New Roman" w:cs="Arial"/>
          <w:color w:val="000000"/>
          <w:kern w:val="0"/>
          <w14:ligatures w14:val="none"/>
        </w:rPr>
      </w:pPr>
      <w:r w:rsidRPr="009B55CA">
        <w:rPr>
          <w:rFonts w:eastAsia="Times New Roman" w:cs="Arial"/>
          <w:color w:val="000000"/>
          <w:kern w:val="0"/>
          <w14:ligatures w14:val="none"/>
        </w:rPr>
        <w:t>As discussed in the problem statement, the adoption–monetisation gap remains under-theorised. Existing literature has tended to focus either on structural readiness (TOE) or on relational co-creation (SDL)</w:t>
      </w:r>
      <w:r w:rsidR="00E266F6" w:rsidRPr="009B55CA">
        <w:rPr>
          <w:rFonts w:eastAsia="Times New Roman" w:cs="Arial"/>
          <w:color w:val="000000"/>
          <w:kern w:val="0"/>
          <w14:ligatures w14:val="none"/>
        </w:rPr>
        <w:t>.</w:t>
      </w:r>
      <w:r w:rsidRPr="009B55CA">
        <w:rPr>
          <w:rFonts w:eastAsia="Times New Roman" w:cs="Arial"/>
          <w:color w:val="000000"/>
          <w:kern w:val="0"/>
          <w14:ligatures w14:val="none"/>
        </w:rPr>
        <w:t xml:space="preserve"> </w:t>
      </w:r>
      <w:r w:rsidR="00E266F6" w:rsidRPr="009B55CA">
        <w:rPr>
          <w:rFonts w:eastAsia="Times New Roman" w:cs="Arial"/>
          <w:color w:val="000000"/>
          <w:kern w:val="0"/>
          <w14:ligatures w14:val="none"/>
        </w:rPr>
        <w:t>Still, i</w:t>
      </w:r>
      <w:r w:rsidRPr="009B55CA">
        <w:rPr>
          <w:rFonts w:eastAsia="Times New Roman" w:cs="Arial"/>
          <w:color w:val="000000"/>
          <w:kern w:val="0"/>
          <w14:ligatures w14:val="none"/>
        </w:rPr>
        <w:t xml:space="preserve">t has paid limited attention to whether adoption decisions ultimately lead to measurable revenue outcomes. This narrow focus risks portraying digital </w:t>
      </w:r>
      <w:r w:rsidR="008F74B3">
        <w:rPr>
          <w:rFonts w:eastAsia="Times New Roman" w:cs="Arial"/>
          <w:color w:val="000000"/>
          <w:kern w:val="0"/>
          <w14:ligatures w14:val="none"/>
        </w:rPr>
        <w:t xml:space="preserve">platforms as operational utilities rather than as value-creating ecosystems. The current </w:t>
      </w:r>
      <w:r w:rsidRPr="009B55CA">
        <w:rPr>
          <w:rFonts w:eastAsia="Times New Roman" w:cs="Arial"/>
          <w:color w:val="000000"/>
          <w:kern w:val="0"/>
          <w14:ligatures w14:val="none"/>
        </w:rPr>
        <w:t>study aims to address this omission by extending behavioural constructs such as compatibility, familiarity, risk, trust, and perceived benefit into the corporate treasury context, thereby providing a more comprehensive account of how adoption can function as a pathway to monetisation.</w:t>
      </w:r>
    </w:p>
    <w:p w14:paraId="2C5C9C33" w14:textId="2C534E08" w:rsidR="007779A3" w:rsidRPr="00B064B8" w:rsidRDefault="007779A3" w:rsidP="003E36A3">
      <w:pPr>
        <w:pStyle w:val="Heading2"/>
        <w:numPr>
          <w:ilvl w:val="1"/>
          <w:numId w:val="48"/>
        </w:numPr>
        <w:tabs>
          <w:tab w:val="left" w:pos="0"/>
          <w:tab w:val="left" w:pos="360"/>
        </w:tabs>
        <w:ind w:left="0" w:firstLine="0"/>
        <w:rPr>
          <w:rFonts w:asciiTheme="minorHAnsi" w:hAnsiTheme="minorHAnsi"/>
        </w:rPr>
      </w:pPr>
      <w:bookmarkStart w:id="27" w:name="_Toc206886342"/>
      <w:bookmarkStart w:id="28" w:name="_Toc208062006"/>
      <w:r w:rsidRPr="00B064B8">
        <w:rPr>
          <w:rFonts w:asciiTheme="minorHAnsi" w:hAnsiTheme="minorHAnsi"/>
        </w:rPr>
        <w:t xml:space="preserve">Conclusion to </w:t>
      </w:r>
      <w:r w:rsidR="002A4A96">
        <w:rPr>
          <w:rFonts w:asciiTheme="minorHAnsi" w:hAnsiTheme="minorHAnsi"/>
        </w:rPr>
        <w:t>S</w:t>
      </w:r>
      <w:r w:rsidR="00FE2725" w:rsidRPr="00B064B8">
        <w:rPr>
          <w:rFonts w:asciiTheme="minorHAnsi" w:hAnsiTheme="minorHAnsi"/>
        </w:rPr>
        <w:t>ection 3</w:t>
      </w:r>
      <w:bookmarkEnd w:id="27"/>
      <w:bookmarkEnd w:id="28"/>
    </w:p>
    <w:p w14:paraId="103DB6B3" w14:textId="1B3C8F7A" w:rsidR="007779A3" w:rsidRPr="00B064B8" w:rsidRDefault="006A6C97" w:rsidP="00F72705">
      <w:pPr>
        <w:tabs>
          <w:tab w:val="left" w:pos="0"/>
          <w:tab w:val="left" w:pos="360"/>
        </w:tabs>
        <w:spacing w:before="100" w:beforeAutospacing="1" w:after="100" w:afterAutospacing="1" w:line="360" w:lineRule="auto"/>
        <w:jc w:val="both"/>
        <w:rPr>
          <w:kern w:val="0"/>
          <w14:ligatures w14:val="none"/>
        </w:rPr>
      </w:pPr>
      <w:r>
        <w:rPr>
          <w:kern w:val="0"/>
          <w14:ligatures w14:val="none"/>
        </w:rPr>
        <w:t>This chapter reviews existing literature</w:t>
      </w:r>
      <w:r w:rsidR="004A1710">
        <w:rPr>
          <w:kern w:val="0"/>
          <w14:ligatures w14:val="none"/>
        </w:rPr>
        <w:t xml:space="preserve"> identifies gaps in TOE and SDL, and proposes a conceptual model linking adoption to </w:t>
      </w:r>
      <w:proofErr w:type="spellStart"/>
      <w:r w:rsidR="004A1710">
        <w:rPr>
          <w:kern w:val="0"/>
          <w14:ligatures w14:val="none"/>
        </w:rPr>
        <w:t>monetisation</w:t>
      </w:r>
      <w:proofErr w:type="spellEnd"/>
      <w:r w:rsidR="004A1710">
        <w:rPr>
          <w:kern w:val="0"/>
          <w14:ligatures w14:val="none"/>
        </w:rPr>
        <w:t xml:space="preserve">. The model, grounded in a critical realist perspective, addresses these gaps by explaining why corporations adopt digital trade platforms and how this adoption leads to sustainable revenue. After identifying </w:t>
      </w:r>
      <w:proofErr w:type="spellStart"/>
      <w:r w:rsidR="004A1710">
        <w:rPr>
          <w:kern w:val="0"/>
          <w14:ligatures w14:val="none"/>
        </w:rPr>
        <w:t>behavioural</w:t>
      </w:r>
      <w:proofErr w:type="spellEnd"/>
      <w:r w:rsidR="004A1710">
        <w:rPr>
          <w:kern w:val="0"/>
          <w14:ligatures w14:val="none"/>
        </w:rPr>
        <w:t xml:space="preserve"> and structural gaps in the literature, the next chapter details the qualitative design used to investigate these dynamics within Hong Kong’s banking ecosystem.</w:t>
      </w:r>
    </w:p>
    <w:p w14:paraId="5E657CE9" w14:textId="58799A4D" w:rsidR="007779A3" w:rsidRPr="00B064B8" w:rsidRDefault="0023484E" w:rsidP="003E36A3">
      <w:pPr>
        <w:pStyle w:val="Heading1"/>
        <w:numPr>
          <w:ilvl w:val="0"/>
          <w:numId w:val="48"/>
        </w:numPr>
        <w:tabs>
          <w:tab w:val="left" w:pos="0"/>
          <w:tab w:val="left" w:pos="360"/>
        </w:tabs>
        <w:ind w:left="0" w:firstLine="0"/>
        <w:rPr>
          <w:rFonts w:asciiTheme="minorHAnsi" w:hAnsiTheme="minorHAnsi"/>
        </w:rPr>
      </w:pPr>
      <w:bookmarkStart w:id="29" w:name="_Toc208062007"/>
      <w:r>
        <w:rPr>
          <w:rFonts w:asciiTheme="minorHAnsi" w:hAnsiTheme="minorHAnsi"/>
        </w:rPr>
        <w:t xml:space="preserve">Research </w:t>
      </w:r>
      <w:r w:rsidR="002A4A96">
        <w:rPr>
          <w:rFonts w:asciiTheme="minorHAnsi" w:hAnsiTheme="minorHAnsi"/>
        </w:rPr>
        <w:t>Methodology</w:t>
      </w:r>
      <w:bookmarkEnd w:id="29"/>
    </w:p>
    <w:p w14:paraId="7675D833" w14:textId="19C0123F" w:rsidR="007779A3" w:rsidRPr="00B064B8" w:rsidRDefault="009E4847" w:rsidP="00F72705">
      <w:pPr>
        <w:tabs>
          <w:tab w:val="left" w:pos="0"/>
          <w:tab w:val="left" w:pos="360"/>
        </w:tabs>
        <w:spacing w:before="100" w:beforeAutospacing="1" w:after="100" w:afterAutospacing="1" w:line="360" w:lineRule="auto"/>
        <w:jc w:val="both"/>
        <w:rPr>
          <w:rFonts w:eastAsia="Times New Roman" w:cs="Arial"/>
          <w:color w:val="000000"/>
          <w:kern w:val="0"/>
          <w:sz w:val="22"/>
          <w:szCs w:val="22"/>
          <w14:ligatures w14:val="none"/>
        </w:rPr>
      </w:pPr>
      <w:r w:rsidRPr="00B064B8">
        <w:rPr>
          <w:rFonts w:eastAsia="Times New Roman" w:cs="Arial"/>
          <w:color w:val="000000"/>
          <w:kern w:val="0"/>
          <w:sz w:val="22"/>
          <w:szCs w:val="22"/>
          <w14:ligatures w14:val="none"/>
        </w:rPr>
        <w:t xml:space="preserve">The </w:t>
      </w:r>
      <w:r w:rsidRPr="00B064B8">
        <w:rPr>
          <w:kern w:val="0"/>
          <w14:ligatures w14:val="none"/>
        </w:rPr>
        <w:t xml:space="preserve">credibility of a research project depends on the alignment between its philosophical foundations, research objectives, and methodological strategy. </w:t>
      </w:r>
    </w:p>
    <w:p w14:paraId="73407C5F" w14:textId="6EA6DAB7" w:rsidR="00FE2725" w:rsidRPr="00B064B8" w:rsidRDefault="007779A3" w:rsidP="00F72705">
      <w:pPr>
        <w:pStyle w:val="Heading2"/>
        <w:numPr>
          <w:ilvl w:val="1"/>
          <w:numId w:val="25"/>
        </w:numPr>
        <w:tabs>
          <w:tab w:val="left" w:pos="0"/>
          <w:tab w:val="left" w:pos="360"/>
        </w:tabs>
        <w:ind w:left="0" w:firstLine="0"/>
        <w:rPr>
          <w:rFonts w:asciiTheme="minorHAnsi" w:hAnsiTheme="minorHAnsi"/>
        </w:rPr>
      </w:pPr>
      <w:bookmarkStart w:id="30" w:name="_Toc206886344"/>
      <w:bookmarkStart w:id="31" w:name="_Toc208062008"/>
      <w:r w:rsidRPr="00B064B8">
        <w:rPr>
          <w:rFonts w:asciiTheme="minorHAnsi" w:hAnsiTheme="minorHAnsi"/>
        </w:rPr>
        <w:lastRenderedPageBreak/>
        <w:t xml:space="preserve">Justification for </w:t>
      </w:r>
      <w:r w:rsidR="002A4A96">
        <w:rPr>
          <w:rFonts w:asciiTheme="minorHAnsi" w:hAnsiTheme="minorHAnsi"/>
        </w:rPr>
        <w:t>Q</w:t>
      </w:r>
      <w:r w:rsidRPr="00B064B8">
        <w:rPr>
          <w:rFonts w:asciiTheme="minorHAnsi" w:hAnsiTheme="minorHAnsi"/>
        </w:rPr>
        <w:t xml:space="preserve">ualitative </w:t>
      </w:r>
      <w:r w:rsidR="002A4A96">
        <w:rPr>
          <w:rFonts w:asciiTheme="minorHAnsi" w:hAnsiTheme="minorHAnsi"/>
        </w:rPr>
        <w:t>O</w:t>
      </w:r>
      <w:r w:rsidRPr="00B064B8">
        <w:rPr>
          <w:rFonts w:asciiTheme="minorHAnsi" w:hAnsiTheme="minorHAnsi"/>
        </w:rPr>
        <w:t>rientation</w:t>
      </w:r>
      <w:bookmarkEnd w:id="30"/>
      <w:bookmarkEnd w:id="31"/>
    </w:p>
    <w:p w14:paraId="2B24D62B" w14:textId="77A72AB4" w:rsidR="00F7499E" w:rsidRPr="00B064B8" w:rsidRDefault="00F7499E" w:rsidP="00F7499E">
      <w:pPr>
        <w:tabs>
          <w:tab w:val="left" w:pos="0"/>
          <w:tab w:val="left" w:pos="360"/>
        </w:tabs>
        <w:spacing w:before="100" w:beforeAutospacing="1" w:after="100" w:afterAutospacing="1" w:line="360" w:lineRule="auto"/>
        <w:jc w:val="both"/>
        <w:rPr>
          <w:kern w:val="0"/>
          <w14:ligatures w14:val="none"/>
        </w:rPr>
      </w:pPr>
      <w:r w:rsidRPr="00B064B8">
        <w:rPr>
          <w:kern w:val="0"/>
          <w14:ligatures w14:val="none"/>
        </w:rPr>
        <w:t>A qualitative case study approach has been chosen because it enables the researcher to examine a complex and contemporary phenomenon within its real-world context</w:t>
      </w:r>
      <w:r w:rsidR="004F5947">
        <w:rPr>
          <w:kern w:val="0"/>
          <w14:ligatures w14:val="none"/>
        </w:rPr>
        <w:t xml:space="preserve">. </w:t>
      </w:r>
      <w:r w:rsidRPr="00B064B8">
        <w:rPr>
          <w:kern w:val="0"/>
          <w14:ligatures w14:val="none"/>
        </w:rPr>
        <w:t xml:space="preserve">In the case of Hong Kong, </w:t>
      </w:r>
      <w:r w:rsidR="00E266F6">
        <w:rPr>
          <w:kern w:val="0"/>
          <w14:ligatures w14:val="none"/>
        </w:rPr>
        <w:t xml:space="preserve">the adoption of </w:t>
      </w:r>
      <w:r w:rsidRPr="00B064B8">
        <w:rPr>
          <w:kern w:val="0"/>
          <w14:ligatures w14:val="none"/>
        </w:rPr>
        <w:t>digital trade finance cannot be separated from its institutional and regulatory environment; adoption decisions are influenced not only by corporate governance structures but also by the HKMA’s regulatory agenda and the dynamics of global financial markets. A qualitative design is therefore suitable, as it captures the context-dependent and multifaceted nature of adoption decisions that purely quantitative methods might oversimplify. Although quantitative surveys have been effective in mapping adoption pathways in consumer and SME contexts (Singh, 2023; JAFB, 2025), they tend to overlook the collective, compliance-driven, and risk-sensitive decision-making processes characteristic of corporate treasuries.</w:t>
      </w:r>
    </w:p>
    <w:p w14:paraId="309AA935" w14:textId="470E0A6C" w:rsidR="00F7499E" w:rsidRPr="00B064B8" w:rsidRDefault="00F7499E" w:rsidP="00F72705">
      <w:pPr>
        <w:tabs>
          <w:tab w:val="left" w:pos="0"/>
          <w:tab w:val="left" w:pos="360"/>
        </w:tabs>
        <w:spacing w:before="100" w:beforeAutospacing="1" w:after="100" w:afterAutospacing="1" w:line="360" w:lineRule="auto"/>
        <w:jc w:val="both"/>
        <w:rPr>
          <w:kern w:val="0"/>
          <w14:ligatures w14:val="none"/>
        </w:rPr>
      </w:pPr>
      <w:r w:rsidRPr="00B064B8">
        <w:rPr>
          <w:kern w:val="0"/>
          <w14:ligatures w14:val="none"/>
        </w:rPr>
        <w:t xml:space="preserve">The unit of analysis in this study is the adoption and monetisation of digital trade finance platforms by corporate treasurers in Hong Kong. The case is situated within the city’s financial ecosystem, where banks, corporates, and regulators operate under the HKMA’s digitalisation agenda (HKMA, 2024). </w:t>
      </w:r>
      <w:r w:rsidR="00E266F6">
        <w:rPr>
          <w:kern w:val="0"/>
          <w14:ligatures w14:val="none"/>
        </w:rPr>
        <w:t>I</w:t>
      </w:r>
      <w:r w:rsidRPr="00B064B8">
        <w:rPr>
          <w:kern w:val="0"/>
          <w14:ligatures w14:val="none"/>
        </w:rPr>
        <w:t>n this c</w:t>
      </w:r>
      <w:r w:rsidR="004A1710">
        <w:rPr>
          <w:kern w:val="0"/>
          <w14:ligatures w14:val="none"/>
        </w:rPr>
        <w:t>ontext</w:t>
      </w:r>
      <w:r w:rsidRPr="00B064B8">
        <w:rPr>
          <w:kern w:val="0"/>
          <w14:ligatures w14:val="none"/>
        </w:rPr>
        <w:t>, embedded units of analysis</w:t>
      </w:r>
      <w:r w:rsidR="00777963">
        <w:rPr>
          <w:kern w:val="0"/>
          <w14:ligatures w14:val="none"/>
        </w:rPr>
        <w:t xml:space="preserve">, such as </w:t>
      </w:r>
      <w:r w:rsidRPr="00B064B8">
        <w:rPr>
          <w:kern w:val="0"/>
          <w14:ligatures w14:val="none"/>
        </w:rPr>
        <w:t>banks, corporates, and regulators</w:t>
      </w:r>
      <w:r w:rsidR="00777963">
        <w:rPr>
          <w:kern w:val="0"/>
          <w14:ligatures w14:val="none"/>
        </w:rPr>
        <w:t>,</w:t>
      </w:r>
      <w:r w:rsidR="00E266F6">
        <w:rPr>
          <w:kern w:val="0"/>
          <w14:ligatures w14:val="none"/>
        </w:rPr>
        <w:t xml:space="preserve"> </w:t>
      </w:r>
      <w:r w:rsidR="004A1710">
        <w:rPr>
          <w:kern w:val="0"/>
          <w14:ligatures w14:val="none"/>
        </w:rPr>
        <w:t>provide</w:t>
      </w:r>
      <w:r w:rsidRPr="00B064B8">
        <w:rPr>
          <w:kern w:val="0"/>
          <w14:ligatures w14:val="none"/>
        </w:rPr>
        <w:t xml:space="preserve"> triangulation of perspectives and </w:t>
      </w:r>
      <w:r w:rsidR="004A1710">
        <w:rPr>
          <w:kern w:val="0"/>
          <w14:ligatures w14:val="none"/>
        </w:rPr>
        <w:t>enhance</w:t>
      </w:r>
      <w:r w:rsidRPr="00B064B8">
        <w:rPr>
          <w:kern w:val="0"/>
          <w14:ligatures w14:val="none"/>
        </w:rPr>
        <w:t xml:space="preserve"> the robustness of </w:t>
      </w:r>
      <w:r w:rsidR="00E266F6">
        <w:rPr>
          <w:kern w:val="0"/>
          <w14:ligatures w14:val="none"/>
        </w:rPr>
        <w:t xml:space="preserve">the </w:t>
      </w:r>
      <w:r w:rsidRPr="00B064B8">
        <w:rPr>
          <w:kern w:val="0"/>
          <w14:ligatures w14:val="none"/>
        </w:rPr>
        <w:t>findings.</w:t>
      </w:r>
    </w:p>
    <w:p w14:paraId="35A6C218" w14:textId="1696A497" w:rsidR="00FE2725" w:rsidRPr="00B064B8" w:rsidRDefault="007779A3" w:rsidP="00F72705">
      <w:pPr>
        <w:pStyle w:val="Heading2"/>
        <w:numPr>
          <w:ilvl w:val="1"/>
          <w:numId w:val="25"/>
        </w:numPr>
        <w:tabs>
          <w:tab w:val="left" w:pos="0"/>
          <w:tab w:val="left" w:pos="360"/>
        </w:tabs>
        <w:ind w:left="0" w:firstLine="0"/>
        <w:rPr>
          <w:rFonts w:asciiTheme="minorHAnsi" w:hAnsiTheme="minorHAnsi"/>
        </w:rPr>
      </w:pPr>
      <w:bookmarkStart w:id="32" w:name="_Toc206886346"/>
      <w:bookmarkStart w:id="33" w:name="_Toc208062009"/>
      <w:r w:rsidRPr="00B064B8">
        <w:rPr>
          <w:rStyle w:val="Heading2Char"/>
          <w:rFonts w:asciiTheme="minorHAnsi" w:hAnsiTheme="minorHAnsi"/>
        </w:rPr>
        <w:t xml:space="preserve">Data </w:t>
      </w:r>
      <w:r w:rsidR="002A4A96">
        <w:rPr>
          <w:rStyle w:val="Heading2Char"/>
          <w:rFonts w:asciiTheme="minorHAnsi" w:hAnsiTheme="minorHAnsi"/>
        </w:rPr>
        <w:t>C</w:t>
      </w:r>
      <w:r w:rsidRPr="00B064B8">
        <w:rPr>
          <w:rStyle w:val="Heading2Char"/>
          <w:rFonts w:asciiTheme="minorHAnsi" w:hAnsiTheme="minorHAnsi"/>
        </w:rPr>
        <w:t xml:space="preserve">ollection </w:t>
      </w:r>
      <w:r w:rsidR="002A4A96">
        <w:rPr>
          <w:rStyle w:val="Heading2Char"/>
          <w:rFonts w:asciiTheme="minorHAnsi" w:hAnsiTheme="minorHAnsi"/>
        </w:rPr>
        <w:t>M</w:t>
      </w:r>
      <w:r w:rsidRPr="00B064B8">
        <w:rPr>
          <w:rStyle w:val="Heading2Char"/>
          <w:rFonts w:asciiTheme="minorHAnsi" w:hAnsiTheme="minorHAnsi"/>
        </w:rPr>
        <w:t>ethods</w:t>
      </w:r>
      <w:bookmarkEnd w:id="32"/>
      <w:bookmarkEnd w:id="33"/>
    </w:p>
    <w:p w14:paraId="3A59C830" w14:textId="14809C1D" w:rsidR="00D443D6" w:rsidRDefault="00F7499E" w:rsidP="003E36A3">
      <w:pPr>
        <w:tabs>
          <w:tab w:val="left" w:pos="0"/>
          <w:tab w:val="left" w:pos="360"/>
        </w:tabs>
        <w:spacing w:before="100" w:beforeAutospacing="1" w:after="100" w:afterAutospacing="1" w:line="360" w:lineRule="auto"/>
        <w:jc w:val="both"/>
        <w:rPr>
          <w:kern w:val="0"/>
          <w14:ligatures w14:val="none"/>
        </w:rPr>
      </w:pPr>
      <w:r w:rsidRPr="00B064B8">
        <w:rPr>
          <w:rFonts w:eastAsia="Times New Roman" w:cs="Arial"/>
          <w:color w:val="000000"/>
          <w:kern w:val="0"/>
          <w:sz w:val="22"/>
          <w:szCs w:val="22"/>
          <w14:ligatures w14:val="none"/>
        </w:rPr>
        <w:t xml:space="preserve">Three sources of </w:t>
      </w:r>
      <w:r w:rsidRPr="00B064B8">
        <w:rPr>
          <w:kern w:val="0"/>
          <w14:ligatures w14:val="none"/>
        </w:rPr>
        <w:t xml:space="preserve">evidence will be triangulated: semi-structured interviews, focus groups, and secondary documents. Purposive sampling will be used to ensure representation across major banking groups and corporates active in the Hong Kong trade ecosystem. </w:t>
      </w:r>
      <w:r w:rsidR="004A1710">
        <w:rPr>
          <w:kern w:val="0"/>
          <w14:ligatures w14:val="none"/>
        </w:rPr>
        <w:t xml:space="preserve">Interviews are meant to be conducted with senior trade product heads. Corporate </w:t>
      </w:r>
      <w:r w:rsidR="00D443D6" w:rsidRPr="00B064B8">
        <w:rPr>
          <w:kern w:val="0"/>
          <w14:ligatures w14:val="none"/>
        </w:rPr>
        <w:t>participants will represent both multinational and local firms across trade-focused sectors, including manufacturing, logistics, and professional services.</w:t>
      </w:r>
    </w:p>
    <w:p w14:paraId="6242435E" w14:textId="6F195834" w:rsidR="007779A3" w:rsidRPr="00B064B8" w:rsidRDefault="00F7499E" w:rsidP="003E36A3">
      <w:pPr>
        <w:tabs>
          <w:tab w:val="left" w:pos="0"/>
          <w:tab w:val="left" w:pos="360"/>
        </w:tabs>
        <w:spacing w:before="100" w:beforeAutospacing="1" w:after="100" w:afterAutospacing="1" w:line="360" w:lineRule="auto"/>
        <w:jc w:val="both"/>
        <w:rPr>
          <w:kern w:val="0"/>
          <w14:ligatures w14:val="none"/>
        </w:rPr>
      </w:pPr>
      <w:r w:rsidRPr="00B064B8">
        <w:rPr>
          <w:kern w:val="0"/>
          <w14:ligatures w14:val="none"/>
        </w:rPr>
        <w:lastRenderedPageBreak/>
        <w:t>Our sample size meets the criteria of ‘</w:t>
      </w:r>
      <w:r w:rsidRPr="00777963">
        <w:rPr>
          <w:b/>
          <w:bCs/>
          <w:kern w:val="0"/>
          <w14:ligatures w14:val="none"/>
        </w:rPr>
        <w:t>theoretical saturation</w:t>
      </w:r>
      <w:r w:rsidRPr="00B064B8">
        <w:rPr>
          <w:kern w:val="0"/>
          <w14:ligatures w14:val="none"/>
        </w:rPr>
        <w:t>,’ which suggests that “a sample of twelve will likely be sufficient”. (Guest, Bunce, &amp; Johnson, 2006, p.76) These participants are purposively selected because they hold direct responsibility for designing, promoting, and monetising digital trade platforms. For bank respondents,</w:t>
      </w:r>
      <w:r w:rsidR="00777963">
        <w:rPr>
          <w:kern w:val="0"/>
          <w14:ligatures w14:val="none"/>
        </w:rPr>
        <w:t xml:space="preserve"> individual</w:t>
      </w:r>
      <w:r w:rsidRPr="00B064B8">
        <w:rPr>
          <w:kern w:val="0"/>
          <w14:ligatures w14:val="none"/>
        </w:rPr>
        <w:t xml:space="preserve"> interviews will also examine how digital trade platforms are currently monetised (e.g., through transaction fees, subscription models, bundled services) and the challenges in converting adoption into fee-based income. </w:t>
      </w:r>
    </w:p>
    <w:p w14:paraId="231F4BA3" w14:textId="14D52BC9" w:rsidR="007779A3" w:rsidRPr="00B064B8" w:rsidRDefault="00777963" w:rsidP="00F72705">
      <w:pPr>
        <w:tabs>
          <w:tab w:val="left" w:pos="0"/>
          <w:tab w:val="left" w:pos="360"/>
        </w:tabs>
        <w:spacing w:before="100" w:beforeAutospacing="1" w:after="100" w:afterAutospacing="1" w:line="360" w:lineRule="auto"/>
        <w:jc w:val="both"/>
        <w:rPr>
          <w:kern w:val="0"/>
          <w14:ligatures w14:val="none"/>
        </w:rPr>
      </w:pPr>
      <w:r>
        <w:rPr>
          <w:kern w:val="0"/>
          <w14:ligatures w14:val="none"/>
        </w:rPr>
        <w:t>In addition, f</w:t>
      </w:r>
      <w:r w:rsidR="00F7499E" w:rsidRPr="00B064B8">
        <w:rPr>
          <w:kern w:val="0"/>
          <w14:ligatures w14:val="none"/>
        </w:rPr>
        <w:t xml:space="preserve">ocus groups will include corporate managers from both multinational firms and local businesses and will be conducted over three to four sessions. This also meets the </w:t>
      </w:r>
      <w:r w:rsidR="004A1710">
        <w:rPr>
          <w:kern w:val="0"/>
          <w14:ligatures w14:val="none"/>
        </w:rPr>
        <w:t xml:space="preserve">criteria for ‘theoretical saturation’. (Guest, Bunce, &amp; Johnson, 2006, p.76) The group </w:t>
      </w:r>
      <w:r w:rsidR="00F7499E" w:rsidRPr="00B064B8">
        <w:rPr>
          <w:kern w:val="0"/>
          <w14:ligatures w14:val="none"/>
        </w:rPr>
        <w:t>format mirrors the collective nature of corporate decision-making, enabling the researcher to identify both common and contrasting viewpoints. It is anticipated that multinational companies will emphasise system integration and regulatory compliance across different jurisdictions, while local firms may focus on cost-benefit considerations.</w:t>
      </w:r>
    </w:p>
    <w:p w14:paraId="02A56191" w14:textId="72B57F08" w:rsidR="007779A3" w:rsidRPr="00B064B8" w:rsidRDefault="00F7499E" w:rsidP="00F72705">
      <w:pPr>
        <w:tabs>
          <w:tab w:val="left" w:pos="0"/>
          <w:tab w:val="left" w:pos="360"/>
        </w:tabs>
        <w:spacing w:before="100" w:beforeAutospacing="1" w:after="100" w:afterAutospacing="1" w:line="360" w:lineRule="auto"/>
        <w:jc w:val="both"/>
        <w:rPr>
          <w:rFonts w:eastAsia="Times New Roman" w:cs="Arial"/>
          <w:color w:val="000000"/>
          <w:kern w:val="0"/>
          <w:sz w:val="22"/>
          <w:szCs w:val="22"/>
          <w14:ligatures w14:val="none"/>
        </w:rPr>
      </w:pPr>
      <w:r w:rsidRPr="00B064B8">
        <w:rPr>
          <w:kern w:val="0"/>
          <w14:ligatures w14:val="none"/>
        </w:rPr>
        <w:t xml:space="preserve">Secondary data will be collected from HKMA reports, consultancy studies, and recent academic literature on trade finance innovation (Hu et al., 2024). Documentary evidence will </w:t>
      </w:r>
      <w:r w:rsidR="00E266F6">
        <w:rPr>
          <w:kern w:val="0"/>
          <w14:ligatures w14:val="none"/>
        </w:rPr>
        <w:t>help</w:t>
      </w:r>
      <w:r w:rsidRPr="00B064B8">
        <w:rPr>
          <w:kern w:val="0"/>
          <w14:ligatures w14:val="none"/>
        </w:rPr>
        <w:t xml:space="preserve"> triangulat</w:t>
      </w:r>
      <w:r w:rsidR="00E266F6">
        <w:rPr>
          <w:kern w:val="0"/>
          <w14:ligatures w14:val="none"/>
        </w:rPr>
        <w:t>e</w:t>
      </w:r>
      <w:r w:rsidRPr="00B064B8">
        <w:rPr>
          <w:kern w:val="0"/>
          <w14:ligatures w14:val="none"/>
        </w:rPr>
        <w:t xml:space="preserve"> primary findings and situat</w:t>
      </w:r>
      <w:r w:rsidR="00E266F6">
        <w:rPr>
          <w:kern w:val="0"/>
          <w14:ligatures w14:val="none"/>
        </w:rPr>
        <w:t>e</w:t>
      </w:r>
      <w:r w:rsidRPr="00B064B8">
        <w:rPr>
          <w:kern w:val="0"/>
          <w14:ligatures w14:val="none"/>
        </w:rPr>
        <w:t xml:space="preserve"> them within the broader industry context. This approach combines experiential insights with documentary evidence, thereby improving both credibility and contextual depth</w:t>
      </w:r>
      <w:r w:rsidR="004F5947">
        <w:rPr>
          <w:kern w:val="0"/>
          <w14:ligatures w14:val="none"/>
        </w:rPr>
        <w:t>.</w:t>
      </w:r>
    </w:p>
    <w:p w14:paraId="79BBBB03" w14:textId="33C11A01" w:rsidR="00875391" w:rsidRPr="00B064B8" w:rsidRDefault="00875391" w:rsidP="00F72705">
      <w:pPr>
        <w:pStyle w:val="Heading2"/>
        <w:tabs>
          <w:tab w:val="left" w:pos="0"/>
          <w:tab w:val="left" w:pos="360"/>
        </w:tabs>
        <w:rPr>
          <w:rFonts w:asciiTheme="minorHAnsi" w:eastAsia="Times New Roman" w:hAnsiTheme="minorHAnsi" w:cs="Arial"/>
          <w:color w:val="000000"/>
          <w:kern w:val="0"/>
          <w:sz w:val="22"/>
          <w:szCs w:val="22"/>
          <w14:ligatures w14:val="none"/>
        </w:rPr>
      </w:pPr>
      <w:bookmarkStart w:id="34" w:name="_Toc206886348"/>
      <w:bookmarkStart w:id="35" w:name="_Toc208062010"/>
      <w:r w:rsidRPr="00B064B8">
        <w:rPr>
          <w:rStyle w:val="Heading2Char"/>
          <w:rFonts w:asciiTheme="minorHAnsi" w:hAnsiTheme="minorHAnsi"/>
        </w:rPr>
        <w:t>4.</w:t>
      </w:r>
      <w:r w:rsidR="00D443D6">
        <w:rPr>
          <w:rStyle w:val="Heading2Char"/>
          <w:rFonts w:asciiTheme="minorHAnsi" w:hAnsiTheme="minorHAnsi"/>
        </w:rPr>
        <w:t>3</w:t>
      </w:r>
      <w:r w:rsidR="008A4135" w:rsidRPr="00B064B8">
        <w:rPr>
          <w:rStyle w:val="Heading2Char"/>
          <w:rFonts w:asciiTheme="minorHAnsi" w:hAnsiTheme="minorHAnsi"/>
        </w:rPr>
        <w:tab/>
      </w:r>
      <w:r w:rsidR="007779A3" w:rsidRPr="00B064B8">
        <w:rPr>
          <w:rStyle w:val="Heading2Char"/>
          <w:rFonts w:asciiTheme="minorHAnsi" w:hAnsiTheme="minorHAnsi"/>
        </w:rPr>
        <w:t xml:space="preserve">Data </w:t>
      </w:r>
      <w:r w:rsidR="002A4A96">
        <w:rPr>
          <w:rStyle w:val="Heading2Char"/>
          <w:rFonts w:asciiTheme="minorHAnsi" w:hAnsiTheme="minorHAnsi"/>
        </w:rPr>
        <w:t>C</w:t>
      </w:r>
      <w:r w:rsidR="007779A3" w:rsidRPr="00B064B8">
        <w:rPr>
          <w:rStyle w:val="Heading2Char"/>
          <w:rFonts w:asciiTheme="minorHAnsi" w:hAnsiTheme="minorHAnsi"/>
        </w:rPr>
        <w:t xml:space="preserve">ollection </w:t>
      </w:r>
      <w:r w:rsidR="002A4A96">
        <w:rPr>
          <w:rStyle w:val="Heading2Char"/>
          <w:rFonts w:asciiTheme="minorHAnsi" w:hAnsiTheme="minorHAnsi"/>
        </w:rPr>
        <w:t>P</w:t>
      </w:r>
      <w:r w:rsidR="007779A3" w:rsidRPr="00B064B8">
        <w:rPr>
          <w:rStyle w:val="Heading2Char"/>
          <w:rFonts w:asciiTheme="minorHAnsi" w:hAnsiTheme="minorHAnsi"/>
        </w:rPr>
        <w:t>rocedures</w:t>
      </w:r>
      <w:bookmarkEnd w:id="34"/>
      <w:bookmarkEnd w:id="35"/>
    </w:p>
    <w:p w14:paraId="2041B31E" w14:textId="7D7C5856" w:rsidR="007779A3" w:rsidRPr="00B064B8" w:rsidRDefault="00F7499E" w:rsidP="00F72705">
      <w:pPr>
        <w:tabs>
          <w:tab w:val="left" w:pos="0"/>
          <w:tab w:val="left" w:pos="360"/>
        </w:tabs>
        <w:spacing w:before="100" w:beforeAutospacing="1" w:after="100" w:afterAutospacing="1" w:line="360" w:lineRule="auto"/>
        <w:jc w:val="both"/>
        <w:rPr>
          <w:rFonts w:eastAsia="Times New Roman" w:cs="Arial"/>
          <w:color w:val="000000"/>
          <w:kern w:val="0"/>
          <w:sz w:val="22"/>
          <w:szCs w:val="22"/>
          <w14:ligatures w14:val="none"/>
        </w:rPr>
      </w:pPr>
      <w:r w:rsidRPr="00B064B8">
        <w:rPr>
          <w:rFonts w:eastAsia="Times New Roman" w:cs="Arial"/>
          <w:color w:val="000000"/>
          <w:kern w:val="0"/>
          <w:sz w:val="22"/>
          <w:szCs w:val="22"/>
          <w14:ligatures w14:val="none"/>
        </w:rPr>
        <w:t xml:space="preserve">Interviews and focus groups will </w:t>
      </w:r>
      <w:r w:rsidRPr="00B064B8">
        <w:rPr>
          <w:kern w:val="0"/>
          <w14:ligatures w14:val="none"/>
        </w:rPr>
        <w:t xml:space="preserve">be conducted face-to-face where possible, with online platforms used as alternatives in cases of scheduling conflicts or </w:t>
      </w:r>
      <w:r w:rsidR="00E266F6">
        <w:rPr>
          <w:kern w:val="0"/>
          <w14:ligatures w14:val="none"/>
        </w:rPr>
        <w:t xml:space="preserve">when </w:t>
      </w:r>
      <w:r w:rsidRPr="00B064B8">
        <w:rPr>
          <w:kern w:val="0"/>
          <w14:ligatures w14:val="none"/>
        </w:rPr>
        <w:t>confidentiality is</w:t>
      </w:r>
      <w:r w:rsidR="00E266F6">
        <w:rPr>
          <w:kern w:val="0"/>
          <w14:ligatures w14:val="none"/>
        </w:rPr>
        <w:t xml:space="preserve"> a concern</w:t>
      </w:r>
      <w:r w:rsidRPr="00B064B8">
        <w:rPr>
          <w:kern w:val="0"/>
          <w14:ligatures w14:val="none"/>
        </w:rPr>
        <w:t xml:space="preserve">. Interviews will last between 45 and 60 </w:t>
      </w:r>
      <w:r w:rsidR="00D443D6" w:rsidRPr="00B064B8">
        <w:rPr>
          <w:kern w:val="0"/>
          <w14:ligatures w14:val="none"/>
        </w:rPr>
        <w:t>minutes</w:t>
      </w:r>
      <w:r w:rsidR="00750FB8">
        <w:rPr>
          <w:kern w:val="0"/>
          <w14:ligatures w14:val="none"/>
        </w:rPr>
        <w:t>,</w:t>
      </w:r>
      <w:r w:rsidR="00D443D6" w:rsidRPr="00B064B8">
        <w:rPr>
          <w:kern w:val="0"/>
          <w14:ligatures w14:val="none"/>
        </w:rPr>
        <w:t xml:space="preserve"> and</w:t>
      </w:r>
      <w:r w:rsidRPr="00B064B8">
        <w:rPr>
          <w:kern w:val="0"/>
          <w14:ligatures w14:val="none"/>
        </w:rPr>
        <w:t xml:space="preserve"> focus groups will run for 90 minutes. All sessions will be audio-recorded with participants’ consent. Protocols for interviews and focus groups will be developed based on the adoption constructs identified in the literature, including compatibility, familiarity, benefit, risk, and trust,</w:t>
      </w:r>
      <w:r w:rsidRPr="00B064B8">
        <w:rPr>
          <w:rFonts w:eastAsia="Times New Roman" w:cs="Arial"/>
          <w:color w:val="000000"/>
          <w:kern w:val="0"/>
          <w:sz w:val="22"/>
          <w:szCs w:val="22"/>
          <w14:ligatures w14:val="none"/>
        </w:rPr>
        <w:t xml:space="preserve"> while allowing room for emergent insights.</w:t>
      </w:r>
    </w:p>
    <w:p w14:paraId="7B61CC9E" w14:textId="7C59F219" w:rsidR="00875391" w:rsidRPr="00D443D6" w:rsidRDefault="007779A3" w:rsidP="00D443D6">
      <w:pPr>
        <w:pStyle w:val="Heading2"/>
        <w:numPr>
          <w:ilvl w:val="1"/>
          <w:numId w:val="48"/>
        </w:numPr>
        <w:tabs>
          <w:tab w:val="left" w:pos="0"/>
          <w:tab w:val="left" w:pos="360"/>
        </w:tabs>
        <w:rPr>
          <w:rStyle w:val="Heading2Char"/>
          <w:rFonts w:asciiTheme="minorHAnsi" w:hAnsiTheme="minorHAnsi"/>
        </w:rPr>
      </w:pPr>
      <w:bookmarkStart w:id="36" w:name="_Toc206886349"/>
      <w:bookmarkStart w:id="37" w:name="_Toc208062011"/>
      <w:r w:rsidRPr="00B064B8">
        <w:rPr>
          <w:rStyle w:val="Heading2Char"/>
          <w:rFonts w:asciiTheme="minorHAnsi" w:hAnsiTheme="minorHAnsi"/>
        </w:rPr>
        <w:lastRenderedPageBreak/>
        <w:t xml:space="preserve">Data </w:t>
      </w:r>
      <w:r w:rsidR="002A4A96">
        <w:rPr>
          <w:rStyle w:val="Heading2Char"/>
          <w:rFonts w:asciiTheme="minorHAnsi" w:hAnsiTheme="minorHAnsi"/>
        </w:rPr>
        <w:t>A</w:t>
      </w:r>
      <w:r w:rsidRPr="00B064B8">
        <w:rPr>
          <w:rStyle w:val="Heading2Char"/>
          <w:rFonts w:asciiTheme="minorHAnsi" w:hAnsiTheme="minorHAnsi"/>
        </w:rPr>
        <w:t xml:space="preserve">nalysis </w:t>
      </w:r>
      <w:r w:rsidR="002A4A96">
        <w:rPr>
          <w:rStyle w:val="Heading2Char"/>
          <w:rFonts w:asciiTheme="minorHAnsi" w:hAnsiTheme="minorHAnsi"/>
        </w:rPr>
        <w:t>P</w:t>
      </w:r>
      <w:r w:rsidRPr="00B064B8">
        <w:rPr>
          <w:rStyle w:val="Heading2Char"/>
          <w:rFonts w:asciiTheme="minorHAnsi" w:hAnsiTheme="minorHAnsi"/>
        </w:rPr>
        <w:t>rocedures</w:t>
      </w:r>
      <w:bookmarkEnd w:id="36"/>
      <w:bookmarkEnd w:id="37"/>
    </w:p>
    <w:p w14:paraId="6FE2D9DB" w14:textId="2EF12403" w:rsidR="00F7499E" w:rsidRPr="00D443D6" w:rsidRDefault="008F1DCF" w:rsidP="00F7499E">
      <w:pPr>
        <w:tabs>
          <w:tab w:val="left" w:pos="0"/>
          <w:tab w:val="left" w:pos="360"/>
        </w:tabs>
        <w:spacing w:before="100" w:beforeAutospacing="1" w:after="100" w:afterAutospacing="1" w:line="360" w:lineRule="auto"/>
        <w:jc w:val="both"/>
        <w:rPr>
          <w:rFonts w:eastAsia="Times New Roman" w:cs="Arial"/>
          <w:color w:val="000000"/>
          <w:kern w:val="0"/>
          <w14:ligatures w14:val="none"/>
        </w:rPr>
      </w:pPr>
      <w:r w:rsidRPr="008F1DCF">
        <w:rPr>
          <w:rFonts w:eastAsia="Times New Roman" w:cs="Arial"/>
          <w:color w:val="000000"/>
          <w:kern w:val="0"/>
          <w14:ligatures w14:val="none"/>
        </w:rPr>
        <w:t>The analysis remains qualitative, using thematic coding and triangulation. While descriptive statistics are applied to contextualise findings, no statistical modelling is undertaken.</w:t>
      </w:r>
      <w:r w:rsidRPr="00D443D6">
        <w:rPr>
          <w:rFonts w:eastAsia="Times New Roman" w:cs="Arial"/>
          <w:color w:val="000000"/>
          <w:kern w:val="0"/>
          <w14:ligatures w14:val="none"/>
        </w:rPr>
        <w:t xml:space="preserve"> </w:t>
      </w:r>
      <w:r w:rsidR="00F7499E" w:rsidRPr="00D443D6">
        <w:rPr>
          <w:rFonts w:eastAsia="Times New Roman" w:cs="Arial"/>
          <w:color w:val="000000"/>
          <w:kern w:val="0"/>
          <w14:ligatures w14:val="none"/>
        </w:rPr>
        <w:t>Data analysis will proceed in four stages to ensure both interpretive depth and analytic credibility.</w:t>
      </w:r>
    </w:p>
    <w:p w14:paraId="6CCC9BE5" w14:textId="3701818C" w:rsidR="00F7499E" w:rsidRPr="00D443D6" w:rsidRDefault="00F7499E" w:rsidP="00F7499E">
      <w:pPr>
        <w:tabs>
          <w:tab w:val="left" w:pos="0"/>
          <w:tab w:val="left" w:pos="360"/>
        </w:tabs>
        <w:spacing w:before="100" w:beforeAutospacing="1" w:after="100" w:afterAutospacing="1" w:line="360" w:lineRule="auto"/>
        <w:jc w:val="both"/>
        <w:rPr>
          <w:rFonts w:eastAsia="Times New Roman" w:cs="Arial"/>
          <w:color w:val="000000"/>
          <w:kern w:val="0"/>
          <w14:ligatures w14:val="none"/>
        </w:rPr>
      </w:pPr>
      <w:r w:rsidRPr="00D443D6">
        <w:rPr>
          <w:rFonts w:eastAsia="Times New Roman" w:cs="Arial"/>
          <w:color w:val="000000"/>
          <w:kern w:val="0"/>
          <w14:ligatures w14:val="none"/>
        </w:rPr>
        <w:t xml:space="preserve">Stage 1: Thematic coding. Deductive codes will be derived from established constructs such as compatibility, trust, risk, and talent, while inductive codes will capture context-specific </w:t>
      </w:r>
      <w:r w:rsidR="004A1710">
        <w:rPr>
          <w:rFonts w:eastAsia="Times New Roman" w:cs="Arial"/>
          <w:color w:val="000000"/>
          <w:kern w:val="0"/>
          <w14:ligatures w14:val="none"/>
        </w:rPr>
        <w:t xml:space="preserve">themes emerging from the Hong Kong case. This approach enables theory-driven insights to </w:t>
      </w:r>
      <w:r w:rsidRPr="00D443D6">
        <w:rPr>
          <w:rFonts w:eastAsia="Times New Roman" w:cs="Arial"/>
          <w:color w:val="000000"/>
          <w:kern w:val="0"/>
          <w14:ligatures w14:val="none"/>
        </w:rPr>
        <w:t>be enriched by locally grounded perspectives.</w:t>
      </w:r>
    </w:p>
    <w:p w14:paraId="00858B45" w14:textId="1AFD4ED1" w:rsidR="00F7499E" w:rsidRPr="00D443D6" w:rsidRDefault="00F7499E" w:rsidP="00F7499E">
      <w:pPr>
        <w:tabs>
          <w:tab w:val="left" w:pos="0"/>
          <w:tab w:val="left" w:pos="360"/>
        </w:tabs>
        <w:spacing w:before="100" w:beforeAutospacing="1" w:after="100" w:afterAutospacing="1" w:line="360" w:lineRule="auto"/>
        <w:jc w:val="both"/>
        <w:rPr>
          <w:rFonts w:eastAsia="Times New Roman" w:cs="Arial"/>
          <w:color w:val="000000"/>
          <w:kern w:val="0"/>
          <w14:ligatures w14:val="none"/>
        </w:rPr>
      </w:pPr>
      <w:r w:rsidRPr="00D443D6">
        <w:rPr>
          <w:rFonts w:eastAsia="Times New Roman" w:cs="Arial"/>
          <w:color w:val="000000"/>
          <w:kern w:val="0"/>
          <w14:ligatures w14:val="none"/>
        </w:rPr>
        <w:t>Stage 2: Reliability checks. To enhance validity, a subset of transcripts will be double-coded by an independent researcher. Inter-rater reliability will be assessed using Cohen’s kappa, with a threshold of 0.70 or higher regarded as acceptable.</w:t>
      </w:r>
      <w:r w:rsidR="00672EE4">
        <w:rPr>
          <w:rFonts w:eastAsia="Times New Roman" w:cs="Arial"/>
          <w:color w:val="000000"/>
          <w:kern w:val="0"/>
          <w14:ligatures w14:val="none"/>
        </w:rPr>
        <w:t xml:space="preserve"> (</w:t>
      </w:r>
      <w:r w:rsidR="00672EE4">
        <w:t>Landis &amp; Koch, 1977).</w:t>
      </w:r>
    </w:p>
    <w:p w14:paraId="1E3C78E9" w14:textId="720A7675" w:rsidR="00F7499E" w:rsidRPr="00D443D6" w:rsidRDefault="00F7499E" w:rsidP="00F7499E">
      <w:pPr>
        <w:tabs>
          <w:tab w:val="left" w:pos="0"/>
          <w:tab w:val="left" w:pos="360"/>
        </w:tabs>
        <w:spacing w:before="100" w:beforeAutospacing="1" w:after="100" w:afterAutospacing="1" w:line="360" w:lineRule="auto"/>
        <w:jc w:val="both"/>
        <w:rPr>
          <w:rFonts w:eastAsia="Times New Roman" w:cs="Arial"/>
          <w:color w:val="000000"/>
          <w:kern w:val="0"/>
          <w14:ligatures w14:val="none"/>
        </w:rPr>
      </w:pPr>
      <w:r w:rsidRPr="00D443D6">
        <w:rPr>
          <w:rFonts w:eastAsia="Times New Roman" w:cs="Arial"/>
          <w:color w:val="000000"/>
          <w:kern w:val="0"/>
          <w14:ligatures w14:val="none"/>
        </w:rPr>
        <w:t xml:space="preserve">Stage 3: Triangulation and light quantification. Qualitative findings will be triangulated with secondary data sources, including </w:t>
      </w:r>
      <w:r w:rsidR="00777963" w:rsidRPr="00D443D6">
        <w:rPr>
          <w:rFonts w:eastAsia="Times New Roman" w:cs="Arial"/>
          <w:color w:val="000000"/>
          <w:kern w:val="0"/>
          <w14:ligatures w14:val="none"/>
        </w:rPr>
        <w:t>reports from the HKMA, studies from the HKIMR,</w:t>
      </w:r>
      <w:r w:rsidRPr="00D443D6">
        <w:rPr>
          <w:rFonts w:eastAsia="Times New Roman" w:cs="Arial"/>
          <w:color w:val="000000"/>
          <w:kern w:val="0"/>
          <w14:ligatures w14:val="none"/>
        </w:rPr>
        <w:t xml:space="preserve"> and </w:t>
      </w:r>
      <w:r w:rsidR="004A1710">
        <w:rPr>
          <w:rFonts w:eastAsia="Times New Roman" w:cs="Arial"/>
          <w:color w:val="000000"/>
          <w:kern w:val="0"/>
          <w14:ligatures w14:val="none"/>
        </w:rPr>
        <w:t xml:space="preserve">industry analyses. Key codes will also be quantified to show frequency and importance (e.g., </w:t>
      </w:r>
      <w:r w:rsidRPr="00D443D6">
        <w:rPr>
          <w:rFonts w:eastAsia="Times New Roman" w:cs="Arial"/>
          <w:color w:val="000000"/>
          <w:kern w:val="0"/>
          <w14:ligatures w14:val="none"/>
        </w:rPr>
        <w:t>the proportion of treasurers emphasising compliance risk or talent gaps). This semi-quantitative step strengthens the transparency of the qualitative findings without overstating statistical generalisability.</w:t>
      </w:r>
    </w:p>
    <w:p w14:paraId="10F747E2" w14:textId="77777777" w:rsidR="00F7499E" w:rsidRPr="00D443D6" w:rsidRDefault="00F7499E" w:rsidP="00F7499E">
      <w:pPr>
        <w:tabs>
          <w:tab w:val="left" w:pos="0"/>
          <w:tab w:val="left" w:pos="360"/>
        </w:tabs>
        <w:spacing w:before="100" w:beforeAutospacing="1" w:after="100" w:afterAutospacing="1" w:line="360" w:lineRule="auto"/>
        <w:jc w:val="both"/>
        <w:rPr>
          <w:rFonts w:eastAsia="Times New Roman" w:cs="Arial"/>
          <w:color w:val="000000"/>
          <w:kern w:val="0"/>
          <w14:ligatures w14:val="none"/>
        </w:rPr>
      </w:pPr>
      <w:r w:rsidRPr="00D443D6">
        <w:rPr>
          <w:rFonts w:eastAsia="Times New Roman" w:cs="Arial"/>
          <w:color w:val="000000"/>
          <w:kern w:val="0"/>
          <w14:ligatures w14:val="none"/>
        </w:rPr>
        <w:t>Stage 4: Descriptive and exploratory analysis. Secondary data will be examined using descriptive statistics, cross-tabulations, and simple correlation analysis (Pearson or Spearman, as appropriate). These techniques will complement the qualitative findings by identifying convergent patterns and contextualising interview data.</w:t>
      </w:r>
    </w:p>
    <w:p w14:paraId="0ABC27F1" w14:textId="537651FA" w:rsidR="00F7499E" w:rsidRPr="00D443D6" w:rsidRDefault="00ED2D81" w:rsidP="00F7499E">
      <w:pPr>
        <w:tabs>
          <w:tab w:val="left" w:pos="0"/>
          <w:tab w:val="left" w:pos="360"/>
        </w:tabs>
        <w:spacing w:before="100" w:beforeAutospacing="1" w:after="100" w:afterAutospacing="1" w:line="360" w:lineRule="auto"/>
        <w:jc w:val="both"/>
        <w:rPr>
          <w:rFonts w:eastAsia="Times New Roman" w:cs="Arial"/>
          <w:color w:val="000000"/>
          <w:kern w:val="0"/>
          <w14:ligatures w14:val="none"/>
        </w:rPr>
      </w:pPr>
      <w:r w:rsidRPr="00D443D6">
        <w:rPr>
          <w:rFonts w:eastAsia="Times New Roman" w:cs="Arial"/>
          <w:color w:val="000000"/>
          <w:kern w:val="0"/>
          <w14:ligatures w14:val="none"/>
        </w:rPr>
        <w:t>While the study remains largely qualitative, descriptive statistics are utilised solely to contextualise the interview findings. Structural Equation Modelling (SEM) is recognised not as part of the current design but as a potential future validation approach.</w:t>
      </w:r>
    </w:p>
    <w:p w14:paraId="11308D86" w14:textId="76EB1D31" w:rsidR="00875391" w:rsidRPr="00B064B8" w:rsidRDefault="007779A3" w:rsidP="00D443D6">
      <w:pPr>
        <w:pStyle w:val="Heading2"/>
        <w:numPr>
          <w:ilvl w:val="1"/>
          <w:numId w:val="48"/>
        </w:numPr>
        <w:tabs>
          <w:tab w:val="left" w:pos="0"/>
          <w:tab w:val="left" w:pos="360"/>
        </w:tabs>
        <w:ind w:left="0" w:firstLine="0"/>
        <w:rPr>
          <w:rStyle w:val="Heading2Char"/>
          <w:rFonts w:asciiTheme="minorHAnsi" w:hAnsiTheme="minorHAnsi"/>
        </w:rPr>
      </w:pPr>
      <w:bookmarkStart w:id="38" w:name="_Toc206886350"/>
      <w:bookmarkStart w:id="39" w:name="_Toc208062012"/>
      <w:r w:rsidRPr="00B064B8">
        <w:rPr>
          <w:rStyle w:val="Heading2Char"/>
          <w:rFonts w:asciiTheme="minorHAnsi" w:hAnsiTheme="minorHAnsi"/>
        </w:rPr>
        <w:lastRenderedPageBreak/>
        <w:t xml:space="preserve">Ethical </w:t>
      </w:r>
      <w:r w:rsidR="002A4A96">
        <w:rPr>
          <w:rStyle w:val="Heading2Char"/>
          <w:rFonts w:asciiTheme="minorHAnsi" w:hAnsiTheme="minorHAnsi"/>
        </w:rPr>
        <w:t>C</w:t>
      </w:r>
      <w:r w:rsidRPr="00B064B8">
        <w:rPr>
          <w:rStyle w:val="Heading2Char"/>
          <w:rFonts w:asciiTheme="minorHAnsi" w:hAnsiTheme="minorHAnsi"/>
        </w:rPr>
        <w:t>onsideration</w:t>
      </w:r>
      <w:bookmarkEnd w:id="38"/>
      <w:bookmarkEnd w:id="39"/>
    </w:p>
    <w:p w14:paraId="0E638D69" w14:textId="1F46816A" w:rsidR="007779A3" w:rsidRPr="00B064B8" w:rsidRDefault="009E4847" w:rsidP="00F72705">
      <w:pPr>
        <w:tabs>
          <w:tab w:val="left" w:pos="0"/>
          <w:tab w:val="left" w:pos="360"/>
        </w:tabs>
        <w:spacing w:before="100" w:beforeAutospacing="1" w:after="100" w:afterAutospacing="1" w:line="360" w:lineRule="auto"/>
        <w:jc w:val="both"/>
        <w:rPr>
          <w:rFonts w:eastAsia="Times New Roman" w:cs="Arial"/>
          <w:color w:val="000000"/>
          <w:kern w:val="0"/>
          <w:sz w:val="22"/>
          <w:szCs w:val="22"/>
          <w14:ligatures w14:val="none"/>
        </w:rPr>
      </w:pPr>
      <w:r w:rsidRPr="00B064B8">
        <w:rPr>
          <w:rFonts w:eastAsia="Times New Roman" w:cs="Arial"/>
          <w:color w:val="000000"/>
          <w:kern w:val="0"/>
          <w:sz w:val="22"/>
          <w:szCs w:val="22"/>
          <w14:ligatures w14:val="none"/>
        </w:rPr>
        <w:t xml:space="preserve">All participants will receive </w:t>
      </w:r>
      <w:r w:rsidRPr="00B064B8">
        <w:rPr>
          <w:kern w:val="0"/>
          <w14:ligatures w14:val="none"/>
        </w:rPr>
        <w:t xml:space="preserve">informed consent forms. Confidentiality and anonymity will be maintained, given the sensitivity of strategic adoption and monetisation decisions. Ethical approval will be </w:t>
      </w:r>
      <w:r w:rsidR="00CC5E1F" w:rsidRPr="00B064B8">
        <w:rPr>
          <w:kern w:val="0"/>
          <w14:ligatures w14:val="none"/>
        </w:rPr>
        <w:t>obtain</w:t>
      </w:r>
      <w:r w:rsidRPr="00B064B8">
        <w:rPr>
          <w:kern w:val="0"/>
          <w14:ligatures w14:val="none"/>
        </w:rPr>
        <w:t xml:space="preserve">ed </w:t>
      </w:r>
      <w:r w:rsidR="00CC5E1F" w:rsidRPr="00B064B8">
        <w:rPr>
          <w:kern w:val="0"/>
          <w14:ligatures w14:val="none"/>
        </w:rPr>
        <w:t>prior to</w:t>
      </w:r>
      <w:r w:rsidR="00CC5E1F" w:rsidRPr="00B064B8">
        <w:rPr>
          <w:rFonts w:eastAsia="Times New Roman" w:cs="Arial"/>
          <w:color w:val="000000"/>
          <w:kern w:val="0"/>
          <w:sz w:val="22"/>
          <w:szCs w:val="22"/>
          <w14:ligatures w14:val="none"/>
        </w:rPr>
        <w:t xml:space="preserve"> commencing</w:t>
      </w:r>
      <w:r w:rsidRPr="00B064B8">
        <w:rPr>
          <w:rFonts w:eastAsia="Times New Roman" w:cs="Arial"/>
          <w:color w:val="000000"/>
          <w:kern w:val="0"/>
          <w:sz w:val="22"/>
          <w:szCs w:val="22"/>
          <w14:ligatures w14:val="none"/>
        </w:rPr>
        <w:t xml:space="preserve"> fieldwork.</w:t>
      </w:r>
    </w:p>
    <w:p w14:paraId="64F6A64F" w14:textId="3898049B" w:rsidR="00875391" w:rsidRPr="00B064B8" w:rsidRDefault="00AA1AEA" w:rsidP="00D443D6">
      <w:pPr>
        <w:pStyle w:val="Heading2"/>
        <w:numPr>
          <w:ilvl w:val="1"/>
          <w:numId w:val="48"/>
        </w:numPr>
        <w:tabs>
          <w:tab w:val="left" w:pos="0"/>
          <w:tab w:val="left" w:pos="360"/>
        </w:tabs>
        <w:ind w:left="0" w:firstLine="0"/>
        <w:rPr>
          <w:rFonts w:asciiTheme="minorHAnsi" w:hAnsiTheme="minorHAnsi"/>
        </w:rPr>
      </w:pPr>
      <w:bookmarkStart w:id="40" w:name="_Toc208062013"/>
      <w:r w:rsidRPr="00B064B8">
        <w:rPr>
          <w:rFonts w:asciiTheme="minorHAnsi" w:hAnsiTheme="minorHAnsi"/>
        </w:rPr>
        <w:t xml:space="preserve">Qualitative </w:t>
      </w:r>
      <w:r w:rsidR="002A4A96">
        <w:rPr>
          <w:rFonts w:asciiTheme="minorHAnsi" w:hAnsiTheme="minorHAnsi"/>
        </w:rPr>
        <w:t>L</w:t>
      </w:r>
      <w:r w:rsidRPr="00B064B8">
        <w:rPr>
          <w:rFonts w:asciiTheme="minorHAnsi" w:hAnsiTheme="minorHAnsi"/>
        </w:rPr>
        <w:t>imitation</w:t>
      </w:r>
      <w:bookmarkEnd w:id="40"/>
    </w:p>
    <w:p w14:paraId="1C349DFC" w14:textId="1DAA87AC" w:rsidR="007779A3" w:rsidRPr="00B064B8" w:rsidRDefault="00AA1AEA" w:rsidP="00F72705">
      <w:pPr>
        <w:tabs>
          <w:tab w:val="left" w:pos="0"/>
          <w:tab w:val="left" w:pos="360"/>
        </w:tabs>
        <w:spacing w:before="100" w:beforeAutospacing="1" w:after="100" w:afterAutospacing="1" w:line="360" w:lineRule="auto"/>
        <w:jc w:val="both"/>
        <w:rPr>
          <w:rFonts w:eastAsia="Times New Roman" w:cs="Arial"/>
          <w:color w:val="000000"/>
          <w:kern w:val="0"/>
          <w:sz w:val="22"/>
          <w:szCs w:val="22"/>
          <w14:ligatures w14:val="none"/>
        </w:rPr>
      </w:pPr>
      <w:r w:rsidRPr="00B064B8">
        <w:rPr>
          <w:rFonts w:eastAsia="Times New Roman" w:cs="Arial"/>
          <w:color w:val="000000"/>
          <w:kern w:val="0"/>
          <w:sz w:val="22"/>
          <w:szCs w:val="22"/>
          <w14:ligatures w14:val="none"/>
        </w:rPr>
        <w:t xml:space="preserve">A positivist survey could provide </w:t>
      </w:r>
      <w:proofErr w:type="spellStart"/>
      <w:r w:rsidRPr="00B064B8">
        <w:rPr>
          <w:kern w:val="0"/>
          <w14:ligatures w14:val="none"/>
        </w:rPr>
        <w:t>generalisable</w:t>
      </w:r>
      <w:proofErr w:type="spellEnd"/>
      <w:r w:rsidRPr="00B064B8">
        <w:rPr>
          <w:kern w:val="0"/>
          <w14:ligatures w14:val="none"/>
        </w:rPr>
        <w:t xml:space="preserve"> findings, but it would miss the detailed context and organisational dynamics within Hong Kong treasuries. An interpretivist ethnography could capture rich personal insights, but it would lack the structure needed to generate clear strategies for practice. Critical theory could reveal deeper power imbalances, but it is less suited to the practical challenges of adoption and monetisation. In contrast, a </w:t>
      </w:r>
      <w:r w:rsidRPr="00672EE4">
        <w:rPr>
          <w:kern w:val="0"/>
          <w14:ligatures w14:val="none"/>
        </w:rPr>
        <w:t>qualitative case study approach, supported by interpretivism and critical realism, offers the right balance. It captures both the lived experiences of treasurers and the wider institutional</w:t>
      </w:r>
      <w:r w:rsidRPr="00672EE4">
        <w:rPr>
          <w:rFonts w:eastAsia="Times New Roman" w:cs="Arial"/>
          <w:color w:val="000000"/>
          <w:kern w:val="0"/>
          <w14:ligatures w14:val="none"/>
        </w:rPr>
        <w:t xml:space="preserve"> and regulatory structures, making the findings both meaningful and actionable.</w:t>
      </w:r>
    </w:p>
    <w:p w14:paraId="1E1FD4A3" w14:textId="1DC1EDB4" w:rsidR="00875391" w:rsidRPr="00B064B8" w:rsidRDefault="007779A3" w:rsidP="006A6C97">
      <w:pPr>
        <w:pStyle w:val="Heading2"/>
        <w:numPr>
          <w:ilvl w:val="1"/>
          <w:numId w:val="48"/>
        </w:numPr>
        <w:tabs>
          <w:tab w:val="left" w:pos="0"/>
          <w:tab w:val="left" w:pos="360"/>
        </w:tabs>
        <w:spacing w:before="0" w:after="0"/>
        <w:ind w:left="0" w:firstLine="0"/>
        <w:rPr>
          <w:rFonts w:asciiTheme="minorHAnsi" w:hAnsiTheme="minorHAnsi"/>
        </w:rPr>
      </w:pPr>
      <w:bookmarkStart w:id="41" w:name="_Toc206886352"/>
      <w:bookmarkStart w:id="42" w:name="_Toc208062014"/>
      <w:r w:rsidRPr="00B064B8">
        <w:rPr>
          <w:rFonts w:asciiTheme="minorHAnsi" w:hAnsiTheme="minorHAnsi"/>
        </w:rPr>
        <w:lastRenderedPageBreak/>
        <w:t xml:space="preserve">Research </w:t>
      </w:r>
      <w:bookmarkEnd w:id="41"/>
      <w:r w:rsidR="002A4A96">
        <w:rPr>
          <w:rFonts w:asciiTheme="minorHAnsi" w:hAnsiTheme="minorHAnsi"/>
        </w:rPr>
        <w:t>Timeline</w:t>
      </w:r>
      <w:bookmarkEnd w:id="42"/>
    </w:p>
    <w:p w14:paraId="126A20CA" w14:textId="32D40B1B" w:rsidR="00102CB6" w:rsidRPr="00B064B8" w:rsidRDefault="002A5E3D" w:rsidP="00DC74BD">
      <w:pPr>
        <w:tabs>
          <w:tab w:val="left" w:pos="0"/>
          <w:tab w:val="left" w:pos="360"/>
        </w:tabs>
        <w:spacing w:before="100" w:beforeAutospacing="1" w:after="100" w:afterAutospacing="1" w:line="240" w:lineRule="auto"/>
        <w:jc w:val="center"/>
        <w:rPr>
          <w:rFonts w:eastAsiaTheme="majorEastAsia"/>
          <w:b/>
          <w:bCs/>
        </w:rPr>
      </w:pPr>
      <w:r w:rsidRPr="00B064B8">
        <w:rPr>
          <w:rStyle w:val="Strong"/>
          <w:rFonts w:eastAsiaTheme="majorEastAsia" w:cs="Arial"/>
          <w:color w:val="000000"/>
          <w:sz w:val="22"/>
          <w:szCs w:val="22"/>
        </w:rPr>
        <w:t xml:space="preserve">Diagram 2. </w:t>
      </w:r>
      <w:r w:rsidRPr="00B064B8">
        <w:rPr>
          <w:rStyle w:val="Strong"/>
          <w:rFonts w:eastAsiaTheme="majorEastAsia"/>
        </w:rPr>
        <w:t xml:space="preserve">Preliminary </w:t>
      </w:r>
      <w:r w:rsidR="00E5237C" w:rsidRPr="00B064B8">
        <w:rPr>
          <w:rStyle w:val="Strong"/>
          <w:rFonts w:eastAsiaTheme="majorEastAsia"/>
        </w:rPr>
        <w:t>24-Month</w:t>
      </w:r>
      <w:r w:rsidRPr="00B064B8">
        <w:rPr>
          <w:rStyle w:val="Strong"/>
          <w:rFonts w:eastAsiaTheme="majorEastAsia"/>
        </w:rPr>
        <w:t xml:space="preserve"> Project Plan</w:t>
      </w:r>
      <w:r w:rsidRPr="00B064B8">
        <w:rPr>
          <w:rFonts w:eastAsia="Times New Roman" w:cs="Arial"/>
          <w:noProof/>
          <w:color w:val="000000"/>
          <w:kern w:val="0"/>
          <w:sz w:val="22"/>
          <w:szCs w:val="22"/>
          <w14:ligatures w14:val="none"/>
        </w:rPr>
        <w:drawing>
          <wp:inline distT="0" distB="0" distL="0" distR="0" wp14:anchorId="2363C368" wp14:editId="192AE547">
            <wp:extent cx="5943600" cy="4064668"/>
            <wp:effectExtent l="0" t="0" r="0" b="0"/>
            <wp:docPr id="442674368" name="Picture 1" descr="A project plan with multiple colored box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674368" name="Picture 1" descr="A project plan with multiple colored boxes&#10;&#10;AI-generated content may be incorrect."/>
                    <pic:cNvPicPr/>
                  </pic:nvPicPr>
                  <pic:blipFill rotWithShape="1">
                    <a:blip r:embed="rId13"/>
                    <a:srcRect t="8817"/>
                    <a:stretch>
                      <a:fillRect/>
                    </a:stretch>
                  </pic:blipFill>
                  <pic:spPr bwMode="auto">
                    <a:xfrm>
                      <a:off x="0" y="0"/>
                      <a:ext cx="5943600" cy="4064668"/>
                    </a:xfrm>
                    <a:prstGeom prst="rect">
                      <a:avLst/>
                    </a:prstGeom>
                    <a:ln>
                      <a:noFill/>
                    </a:ln>
                    <a:extLst>
                      <a:ext uri="{53640926-AAD7-44D8-BBD7-CCE9431645EC}">
                        <a14:shadowObscured xmlns:a14="http://schemas.microsoft.com/office/drawing/2010/main"/>
                      </a:ext>
                    </a:extLst>
                  </pic:spPr>
                </pic:pic>
              </a:graphicData>
            </a:graphic>
          </wp:inline>
        </w:drawing>
      </w:r>
    </w:p>
    <w:p w14:paraId="49EEE1E6" w14:textId="2ADA16C1" w:rsidR="00875391" w:rsidRPr="00D443D6" w:rsidRDefault="00D443D6" w:rsidP="00D443D6">
      <w:pPr>
        <w:pStyle w:val="Heading2"/>
      </w:pPr>
      <w:bookmarkStart w:id="43" w:name="_Toc206886353"/>
      <w:bookmarkStart w:id="44" w:name="_Toc208062015"/>
      <w:r>
        <w:t>4.8</w:t>
      </w:r>
      <w:r>
        <w:tab/>
      </w:r>
      <w:r w:rsidR="007779A3" w:rsidRPr="00D443D6">
        <w:t xml:space="preserve">Limitations of the </w:t>
      </w:r>
      <w:r w:rsidR="002A4A96">
        <w:t>D</w:t>
      </w:r>
      <w:r w:rsidR="007779A3" w:rsidRPr="00D443D6">
        <w:t>esign</w:t>
      </w:r>
      <w:bookmarkEnd w:id="43"/>
      <w:bookmarkEnd w:id="44"/>
    </w:p>
    <w:p w14:paraId="0E192872" w14:textId="1D234B4F" w:rsidR="007779A3" w:rsidRPr="00B064B8" w:rsidRDefault="00750FB8" w:rsidP="00F72705">
      <w:pPr>
        <w:tabs>
          <w:tab w:val="left" w:pos="0"/>
          <w:tab w:val="left" w:pos="360"/>
        </w:tabs>
        <w:spacing w:before="100" w:beforeAutospacing="1" w:after="100" w:afterAutospacing="1" w:line="360" w:lineRule="auto"/>
        <w:jc w:val="both"/>
        <w:rPr>
          <w:kern w:val="0"/>
          <w14:ligatures w14:val="none"/>
        </w:rPr>
      </w:pPr>
      <w:r>
        <w:rPr>
          <w:kern w:val="0"/>
          <w14:ligatures w14:val="none"/>
        </w:rPr>
        <w:t>T</w:t>
      </w:r>
      <w:r w:rsidR="00835FEE" w:rsidRPr="00B064B8">
        <w:rPr>
          <w:kern w:val="0"/>
          <w14:ligatures w14:val="none"/>
        </w:rPr>
        <w:t xml:space="preserve">he findings </w:t>
      </w:r>
      <w:r>
        <w:rPr>
          <w:kern w:val="0"/>
          <w14:ligatures w14:val="none"/>
        </w:rPr>
        <w:t>of the design meant that it was not possible to be entirely objective</w:t>
      </w:r>
      <w:r w:rsidR="00835FEE" w:rsidRPr="00B064B8">
        <w:rPr>
          <w:kern w:val="0"/>
          <w14:ligatures w14:val="none"/>
        </w:rPr>
        <w:t xml:space="preserve"> by extending TOE and SDL constructs into the corporate trade finance domain</w:t>
      </w:r>
      <w:r>
        <w:rPr>
          <w:kern w:val="0"/>
          <w14:ligatures w14:val="none"/>
        </w:rPr>
        <w:t>s.</w:t>
      </w:r>
      <w:r w:rsidR="00835FEE" w:rsidRPr="00B064B8">
        <w:rPr>
          <w:kern w:val="0"/>
          <w14:ligatures w14:val="none"/>
        </w:rPr>
        <w:t xml:space="preserve"> While researcher subjectivity is an inherent limitation of qualitative methods, the use of double coding, inter-</w:t>
      </w:r>
      <w:r w:rsidR="004A1710">
        <w:rPr>
          <w:kern w:val="0"/>
          <w14:ligatures w14:val="none"/>
        </w:rPr>
        <w:t>rater reliability checks and triangulation with secondary data help</w:t>
      </w:r>
      <w:r w:rsidR="002F6B04">
        <w:rPr>
          <w:kern w:val="0"/>
          <w14:ligatures w14:val="none"/>
        </w:rPr>
        <w:t>s</w:t>
      </w:r>
      <w:r w:rsidR="004A1710">
        <w:rPr>
          <w:kern w:val="0"/>
          <w14:ligatures w14:val="none"/>
        </w:rPr>
        <w:t xml:space="preserve"> mitigate this concern. </w:t>
      </w:r>
      <w:r w:rsidR="00777963">
        <w:rPr>
          <w:kern w:val="0"/>
          <w14:ligatures w14:val="none"/>
        </w:rPr>
        <w:t>Ultimately, the Hong Kong-specific context may limit the transferability of the study to other jurisdictions; however, this embeddedness also enhances its</w:t>
      </w:r>
      <w:r w:rsidR="00835FEE" w:rsidRPr="00B064B8">
        <w:rPr>
          <w:kern w:val="0"/>
          <w14:ligatures w14:val="none"/>
        </w:rPr>
        <w:t xml:space="preserve"> relevance to policymakers and practitioners within the city’s financial ecosystem.</w:t>
      </w:r>
    </w:p>
    <w:p w14:paraId="55B8663A" w14:textId="26645CBE" w:rsidR="00875391" w:rsidRPr="00B064B8" w:rsidRDefault="00D443D6" w:rsidP="00D443D6">
      <w:pPr>
        <w:pStyle w:val="Heading2"/>
        <w:numPr>
          <w:ilvl w:val="1"/>
          <w:numId w:val="42"/>
        </w:numPr>
        <w:tabs>
          <w:tab w:val="left" w:pos="0"/>
          <w:tab w:val="left" w:pos="360"/>
        </w:tabs>
        <w:ind w:left="630" w:hanging="630"/>
        <w:rPr>
          <w:rFonts w:asciiTheme="minorHAnsi" w:eastAsia="Times New Roman" w:hAnsiTheme="minorHAnsi" w:cs="Arial"/>
          <w:color w:val="000000"/>
          <w:kern w:val="0"/>
          <w:sz w:val="22"/>
          <w:szCs w:val="22"/>
          <w14:ligatures w14:val="none"/>
        </w:rPr>
      </w:pPr>
      <w:bookmarkStart w:id="45" w:name="_Toc206886354"/>
      <w:r>
        <w:rPr>
          <w:rFonts w:asciiTheme="minorHAnsi" w:hAnsiTheme="minorHAnsi"/>
        </w:rPr>
        <w:lastRenderedPageBreak/>
        <w:t xml:space="preserve"> </w:t>
      </w:r>
      <w:r>
        <w:rPr>
          <w:rFonts w:asciiTheme="minorHAnsi" w:hAnsiTheme="minorHAnsi"/>
        </w:rPr>
        <w:tab/>
      </w:r>
      <w:bookmarkStart w:id="46" w:name="_Toc208062016"/>
      <w:r w:rsidR="007779A3" w:rsidRPr="00B064B8">
        <w:rPr>
          <w:rFonts w:asciiTheme="minorHAnsi" w:hAnsiTheme="minorHAnsi"/>
        </w:rPr>
        <w:t xml:space="preserve">Conclusion to </w:t>
      </w:r>
      <w:r w:rsidR="002A4A96">
        <w:rPr>
          <w:rFonts w:asciiTheme="minorHAnsi" w:hAnsiTheme="minorHAnsi"/>
        </w:rPr>
        <w:t xml:space="preserve">Section </w:t>
      </w:r>
      <w:r w:rsidR="00875391" w:rsidRPr="00B064B8">
        <w:rPr>
          <w:rFonts w:asciiTheme="minorHAnsi" w:hAnsiTheme="minorHAnsi"/>
        </w:rPr>
        <w:t>4</w:t>
      </w:r>
      <w:bookmarkEnd w:id="45"/>
      <w:bookmarkEnd w:id="46"/>
    </w:p>
    <w:p w14:paraId="63F3FB8F" w14:textId="79F31C32" w:rsidR="001F0DFC" w:rsidRPr="00B064B8" w:rsidRDefault="001F0DFC" w:rsidP="001F0DFC">
      <w:pPr>
        <w:pStyle w:val="NoSpacing"/>
        <w:spacing w:line="360" w:lineRule="auto"/>
        <w:jc w:val="both"/>
      </w:pPr>
      <w:bookmarkStart w:id="47" w:name="_Toc206886355"/>
      <w:r w:rsidRPr="00B064B8">
        <w:rPr>
          <w:kern w:val="0"/>
          <w14:ligatures w14:val="none"/>
        </w:rPr>
        <w:t xml:space="preserve">This chapter </w:t>
      </w:r>
      <w:r w:rsidR="00777963">
        <w:rPr>
          <w:kern w:val="0"/>
          <w14:ligatures w14:val="none"/>
        </w:rPr>
        <w:t>outline</w:t>
      </w:r>
      <w:r w:rsidRPr="00B064B8">
        <w:rPr>
          <w:kern w:val="0"/>
          <w14:ligatures w14:val="none"/>
        </w:rPr>
        <w:t xml:space="preserve">s the study’s philosophical foundations, qualitative approach, and data analysis methods, </w:t>
      </w:r>
      <w:r w:rsidR="00777963">
        <w:rPr>
          <w:kern w:val="0"/>
          <w14:ligatures w14:val="none"/>
        </w:rPr>
        <w:t>illu</w:t>
      </w:r>
      <w:r w:rsidRPr="00B064B8">
        <w:rPr>
          <w:kern w:val="0"/>
          <w14:ligatures w14:val="none"/>
        </w:rPr>
        <w:t xml:space="preserve">strating how interpretivism and critical realism </w:t>
      </w:r>
      <w:r w:rsidR="00777963">
        <w:rPr>
          <w:kern w:val="0"/>
          <w14:ligatures w14:val="none"/>
        </w:rPr>
        <w:t>inform</w:t>
      </w:r>
      <w:r w:rsidRPr="00B064B8">
        <w:rPr>
          <w:kern w:val="0"/>
          <w14:ligatures w14:val="none"/>
        </w:rPr>
        <w:t xml:space="preserve"> the </w:t>
      </w:r>
      <w:r w:rsidR="004A1710">
        <w:rPr>
          <w:kern w:val="0"/>
          <w14:ligatures w14:val="none"/>
        </w:rPr>
        <w:t xml:space="preserve">Investigation into adoption and </w:t>
      </w:r>
      <w:proofErr w:type="spellStart"/>
      <w:r w:rsidR="004A1710">
        <w:rPr>
          <w:kern w:val="0"/>
          <w14:ligatures w14:val="none"/>
        </w:rPr>
        <w:t>monetisation</w:t>
      </w:r>
      <w:proofErr w:type="spellEnd"/>
      <w:r w:rsidR="004A1710">
        <w:rPr>
          <w:kern w:val="0"/>
          <w14:ligatures w14:val="none"/>
        </w:rPr>
        <w:t xml:space="preserve"> in Hong Kong. By integrating interviews, focus </w:t>
      </w:r>
      <w:r w:rsidRPr="00B064B8">
        <w:rPr>
          <w:kern w:val="0"/>
          <w14:ligatures w14:val="none"/>
        </w:rPr>
        <w:t xml:space="preserve">groups, and secondary data with detailed coding and triangulation, the design ensures both contextual depth and analytical trustworthiness. </w:t>
      </w:r>
      <w:r w:rsidR="00ED2D81" w:rsidRPr="00ED2D81">
        <w:rPr>
          <w:kern w:val="0"/>
          <w14:ligatures w14:val="none"/>
        </w:rPr>
        <w:t>Building on this methodological foundation, the study advances philosophical debates by demonstrating how interpretivism and critical realism can be mobilised together to theorise adoption and monetisation.</w:t>
      </w:r>
    </w:p>
    <w:p w14:paraId="32A392D3" w14:textId="3127EE76" w:rsidR="00E5237C" w:rsidRPr="00B064B8" w:rsidRDefault="00E5237C" w:rsidP="00D443D6">
      <w:pPr>
        <w:pStyle w:val="Heading1"/>
        <w:numPr>
          <w:ilvl w:val="0"/>
          <w:numId w:val="48"/>
        </w:numPr>
        <w:tabs>
          <w:tab w:val="left" w:pos="0"/>
          <w:tab w:val="left" w:pos="360"/>
        </w:tabs>
        <w:rPr>
          <w:rFonts w:asciiTheme="minorHAnsi" w:hAnsiTheme="minorHAnsi"/>
        </w:rPr>
      </w:pPr>
      <w:bookmarkStart w:id="48" w:name="OLE_LINK1"/>
      <w:bookmarkStart w:id="49" w:name="_Toc208062017"/>
      <w:r w:rsidRPr="00B064B8">
        <w:rPr>
          <w:rFonts w:asciiTheme="minorHAnsi" w:hAnsiTheme="minorHAnsi"/>
        </w:rPr>
        <w:t>Advance Your Philosophical Understanding of Research Approaches</w:t>
      </w:r>
      <w:bookmarkEnd w:id="47"/>
      <w:bookmarkEnd w:id="49"/>
    </w:p>
    <w:bookmarkEnd w:id="48"/>
    <w:p w14:paraId="7638C20C" w14:textId="132D7E27" w:rsidR="00D443D6" w:rsidRDefault="00D443D6" w:rsidP="00D443D6">
      <w:pPr>
        <w:tabs>
          <w:tab w:val="left" w:pos="0"/>
          <w:tab w:val="left" w:pos="360"/>
        </w:tabs>
        <w:spacing w:before="100" w:beforeAutospacing="1" w:after="100" w:afterAutospacing="1" w:line="360" w:lineRule="auto"/>
        <w:jc w:val="both"/>
        <w:rPr>
          <w:kern w:val="0"/>
          <w14:ligatures w14:val="none"/>
        </w:rPr>
      </w:pPr>
      <w:r>
        <w:rPr>
          <w:kern w:val="0"/>
          <w14:ligatures w14:val="none"/>
        </w:rPr>
        <w:t>Advancing the philosophical foundation of this study requires a pluralistic approach. By combining interpretivism, which captures the meanings treasurers assign to risk and trust, with critical realism, which recognises institutional and regulatory structures, the study views monetisation as influenced by both human agency and systemic factors. This dual approach provides rich contextual insights while situating them within the broader realities of Hong Kong’s financial ecosystem.</w:t>
      </w:r>
    </w:p>
    <w:p w14:paraId="23C8CFEB" w14:textId="315CF607" w:rsidR="00875391" w:rsidRPr="00B064B8" w:rsidRDefault="00E5237C" w:rsidP="00F72705">
      <w:pPr>
        <w:pStyle w:val="Heading2"/>
        <w:numPr>
          <w:ilvl w:val="1"/>
          <w:numId w:val="28"/>
        </w:numPr>
        <w:tabs>
          <w:tab w:val="left" w:pos="0"/>
          <w:tab w:val="left" w:pos="360"/>
        </w:tabs>
        <w:ind w:left="0" w:firstLine="0"/>
        <w:rPr>
          <w:rFonts w:asciiTheme="minorHAnsi" w:hAnsiTheme="minorHAnsi"/>
        </w:rPr>
      </w:pPr>
      <w:bookmarkStart w:id="50" w:name="_Toc206886356"/>
      <w:bookmarkStart w:id="51" w:name="_Toc208062018"/>
      <w:r w:rsidRPr="00B064B8">
        <w:rPr>
          <w:rFonts w:asciiTheme="minorHAnsi" w:hAnsiTheme="minorHAnsi"/>
        </w:rPr>
        <w:t xml:space="preserve">Innovation of the </w:t>
      </w:r>
      <w:r w:rsidR="002A4A96">
        <w:rPr>
          <w:rFonts w:asciiTheme="minorHAnsi" w:hAnsiTheme="minorHAnsi"/>
        </w:rPr>
        <w:t>R</w:t>
      </w:r>
      <w:r w:rsidRPr="00B064B8">
        <w:rPr>
          <w:rFonts w:asciiTheme="minorHAnsi" w:hAnsiTheme="minorHAnsi"/>
        </w:rPr>
        <w:t xml:space="preserve">esearch </w:t>
      </w:r>
      <w:r w:rsidR="002A4A96">
        <w:rPr>
          <w:rFonts w:asciiTheme="minorHAnsi" w:hAnsiTheme="minorHAnsi"/>
        </w:rPr>
        <w:t>F</w:t>
      </w:r>
      <w:r w:rsidRPr="00B064B8">
        <w:rPr>
          <w:rFonts w:asciiTheme="minorHAnsi" w:hAnsiTheme="minorHAnsi"/>
        </w:rPr>
        <w:t>ramework</w:t>
      </w:r>
      <w:bookmarkEnd w:id="50"/>
      <w:bookmarkEnd w:id="51"/>
    </w:p>
    <w:p w14:paraId="4FBC09D0" w14:textId="6FD62D1D" w:rsidR="002C2D1D" w:rsidRPr="00B064B8" w:rsidRDefault="00D443D6" w:rsidP="002C2D1D">
      <w:pPr>
        <w:spacing w:line="360" w:lineRule="auto"/>
        <w:jc w:val="both"/>
      </w:pPr>
      <w:r>
        <w:rPr>
          <w:kern w:val="0"/>
          <w14:ligatures w14:val="none"/>
        </w:rPr>
        <w:t xml:space="preserve">This study presents a sophisticated philosophical approach by integrating interpretivism and critical realism to examine adoption and monetisation in corporate trade finance. </w:t>
      </w:r>
      <w:r w:rsidR="004A1710">
        <w:rPr>
          <w:kern w:val="0"/>
          <w14:ligatures w14:val="none"/>
        </w:rPr>
        <w:t xml:space="preserve">Interpretivism offers the perspective through which corporate managers’ lived experiences, </w:t>
      </w:r>
      <w:r>
        <w:rPr>
          <w:kern w:val="0"/>
          <w14:ligatures w14:val="none"/>
        </w:rPr>
        <w:t>perceptions of trust, and interpretations of risk can be understood within their organisational contexts. However, the study uses critical realism to recognise the existence of underlying institutional, regulatory, and technological structures that influence, but do not fully determine, adoption behaviour. This dual approach ensures the analysis captures both the meanings constructed by actors and the structural conditions that limit their choices.</w:t>
      </w:r>
    </w:p>
    <w:p w14:paraId="7BD14DD8" w14:textId="369C54B3" w:rsidR="002C2D1D" w:rsidRPr="00B064B8" w:rsidRDefault="002C2D1D" w:rsidP="002C2D1D">
      <w:pPr>
        <w:spacing w:line="360" w:lineRule="auto"/>
        <w:jc w:val="both"/>
      </w:pPr>
      <w:r w:rsidRPr="00B064B8">
        <w:rPr>
          <w:kern w:val="0"/>
          <w14:ligatures w14:val="none"/>
        </w:rPr>
        <w:lastRenderedPageBreak/>
        <w:t>In advancing this philosophical understanding, the study also critically examines the limits of alternative paradigms. A positivist approach, while providing generalisable insights through large-scale surveys, risks oversimplifying the compliance-driven, multi-stakeholder dynamics of Hong Kong treasuries. Similarly, a purely interpretivist ethnography might produce deep narratives but lack sufficient structure to guide practical strategies for adoption and monetisation. By contrast, critical realism offers a middle ground: it recognises that adoption is a socially mediated process, yet one rooted in material and regulatory frameworks such as HKMA’s digitalisation agenda and global compliance regimes.</w:t>
      </w:r>
    </w:p>
    <w:p w14:paraId="27A45D25" w14:textId="0239186A" w:rsidR="002C2D1D" w:rsidRPr="00B064B8" w:rsidRDefault="002C2D1D" w:rsidP="002C2D1D">
      <w:pPr>
        <w:spacing w:line="360" w:lineRule="auto"/>
        <w:jc w:val="both"/>
      </w:pPr>
      <w:r w:rsidRPr="00B064B8">
        <w:t xml:space="preserve">This philosophical stance contributes to the advancement of research approaches in </w:t>
      </w:r>
      <w:r w:rsidR="004A1710">
        <w:t xml:space="preserve">Business and management studies in three respects. First, it demonstrates that digital </w:t>
      </w:r>
      <w:r w:rsidRPr="00B064B8">
        <w:t>adoption research benefits from methodological pluralism, where behavioural, structural, and relational dimensions can be integrated. Second, it illustrates how risk governance and talent readiness</w:t>
      </w:r>
      <w:r w:rsidR="00777963">
        <w:t xml:space="preserve"> </w:t>
      </w:r>
      <w:r w:rsidRPr="00B064B8">
        <w:t xml:space="preserve">concepts highlighted in the </w:t>
      </w:r>
      <w:r w:rsidR="0099453E">
        <w:t>80</w:t>
      </w:r>
      <w:r w:rsidRPr="00B064B8">
        <w:t>study</w:t>
      </w:r>
      <w:r w:rsidR="00777963">
        <w:t xml:space="preserve"> </w:t>
      </w:r>
      <w:r w:rsidRPr="00B064B8">
        <w:t xml:space="preserve">can be regarded as </w:t>
      </w:r>
      <w:r w:rsidR="00777963">
        <w:t>both</w:t>
      </w:r>
      <w:r w:rsidRPr="00B064B8">
        <w:t xml:space="preserve"> </w:t>
      </w:r>
      <w:r w:rsidR="00777963">
        <w:t>epistemologica</w:t>
      </w:r>
      <w:r w:rsidRPr="00B064B8">
        <w:t>l a</w:t>
      </w:r>
      <w:r w:rsidR="00777963">
        <w:t>nd</w:t>
      </w:r>
      <w:r w:rsidRPr="00B064B8">
        <w:t xml:space="preserve"> practical concerns, requiring frameworks that bridge subjective experience with systemic imperatives. Third, it contributes to the discipline by showing how interpretivism and critical realism can be mobilised not only to generate context-rich insights but also to theorise pathways of value capture, thereby extending adoption research into the underexplored terrain of monetisation.</w:t>
      </w:r>
    </w:p>
    <w:p w14:paraId="3936A477" w14:textId="78578EC4" w:rsidR="00835FEE" w:rsidRPr="00B064B8" w:rsidRDefault="00D443D6" w:rsidP="002C2D1D">
      <w:pPr>
        <w:spacing w:line="360" w:lineRule="auto"/>
        <w:jc w:val="both"/>
      </w:pPr>
      <w:r>
        <w:t xml:space="preserve">To investigate the research framework, the </w:t>
      </w:r>
      <w:r w:rsidR="002C2D1D" w:rsidRPr="00B064B8">
        <w:t xml:space="preserve">study advances philosophical understanding by positioning adoption and monetisation as negotiated processes, shaped simultaneously by human agency and institutional structures. </w:t>
      </w:r>
      <w:r>
        <w:t>It</w:t>
      </w:r>
      <w:r w:rsidR="002C2D1D" w:rsidRPr="00B064B8">
        <w:t xml:space="preserve"> provides a nuanced and thorough account that </w:t>
      </w:r>
      <w:r w:rsidR="004A1710">
        <w:t xml:space="preserve">extends beyond traditional binaries, thus aligning with the module’s focus on </w:t>
      </w:r>
      <w:r w:rsidR="002C2D1D" w:rsidRPr="00B064B8">
        <w:t>developing a systematic and advanced philosophical understanding of research approaches</w:t>
      </w:r>
      <w:r w:rsidR="00777963">
        <w:t>.</w:t>
      </w:r>
    </w:p>
    <w:p w14:paraId="509D950D" w14:textId="76BCB383" w:rsidR="00875391" w:rsidRPr="00B064B8" w:rsidRDefault="00E5237C" w:rsidP="00F72705">
      <w:pPr>
        <w:pStyle w:val="Heading2"/>
        <w:numPr>
          <w:ilvl w:val="1"/>
          <w:numId w:val="28"/>
        </w:numPr>
        <w:tabs>
          <w:tab w:val="left" w:pos="0"/>
          <w:tab w:val="left" w:pos="360"/>
        </w:tabs>
        <w:ind w:left="0" w:firstLine="0"/>
        <w:rPr>
          <w:rFonts w:asciiTheme="minorHAnsi" w:eastAsia="Times New Roman" w:hAnsiTheme="minorHAnsi" w:cs="Arial"/>
          <w:color w:val="000000"/>
          <w:kern w:val="0"/>
          <w:sz w:val="22"/>
          <w:szCs w:val="22"/>
          <w14:ligatures w14:val="none"/>
        </w:rPr>
      </w:pPr>
      <w:bookmarkStart w:id="52" w:name="_Toc206886357"/>
      <w:bookmarkStart w:id="53" w:name="_Toc208062019"/>
      <w:r w:rsidRPr="00B064B8">
        <w:rPr>
          <w:rFonts w:asciiTheme="minorHAnsi" w:hAnsiTheme="minorHAnsi"/>
        </w:rPr>
        <w:t xml:space="preserve">Theoretical </w:t>
      </w:r>
      <w:r w:rsidR="002A4A96">
        <w:rPr>
          <w:rFonts w:asciiTheme="minorHAnsi" w:hAnsiTheme="minorHAnsi"/>
        </w:rPr>
        <w:t>C</w:t>
      </w:r>
      <w:r w:rsidRPr="00B064B8">
        <w:rPr>
          <w:rFonts w:asciiTheme="minorHAnsi" w:hAnsiTheme="minorHAnsi"/>
        </w:rPr>
        <w:t>ontributions</w:t>
      </w:r>
      <w:bookmarkEnd w:id="52"/>
      <w:bookmarkEnd w:id="53"/>
    </w:p>
    <w:p w14:paraId="3667C246" w14:textId="3901D308" w:rsidR="002C2D1D" w:rsidRPr="00B064B8" w:rsidRDefault="00D443D6" w:rsidP="002C2D1D">
      <w:pPr>
        <w:pStyle w:val="NormalWeb"/>
        <w:spacing w:line="360" w:lineRule="auto"/>
        <w:jc w:val="both"/>
        <w:rPr>
          <w:rFonts w:asciiTheme="minorHAnsi" w:eastAsiaTheme="minorEastAsia" w:hAnsiTheme="minorHAnsi" w:cstheme="minorBidi"/>
        </w:rPr>
      </w:pPr>
      <w:r>
        <w:rPr>
          <w:rFonts w:asciiTheme="minorHAnsi" w:eastAsiaTheme="minorEastAsia" w:hAnsiTheme="minorHAnsi" w:cstheme="minorBidi"/>
        </w:rPr>
        <w:t xml:space="preserve">The result </w:t>
      </w:r>
      <w:r w:rsidR="002C2D1D" w:rsidRPr="00B064B8">
        <w:rPr>
          <w:rFonts w:asciiTheme="minorHAnsi" w:eastAsiaTheme="minorEastAsia" w:hAnsiTheme="minorHAnsi" w:cstheme="minorBidi"/>
        </w:rPr>
        <w:t>advances theoretical understanding in three interrelated ways.</w:t>
      </w:r>
    </w:p>
    <w:p w14:paraId="7D64F1A1" w14:textId="7EB370CE" w:rsidR="002C2D1D" w:rsidRPr="00B064B8" w:rsidRDefault="004A1710" w:rsidP="002C2D1D">
      <w:pPr>
        <w:pStyle w:val="NormalWeb"/>
        <w:spacing w:line="360" w:lineRule="auto"/>
        <w:jc w:val="both"/>
        <w:rPr>
          <w:rFonts w:asciiTheme="minorHAnsi" w:eastAsiaTheme="minorEastAsia" w:hAnsiTheme="minorHAnsi" w:cstheme="minorBidi"/>
        </w:rPr>
      </w:pPr>
      <w:r>
        <w:rPr>
          <w:rFonts w:asciiTheme="minorHAnsi" w:hAnsiTheme="minorHAnsi"/>
        </w:rPr>
        <w:lastRenderedPageBreak/>
        <w:t>Firstly, it employs adoption constructs that are common in consumer and SME environments</w:t>
      </w:r>
      <w:r w:rsidR="002F6B04">
        <w:rPr>
          <w:rFonts w:asciiTheme="minorHAnsi" w:hAnsiTheme="minorHAnsi"/>
        </w:rPr>
        <w:t>,</w:t>
      </w:r>
      <w:r>
        <w:rPr>
          <w:rFonts w:asciiTheme="minorHAnsi" w:hAnsiTheme="minorHAnsi"/>
        </w:rPr>
        <w:t xml:space="preserve"> </w:t>
      </w:r>
      <w:r w:rsidR="00777963">
        <w:rPr>
          <w:rFonts w:asciiTheme="minorHAnsi" w:hAnsiTheme="minorHAnsi"/>
        </w:rPr>
        <w:t>particularly in</w:t>
      </w:r>
      <w:r w:rsidR="002C2D1D" w:rsidRPr="00B064B8">
        <w:rPr>
          <w:rFonts w:asciiTheme="minorHAnsi" w:hAnsiTheme="minorHAnsi"/>
        </w:rPr>
        <w:t xml:space="preserve"> the collective, compliance-driven environment of corporate treasuries. Constructs such as compatibility, trust, and risk are reinterpreted to mirror organisational realities: compatibility is seen as workflow integration with treasury systems, trust as institutional credibility strengthened by regulatory oversight, and risk as a multidimensional concept covering regulatory, reputational, and systemic issues (Singh, 2023; Montazemi &amp; Qahri-Saremi, 2015; HKIMR, 2025). This reworking expands the Technology–Organisation–Environment (TOE) framework, showing that adoption must be understood as both socially negotiated and structurally limited.</w:t>
      </w:r>
    </w:p>
    <w:p w14:paraId="2496A214" w14:textId="3F7BDDD0" w:rsidR="002C2D1D" w:rsidRPr="00B064B8" w:rsidRDefault="002C2D1D" w:rsidP="002C2D1D">
      <w:pPr>
        <w:pStyle w:val="NormalWeb"/>
        <w:spacing w:line="360" w:lineRule="auto"/>
        <w:jc w:val="both"/>
        <w:rPr>
          <w:rFonts w:asciiTheme="minorHAnsi" w:eastAsiaTheme="minorEastAsia" w:hAnsiTheme="minorHAnsi" w:cstheme="minorBidi"/>
        </w:rPr>
      </w:pPr>
      <w:r w:rsidRPr="00B064B8">
        <w:rPr>
          <w:rFonts w:asciiTheme="minorHAnsi" w:hAnsiTheme="minorHAnsi"/>
        </w:rPr>
        <w:t>Secondly, the study advances TOE by including risk governance and talent readiness as key sub-constructs. While TOE has traditionally emphasised technological and organisational preparedness, the findings reveal that adoption in financial services also relies on assurance mechanisms and workforce capability. Using interpretivism to understand treasurers’ perceptions and critical realism to place these within institutional and regulatory frameworks, the study emphasises that adoption is influenced not only by technological and organisational capacity but also by compliance requirements and human capital development (Zhou &amp; Li, 2023; HKIMR, 2025).</w:t>
      </w:r>
    </w:p>
    <w:p w14:paraId="41D4A505" w14:textId="44FB8B97" w:rsidR="002C2D1D" w:rsidRPr="00B064B8" w:rsidRDefault="002C2D1D" w:rsidP="002C2D1D">
      <w:pPr>
        <w:pStyle w:val="NormalWeb"/>
        <w:spacing w:line="360" w:lineRule="auto"/>
        <w:jc w:val="both"/>
        <w:rPr>
          <w:rFonts w:asciiTheme="minorHAnsi" w:eastAsiaTheme="minorEastAsia" w:hAnsiTheme="minorHAnsi" w:cstheme="minorBidi"/>
        </w:rPr>
      </w:pPr>
      <w:r w:rsidRPr="00B064B8">
        <w:rPr>
          <w:rFonts w:asciiTheme="minorHAnsi" w:eastAsiaTheme="minorEastAsia" w:hAnsiTheme="minorHAnsi" w:cstheme="minorBidi"/>
        </w:rPr>
        <w:t xml:space="preserve">Thirdly, the research clearly links adoption to monetisation, an aspect often overlooked in the literature. Prior adoption studies frequently treat usage as the outcome, leaving the question of value capture underexplored (Montazemi &amp; Qahri-Saremi, 2015). By theorising </w:t>
      </w:r>
      <w:r w:rsidR="004A1710">
        <w:rPr>
          <w:rFonts w:asciiTheme="minorHAnsi" w:eastAsiaTheme="minorEastAsia" w:hAnsiTheme="minorHAnsi" w:cstheme="minorBidi"/>
        </w:rPr>
        <w:t xml:space="preserve">actual </w:t>
      </w:r>
      <w:proofErr w:type="spellStart"/>
      <w:r w:rsidR="004A1710">
        <w:rPr>
          <w:rFonts w:asciiTheme="minorHAnsi" w:eastAsiaTheme="minorEastAsia" w:hAnsiTheme="minorHAnsi" w:cstheme="minorBidi"/>
        </w:rPr>
        <w:t>utilisation</w:t>
      </w:r>
      <w:proofErr w:type="spellEnd"/>
      <w:r w:rsidR="004A1710">
        <w:rPr>
          <w:rFonts w:asciiTheme="minorHAnsi" w:eastAsiaTheme="minorEastAsia" w:hAnsiTheme="minorHAnsi" w:cstheme="minorBidi"/>
        </w:rPr>
        <w:t xml:space="preserve"> as a driver of </w:t>
      </w:r>
      <w:proofErr w:type="spellStart"/>
      <w:r w:rsidR="004A1710">
        <w:rPr>
          <w:rFonts w:asciiTheme="minorHAnsi" w:eastAsiaTheme="minorEastAsia" w:hAnsiTheme="minorHAnsi" w:cstheme="minorBidi"/>
        </w:rPr>
        <w:t>monetisation</w:t>
      </w:r>
      <w:proofErr w:type="spellEnd"/>
      <w:r w:rsidR="004A1710">
        <w:rPr>
          <w:rFonts w:asciiTheme="minorHAnsi" w:eastAsiaTheme="minorEastAsia" w:hAnsiTheme="minorHAnsi" w:cstheme="minorBidi"/>
        </w:rPr>
        <w:t xml:space="preserve"> pathways, including fee income growth</w:t>
      </w:r>
      <w:r w:rsidR="002F6B04">
        <w:rPr>
          <w:rFonts w:asciiTheme="minorHAnsi" w:eastAsiaTheme="minorEastAsia" w:hAnsiTheme="minorHAnsi" w:cstheme="minorBidi"/>
        </w:rPr>
        <w:t>,</w:t>
      </w:r>
      <w:r w:rsidR="004A1710">
        <w:rPr>
          <w:rFonts w:asciiTheme="minorHAnsi" w:eastAsiaTheme="minorEastAsia" w:hAnsiTheme="minorHAnsi" w:cstheme="minorBidi"/>
        </w:rPr>
        <w:t xml:space="preserve"> cross-</w:t>
      </w:r>
      <w:r w:rsidRPr="00B064B8">
        <w:rPr>
          <w:rFonts w:asciiTheme="minorHAnsi" w:eastAsiaTheme="minorEastAsia" w:hAnsiTheme="minorHAnsi" w:cstheme="minorBidi"/>
        </w:rPr>
        <w:t>selling, and relationship deepening</w:t>
      </w:r>
      <w:r w:rsidR="00777963">
        <w:rPr>
          <w:rFonts w:asciiTheme="minorHAnsi" w:eastAsiaTheme="minorEastAsia" w:hAnsiTheme="minorHAnsi" w:cstheme="minorBidi"/>
        </w:rPr>
        <w:t xml:space="preserve">, </w:t>
      </w:r>
      <w:r w:rsidRPr="00B064B8">
        <w:rPr>
          <w:rFonts w:asciiTheme="minorHAnsi" w:eastAsiaTheme="minorEastAsia" w:hAnsiTheme="minorHAnsi" w:cstheme="minorBidi"/>
        </w:rPr>
        <w:t xml:space="preserve">this study aligns with platform economics, which </w:t>
      </w:r>
      <w:r w:rsidR="00777963">
        <w:rPr>
          <w:rFonts w:asciiTheme="minorHAnsi" w:eastAsiaTheme="minorEastAsia" w:hAnsiTheme="minorHAnsi" w:cstheme="minorBidi"/>
        </w:rPr>
        <w:t>view</w:t>
      </w:r>
      <w:r w:rsidRPr="00B064B8">
        <w:rPr>
          <w:rFonts w:asciiTheme="minorHAnsi" w:eastAsiaTheme="minorEastAsia" w:hAnsiTheme="minorHAnsi" w:cstheme="minorBidi"/>
        </w:rPr>
        <w:t xml:space="preserve">s value creation and capture as inseparable (Rochet &amp; </w:t>
      </w:r>
      <w:proofErr w:type="spellStart"/>
      <w:r w:rsidRPr="00B064B8">
        <w:rPr>
          <w:rFonts w:asciiTheme="minorHAnsi" w:eastAsiaTheme="minorEastAsia" w:hAnsiTheme="minorHAnsi" w:cstheme="minorBidi"/>
        </w:rPr>
        <w:t>Tirole</w:t>
      </w:r>
      <w:proofErr w:type="spellEnd"/>
      <w:r w:rsidRPr="00B064B8">
        <w:rPr>
          <w:rFonts w:asciiTheme="minorHAnsi" w:eastAsiaTheme="minorEastAsia" w:hAnsiTheme="minorHAnsi" w:cstheme="minorBidi"/>
        </w:rPr>
        <w:t>, 2003). This shifts the focus from efficiency-driven digitalisation to positioning digital trade finance platforms as ecosystems capable of generating sustainable revenue.</w:t>
      </w:r>
    </w:p>
    <w:p w14:paraId="4C6922E1" w14:textId="05B2BF26" w:rsidR="002C2D1D" w:rsidRPr="00B064B8" w:rsidRDefault="002C2D1D" w:rsidP="002C2D1D">
      <w:pPr>
        <w:pStyle w:val="NormalWeb"/>
        <w:spacing w:line="360" w:lineRule="auto"/>
        <w:jc w:val="both"/>
        <w:rPr>
          <w:rFonts w:asciiTheme="minorHAnsi" w:eastAsiaTheme="minorEastAsia" w:hAnsiTheme="minorHAnsi" w:cstheme="minorBidi"/>
        </w:rPr>
      </w:pPr>
      <w:r w:rsidRPr="00B064B8">
        <w:rPr>
          <w:rFonts w:asciiTheme="minorHAnsi" w:eastAsiaTheme="minorEastAsia" w:hAnsiTheme="minorHAnsi" w:cstheme="minorBidi"/>
        </w:rPr>
        <w:t xml:space="preserve">Overall, the study contributes to adoption scholarship by enriching TOE with behavioural, organisational, and systemic dimensions, and by theorising monetisation as a critical </w:t>
      </w:r>
      <w:r w:rsidR="004A1710">
        <w:rPr>
          <w:rFonts w:asciiTheme="minorHAnsi" w:eastAsiaTheme="minorEastAsia" w:hAnsiTheme="minorHAnsi" w:cstheme="minorBidi"/>
        </w:rPr>
        <w:lastRenderedPageBreak/>
        <w:t xml:space="preserve">outcome. In doing so, it provides a more comprehensive, philosophically grounded account of </w:t>
      </w:r>
      <w:r w:rsidRPr="00B064B8">
        <w:rPr>
          <w:rFonts w:asciiTheme="minorHAnsi" w:eastAsiaTheme="minorEastAsia" w:hAnsiTheme="minorHAnsi" w:cstheme="minorBidi"/>
        </w:rPr>
        <w:t>digital trade adoption in corporate banking, advancing both theoretical understanding and the emerging literature on digital trade monetisation.</w:t>
      </w:r>
    </w:p>
    <w:p w14:paraId="5C81E6FA" w14:textId="77777777" w:rsidR="004F2797" w:rsidRDefault="00E5237C" w:rsidP="00F72705">
      <w:pPr>
        <w:pStyle w:val="Heading2"/>
        <w:numPr>
          <w:ilvl w:val="1"/>
          <w:numId w:val="28"/>
        </w:numPr>
        <w:tabs>
          <w:tab w:val="left" w:pos="0"/>
          <w:tab w:val="left" w:pos="360"/>
        </w:tabs>
        <w:ind w:left="0" w:firstLine="0"/>
        <w:rPr>
          <w:rFonts w:asciiTheme="minorHAnsi" w:hAnsiTheme="minorHAnsi"/>
        </w:rPr>
      </w:pPr>
      <w:bookmarkStart w:id="54" w:name="_Toc206886358"/>
      <w:bookmarkStart w:id="55" w:name="_Toc208062020"/>
      <w:r w:rsidRPr="00B064B8">
        <w:rPr>
          <w:rFonts w:asciiTheme="minorHAnsi" w:hAnsiTheme="minorHAnsi"/>
        </w:rPr>
        <w:t xml:space="preserve">Practical </w:t>
      </w:r>
      <w:r w:rsidR="0023484E">
        <w:rPr>
          <w:rFonts w:asciiTheme="minorHAnsi" w:hAnsiTheme="minorHAnsi"/>
        </w:rPr>
        <w:t>C</w:t>
      </w:r>
      <w:r w:rsidRPr="00B064B8">
        <w:rPr>
          <w:rFonts w:asciiTheme="minorHAnsi" w:hAnsiTheme="minorHAnsi"/>
        </w:rPr>
        <w:t>ontributions</w:t>
      </w:r>
      <w:bookmarkEnd w:id="54"/>
      <w:bookmarkEnd w:id="55"/>
      <w:r w:rsidR="0023484E">
        <w:rPr>
          <w:rFonts w:asciiTheme="minorHAnsi" w:hAnsiTheme="minorHAnsi"/>
        </w:rPr>
        <w:t xml:space="preserve"> </w:t>
      </w:r>
    </w:p>
    <w:p w14:paraId="64EDF1BD" w14:textId="1A27CD85" w:rsidR="00875391" w:rsidRDefault="004F2797" w:rsidP="004F2797">
      <w:pPr>
        <w:pStyle w:val="Heading3"/>
      </w:pPr>
      <w:bookmarkStart w:id="56" w:name="_Toc208062021"/>
      <w:r>
        <w:t xml:space="preserve">5.3.1 </w:t>
      </w:r>
      <w:r>
        <w:tab/>
      </w:r>
      <w:r w:rsidR="0023484E">
        <w:t>Managerial Implications for Banks, Regulators and Corporations</w:t>
      </w:r>
      <w:bookmarkEnd w:id="56"/>
    </w:p>
    <w:p w14:paraId="5C4B8787" w14:textId="1D2A1D75" w:rsidR="005A3FAF" w:rsidRDefault="0020709D" w:rsidP="005A3FAF">
      <w:pPr>
        <w:spacing w:line="360" w:lineRule="auto"/>
        <w:jc w:val="both"/>
      </w:pPr>
      <w:r>
        <w:t>The</w:t>
      </w:r>
      <w:r w:rsidR="005A3FAF" w:rsidRPr="005A3FAF">
        <w:t xml:space="preserve"> practical contribution</w:t>
      </w:r>
      <w:r>
        <w:t xml:space="preserve"> will be identified </w:t>
      </w:r>
      <w:r w:rsidR="005A3FAF" w:rsidRPr="005A3FAF">
        <w:t xml:space="preserve">for banks, regulators, and corporates involved in </w:t>
      </w:r>
      <w:r w:rsidR="004A1710">
        <w:t xml:space="preserve">Digital trade finance in Hong Kong. Curley et al. (2025) report 30–40% cost savings, while </w:t>
      </w:r>
      <w:r w:rsidR="003C6290" w:rsidRPr="003C6290">
        <w:t>HKIMR (2025) links skills gaps to cross-sell and fee uplifts.</w:t>
      </w:r>
    </w:p>
    <w:p w14:paraId="317A3103" w14:textId="022A4909" w:rsidR="00BB141F" w:rsidRPr="00BB141F" w:rsidRDefault="00BB141F" w:rsidP="005A3FAF">
      <w:pPr>
        <w:spacing w:line="360" w:lineRule="auto"/>
        <w:jc w:val="both"/>
      </w:pPr>
      <w:r w:rsidRPr="00BB141F">
        <w:t xml:space="preserve">For banks, the findings indicate that adoption and monetisation remain sustainable only when supported by strong risk management frameworks and ongoing investment in workforce skills. Additional evidence supports this: the Hong Kong Institute for Monetary and Financial Research (2025) found that 95% of financial institutions regard risk control as the biggest obstacle to AI-enabled adoption, while 80% reported gaps in technical skills and 60% highlighted shortages in compliance capabilities. Addressing these gaps </w:t>
      </w:r>
      <w:r w:rsidR="00777963">
        <w:rPr>
          <w:kern w:val="0"/>
          <w14:ligatures w14:val="none"/>
        </w:rPr>
        <w:t>enables relationship managers and product specialists to more effectively translate platform features into client value, thereby directly boosting cross-sell ratios and increasing fee-per-transaction</w:t>
      </w:r>
      <w:r w:rsidRPr="00BB141F">
        <w:t xml:space="preserve"> (HKIMR, 2025).</w:t>
      </w:r>
    </w:p>
    <w:p w14:paraId="1DC9CBFF" w14:textId="40F2A2E2" w:rsidR="00BB141F" w:rsidRPr="00BB141F" w:rsidRDefault="00BB141F" w:rsidP="00BB141F">
      <w:pPr>
        <w:pStyle w:val="NormalWeb"/>
        <w:spacing w:line="360" w:lineRule="auto"/>
        <w:jc w:val="both"/>
        <w:rPr>
          <w:rFonts w:asciiTheme="minorHAnsi" w:eastAsiaTheme="minorEastAsia" w:hAnsiTheme="minorHAnsi" w:cstheme="minorBidi"/>
          <w:kern w:val="2"/>
          <w14:ligatures w14:val="standardContextual"/>
        </w:rPr>
      </w:pPr>
      <w:r w:rsidRPr="00BB141F">
        <w:rPr>
          <w:rFonts w:asciiTheme="minorHAnsi" w:eastAsiaTheme="minorEastAsia" w:hAnsiTheme="minorHAnsi" w:cstheme="minorBidi"/>
          <w:kern w:val="2"/>
          <w14:ligatures w14:val="standardContextual"/>
        </w:rPr>
        <w:t xml:space="preserve">For regulators, the study underscores the importance of aligning digitalisation agendas with </w:t>
      </w:r>
      <w:r w:rsidRPr="008721E5">
        <w:rPr>
          <w:rFonts w:asciiTheme="minorHAnsi" w:eastAsiaTheme="minorEastAsia" w:hAnsiTheme="minorHAnsi" w:cstheme="minorBidi"/>
          <w:kern w:val="2"/>
          <w:sz w:val="22"/>
          <w:szCs w:val="22"/>
          <w14:ligatures w14:val="standardContextual"/>
        </w:rPr>
        <w:t xml:space="preserve">risk mitigation and talent development. While the HKMA’s Fintech 2025 strategy provides a strong policy foundation, regulators can accelerate adoption by endorsing common standards for AI </w:t>
      </w:r>
      <w:r w:rsidR="004A1710">
        <w:rPr>
          <w:rFonts w:asciiTheme="minorHAnsi" w:eastAsiaTheme="minorEastAsia" w:hAnsiTheme="minorHAnsi" w:cstheme="minorBidi"/>
          <w:kern w:val="2"/>
          <w:sz w:val="22"/>
          <w:szCs w:val="22"/>
          <w14:ligatures w14:val="standardContextual"/>
        </w:rPr>
        <w:t xml:space="preserve">Governance, supporting cross-bank integration, and </w:t>
      </w:r>
      <w:proofErr w:type="spellStart"/>
      <w:r w:rsidR="004A1710">
        <w:rPr>
          <w:rFonts w:asciiTheme="minorHAnsi" w:eastAsiaTheme="minorEastAsia" w:hAnsiTheme="minorHAnsi" w:cstheme="minorBidi"/>
          <w:kern w:val="2"/>
          <w:sz w:val="22"/>
          <w:szCs w:val="22"/>
          <w14:ligatures w14:val="standardContextual"/>
        </w:rPr>
        <w:t>incentivising</w:t>
      </w:r>
      <w:proofErr w:type="spellEnd"/>
      <w:r w:rsidR="004A1710">
        <w:rPr>
          <w:rFonts w:asciiTheme="minorHAnsi" w:eastAsiaTheme="minorEastAsia" w:hAnsiTheme="minorHAnsi" w:cstheme="minorBidi"/>
          <w:kern w:val="2"/>
          <w:sz w:val="22"/>
          <w:szCs w:val="22"/>
          <w14:ligatures w14:val="standardContextual"/>
        </w:rPr>
        <w:t xml:space="preserve"> workforce reskilling. Curley et al. </w:t>
      </w:r>
      <w:r w:rsidR="008721E5" w:rsidRPr="008721E5">
        <w:rPr>
          <w:rFonts w:asciiTheme="minorHAnsi" w:hAnsiTheme="minorHAnsi"/>
          <w:color w:val="000000"/>
          <w:sz w:val="22"/>
          <w:szCs w:val="22"/>
        </w:rPr>
        <w:t xml:space="preserve">(2025) demonstrate that digital platforms can reduce operational costs by 30–40%, but </w:t>
      </w:r>
      <w:proofErr w:type="spellStart"/>
      <w:r w:rsidR="008721E5" w:rsidRPr="008721E5">
        <w:rPr>
          <w:rFonts w:asciiTheme="minorHAnsi" w:hAnsiTheme="minorHAnsi"/>
          <w:color w:val="000000"/>
          <w:sz w:val="22"/>
          <w:szCs w:val="22"/>
        </w:rPr>
        <w:t>monetisation</w:t>
      </w:r>
      <w:proofErr w:type="spellEnd"/>
      <w:r w:rsidR="008721E5" w:rsidRPr="008721E5">
        <w:rPr>
          <w:rFonts w:asciiTheme="minorHAnsi" w:hAnsiTheme="minorHAnsi"/>
          <w:color w:val="000000"/>
          <w:sz w:val="22"/>
          <w:szCs w:val="22"/>
        </w:rPr>
        <w:t xml:space="preserve"> lags without regulatory assurance and client trust.</w:t>
      </w:r>
      <w:r w:rsidRPr="00BB141F">
        <w:rPr>
          <w:rFonts w:asciiTheme="minorHAnsi" w:eastAsiaTheme="minorEastAsia" w:hAnsiTheme="minorHAnsi" w:cstheme="minorBidi"/>
          <w:kern w:val="2"/>
          <w14:ligatures w14:val="standardContextual"/>
        </w:rPr>
        <w:t xml:space="preserve"> Thus, targeted regulatory interventions not only improve systemic stability but also reinforce the institutional credibility that treasurers require before adopting digital platforms.</w:t>
      </w:r>
    </w:p>
    <w:p w14:paraId="61A3C881" w14:textId="69C892F5" w:rsidR="00BB141F" w:rsidRPr="004A1710" w:rsidRDefault="004A1710" w:rsidP="00BB141F">
      <w:pPr>
        <w:pStyle w:val="NormalWeb"/>
        <w:spacing w:line="360" w:lineRule="auto"/>
        <w:jc w:val="both"/>
        <w:rPr>
          <w:rFonts w:asciiTheme="minorHAnsi" w:eastAsiaTheme="minorEastAsia" w:hAnsiTheme="minorHAnsi" w:cstheme="minorBidi"/>
          <w:kern w:val="2"/>
          <w14:ligatures w14:val="standardContextual"/>
        </w:rPr>
      </w:pPr>
      <w:r w:rsidRPr="004A1710">
        <w:rPr>
          <w:rFonts w:asciiTheme="minorHAnsi" w:hAnsiTheme="minorHAnsi"/>
        </w:rPr>
        <w:t xml:space="preserve">For corporates, digital platforms should be regarded not only as cost-saving tools but also as strategic enablers of value through credibility, compatibility, and new revenue streams. </w:t>
      </w:r>
      <w:r w:rsidRPr="004A1710">
        <w:rPr>
          <w:rFonts w:asciiTheme="minorHAnsi" w:hAnsiTheme="minorHAnsi"/>
        </w:rPr>
        <w:lastRenderedPageBreak/>
        <w:t>Evidence shows that corporates adopting digital solutions achieve 15–20% faster transaction turnaround times and up to 25% reductions in compliance-related costs (HKMA, 2024). This allows treasuries to see digital trade finance as part of a broader strategic toolkit, rather than merely a transactional infrastructure.</w:t>
      </w:r>
    </w:p>
    <w:p w14:paraId="634FF905" w14:textId="664EA693" w:rsidR="00BB141F" w:rsidRPr="00BB141F" w:rsidRDefault="00BB141F" w:rsidP="00BB141F">
      <w:pPr>
        <w:pStyle w:val="NormalWeb"/>
        <w:spacing w:line="360" w:lineRule="auto"/>
        <w:jc w:val="both"/>
        <w:rPr>
          <w:rFonts w:asciiTheme="minorHAnsi" w:eastAsiaTheme="minorEastAsia" w:hAnsiTheme="minorHAnsi" w:cstheme="minorBidi"/>
          <w:kern w:val="2"/>
          <w14:ligatures w14:val="standardContextual"/>
        </w:rPr>
      </w:pPr>
      <w:r w:rsidRPr="00BB141F">
        <w:rPr>
          <w:rFonts w:asciiTheme="minorHAnsi" w:eastAsiaTheme="minorEastAsia" w:hAnsiTheme="minorHAnsi" w:cstheme="minorBidi"/>
          <w:kern w:val="2"/>
          <w14:ligatures w14:val="standardContextual"/>
        </w:rPr>
        <w:t>The research effectively introduces measurable indicators to guide implementation and performance monitoring. These include adoption rate, fee-per-transaction uplift, cross-sell ratio, client lifetime value, a trust and risk index, and a talent capability score. By incorporating such metrics, banks and regulators can better assess whether digitalisation initiatives are achieving their intended outcomes in both adoption and monetisation.</w:t>
      </w:r>
    </w:p>
    <w:p w14:paraId="4CC97413" w14:textId="5EB9421C" w:rsidR="005A3FAF" w:rsidRPr="005A3FAF" w:rsidRDefault="005A3FAF" w:rsidP="005A3FAF">
      <w:pPr>
        <w:spacing w:line="360" w:lineRule="auto"/>
        <w:jc w:val="both"/>
      </w:pPr>
      <w:r w:rsidRPr="005A3FAF">
        <w:t>Overall, these contributions translate the study’s theoretical insights into practical strategies. They show that sustainable adoption relies on risk-proof platforms and talent-enabled ecosystems</w:t>
      </w:r>
      <w:r w:rsidR="0020709D">
        <w:t>.</w:t>
      </w:r>
      <w:r w:rsidRPr="005A3FAF">
        <w:t xml:space="preserve"> </w:t>
      </w:r>
      <w:r w:rsidR="0020709D">
        <w:t>T</w:t>
      </w:r>
      <w:r w:rsidRPr="005A3FAF">
        <w:t xml:space="preserve">hat monetisation depends on shifting the focus from efficiency-driven cost savings to value-creating digital ecosystems. </w:t>
      </w:r>
      <w:r w:rsidR="008721E5">
        <w:t>C</w:t>
      </w:r>
      <w:r w:rsidRPr="005A3FAF">
        <w:t>orporat</w:t>
      </w:r>
      <w:r w:rsidR="0023484E">
        <w:t>ion</w:t>
      </w:r>
      <w:r w:rsidRPr="005A3FAF">
        <w:t>s can strengthen treasury resilience, and regulators can ensure Hong Kong maintains its position as a leading international financial centre.</w:t>
      </w:r>
      <w:r w:rsidR="008F1DCF" w:rsidRPr="008F1DCF">
        <w:t xml:space="preserve"> Adoption and monetisation are sustainable only when banks address the Risk–Talent Nexus identified in this study, embedding risk management frameworks and investing in workforce readiness.</w:t>
      </w:r>
    </w:p>
    <w:p w14:paraId="56E2385C" w14:textId="28F34888" w:rsidR="00875391" w:rsidRPr="00B064B8" w:rsidRDefault="00E5237C" w:rsidP="00F72705">
      <w:pPr>
        <w:pStyle w:val="Heading2"/>
        <w:numPr>
          <w:ilvl w:val="1"/>
          <w:numId w:val="28"/>
        </w:numPr>
        <w:tabs>
          <w:tab w:val="left" w:pos="0"/>
          <w:tab w:val="left" w:pos="360"/>
        </w:tabs>
        <w:ind w:left="0" w:firstLine="0"/>
        <w:rPr>
          <w:rFonts w:asciiTheme="minorHAnsi" w:eastAsia="Times New Roman" w:hAnsiTheme="minorHAnsi" w:cs="Arial"/>
          <w:color w:val="000000"/>
          <w:kern w:val="0"/>
          <w:sz w:val="22"/>
          <w:szCs w:val="22"/>
          <w14:ligatures w14:val="none"/>
        </w:rPr>
      </w:pPr>
      <w:bookmarkStart w:id="57" w:name="_Toc206886359"/>
      <w:bookmarkStart w:id="58" w:name="_Toc208062022"/>
      <w:r w:rsidRPr="00B064B8">
        <w:rPr>
          <w:rFonts w:asciiTheme="minorHAnsi" w:hAnsiTheme="minorHAnsi"/>
        </w:rPr>
        <w:t xml:space="preserve">Limitations </w:t>
      </w:r>
      <w:bookmarkEnd w:id="57"/>
      <w:r w:rsidR="0023484E">
        <w:rPr>
          <w:rFonts w:asciiTheme="minorHAnsi" w:hAnsiTheme="minorHAnsi"/>
        </w:rPr>
        <w:t>and Directions for Future Research</w:t>
      </w:r>
      <w:bookmarkEnd w:id="58"/>
    </w:p>
    <w:p w14:paraId="479399BF" w14:textId="7D490E65" w:rsidR="005A3FAF" w:rsidRDefault="002F6B04" w:rsidP="005A3FAF">
      <w:pPr>
        <w:spacing w:line="360" w:lineRule="auto"/>
        <w:jc w:val="both"/>
      </w:pPr>
      <w:r>
        <w:rPr>
          <w:kern w:val="0"/>
          <w14:ligatures w14:val="none"/>
        </w:rPr>
        <w:t xml:space="preserve">This study has several potential limitations. Firstly, the modest sample size restricts how far the findings can be </w:t>
      </w:r>
      <w:proofErr w:type="spellStart"/>
      <w:r>
        <w:rPr>
          <w:kern w:val="0"/>
          <w14:ligatures w14:val="none"/>
        </w:rPr>
        <w:t>generalised</w:t>
      </w:r>
      <w:proofErr w:type="spellEnd"/>
      <w:r>
        <w:rPr>
          <w:kern w:val="0"/>
          <w14:ligatures w14:val="none"/>
        </w:rPr>
        <w:t xml:space="preserve">. As a qualitative case study, the results are not meant to produce statistical </w:t>
      </w:r>
      <w:proofErr w:type="spellStart"/>
      <w:r>
        <w:rPr>
          <w:kern w:val="0"/>
          <w14:ligatures w14:val="none"/>
        </w:rPr>
        <w:t>generalisations</w:t>
      </w:r>
      <w:proofErr w:type="spellEnd"/>
      <w:r>
        <w:rPr>
          <w:kern w:val="0"/>
          <w14:ligatures w14:val="none"/>
        </w:rPr>
        <w:t xml:space="preserve"> across the wider banking sector. Instead, the contribution lies in analytical </w:t>
      </w:r>
      <w:proofErr w:type="spellStart"/>
      <w:r>
        <w:rPr>
          <w:kern w:val="0"/>
          <w14:ligatures w14:val="none"/>
        </w:rPr>
        <w:t>generalisation</w:t>
      </w:r>
      <w:proofErr w:type="spellEnd"/>
      <w:r>
        <w:rPr>
          <w:kern w:val="0"/>
          <w14:ligatures w14:val="none"/>
        </w:rPr>
        <w:t>, where insights can be transferred to theory and may be relevant to similar institutional contexts (Yin, 2018).</w:t>
      </w:r>
    </w:p>
    <w:p w14:paraId="047E1D37" w14:textId="3D30BBDF" w:rsidR="005A3FAF" w:rsidRDefault="005A3FAF" w:rsidP="005A3FAF">
      <w:pPr>
        <w:spacing w:line="360" w:lineRule="auto"/>
        <w:jc w:val="both"/>
      </w:pPr>
      <w:r>
        <w:t xml:space="preserve">Secondly, researcher subjectivity is an inherent limitation of qualitative inquiry. The interpretation of interviews is shaped by the researcher’s professional background and theoretical lens. Although measures such as double coding and inter-rater reliability checks were employed to mitigate this, interpretation remains </w:t>
      </w:r>
      <w:r w:rsidR="0020709D">
        <w:t>context dependent</w:t>
      </w:r>
      <w:r>
        <w:t xml:space="preserve">. </w:t>
      </w:r>
    </w:p>
    <w:p w14:paraId="75337EE0" w14:textId="28E78B24" w:rsidR="005A3FAF" w:rsidRDefault="005A3FAF" w:rsidP="005A3FAF">
      <w:pPr>
        <w:spacing w:line="360" w:lineRule="auto"/>
        <w:jc w:val="both"/>
      </w:pPr>
      <w:r>
        <w:lastRenderedPageBreak/>
        <w:t xml:space="preserve">Thirdly, </w:t>
      </w:r>
      <w:r w:rsidR="000573F5" w:rsidRPr="000573F5">
        <w:t>Hong Kong’s role as a global RMB settlement hub enhances the richness of the case but constrains transferability. Jurisdictions without the same regulatory integration or international positioning may face different adoption drivers.</w:t>
      </w:r>
    </w:p>
    <w:p w14:paraId="6D2D7B5C" w14:textId="605A9CCD" w:rsidR="005A3FAF" w:rsidRDefault="004A11E1" w:rsidP="005A3FAF">
      <w:pPr>
        <w:spacing w:line="360" w:lineRule="auto"/>
        <w:jc w:val="both"/>
      </w:pPr>
      <w:r>
        <w:rPr>
          <w:kern w:val="0"/>
          <w14:ligatures w14:val="none"/>
        </w:rPr>
        <w:t>Finally, the cross-sectional nature of the study offers only a snapshot in time and does not capture the dynamic evolution of adoption and monetisation. Longitudinal research would be necessary to track how treasurer perceptions, risk governance practices, and monetisation outcomes change as digital platforms develop.</w:t>
      </w:r>
    </w:p>
    <w:p w14:paraId="7C6D5423" w14:textId="5628DE47" w:rsidR="005A3FAF" w:rsidRPr="00B064B8" w:rsidRDefault="005A3FAF" w:rsidP="005A3FAF">
      <w:pPr>
        <w:spacing w:line="360" w:lineRule="auto"/>
        <w:jc w:val="both"/>
      </w:pPr>
      <w:r>
        <w:t xml:space="preserve">Despite these limitations, the study demonstrates methodological rigour through triangulation, inter-rater reliability checks, and the integration of secondary data. More importantly, </w:t>
      </w:r>
      <w:r w:rsidR="004A11E1">
        <w:t>recognis</w:t>
      </w:r>
      <w:r>
        <w:t xml:space="preserve">ing these constraints provides a </w:t>
      </w:r>
      <w:r w:rsidR="004A11E1">
        <w:t>basis</w:t>
      </w:r>
      <w:r>
        <w:t xml:space="preserve"> for future research, including large-scale surveys and Structural Equation Modelling (SEM), which could statistically validate the proposed adoption–monetisation framework across </w:t>
      </w:r>
      <w:r w:rsidR="004A11E1">
        <w:t>wi</w:t>
      </w:r>
      <w:r>
        <w:t>der samples.</w:t>
      </w:r>
    </w:p>
    <w:p w14:paraId="4D4C9160" w14:textId="55A04C72" w:rsidR="00875391" w:rsidRPr="00B064B8" w:rsidRDefault="00E5237C" w:rsidP="00F72705">
      <w:pPr>
        <w:pStyle w:val="Heading2"/>
        <w:numPr>
          <w:ilvl w:val="1"/>
          <w:numId w:val="28"/>
        </w:numPr>
        <w:tabs>
          <w:tab w:val="left" w:pos="0"/>
          <w:tab w:val="left" w:pos="360"/>
        </w:tabs>
        <w:ind w:left="0" w:firstLine="0"/>
        <w:rPr>
          <w:rFonts w:asciiTheme="minorHAnsi" w:eastAsia="Times New Roman" w:hAnsiTheme="minorHAnsi" w:cs="Arial"/>
          <w:color w:val="000000"/>
          <w:kern w:val="0"/>
          <w:sz w:val="22"/>
          <w:szCs w:val="22"/>
          <w14:ligatures w14:val="none"/>
        </w:rPr>
      </w:pPr>
      <w:bookmarkStart w:id="59" w:name="_Toc206886360"/>
      <w:bookmarkStart w:id="60" w:name="_Toc208062023"/>
      <w:r w:rsidRPr="00B064B8">
        <w:rPr>
          <w:rFonts w:asciiTheme="minorHAnsi" w:hAnsiTheme="minorHAnsi"/>
        </w:rPr>
        <w:t xml:space="preserve">Future </w:t>
      </w:r>
      <w:r w:rsidR="002A4A96">
        <w:rPr>
          <w:rFonts w:asciiTheme="minorHAnsi" w:hAnsiTheme="minorHAnsi"/>
        </w:rPr>
        <w:t>R</w:t>
      </w:r>
      <w:r w:rsidRPr="00B064B8">
        <w:rPr>
          <w:rFonts w:asciiTheme="minorHAnsi" w:hAnsiTheme="minorHAnsi"/>
        </w:rPr>
        <w:t xml:space="preserve">esearch </w:t>
      </w:r>
      <w:r w:rsidR="002A4A96">
        <w:rPr>
          <w:rFonts w:asciiTheme="minorHAnsi" w:hAnsiTheme="minorHAnsi"/>
        </w:rPr>
        <w:t>D</w:t>
      </w:r>
      <w:r w:rsidRPr="00B064B8">
        <w:rPr>
          <w:rFonts w:asciiTheme="minorHAnsi" w:hAnsiTheme="minorHAnsi"/>
        </w:rPr>
        <w:t>irections</w:t>
      </w:r>
      <w:bookmarkEnd w:id="59"/>
      <w:bookmarkEnd w:id="60"/>
    </w:p>
    <w:p w14:paraId="5FC4ED07" w14:textId="350DDEE1" w:rsidR="0020709D" w:rsidRPr="00750FB8" w:rsidRDefault="008F1DCF" w:rsidP="00750FB8">
      <w:pPr>
        <w:spacing w:line="360" w:lineRule="auto"/>
        <w:jc w:val="both"/>
      </w:pPr>
      <w:r w:rsidRPr="008F1DCF">
        <w:t>Future research could employ Structural Equation Modelling (SEM) to validate the adoption–monetisation framework on a larger sample</w:t>
      </w:r>
      <w:r w:rsidR="00672EE4">
        <w:t xml:space="preserve"> </w:t>
      </w:r>
      <w:r w:rsidR="0023484E">
        <w:t>(</w:t>
      </w:r>
      <w:r w:rsidR="00672EE4" w:rsidRPr="00672EE4">
        <w:rPr>
          <w:rStyle w:val="Strong"/>
          <w:b w:val="0"/>
          <w:bCs w:val="0"/>
          <w:color w:val="000000"/>
        </w:rPr>
        <w:t>Susanty et al.</w:t>
      </w:r>
      <w:r w:rsidR="0023484E">
        <w:rPr>
          <w:rStyle w:val="Strong"/>
          <w:b w:val="0"/>
          <w:bCs w:val="0"/>
          <w:color w:val="000000"/>
        </w:rPr>
        <w:t>,</w:t>
      </w:r>
      <w:r w:rsidR="00672EE4" w:rsidRPr="00672EE4">
        <w:rPr>
          <w:rStyle w:val="Strong"/>
          <w:b w:val="0"/>
          <w:bCs w:val="0"/>
          <w:color w:val="000000"/>
        </w:rPr>
        <w:t xml:space="preserve"> 2025)</w:t>
      </w:r>
      <w:r w:rsidR="00672EE4">
        <w:rPr>
          <w:rStyle w:val="Strong"/>
          <w:b w:val="0"/>
          <w:bCs w:val="0"/>
          <w:color w:val="000000"/>
        </w:rPr>
        <w:t>,</w:t>
      </w:r>
      <w:r w:rsidRPr="00672EE4">
        <w:rPr>
          <w:b/>
          <w:bCs/>
        </w:rPr>
        <w:t xml:space="preserve"> </w:t>
      </w:r>
      <w:r w:rsidRPr="008F1DCF">
        <w:t>testing whether risk, trust, and talent constructs mediate adoption outcomes</w:t>
      </w:r>
      <w:r w:rsidR="0020709D">
        <w:t>.</w:t>
      </w:r>
      <w:r w:rsidR="0020709D" w:rsidRPr="008F1DCF">
        <w:t xml:space="preserve"> </w:t>
      </w:r>
      <w:r w:rsidR="0020709D">
        <w:t>This verif</w:t>
      </w:r>
      <w:r w:rsidR="0023484E">
        <w:t>ies</w:t>
      </w:r>
      <w:r w:rsidR="0020709D">
        <w:t xml:space="preserve"> whether constructs such as compatibility, trust, and perceived risk reliably predict both adoption and monetisation outcomes. Long-term studies could also offer valuable insights by observing how adoption </w:t>
      </w:r>
      <w:r w:rsidR="002F6B04">
        <w:t xml:space="preserve">decisions and </w:t>
      </w:r>
      <w:proofErr w:type="spellStart"/>
      <w:r w:rsidR="002F6B04">
        <w:t>monetisation</w:t>
      </w:r>
      <w:proofErr w:type="spellEnd"/>
      <w:r w:rsidR="002F6B04">
        <w:t xml:space="preserve"> routes evolve as platforms develop, and regulations change over time </w:t>
      </w:r>
      <w:r w:rsidR="0020709D">
        <w:t>priorities shift, and treasury practices adjust to technological changes. Comparative analyses across regions, for example</w:t>
      </w:r>
      <w:r w:rsidR="00750FB8">
        <w:t>,</w:t>
      </w:r>
      <w:r w:rsidR="0020709D">
        <w:t xml:space="preserve"> between Hong Kong, Singapore, and Shanghai, could demonstrate how varying regulatory frameworks, digital maturity levels, and institutional contexts influence adoption behaviours, thereby improving the external validity of the framework. Another focus involves examining the talent aspect more thoroughly</w:t>
      </w:r>
      <w:r w:rsidR="00750FB8">
        <w:t>.</w:t>
      </w:r>
      <w:r w:rsidR="0020709D">
        <w:t xml:space="preserve"> </w:t>
      </w:r>
      <w:r w:rsidR="00750FB8">
        <w:t>W</w:t>
      </w:r>
      <w:r w:rsidR="0020709D">
        <w:t xml:space="preserve">hile this study highlights skill gaps in technical and compliance capabilities (HKIMR, 2025), future research could assess the impact of targeted training programmes and policy-driven reskilling efforts in promoting adoption. Lastly, broadening the research scope to include other stakeholders, such as fintech providers, technology vendors, and regulators, would </w:t>
      </w:r>
      <w:r w:rsidR="002F6B04">
        <w:lastRenderedPageBreak/>
        <w:t xml:space="preserve">facilitate a deeper understanding of the digital trade finance ecosystem and </w:t>
      </w:r>
      <w:r w:rsidR="0020709D">
        <w:t>reveal the interdependencies shaping adoption and monetisation. Collectively, these directions would expand the scope of research, enhance the explanatory power of the framework, and deepen understanding of how digital trade platforms generate sustainable value across different financial contexts.</w:t>
      </w:r>
    </w:p>
    <w:p w14:paraId="2E690C9D" w14:textId="2CFDB312" w:rsidR="00750FB8" w:rsidRDefault="0020709D" w:rsidP="0020709D">
      <w:pPr>
        <w:pStyle w:val="Heading1"/>
        <w:numPr>
          <w:ilvl w:val="0"/>
          <w:numId w:val="48"/>
        </w:numPr>
        <w:tabs>
          <w:tab w:val="left" w:pos="0"/>
          <w:tab w:val="left" w:pos="360"/>
        </w:tabs>
        <w:rPr>
          <w:rFonts w:asciiTheme="minorHAnsi" w:hAnsiTheme="minorHAnsi"/>
        </w:rPr>
      </w:pPr>
      <w:bookmarkStart w:id="61" w:name="_Toc208062024"/>
      <w:r>
        <w:rPr>
          <w:rFonts w:asciiTheme="minorHAnsi" w:hAnsiTheme="minorHAnsi"/>
        </w:rPr>
        <w:t>Conclusion</w:t>
      </w:r>
      <w:r w:rsidR="0023484E">
        <w:rPr>
          <w:rFonts w:asciiTheme="minorHAnsi" w:hAnsiTheme="minorHAnsi"/>
        </w:rPr>
        <w:t xml:space="preserve"> – Towards Risk-Proofed and Talent</w:t>
      </w:r>
      <w:r w:rsidR="002A4A96">
        <w:rPr>
          <w:rFonts w:asciiTheme="minorHAnsi" w:hAnsiTheme="minorHAnsi"/>
        </w:rPr>
        <w:t>-</w:t>
      </w:r>
      <w:r w:rsidR="0023484E">
        <w:rPr>
          <w:rFonts w:asciiTheme="minorHAnsi" w:hAnsiTheme="minorHAnsi"/>
        </w:rPr>
        <w:t>Enabled Digital Ecosystems</w:t>
      </w:r>
      <w:bookmarkEnd w:id="61"/>
    </w:p>
    <w:p w14:paraId="4B633F78" w14:textId="51D9DCCE" w:rsidR="00C66C8E" w:rsidRDefault="002F6B04" w:rsidP="008F1DCF">
      <w:pPr>
        <w:pStyle w:val="NoSpacing"/>
        <w:spacing w:line="360" w:lineRule="auto"/>
        <w:jc w:val="both"/>
      </w:pPr>
      <w:r>
        <w:rPr>
          <w:kern w:val="0"/>
          <w14:ligatures w14:val="none"/>
        </w:rPr>
        <w:t xml:space="preserve">This study develops a research framework that is both philosophically sound and practically relevant. By integrating TOE, SDL, and </w:t>
      </w:r>
      <w:proofErr w:type="spellStart"/>
      <w:r>
        <w:rPr>
          <w:kern w:val="0"/>
          <w14:ligatures w14:val="none"/>
        </w:rPr>
        <w:t>behavioural</w:t>
      </w:r>
      <w:proofErr w:type="spellEnd"/>
      <w:r>
        <w:rPr>
          <w:kern w:val="0"/>
          <w14:ligatures w14:val="none"/>
        </w:rPr>
        <w:t xml:space="preserve"> constructs within an interpretivist–critical realist philosophy, it provides a comprehensive account of adoption in corporate trade finance. Its uniqueness lies in linking adoption not only to trust and </w:t>
      </w:r>
      <w:proofErr w:type="spellStart"/>
      <w:r>
        <w:rPr>
          <w:kern w:val="0"/>
          <w14:ligatures w14:val="none"/>
        </w:rPr>
        <w:t>utilisation</w:t>
      </w:r>
      <w:proofErr w:type="spellEnd"/>
      <w:r>
        <w:rPr>
          <w:kern w:val="0"/>
          <w14:ligatures w14:val="none"/>
        </w:rPr>
        <w:t xml:space="preserve"> but also to </w:t>
      </w:r>
      <w:proofErr w:type="spellStart"/>
      <w:r>
        <w:rPr>
          <w:kern w:val="0"/>
          <w14:ligatures w14:val="none"/>
        </w:rPr>
        <w:t>monetisation</w:t>
      </w:r>
      <w:proofErr w:type="spellEnd"/>
      <w:r>
        <w:rPr>
          <w:kern w:val="0"/>
          <w14:ligatures w14:val="none"/>
        </w:rPr>
        <w:t xml:space="preserve"> outcomes, addressing two gaps in the literature: the lack of </w:t>
      </w:r>
      <w:proofErr w:type="spellStart"/>
      <w:r>
        <w:rPr>
          <w:kern w:val="0"/>
          <w14:ligatures w14:val="none"/>
        </w:rPr>
        <w:t>behavioural</w:t>
      </w:r>
      <w:proofErr w:type="spellEnd"/>
      <w:r>
        <w:rPr>
          <w:kern w:val="0"/>
          <w14:ligatures w14:val="none"/>
        </w:rPr>
        <w:t xml:space="preserve"> adoption constructs in corporate banking and the neglect of </w:t>
      </w:r>
      <w:proofErr w:type="spellStart"/>
      <w:r>
        <w:rPr>
          <w:kern w:val="0"/>
          <w14:ligatures w14:val="none"/>
        </w:rPr>
        <w:t>monetisation</w:t>
      </w:r>
      <w:proofErr w:type="spellEnd"/>
      <w:r>
        <w:rPr>
          <w:kern w:val="0"/>
          <w14:ligatures w14:val="none"/>
        </w:rPr>
        <w:t xml:space="preserve"> in trade finance. Theoretical contributions involve reworking adoption constructs for corporate environments, integrating relational and structural perspectives, and explicitly </w:t>
      </w:r>
      <w:proofErr w:type="spellStart"/>
      <w:r>
        <w:rPr>
          <w:kern w:val="0"/>
          <w14:ligatures w14:val="none"/>
        </w:rPr>
        <w:t>theorising</w:t>
      </w:r>
      <w:proofErr w:type="spellEnd"/>
      <w:r>
        <w:rPr>
          <w:kern w:val="0"/>
          <w14:ligatures w14:val="none"/>
        </w:rPr>
        <w:t xml:space="preserve"> </w:t>
      </w:r>
      <w:proofErr w:type="spellStart"/>
      <w:r>
        <w:rPr>
          <w:kern w:val="0"/>
          <w14:ligatures w14:val="none"/>
        </w:rPr>
        <w:t>monetisation</w:t>
      </w:r>
      <w:proofErr w:type="spellEnd"/>
      <w:r>
        <w:rPr>
          <w:kern w:val="0"/>
          <w14:ligatures w14:val="none"/>
        </w:rPr>
        <w:t xml:space="preserve"> as an outcome of adoption. Notably, the study extends the TOE framework by incorporating risk governance and talent readiness as sub-constructs, reflecting the industry consensus that digital adoption depends as much on model risk assurance, cybersecurity, and data integrity as it does on workforce skills and compliance capabilities. This aligns with recent research by the Hong Kong Institute for Monetary and Financial Research (2025), which </w:t>
      </w:r>
      <w:proofErr w:type="spellStart"/>
      <w:r>
        <w:rPr>
          <w:kern w:val="0"/>
          <w14:ligatures w14:val="none"/>
        </w:rPr>
        <w:t>emphasises</w:t>
      </w:r>
      <w:proofErr w:type="spellEnd"/>
      <w:r>
        <w:rPr>
          <w:kern w:val="0"/>
          <w14:ligatures w14:val="none"/>
        </w:rPr>
        <w:t xml:space="preserve"> that sustainable digital transformation in financial services requires both robust risk management systems and systematic talent development strategies. Practical actionable strategies aim to turn digital trade platforms into trust-based, risk-mitigated, and talent-supported ecosystems. For regulators such as the Hong Kong Monetary Authority, the study demonstrates how adoption factors, including trust, risk perception, and staff competence, relate to the systemic goals of financial stability and the responsible integration of AI. For corporates, value arises not only from efficiency but also from compliance assurance and stronger relationships. The study acknowledges limitations, </w:t>
      </w:r>
      <w:r>
        <w:rPr>
          <w:kern w:val="0"/>
          <w14:ligatures w14:val="none"/>
        </w:rPr>
        <w:lastRenderedPageBreak/>
        <w:t xml:space="preserve">particularly regarding reliance on qualitative data and its focus on Hong Kong; however, it demonstrates methodological </w:t>
      </w:r>
      <w:proofErr w:type="spellStart"/>
      <w:r>
        <w:rPr>
          <w:kern w:val="0"/>
          <w14:ligatures w14:val="none"/>
        </w:rPr>
        <w:t>rigour</w:t>
      </w:r>
      <w:proofErr w:type="spellEnd"/>
      <w:r>
        <w:rPr>
          <w:kern w:val="0"/>
          <w14:ligatures w14:val="none"/>
        </w:rPr>
        <w:t xml:space="preserve"> and philosophical reflexivity, ensuring credibility and transferability. By supporting epistemological pluralism and framing adoption across structural, relational, </w:t>
      </w:r>
      <w:proofErr w:type="spellStart"/>
      <w:r>
        <w:rPr>
          <w:kern w:val="0"/>
          <w14:ligatures w14:val="none"/>
        </w:rPr>
        <w:t>behavioural</w:t>
      </w:r>
      <w:proofErr w:type="spellEnd"/>
      <w:r>
        <w:rPr>
          <w:kern w:val="0"/>
          <w14:ligatures w14:val="none"/>
        </w:rPr>
        <w:t>, and capability dimensions, the research enhances academic debates while providing a practical roadmap. It is clear that this study not only makes a scholarly contribution but also offers a strategic guide for transforming Hong Kong’s digital trade platforms into sustainable engines of value creation.</w:t>
      </w:r>
    </w:p>
    <w:p w14:paraId="01893E8D" w14:textId="77777777" w:rsidR="00C66C8E" w:rsidRDefault="00C66C8E" w:rsidP="00750FB8">
      <w:pPr>
        <w:pStyle w:val="NoSpacing"/>
        <w:spacing w:line="360" w:lineRule="auto"/>
        <w:jc w:val="both"/>
      </w:pPr>
    </w:p>
    <w:p w14:paraId="446322DB" w14:textId="77777777" w:rsidR="00C66C8E" w:rsidRDefault="00C66C8E" w:rsidP="00750FB8">
      <w:pPr>
        <w:pStyle w:val="NoSpacing"/>
        <w:spacing w:line="360" w:lineRule="auto"/>
        <w:jc w:val="both"/>
      </w:pPr>
    </w:p>
    <w:p w14:paraId="189817D2" w14:textId="5422D351" w:rsidR="00C66C8E" w:rsidRPr="0015556C" w:rsidRDefault="0020709D" w:rsidP="0015556C">
      <w:pPr>
        <w:pStyle w:val="Heading1"/>
        <w:numPr>
          <w:ilvl w:val="0"/>
          <w:numId w:val="48"/>
        </w:numPr>
        <w:tabs>
          <w:tab w:val="left" w:pos="0"/>
          <w:tab w:val="left" w:pos="360"/>
        </w:tabs>
        <w:rPr>
          <w:rFonts w:asciiTheme="minorHAnsi" w:hAnsiTheme="minorHAnsi"/>
        </w:rPr>
      </w:pPr>
      <w:r w:rsidRPr="0020709D">
        <w:rPr>
          <w:rFonts w:cs="Arial"/>
          <w:color w:val="000000"/>
        </w:rPr>
        <w:br w:type="page"/>
      </w:r>
      <w:bookmarkStart w:id="62" w:name="_Toc208062025"/>
      <w:r w:rsidR="00C66C8E">
        <w:rPr>
          <w:rFonts w:asciiTheme="minorHAnsi" w:hAnsiTheme="minorHAnsi"/>
        </w:rPr>
        <w:lastRenderedPageBreak/>
        <w:t>Annotated Bibliography</w:t>
      </w:r>
      <w:bookmarkEnd w:id="62"/>
    </w:p>
    <w:p w14:paraId="5545156D" w14:textId="3CE0D6AA" w:rsidR="00D84CFA" w:rsidRPr="00A333D5" w:rsidRDefault="00D84CFA" w:rsidP="00D84CFA">
      <w:pPr>
        <w:autoSpaceDE w:val="0"/>
        <w:autoSpaceDN w:val="0"/>
        <w:adjustRightInd w:val="0"/>
        <w:spacing w:after="0" w:line="276" w:lineRule="auto"/>
        <w:ind w:left="720" w:hanging="720"/>
        <w:rPr>
          <w:rFonts w:cs="Arial"/>
          <w:kern w:val="0"/>
        </w:rPr>
      </w:pPr>
      <w:r w:rsidRPr="00A333D5">
        <w:rPr>
          <w:rFonts w:cs="Arial"/>
          <w:kern w:val="0"/>
        </w:rPr>
        <w:t>Abdurrahman, A., et al. (2024</w:t>
      </w:r>
      <w:r w:rsidRPr="00A333D5">
        <w:rPr>
          <w:rFonts w:cs="Arial"/>
          <w:i/>
          <w:iCs/>
          <w:kern w:val="0"/>
        </w:rPr>
        <w:t>). Impact of dynamic capabilities on digital transformation and innovation to improve banking performance: A TOE framework study.  Journal of Open Innovation: Technology, Market, and Complexity, 10 (1), 100215</w:t>
      </w:r>
      <w:r w:rsidRPr="00A333D5">
        <w:rPr>
          <w:rFonts w:cs="Arial"/>
          <w:kern w:val="0"/>
        </w:rPr>
        <w:t xml:space="preserve">. </w:t>
      </w:r>
      <w:hyperlink r:id="rId14" w:history="1">
        <w:r w:rsidRPr="00A333D5">
          <w:rPr>
            <w:rStyle w:val="Hyperlink"/>
            <w:rFonts w:cs="Arial"/>
            <w:kern w:val="0"/>
          </w:rPr>
          <w:t>https://doi.org/10.1016/j.joitmc.2024.100215</w:t>
        </w:r>
      </w:hyperlink>
    </w:p>
    <w:p w14:paraId="26BFE17C" w14:textId="636C430C" w:rsidR="00D84CFA" w:rsidRPr="00A333D5" w:rsidRDefault="00020B96" w:rsidP="00D84CFA">
      <w:pPr>
        <w:autoSpaceDE w:val="0"/>
        <w:autoSpaceDN w:val="0"/>
        <w:adjustRightInd w:val="0"/>
        <w:spacing w:after="0" w:line="276" w:lineRule="auto"/>
        <w:ind w:left="720"/>
        <w:rPr>
          <w:rFonts w:cs="Arial"/>
          <w:kern w:val="0"/>
        </w:rPr>
      </w:pPr>
      <w:r w:rsidRPr="00A333D5">
        <w:rPr>
          <w:rFonts w:cs="Arial"/>
          <w:kern w:val="0"/>
        </w:rPr>
        <w:t>Examines</w:t>
      </w:r>
      <w:r w:rsidR="00D84CFA" w:rsidRPr="00A333D5">
        <w:rPr>
          <w:rFonts w:cs="Arial"/>
          <w:kern w:val="0"/>
        </w:rPr>
        <w:t xml:space="preserve"> dynamic capabilities underpinning digital transformation and innovation in banking, using the TOE framework. Directly supports the use of TOE by linking digital adoption to organisational performance outcomes in the banking sector.</w:t>
      </w:r>
    </w:p>
    <w:p w14:paraId="2A3A212C" w14:textId="77777777" w:rsidR="00D84CFA" w:rsidRPr="00A333D5" w:rsidRDefault="00D84CFA" w:rsidP="00D84CFA">
      <w:pPr>
        <w:autoSpaceDE w:val="0"/>
        <w:autoSpaceDN w:val="0"/>
        <w:adjustRightInd w:val="0"/>
        <w:spacing w:after="0" w:line="276" w:lineRule="auto"/>
        <w:ind w:left="720" w:hanging="720"/>
        <w:rPr>
          <w:rFonts w:cs="Arial"/>
          <w:kern w:val="0"/>
        </w:rPr>
      </w:pPr>
    </w:p>
    <w:p w14:paraId="03822A42" w14:textId="59A471F6" w:rsidR="00D84CFA" w:rsidRPr="00A333D5" w:rsidRDefault="008721E5" w:rsidP="00D84CFA">
      <w:pPr>
        <w:autoSpaceDE w:val="0"/>
        <w:autoSpaceDN w:val="0"/>
        <w:adjustRightInd w:val="0"/>
        <w:spacing w:after="0" w:line="276" w:lineRule="auto"/>
        <w:ind w:left="720" w:hanging="720"/>
      </w:pPr>
      <w:r w:rsidRPr="00A333D5">
        <w:rPr>
          <w:color w:val="000000"/>
        </w:rPr>
        <w:t>Curley, R., Poddar, B., Mayer, B., Johnson, K., Arora, R., Ritchie, T., &amp; Hecht, D. (2025, January). </w:t>
      </w:r>
      <w:r w:rsidRPr="00A333D5">
        <w:rPr>
          <w:i/>
          <w:iCs/>
          <w:color w:val="000000"/>
        </w:rPr>
        <w:t>The forthcoming revolution in small business lending</w:t>
      </w:r>
      <w:r w:rsidRPr="00A333D5">
        <w:rPr>
          <w:color w:val="000000"/>
        </w:rPr>
        <w:t> (White paper). Boston Consulting Group. Retrieved from </w:t>
      </w:r>
      <w:hyperlink r:id="rId15" w:tgtFrame="_new" w:history="1">
        <w:r w:rsidRPr="00A333D5">
          <w:rPr>
            <w:color w:val="0000FF"/>
            <w:u w:val="single"/>
          </w:rPr>
          <w:t>https://media-publications.bcg.com/The-forthcoming-revolution-in-small-business-lending.pdf</w:t>
        </w:r>
      </w:hyperlink>
    </w:p>
    <w:p w14:paraId="594D54D5" w14:textId="7AD271B3" w:rsidR="008721E5" w:rsidRPr="00A333D5" w:rsidRDefault="008721E5" w:rsidP="008721E5">
      <w:pPr>
        <w:autoSpaceDE w:val="0"/>
        <w:autoSpaceDN w:val="0"/>
        <w:adjustRightInd w:val="0"/>
        <w:spacing w:after="0" w:line="276" w:lineRule="auto"/>
        <w:ind w:left="720"/>
        <w:rPr>
          <w:rFonts w:cs="Arial"/>
          <w:kern w:val="0"/>
        </w:rPr>
      </w:pPr>
      <w:r w:rsidRPr="00A333D5">
        <w:rPr>
          <w:rFonts w:cs="Arial"/>
          <w:kern w:val="0"/>
        </w:rPr>
        <w:t xml:space="preserve">Provide </w:t>
      </w:r>
      <w:r w:rsidRPr="00A333D5">
        <w:rPr>
          <w:rFonts w:cs="Arial"/>
          <w:kern w:val="0"/>
          <w14:ligatures w14:val="none"/>
        </w:rPr>
        <w:t xml:space="preserve">a rationale about the cost savings for </w:t>
      </w:r>
      <w:proofErr w:type="spellStart"/>
      <w:r w:rsidRPr="00A333D5">
        <w:rPr>
          <w:rFonts w:cs="Arial"/>
          <w:kern w:val="0"/>
          <w14:ligatures w14:val="none"/>
        </w:rPr>
        <w:t>digitalisation</w:t>
      </w:r>
      <w:proofErr w:type="spellEnd"/>
      <w:r w:rsidRPr="00A333D5">
        <w:rPr>
          <w:rFonts w:cs="Arial"/>
          <w:kern w:val="0"/>
          <w14:ligatures w14:val="none"/>
        </w:rPr>
        <w:t>.</w:t>
      </w:r>
      <w:r w:rsidRPr="00A333D5">
        <w:rPr>
          <w:rFonts w:cs="Arial"/>
          <w:kern w:val="0"/>
        </w:rPr>
        <w:t xml:space="preserve"> Relevant to the percentage, as in the paper.</w:t>
      </w:r>
    </w:p>
    <w:p w14:paraId="52C4BE1A" w14:textId="77777777" w:rsidR="008721E5" w:rsidRPr="00A333D5" w:rsidRDefault="008721E5" w:rsidP="00D84CFA">
      <w:pPr>
        <w:autoSpaceDE w:val="0"/>
        <w:autoSpaceDN w:val="0"/>
        <w:adjustRightInd w:val="0"/>
        <w:spacing w:after="0" w:line="276" w:lineRule="auto"/>
        <w:ind w:left="720" w:hanging="720"/>
        <w:rPr>
          <w:rFonts w:cs="Arial"/>
          <w:kern w:val="0"/>
        </w:rPr>
      </w:pPr>
    </w:p>
    <w:p w14:paraId="26D13268" w14:textId="17ACEC9A" w:rsidR="00D84CFA" w:rsidRPr="00A333D5" w:rsidRDefault="00D84CFA" w:rsidP="00D84CFA">
      <w:pPr>
        <w:autoSpaceDE w:val="0"/>
        <w:autoSpaceDN w:val="0"/>
        <w:adjustRightInd w:val="0"/>
        <w:spacing w:after="0" w:line="276" w:lineRule="auto"/>
        <w:ind w:left="720" w:hanging="720"/>
        <w:rPr>
          <w:rFonts w:cs="Arial"/>
          <w:kern w:val="0"/>
        </w:rPr>
      </w:pPr>
      <w:proofErr w:type="spellStart"/>
      <w:r w:rsidRPr="00A333D5">
        <w:rPr>
          <w:rFonts w:cs="Arial"/>
          <w:kern w:val="0"/>
        </w:rPr>
        <w:t>Dağaşaner</w:t>
      </w:r>
      <w:proofErr w:type="spellEnd"/>
      <w:r w:rsidRPr="00A333D5">
        <w:rPr>
          <w:rFonts w:cs="Arial"/>
          <w:kern w:val="0"/>
        </w:rPr>
        <w:t>, S., &amp; Karaatmaca, A. G. (2025). The role of online banking service cues in enhancing individual and corporate customers’ satisfaction: The mediating role of customer experience as a corporate social responsibility.  Sustainability, 17 (8), 3457. https://doi.org/10.3390/su17083457</w:t>
      </w:r>
    </w:p>
    <w:p w14:paraId="428775F4" w14:textId="2383C06A"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Investigates the influence of online service quality and customer experience on satisfaction among individual and corporate clients.</w:t>
      </w:r>
    </w:p>
    <w:p w14:paraId="61C4F7FE" w14:textId="10797349"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Supports by reinforcing the role of perceived trust, service quality, and satisfaction as mediators in the adoption of digital banking.</w:t>
      </w:r>
    </w:p>
    <w:p w14:paraId="6F65226A" w14:textId="77777777" w:rsidR="00217F04" w:rsidRPr="00A333D5" w:rsidRDefault="00217F04" w:rsidP="00D84CFA">
      <w:pPr>
        <w:autoSpaceDE w:val="0"/>
        <w:autoSpaceDN w:val="0"/>
        <w:adjustRightInd w:val="0"/>
        <w:spacing w:after="0" w:line="276" w:lineRule="auto"/>
        <w:ind w:left="720"/>
        <w:rPr>
          <w:rFonts w:cs="Arial"/>
          <w:kern w:val="0"/>
        </w:rPr>
      </w:pPr>
    </w:p>
    <w:p w14:paraId="262DD515" w14:textId="77777777" w:rsidR="00217F04" w:rsidRPr="00A333D5" w:rsidRDefault="00217F04" w:rsidP="00217F04">
      <w:pPr>
        <w:autoSpaceDE w:val="0"/>
        <w:autoSpaceDN w:val="0"/>
        <w:adjustRightInd w:val="0"/>
        <w:spacing w:after="0" w:line="276" w:lineRule="auto"/>
        <w:ind w:left="720" w:hanging="720"/>
        <w:rPr>
          <w:rFonts w:cs="Arial"/>
          <w:kern w:val="0"/>
        </w:rPr>
      </w:pPr>
      <w:r w:rsidRPr="00A333D5">
        <w:rPr>
          <w:rFonts w:cs="Arial"/>
          <w:kern w:val="0"/>
        </w:rPr>
        <w:t xml:space="preserve">  Dewasiri, N. J., et al. (2023). Fusion of artificial intelligence and blockchain in the banking industry: Current application, adoption, and future challenges. In  Emerald publishing limited eBooks  (pp. 293–307). [https://doi.org/10.1108/978-1-80262-277-520231021](https://doi.org/10.1108/978-1-80262-277-520231021)  </w:t>
      </w:r>
    </w:p>
    <w:p w14:paraId="475443C5" w14:textId="5626AA3F" w:rsidR="00217F04" w:rsidRPr="00A333D5" w:rsidRDefault="00217F04" w:rsidP="00217F04">
      <w:pPr>
        <w:autoSpaceDE w:val="0"/>
        <w:autoSpaceDN w:val="0"/>
        <w:adjustRightInd w:val="0"/>
        <w:spacing w:after="0" w:line="276" w:lineRule="auto"/>
        <w:ind w:left="720"/>
        <w:rPr>
          <w:rFonts w:cs="Arial"/>
          <w:kern w:val="0"/>
        </w:rPr>
      </w:pPr>
      <w:r w:rsidRPr="00A333D5">
        <w:rPr>
          <w:rFonts w:cs="Arial"/>
          <w:kern w:val="0"/>
        </w:rPr>
        <w:t xml:space="preserve">Discusses </w:t>
      </w:r>
      <w:r w:rsidR="00020B96" w:rsidRPr="00A333D5">
        <w:rPr>
          <w:rFonts w:cs="Arial"/>
          <w:kern w:val="0"/>
        </w:rPr>
        <w:t>i</w:t>
      </w:r>
      <w:r w:rsidRPr="00A333D5">
        <w:rPr>
          <w:rFonts w:cs="Arial"/>
          <w:kern w:val="0"/>
        </w:rPr>
        <w:t>ntegration of AI and blockchain in banking, with adoption challenges highlighted.</w:t>
      </w:r>
    </w:p>
    <w:p w14:paraId="06B8BECD" w14:textId="77777777" w:rsidR="00217F04" w:rsidRPr="00A333D5" w:rsidRDefault="00217F04" w:rsidP="00217F04">
      <w:pPr>
        <w:autoSpaceDE w:val="0"/>
        <w:autoSpaceDN w:val="0"/>
        <w:adjustRightInd w:val="0"/>
        <w:spacing w:after="0" w:line="276" w:lineRule="auto"/>
        <w:ind w:left="720"/>
        <w:rPr>
          <w:rFonts w:cs="Arial"/>
          <w:kern w:val="0"/>
        </w:rPr>
      </w:pPr>
      <w:r w:rsidRPr="00A333D5">
        <w:rPr>
          <w:rFonts w:cs="Arial"/>
          <w:kern w:val="0"/>
        </w:rPr>
        <w:t>Relevant for illustrating technological enablers and risks within the TOE perspective.</w:t>
      </w:r>
    </w:p>
    <w:p w14:paraId="680F188D" w14:textId="77777777" w:rsidR="00217F04" w:rsidRPr="00A333D5" w:rsidRDefault="00217F04" w:rsidP="00D84CFA">
      <w:pPr>
        <w:autoSpaceDE w:val="0"/>
        <w:autoSpaceDN w:val="0"/>
        <w:adjustRightInd w:val="0"/>
        <w:spacing w:after="0" w:line="276" w:lineRule="auto"/>
        <w:ind w:left="720" w:hanging="720"/>
        <w:rPr>
          <w:rFonts w:cs="Arial"/>
          <w:kern w:val="0"/>
        </w:rPr>
      </w:pPr>
    </w:p>
    <w:p w14:paraId="3EF08FBE" w14:textId="73A70745" w:rsidR="00DC253E" w:rsidRPr="00A333D5" w:rsidRDefault="00DC253E" w:rsidP="00DC253E">
      <w:pPr>
        <w:spacing w:after="0" w:line="240" w:lineRule="auto"/>
        <w:ind w:left="720" w:hanging="720"/>
        <w:rPr>
          <w:rFonts w:cs="Arial"/>
          <w:kern w:val="0"/>
        </w:rPr>
      </w:pPr>
      <w:r w:rsidRPr="00A333D5">
        <w:rPr>
          <w:rFonts w:cs="Arial"/>
          <w:kern w:val="0"/>
        </w:rPr>
        <w:t>Fletcher, A.</w:t>
      </w:r>
      <w:r w:rsidRPr="00A333D5">
        <w:rPr>
          <w:rFonts w:ascii="Arial" w:hAnsi="Arial" w:cs="Arial"/>
          <w:kern w:val="0"/>
        </w:rPr>
        <w:t> </w:t>
      </w:r>
      <w:r w:rsidRPr="00A333D5">
        <w:rPr>
          <w:rFonts w:cs="Arial"/>
          <w:kern w:val="0"/>
        </w:rPr>
        <w:t>J. (2017). Applying critical realism in qualitative research: Methodology meets method. International Journal of Social Research Methodology, 20(2), 181–194. </w:t>
      </w:r>
      <w:hyperlink r:id="rId16" w:history="1">
        <w:r w:rsidRPr="00A333D5">
          <w:rPr>
            <w:rFonts w:cs="Arial"/>
            <w:kern w:val="0"/>
          </w:rPr>
          <w:t>https://www.tandfonline.com/doi/abs/10.1080/13645579.2016.1144401</w:t>
        </w:r>
      </w:hyperlink>
    </w:p>
    <w:p w14:paraId="4BBC0A89" w14:textId="4E0EE3C7" w:rsidR="00DC253E" w:rsidRPr="00A333D5" w:rsidRDefault="00020B96" w:rsidP="00DC253E">
      <w:pPr>
        <w:autoSpaceDE w:val="0"/>
        <w:autoSpaceDN w:val="0"/>
        <w:adjustRightInd w:val="0"/>
        <w:spacing w:after="0" w:line="276" w:lineRule="auto"/>
        <w:ind w:left="720"/>
        <w:rPr>
          <w:rFonts w:cs="Arial"/>
          <w:kern w:val="0"/>
        </w:rPr>
      </w:pPr>
      <w:r w:rsidRPr="00A333D5">
        <w:rPr>
          <w:rFonts w:cs="Arial"/>
          <w:kern w:val="0"/>
        </w:rPr>
        <w:lastRenderedPageBreak/>
        <w:t xml:space="preserve">Provides </w:t>
      </w:r>
      <w:r w:rsidR="00DC253E" w:rsidRPr="00A333D5">
        <w:rPr>
          <w:rFonts w:cs="Arial"/>
          <w:kern w:val="0"/>
        </w:rPr>
        <w:t xml:space="preserve">critical realism links research philosophy with qualitative methods to enhance </w:t>
      </w:r>
      <w:proofErr w:type="spellStart"/>
      <w:r w:rsidR="00DC253E" w:rsidRPr="00A333D5">
        <w:rPr>
          <w:rFonts w:cs="Arial"/>
          <w:kern w:val="0"/>
        </w:rPr>
        <w:t>rigo</w:t>
      </w:r>
      <w:r w:rsidR="0023484E">
        <w:rPr>
          <w:rFonts w:cs="Arial"/>
          <w:kern w:val="0"/>
        </w:rPr>
        <w:t>u</w:t>
      </w:r>
      <w:r w:rsidR="00DC253E" w:rsidRPr="00A333D5">
        <w:rPr>
          <w:rFonts w:cs="Arial"/>
          <w:kern w:val="0"/>
        </w:rPr>
        <w:t>r</w:t>
      </w:r>
      <w:proofErr w:type="spellEnd"/>
      <w:r w:rsidR="00DC253E" w:rsidRPr="00A333D5">
        <w:rPr>
          <w:rFonts w:cs="Arial"/>
          <w:kern w:val="0"/>
        </w:rPr>
        <w:t xml:space="preserve"> and causal explanation.</w:t>
      </w:r>
    </w:p>
    <w:p w14:paraId="07ED1718" w14:textId="68DD9194" w:rsidR="00DC253E" w:rsidRPr="00A333D5" w:rsidRDefault="00DC253E" w:rsidP="00DC253E">
      <w:pPr>
        <w:autoSpaceDE w:val="0"/>
        <w:autoSpaceDN w:val="0"/>
        <w:adjustRightInd w:val="0"/>
        <w:spacing w:after="0" w:line="276" w:lineRule="auto"/>
        <w:ind w:left="720"/>
        <w:rPr>
          <w:rFonts w:cs="Arial"/>
          <w:kern w:val="0"/>
        </w:rPr>
      </w:pPr>
      <w:r w:rsidRPr="00A333D5">
        <w:rPr>
          <w:rFonts w:cs="Arial"/>
          <w:kern w:val="0"/>
        </w:rPr>
        <w:t>Supports justifying case study and interview methods in your dissertation by grounding them in a strong methodological framework.</w:t>
      </w:r>
    </w:p>
    <w:p w14:paraId="17DA6218" w14:textId="77777777" w:rsidR="00DC253E" w:rsidRPr="00A333D5" w:rsidRDefault="00DC253E" w:rsidP="00AB7087">
      <w:pPr>
        <w:spacing w:before="100" w:beforeAutospacing="1" w:after="100" w:afterAutospacing="1" w:line="240" w:lineRule="auto"/>
        <w:rPr>
          <w:rFonts w:eastAsia="Times New Roman" w:cs="Times New Roman"/>
          <w:color w:val="000000"/>
          <w:kern w:val="0"/>
          <w14:ligatures w14:val="none"/>
        </w:rPr>
      </w:pPr>
    </w:p>
    <w:p w14:paraId="036E70F8" w14:textId="77777777" w:rsidR="00DC253E" w:rsidRPr="00A333D5" w:rsidRDefault="00DC253E" w:rsidP="00D84CFA">
      <w:pPr>
        <w:autoSpaceDE w:val="0"/>
        <w:autoSpaceDN w:val="0"/>
        <w:adjustRightInd w:val="0"/>
        <w:spacing w:after="0" w:line="276" w:lineRule="auto"/>
        <w:ind w:left="720" w:hanging="720"/>
        <w:rPr>
          <w:rFonts w:cs="Arial"/>
          <w:kern w:val="0"/>
        </w:rPr>
      </w:pPr>
    </w:p>
    <w:p w14:paraId="02FF5331" w14:textId="4C982273" w:rsidR="00D84CFA" w:rsidRPr="00A333D5" w:rsidRDefault="00D84CFA" w:rsidP="00D84CFA">
      <w:pPr>
        <w:autoSpaceDE w:val="0"/>
        <w:autoSpaceDN w:val="0"/>
        <w:adjustRightInd w:val="0"/>
        <w:spacing w:after="0" w:line="276" w:lineRule="auto"/>
        <w:ind w:left="720" w:hanging="720"/>
        <w:rPr>
          <w:rFonts w:cs="Arial"/>
          <w:kern w:val="0"/>
        </w:rPr>
      </w:pPr>
      <w:r w:rsidRPr="00A333D5">
        <w:rPr>
          <w:rFonts w:cs="Arial"/>
          <w:kern w:val="0"/>
        </w:rPr>
        <w:t xml:space="preserve">Gomber, P., et al. (2017). </w:t>
      </w:r>
      <w:r w:rsidRPr="00A333D5">
        <w:rPr>
          <w:rFonts w:cs="Arial"/>
          <w:i/>
          <w:iCs/>
          <w:kern w:val="0"/>
        </w:rPr>
        <w:t>Digital finance and fintech: Current research and future research directions.  Journal of Business Economics, 87 (5),</w:t>
      </w:r>
      <w:r w:rsidRPr="00A333D5">
        <w:rPr>
          <w:rFonts w:cs="Arial"/>
          <w:kern w:val="0"/>
        </w:rPr>
        <w:t xml:space="preserve"> 537–580. https://doi.org/10.1007/s11573-017-0852-x</w:t>
      </w:r>
    </w:p>
    <w:p w14:paraId="18273EDE" w14:textId="77777777"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Provides an overview of digital finance and fintech research trends, identifying key themes, gaps, and future research opportunities.</w:t>
      </w:r>
    </w:p>
    <w:p w14:paraId="34A389BE" w14:textId="746A151F" w:rsidR="00D84CFA" w:rsidRPr="00A333D5" w:rsidRDefault="00020B96" w:rsidP="00D84CFA">
      <w:pPr>
        <w:autoSpaceDE w:val="0"/>
        <w:autoSpaceDN w:val="0"/>
        <w:adjustRightInd w:val="0"/>
        <w:spacing w:after="0" w:line="276" w:lineRule="auto"/>
        <w:ind w:left="720"/>
        <w:rPr>
          <w:rFonts w:cs="Arial"/>
          <w:kern w:val="0"/>
        </w:rPr>
      </w:pPr>
      <w:r w:rsidRPr="00A333D5">
        <w:rPr>
          <w:rFonts w:cs="Arial"/>
          <w:kern w:val="0"/>
        </w:rPr>
        <w:t>Relevant to</w:t>
      </w:r>
      <w:r w:rsidR="00D84CFA" w:rsidRPr="00A333D5">
        <w:rPr>
          <w:rFonts w:cs="Arial"/>
          <w:kern w:val="0"/>
        </w:rPr>
        <w:t xml:space="preserve"> </w:t>
      </w:r>
      <w:r w:rsidR="0023484E">
        <w:rPr>
          <w:rFonts w:cs="Arial"/>
          <w:kern w:val="0"/>
        </w:rPr>
        <w:t xml:space="preserve">a </w:t>
      </w:r>
      <w:r w:rsidR="00D84CFA" w:rsidRPr="00A333D5">
        <w:rPr>
          <w:rFonts w:cs="Arial"/>
          <w:kern w:val="0"/>
        </w:rPr>
        <w:t>foundational piece for situating the adoption of digital trade finance within broader fintech scholarship.</w:t>
      </w:r>
    </w:p>
    <w:p w14:paraId="28164073" w14:textId="77777777" w:rsidR="00DC253E" w:rsidRPr="00A333D5" w:rsidRDefault="00D84CFA" w:rsidP="00AB7087">
      <w:pPr>
        <w:autoSpaceDE w:val="0"/>
        <w:autoSpaceDN w:val="0"/>
        <w:adjustRightInd w:val="0"/>
        <w:spacing w:after="0" w:line="276" w:lineRule="auto"/>
        <w:rPr>
          <w:rFonts w:cs="Arial"/>
          <w:kern w:val="0"/>
        </w:rPr>
      </w:pPr>
      <w:r w:rsidRPr="00A333D5">
        <w:rPr>
          <w:rFonts w:cs="Arial"/>
          <w:kern w:val="0"/>
        </w:rPr>
        <w:t xml:space="preserve">  </w:t>
      </w:r>
    </w:p>
    <w:p w14:paraId="6557652B" w14:textId="77777777" w:rsidR="003329F6" w:rsidRPr="00A333D5" w:rsidRDefault="00AB7087" w:rsidP="003329F6">
      <w:pPr>
        <w:autoSpaceDE w:val="0"/>
        <w:autoSpaceDN w:val="0"/>
        <w:adjustRightInd w:val="0"/>
        <w:spacing w:after="0" w:line="240" w:lineRule="auto"/>
        <w:ind w:left="720" w:hanging="720"/>
      </w:pPr>
      <w:r w:rsidRPr="00A333D5">
        <w:rPr>
          <w:rFonts w:cs="Arial"/>
          <w:kern w:val="0"/>
        </w:rPr>
        <w:t>Hidayat-</w:t>
      </w:r>
      <w:proofErr w:type="spellStart"/>
      <w:r w:rsidRPr="00A333D5">
        <w:rPr>
          <w:rFonts w:cs="Arial"/>
          <w:kern w:val="0"/>
        </w:rPr>
        <w:t>ur</w:t>
      </w:r>
      <w:proofErr w:type="spellEnd"/>
      <w:r w:rsidRPr="00A333D5">
        <w:rPr>
          <w:rFonts w:cs="Arial"/>
          <w:kern w:val="0"/>
        </w:rPr>
        <w:t>-Rehman, I., &amp; Hossain, M. N. (2024).</w:t>
      </w:r>
      <w:r w:rsidRPr="00A333D5">
        <w:rPr>
          <w:rStyle w:val="apple-converted-space"/>
          <w:color w:val="000000"/>
        </w:rPr>
        <w:t> </w:t>
      </w:r>
      <w:r w:rsidRPr="00A333D5">
        <w:rPr>
          <w:rStyle w:val="Emphasis"/>
          <w:color w:val="000000"/>
        </w:rPr>
        <w:t>The impacts of Fintech adoption, green finance and competitiveness on banks’ sustainable performance: Digital transformation as moderator</w:t>
      </w:r>
      <w:r w:rsidRPr="00A333D5">
        <w:rPr>
          <w:color w:val="000000"/>
        </w:rPr>
        <w:t>.</w:t>
      </w:r>
      <w:r w:rsidRPr="00A333D5">
        <w:rPr>
          <w:rStyle w:val="apple-converted-space"/>
          <w:color w:val="000000"/>
        </w:rPr>
        <w:t> </w:t>
      </w:r>
      <w:r w:rsidRPr="00A333D5">
        <w:rPr>
          <w:rStyle w:val="Emphasis"/>
          <w:color w:val="000000"/>
        </w:rPr>
        <w:t>Asia-Pacific Journal of Business Administration</w:t>
      </w:r>
      <w:r w:rsidRPr="00A333D5">
        <w:rPr>
          <w:color w:val="000000"/>
        </w:rPr>
        <w:t xml:space="preserve">. </w:t>
      </w:r>
      <w:hyperlink r:id="rId17" w:history="1">
        <w:r w:rsidRPr="00A333D5">
          <w:rPr>
            <w:rStyle w:val="Hyperlink"/>
          </w:rPr>
          <w:t>https://doi.org/10.1108/APJBA-10-2023-0497</w:t>
        </w:r>
      </w:hyperlink>
    </w:p>
    <w:p w14:paraId="1C0012BF" w14:textId="51C7614B" w:rsidR="003329F6" w:rsidRPr="00A333D5" w:rsidRDefault="003329F6" w:rsidP="003329F6">
      <w:pPr>
        <w:autoSpaceDE w:val="0"/>
        <w:autoSpaceDN w:val="0"/>
        <w:adjustRightInd w:val="0"/>
        <w:spacing w:after="0" w:line="240" w:lineRule="auto"/>
        <w:ind w:left="720"/>
      </w:pPr>
      <w:r w:rsidRPr="00A333D5">
        <w:rPr>
          <w:rFonts w:cs="Arial"/>
        </w:rPr>
        <w:t>Examine the adoption of fintech, green finance, and competitiveness influences banks’ sustainable performance, with digital transformation acting as a moderating factor. Relevant as it links digital transformation with financial performance and competitiveness, offering evidence that technology adoption aligned could drive fee-based income growth.</w:t>
      </w:r>
    </w:p>
    <w:p w14:paraId="047FBDF7" w14:textId="77777777" w:rsidR="00AB7087" w:rsidRPr="00A333D5" w:rsidRDefault="00AB7087" w:rsidP="00D84CFA">
      <w:pPr>
        <w:autoSpaceDE w:val="0"/>
        <w:autoSpaceDN w:val="0"/>
        <w:adjustRightInd w:val="0"/>
        <w:spacing w:after="0" w:line="276" w:lineRule="auto"/>
        <w:ind w:left="720" w:hanging="720"/>
        <w:rPr>
          <w:rFonts w:cs="Arial"/>
          <w:kern w:val="0"/>
        </w:rPr>
      </w:pPr>
    </w:p>
    <w:p w14:paraId="6044C959" w14:textId="35D5E056" w:rsidR="00D84CFA" w:rsidRPr="00A333D5" w:rsidRDefault="00D84CFA" w:rsidP="00D84CFA">
      <w:pPr>
        <w:autoSpaceDE w:val="0"/>
        <w:autoSpaceDN w:val="0"/>
        <w:adjustRightInd w:val="0"/>
        <w:spacing w:after="0" w:line="276" w:lineRule="auto"/>
        <w:ind w:left="720" w:hanging="720"/>
        <w:rPr>
          <w:rFonts w:cs="Arial"/>
          <w:kern w:val="0"/>
        </w:rPr>
      </w:pPr>
      <w:r w:rsidRPr="00A333D5">
        <w:rPr>
          <w:rFonts w:cs="Arial"/>
          <w:kern w:val="0"/>
        </w:rPr>
        <w:t xml:space="preserve">Ho, S. P. S., &amp; Chow, M. Y. C. (2025). </w:t>
      </w:r>
      <w:r w:rsidRPr="00A333D5">
        <w:rPr>
          <w:rFonts w:cs="Arial"/>
          <w:i/>
          <w:iCs/>
          <w:kern w:val="0"/>
        </w:rPr>
        <w:t xml:space="preserve">Factors </w:t>
      </w:r>
      <w:r w:rsidR="00750FB8" w:rsidRPr="00A333D5">
        <w:rPr>
          <w:rFonts w:cs="Arial"/>
          <w:i/>
          <w:iCs/>
          <w:kern w:val="0"/>
        </w:rPr>
        <w:t>S</w:t>
      </w:r>
      <w:r w:rsidRPr="00A333D5">
        <w:rPr>
          <w:rFonts w:cs="Arial"/>
          <w:i/>
          <w:iCs/>
          <w:kern w:val="0"/>
        </w:rPr>
        <w:t xml:space="preserve">haping </w:t>
      </w:r>
      <w:r w:rsidR="00750FB8" w:rsidRPr="00A333D5">
        <w:rPr>
          <w:rFonts w:cs="Arial"/>
          <w:i/>
          <w:iCs/>
          <w:kern w:val="0"/>
        </w:rPr>
        <w:t>C</w:t>
      </w:r>
      <w:r w:rsidRPr="00A333D5">
        <w:rPr>
          <w:rFonts w:cs="Arial"/>
          <w:i/>
          <w:iCs/>
          <w:kern w:val="0"/>
        </w:rPr>
        <w:t xml:space="preserve">onsumer </w:t>
      </w:r>
      <w:r w:rsidR="00750FB8" w:rsidRPr="00A333D5">
        <w:rPr>
          <w:rFonts w:cs="Arial"/>
          <w:i/>
          <w:iCs/>
          <w:kern w:val="0"/>
        </w:rPr>
        <w:t>A</w:t>
      </w:r>
      <w:r w:rsidRPr="00A333D5">
        <w:rPr>
          <w:rFonts w:cs="Arial"/>
          <w:i/>
          <w:iCs/>
          <w:kern w:val="0"/>
        </w:rPr>
        <w:t xml:space="preserve">doption of </w:t>
      </w:r>
      <w:r w:rsidR="00750FB8" w:rsidRPr="00A333D5">
        <w:rPr>
          <w:rFonts w:cs="Arial"/>
          <w:i/>
          <w:iCs/>
          <w:kern w:val="0"/>
        </w:rPr>
        <w:t>Digital-O</w:t>
      </w:r>
      <w:r w:rsidRPr="00A333D5">
        <w:rPr>
          <w:rFonts w:cs="Arial"/>
          <w:i/>
          <w:iCs/>
          <w:kern w:val="0"/>
        </w:rPr>
        <w:t xml:space="preserve">nly </w:t>
      </w:r>
      <w:r w:rsidR="00750FB8" w:rsidRPr="00A333D5">
        <w:rPr>
          <w:rFonts w:cs="Arial"/>
          <w:i/>
          <w:iCs/>
          <w:kern w:val="0"/>
        </w:rPr>
        <w:t>B</w:t>
      </w:r>
      <w:r w:rsidRPr="00A333D5">
        <w:rPr>
          <w:rFonts w:cs="Arial"/>
          <w:i/>
          <w:iCs/>
          <w:kern w:val="0"/>
        </w:rPr>
        <w:t xml:space="preserve">anking </w:t>
      </w:r>
      <w:r w:rsidR="00750FB8" w:rsidRPr="00A333D5">
        <w:rPr>
          <w:rFonts w:cs="Arial"/>
          <w:i/>
          <w:iCs/>
          <w:kern w:val="0"/>
        </w:rPr>
        <w:t>S</w:t>
      </w:r>
      <w:r w:rsidRPr="00A333D5">
        <w:rPr>
          <w:rFonts w:cs="Arial"/>
          <w:i/>
          <w:iCs/>
          <w:kern w:val="0"/>
        </w:rPr>
        <w:t>ervices in Hong Kong</w:t>
      </w:r>
      <w:r w:rsidR="00750FB8" w:rsidRPr="00A333D5">
        <w:rPr>
          <w:rFonts w:cs="Arial"/>
          <w:i/>
          <w:iCs/>
          <w:kern w:val="0"/>
        </w:rPr>
        <w:t>.</w:t>
      </w:r>
      <w:r w:rsidRPr="00A333D5">
        <w:rPr>
          <w:rFonts w:cs="Arial"/>
          <w:i/>
          <w:iCs/>
          <w:kern w:val="0"/>
        </w:rPr>
        <w:t xml:space="preserve"> Journal of Applied Finance &amp; Banking, 15(3),</w:t>
      </w:r>
      <w:r w:rsidRPr="00A333D5">
        <w:rPr>
          <w:rFonts w:cs="Arial"/>
          <w:kern w:val="0"/>
        </w:rPr>
        <w:t xml:space="preserve"> 75–87. https://doi.org/10.47260/jafb/1535 </w:t>
      </w:r>
    </w:p>
    <w:p w14:paraId="49ED3E17" w14:textId="77777777"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Analyses drivers of consumer adoption of digital-only banks in Hong Kong, focusing on trust, risk, and perceived usefulness.</w:t>
      </w:r>
    </w:p>
    <w:p w14:paraId="2D73C6BB" w14:textId="77777777"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Although consumer-focused, this local context study informs the behavioural dimensions of adoption in Hong Kong.</w:t>
      </w:r>
    </w:p>
    <w:p w14:paraId="4D9BCD9F" w14:textId="77777777" w:rsidR="00D84CFA" w:rsidRPr="00A333D5" w:rsidRDefault="00D84CFA" w:rsidP="00D84CFA">
      <w:pPr>
        <w:autoSpaceDE w:val="0"/>
        <w:autoSpaceDN w:val="0"/>
        <w:adjustRightInd w:val="0"/>
        <w:spacing w:after="0" w:line="276" w:lineRule="auto"/>
        <w:ind w:left="720" w:hanging="720"/>
        <w:rPr>
          <w:rFonts w:cs="Arial"/>
          <w:kern w:val="0"/>
        </w:rPr>
      </w:pPr>
    </w:p>
    <w:p w14:paraId="6D2C36DC" w14:textId="62EC576B" w:rsidR="00D84CFA" w:rsidRPr="00A333D5" w:rsidRDefault="00D84CFA" w:rsidP="00D84CFA">
      <w:pPr>
        <w:autoSpaceDE w:val="0"/>
        <w:autoSpaceDN w:val="0"/>
        <w:adjustRightInd w:val="0"/>
        <w:spacing w:after="0" w:line="276" w:lineRule="auto"/>
        <w:ind w:left="720" w:hanging="720"/>
        <w:rPr>
          <w:rFonts w:cs="Arial"/>
          <w:kern w:val="0"/>
        </w:rPr>
      </w:pPr>
      <w:r w:rsidRPr="00A333D5">
        <w:rPr>
          <w:rFonts w:cs="Arial"/>
          <w:kern w:val="0"/>
        </w:rPr>
        <w:t xml:space="preserve"> </w:t>
      </w:r>
      <w:r w:rsidR="00A17130" w:rsidRPr="00A333D5">
        <w:rPr>
          <w:rFonts w:cs="Arial"/>
          <w:kern w:val="0"/>
        </w:rPr>
        <w:t>Hong Kong Institute for Monetary and Financial Research. (2025, April). Financial services in the era of generative AI: Facilitating responsible adoption (HKIMR Applied Research Report No. 1/2025). Hong Kong Academy of Finance. https://www.aof.org.hk/docs/default-source/hkimr/applied-research-reports/financial-services-in-the-era-of-generative-ai.pdf</w:t>
      </w:r>
    </w:p>
    <w:p w14:paraId="0290F3EE" w14:textId="24C4E82C" w:rsidR="00217F04" w:rsidRPr="00A333D5" w:rsidRDefault="00D84CFA" w:rsidP="003329F6">
      <w:pPr>
        <w:autoSpaceDE w:val="0"/>
        <w:autoSpaceDN w:val="0"/>
        <w:adjustRightInd w:val="0"/>
        <w:spacing w:after="0" w:line="276" w:lineRule="auto"/>
        <w:ind w:left="720"/>
        <w:rPr>
          <w:rFonts w:cs="Arial"/>
          <w:kern w:val="0"/>
        </w:rPr>
      </w:pPr>
      <w:r w:rsidRPr="00A333D5">
        <w:rPr>
          <w:rFonts w:cs="Arial"/>
          <w:kern w:val="0"/>
        </w:rPr>
        <w:lastRenderedPageBreak/>
        <w:t xml:space="preserve">Highlights risk management challenges (model accuracy, data privacy, security) and industry-wide skills gaps (technical and compliance). Provides regulatory and policy context directly applicable to adoption </w:t>
      </w:r>
      <w:proofErr w:type="spellStart"/>
      <w:r w:rsidRPr="00A333D5">
        <w:rPr>
          <w:rFonts w:cs="Arial"/>
          <w:kern w:val="0"/>
        </w:rPr>
        <w:t>monetisation</w:t>
      </w:r>
      <w:proofErr w:type="spellEnd"/>
      <w:r w:rsidRPr="00A333D5">
        <w:rPr>
          <w:rFonts w:cs="Arial"/>
          <w:kern w:val="0"/>
        </w:rPr>
        <w:t xml:space="preserve"> in </w:t>
      </w:r>
      <w:r w:rsidR="0023484E">
        <w:rPr>
          <w:rFonts w:cs="Arial"/>
          <w:kern w:val="0"/>
        </w:rPr>
        <w:t xml:space="preserve">the </w:t>
      </w:r>
      <w:r w:rsidR="00A82839" w:rsidRPr="00A333D5">
        <w:rPr>
          <w:rFonts w:cs="Arial"/>
          <w:kern w:val="0"/>
        </w:rPr>
        <w:t xml:space="preserve">HK </w:t>
      </w:r>
      <w:r w:rsidRPr="00A333D5">
        <w:rPr>
          <w:rFonts w:cs="Arial"/>
          <w:kern w:val="0"/>
        </w:rPr>
        <w:t>trade finance sector.</w:t>
      </w:r>
    </w:p>
    <w:p w14:paraId="6E945022" w14:textId="77777777" w:rsidR="00D84CFA" w:rsidRPr="00A333D5" w:rsidRDefault="00D84CFA" w:rsidP="00D84CFA">
      <w:pPr>
        <w:autoSpaceDE w:val="0"/>
        <w:autoSpaceDN w:val="0"/>
        <w:adjustRightInd w:val="0"/>
        <w:spacing w:after="0" w:line="276" w:lineRule="auto"/>
        <w:ind w:left="720" w:hanging="720"/>
        <w:rPr>
          <w:rFonts w:cs="Arial"/>
          <w:kern w:val="0"/>
        </w:rPr>
      </w:pPr>
    </w:p>
    <w:p w14:paraId="573D94C3" w14:textId="77777777" w:rsidR="003329F6" w:rsidRPr="00A333D5" w:rsidRDefault="003329F6" w:rsidP="003329F6">
      <w:pPr>
        <w:autoSpaceDE w:val="0"/>
        <w:autoSpaceDN w:val="0"/>
        <w:adjustRightInd w:val="0"/>
        <w:spacing w:after="0" w:line="276" w:lineRule="auto"/>
        <w:ind w:left="720" w:hanging="720"/>
        <w:rPr>
          <w:rFonts w:cs="Arial"/>
          <w:kern w:val="0"/>
        </w:rPr>
      </w:pPr>
      <w:r w:rsidRPr="00A333D5">
        <w:rPr>
          <w:rFonts w:cs="Arial"/>
          <w:kern w:val="0"/>
        </w:rPr>
        <w:t xml:space="preserve">  Hoffman, C. (2019, April 15). The digital trade revolution: The negative implications of smart contract-enabled distributed ledger technology platforms on the international trade finance industry.  Carter Hoffman Blog. https://carterhoffman.wordpress.com/the-digital-trade-revolution/ </w:t>
      </w:r>
    </w:p>
    <w:p w14:paraId="7080E344" w14:textId="77777777" w:rsidR="003329F6" w:rsidRPr="00A333D5" w:rsidRDefault="003329F6" w:rsidP="003329F6">
      <w:pPr>
        <w:autoSpaceDE w:val="0"/>
        <w:autoSpaceDN w:val="0"/>
        <w:adjustRightInd w:val="0"/>
        <w:spacing w:after="0" w:line="276" w:lineRule="auto"/>
        <w:ind w:left="720"/>
        <w:rPr>
          <w:rFonts w:cs="Arial"/>
          <w:kern w:val="0"/>
        </w:rPr>
      </w:pPr>
      <w:r w:rsidRPr="00A333D5">
        <w:rPr>
          <w:rFonts w:cs="Arial"/>
          <w:kern w:val="0"/>
        </w:rPr>
        <w:t>Highlights risks and challenges of blockchain and smart contracts in trade finance.</w:t>
      </w:r>
    </w:p>
    <w:p w14:paraId="1B9B8D29" w14:textId="2024A648" w:rsidR="003329F6" w:rsidRPr="00A333D5" w:rsidRDefault="003329F6" w:rsidP="003329F6">
      <w:pPr>
        <w:autoSpaceDE w:val="0"/>
        <w:autoSpaceDN w:val="0"/>
        <w:adjustRightInd w:val="0"/>
        <w:spacing w:after="0" w:line="276" w:lineRule="auto"/>
        <w:ind w:left="720"/>
        <w:rPr>
          <w:rFonts w:cs="Arial"/>
          <w:kern w:val="0"/>
        </w:rPr>
      </w:pPr>
      <w:r w:rsidRPr="00A333D5">
        <w:rPr>
          <w:rFonts w:cs="Arial"/>
          <w:kern w:val="0"/>
        </w:rPr>
        <w:t>Adds a critical counterpoint, showing adoption is not universally straightforward.</w:t>
      </w:r>
    </w:p>
    <w:p w14:paraId="39830F20" w14:textId="77777777" w:rsidR="003329F6" w:rsidRPr="00A333D5" w:rsidRDefault="003329F6" w:rsidP="003329F6">
      <w:pPr>
        <w:autoSpaceDE w:val="0"/>
        <w:autoSpaceDN w:val="0"/>
        <w:adjustRightInd w:val="0"/>
        <w:spacing w:after="0" w:line="276" w:lineRule="auto"/>
        <w:ind w:left="720"/>
        <w:rPr>
          <w:rFonts w:cs="Arial"/>
          <w:kern w:val="0"/>
        </w:rPr>
      </w:pPr>
    </w:p>
    <w:p w14:paraId="73E7FF0F" w14:textId="77777777" w:rsidR="003329F6" w:rsidRPr="00A333D5" w:rsidRDefault="003329F6" w:rsidP="003329F6">
      <w:pPr>
        <w:autoSpaceDE w:val="0"/>
        <w:autoSpaceDN w:val="0"/>
        <w:adjustRightInd w:val="0"/>
        <w:spacing w:after="0" w:line="276" w:lineRule="auto"/>
        <w:ind w:left="720" w:hanging="720"/>
        <w:rPr>
          <w:rFonts w:cs="Arial"/>
          <w:kern w:val="0"/>
        </w:rPr>
      </w:pPr>
    </w:p>
    <w:p w14:paraId="2630EABF" w14:textId="77777777" w:rsidR="003329F6" w:rsidRPr="00A333D5" w:rsidRDefault="003329F6" w:rsidP="003329F6">
      <w:pPr>
        <w:autoSpaceDE w:val="0"/>
        <w:autoSpaceDN w:val="0"/>
        <w:adjustRightInd w:val="0"/>
        <w:spacing w:after="0" w:line="276" w:lineRule="auto"/>
        <w:ind w:left="720" w:hanging="720"/>
        <w:rPr>
          <w:rFonts w:cs="Arial"/>
          <w:kern w:val="0"/>
        </w:rPr>
      </w:pPr>
      <w:r w:rsidRPr="00A333D5">
        <w:rPr>
          <w:rFonts w:cs="Arial"/>
          <w:kern w:val="0"/>
        </w:rPr>
        <w:t xml:space="preserve">  Hong Kong Monetary Authority. (2024, October 31).  Digital banks.  https://www.hkma.gov.hk/eng/key-functions/banking/banking-regulatory-and-supervisory-regime/digital-banks/](https://www.hkma.gov.hk/eng/key-functions/banking/banking-regulatory-and-supervisory-regime/digital-banks/</w:t>
      </w:r>
    </w:p>
    <w:p w14:paraId="3DAA6473" w14:textId="77777777" w:rsidR="003329F6" w:rsidRPr="00A333D5" w:rsidRDefault="003329F6" w:rsidP="003329F6">
      <w:pPr>
        <w:autoSpaceDE w:val="0"/>
        <w:autoSpaceDN w:val="0"/>
        <w:adjustRightInd w:val="0"/>
        <w:spacing w:after="0" w:line="276" w:lineRule="auto"/>
        <w:ind w:left="720"/>
        <w:rPr>
          <w:rFonts w:cs="Arial"/>
          <w:kern w:val="0"/>
        </w:rPr>
      </w:pPr>
      <w:r w:rsidRPr="00A333D5">
        <w:rPr>
          <w:rFonts w:cs="Arial"/>
          <w:kern w:val="0"/>
        </w:rPr>
        <w:t>Outlines the HKMA’s framework and supervision of digital banks in Hong Kong.</w:t>
      </w:r>
    </w:p>
    <w:p w14:paraId="4CDC590F" w14:textId="77777777" w:rsidR="003329F6" w:rsidRPr="00A333D5" w:rsidRDefault="003329F6" w:rsidP="003329F6">
      <w:pPr>
        <w:autoSpaceDE w:val="0"/>
        <w:autoSpaceDN w:val="0"/>
        <w:adjustRightInd w:val="0"/>
        <w:spacing w:after="0" w:line="276" w:lineRule="auto"/>
        <w:ind w:left="720"/>
        <w:rPr>
          <w:rFonts w:cs="Arial"/>
          <w:kern w:val="0"/>
        </w:rPr>
      </w:pPr>
      <w:r w:rsidRPr="00A333D5">
        <w:rPr>
          <w:rFonts w:cs="Arial"/>
          <w:kern w:val="0"/>
        </w:rPr>
        <w:t>Provides an authoritative regulatory context that underpins the study.</w:t>
      </w:r>
    </w:p>
    <w:p w14:paraId="05CE5272" w14:textId="6A187B15" w:rsidR="003329F6" w:rsidRPr="00A333D5" w:rsidRDefault="003329F6" w:rsidP="003329F6">
      <w:pPr>
        <w:autoSpaceDE w:val="0"/>
        <w:autoSpaceDN w:val="0"/>
        <w:adjustRightInd w:val="0"/>
        <w:spacing w:after="0" w:line="276" w:lineRule="auto"/>
        <w:rPr>
          <w:rFonts w:cs="Arial"/>
          <w:kern w:val="0"/>
        </w:rPr>
      </w:pPr>
    </w:p>
    <w:p w14:paraId="4AD3287B" w14:textId="05937A7A" w:rsidR="00D84CFA" w:rsidRPr="00A333D5" w:rsidRDefault="00D84CFA" w:rsidP="00D84CFA">
      <w:pPr>
        <w:autoSpaceDE w:val="0"/>
        <w:autoSpaceDN w:val="0"/>
        <w:adjustRightInd w:val="0"/>
        <w:spacing w:after="0" w:line="276" w:lineRule="auto"/>
        <w:ind w:left="720" w:hanging="720"/>
        <w:rPr>
          <w:rFonts w:cs="Arial"/>
          <w:kern w:val="0"/>
        </w:rPr>
      </w:pPr>
      <w:r w:rsidRPr="00A333D5">
        <w:rPr>
          <w:rFonts w:cs="Arial"/>
          <w:kern w:val="0"/>
        </w:rPr>
        <w:t xml:space="preserve"> Hu, M., et al. (2024). </w:t>
      </w:r>
      <w:r w:rsidRPr="00A333D5">
        <w:rPr>
          <w:rFonts w:cs="Arial"/>
          <w:i/>
          <w:iCs/>
          <w:kern w:val="0"/>
        </w:rPr>
        <w:t>Spillover effect of corporate digitalisation in the supply chain: Perspective of trade credit financing.  Global Finance Journal, 61,</w:t>
      </w:r>
      <w:r w:rsidRPr="00A333D5">
        <w:rPr>
          <w:rFonts w:cs="Arial"/>
          <w:kern w:val="0"/>
        </w:rPr>
        <w:t xml:space="preserve">  101009. https://doi.org/10.1016/j.gfj.2024.101009 </w:t>
      </w:r>
    </w:p>
    <w:p w14:paraId="21C4C164" w14:textId="154CE8C4"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 xml:space="preserve">Examines </w:t>
      </w:r>
      <w:r w:rsidR="0023484E">
        <w:rPr>
          <w:rFonts w:cs="Arial"/>
          <w:kern w:val="0"/>
        </w:rPr>
        <w:t xml:space="preserve">the influence of </w:t>
      </w:r>
      <w:r w:rsidRPr="00A333D5">
        <w:rPr>
          <w:rFonts w:cs="Arial"/>
          <w:kern w:val="0"/>
        </w:rPr>
        <w:t xml:space="preserve">corporate </w:t>
      </w:r>
      <w:proofErr w:type="spellStart"/>
      <w:r w:rsidRPr="00A333D5">
        <w:rPr>
          <w:rFonts w:cs="Arial"/>
          <w:kern w:val="0"/>
        </w:rPr>
        <w:t>digitalisation</w:t>
      </w:r>
      <w:proofErr w:type="spellEnd"/>
      <w:r w:rsidRPr="00A333D5">
        <w:rPr>
          <w:rFonts w:cs="Arial"/>
          <w:kern w:val="0"/>
        </w:rPr>
        <w:t xml:space="preserve"> </w:t>
      </w:r>
      <w:r w:rsidR="0023484E">
        <w:rPr>
          <w:rFonts w:cs="Arial"/>
          <w:kern w:val="0"/>
        </w:rPr>
        <w:t>on</w:t>
      </w:r>
      <w:r w:rsidRPr="00A333D5">
        <w:rPr>
          <w:rFonts w:cs="Arial"/>
          <w:kern w:val="0"/>
        </w:rPr>
        <w:t xml:space="preserve"> supply chain financing and trade credit.</w:t>
      </w:r>
    </w:p>
    <w:p w14:paraId="143BD07A" w14:textId="77777777"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Directly relevant to linking the adoption of digital platforms with financial and operational performance outcomes.</w:t>
      </w:r>
    </w:p>
    <w:p w14:paraId="55B9A62B" w14:textId="77777777" w:rsidR="00D84CFA" w:rsidRPr="00A333D5" w:rsidRDefault="00D84CFA" w:rsidP="00D84CFA">
      <w:pPr>
        <w:autoSpaceDE w:val="0"/>
        <w:autoSpaceDN w:val="0"/>
        <w:adjustRightInd w:val="0"/>
        <w:spacing w:after="0" w:line="276" w:lineRule="auto"/>
        <w:ind w:left="720" w:hanging="720"/>
        <w:rPr>
          <w:rFonts w:cs="Arial"/>
          <w:kern w:val="0"/>
        </w:rPr>
      </w:pPr>
    </w:p>
    <w:p w14:paraId="4E28B542" w14:textId="174DED64" w:rsidR="00D84CFA" w:rsidRPr="00A333D5" w:rsidRDefault="00D84CFA" w:rsidP="00D84CFA">
      <w:pPr>
        <w:autoSpaceDE w:val="0"/>
        <w:autoSpaceDN w:val="0"/>
        <w:adjustRightInd w:val="0"/>
        <w:spacing w:after="0" w:line="276" w:lineRule="auto"/>
        <w:ind w:left="720" w:hanging="720"/>
        <w:rPr>
          <w:rFonts w:cs="Arial"/>
          <w:kern w:val="0"/>
        </w:rPr>
      </w:pPr>
      <w:r w:rsidRPr="00A333D5">
        <w:rPr>
          <w:rFonts w:cs="Arial"/>
          <w:kern w:val="0"/>
        </w:rPr>
        <w:t xml:space="preserve">  Hui, C. (2025). </w:t>
      </w:r>
      <w:r w:rsidRPr="00A333D5">
        <w:rPr>
          <w:rFonts w:cs="Arial"/>
          <w:i/>
          <w:iCs/>
          <w:kern w:val="0"/>
        </w:rPr>
        <w:t xml:space="preserve">Hong Kong </w:t>
      </w:r>
      <w:r w:rsidR="00750FB8" w:rsidRPr="00A333D5">
        <w:rPr>
          <w:rFonts w:cs="Arial"/>
          <w:i/>
          <w:iCs/>
          <w:kern w:val="0"/>
        </w:rPr>
        <w:t>i</w:t>
      </w:r>
      <w:r w:rsidRPr="00A333D5">
        <w:rPr>
          <w:rFonts w:cs="Arial"/>
          <w:i/>
          <w:iCs/>
          <w:kern w:val="0"/>
        </w:rPr>
        <w:t>s the global superconnector in a changing world.  Horizons: Journal of International Relations and Sustainable Development, 30,</w:t>
      </w:r>
      <w:r w:rsidRPr="00A333D5">
        <w:rPr>
          <w:rFonts w:cs="Arial"/>
          <w:kern w:val="0"/>
        </w:rPr>
        <w:t xml:space="preserve">  226–237. https://doi.org/10.2307/48829695 </w:t>
      </w:r>
    </w:p>
    <w:p w14:paraId="0ABE8590" w14:textId="77777777"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Discusses Hong Kong’s positioning as a connector in global trade and finance, especially under digitalisation and geopolitical shifts.</w:t>
      </w:r>
    </w:p>
    <w:p w14:paraId="4A169DF5" w14:textId="77777777"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Provides policy-level justification for the research problem and Hong Kong’s role as an international financial centre.</w:t>
      </w:r>
    </w:p>
    <w:p w14:paraId="60B6A621" w14:textId="77777777" w:rsidR="00D84CFA" w:rsidRPr="00A333D5" w:rsidRDefault="00D84CFA" w:rsidP="00D84CFA">
      <w:pPr>
        <w:autoSpaceDE w:val="0"/>
        <w:autoSpaceDN w:val="0"/>
        <w:adjustRightInd w:val="0"/>
        <w:spacing w:after="0" w:line="276" w:lineRule="auto"/>
        <w:ind w:left="720" w:hanging="720"/>
        <w:rPr>
          <w:rFonts w:cs="Arial"/>
          <w:kern w:val="0"/>
        </w:rPr>
      </w:pPr>
    </w:p>
    <w:p w14:paraId="5A102FEE" w14:textId="37B6E92A" w:rsidR="00D84CFA" w:rsidRPr="00A333D5" w:rsidRDefault="00D84CFA" w:rsidP="00D84CFA">
      <w:pPr>
        <w:autoSpaceDE w:val="0"/>
        <w:autoSpaceDN w:val="0"/>
        <w:adjustRightInd w:val="0"/>
        <w:spacing w:after="0" w:line="276" w:lineRule="auto"/>
        <w:ind w:left="720" w:hanging="720"/>
        <w:rPr>
          <w:rFonts w:cs="Arial"/>
          <w:kern w:val="0"/>
        </w:rPr>
      </w:pPr>
      <w:r w:rsidRPr="00A333D5">
        <w:rPr>
          <w:rFonts w:cs="Arial"/>
          <w:kern w:val="0"/>
        </w:rPr>
        <w:lastRenderedPageBreak/>
        <w:t xml:space="preserve">  Ismail, N. W. (2020). Digital trade facilitation and bilateral trade in selected Asian countries.  Studies in Economics and Finance.  Advance online publication. https://doi.org/10.1108/sef-10-2019-0406 </w:t>
      </w:r>
    </w:p>
    <w:p w14:paraId="3A0BA589" w14:textId="77777777"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Investigates how digital trade facilitation affects bilateral trade flows in Asia.</w:t>
      </w:r>
    </w:p>
    <w:p w14:paraId="5AFFBFCA" w14:textId="3EFC7ABD" w:rsidR="00217F04" w:rsidRPr="00A333D5" w:rsidRDefault="00D84CFA" w:rsidP="003329F6">
      <w:pPr>
        <w:autoSpaceDE w:val="0"/>
        <w:autoSpaceDN w:val="0"/>
        <w:adjustRightInd w:val="0"/>
        <w:spacing w:after="0" w:line="276" w:lineRule="auto"/>
        <w:ind w:left="720"/>
        <w:rPr>
          <w:rFonts w:cs="Arial"/>
          <w:kern w:val="0"/>
        </w:rPr>
      </w:pPr>
      <w:r w:rsidRPr="00A333D5">
        <w:rPr>
          <w:rFonts w:cs="Arial"/>
          <w:kern w:val="0"/>
        </w:rPr>
        <w:t>Helps situate Hong Kong’s digitalisation agenda within the broader Asian trade context.</w:t>
      </w:r>
    </w:p>
    <w:p w14:paraId="3357C88F" w14:textId="77777777" w:rsidR="00D84CFA" w:rsidRPr="00A333D5" w:rsidRDefault="00D84CFA" w:rsidP="00D84CFA">
      <w:pPr>
        <w:autoSpaceDE w:val="0"/>
        <w:autoSpaceDN w:val="0"/>
        <w:adjustRightInd w:val="0"/>
        <w:spacing w:after="0" w:line="276" w:lineRule="auto"/>
        <w:ind w:left="720" w:hanging="720"/>
        <w:rPr>
          <w:rFonts w:cs="Arial"/>
          <w:kern w:val="0"/>
        </w:rPr>
      </w:pPr>
    </w:p>
    <w:p w14:paraId="49B5DEB4" w14:textId="67C61705" w:rsidR="00D84CFA" w:rsidRPr="00A333D5" w:rsidRDefault="00D84CFA" w:rsidP="00D84CFA">
      <w:pPr>
        <w:autoSpaceDE w:val="0"/>
        <w:autoSpaceDN w:val="0"/>
        <w:adjustRightInd w:val="0"/>
        <w:spacing w:after="0" w:line="276" w:lineRule="auto"/>
        <w:ind w:left="720" w:hanging="720"/>
        <w:rPr>
          <w:rFonts w:cs="Arial"/>
          <w:kern w:val="0"/>
        </w:rPr>
      </w:pPr>
      <w:r w:rsidRPr="00A333D5">
        <w:rPr>
          <w:rFonts w:cs="Arial"/>
          <w:kern w:val="0"/>
        </w:rPr>
        <w:t xml:space="preserve">  Ketterer, J. A. (2017).  Digital finance: New times, new challenges, new opportunities.  Inter-American Development Bank. https://doi.org/10.18235/0007028 </w:t>
      </w:r>
    </w:p>
    <w:p w14:paraId="612D878A" w14:textId="77777777"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A policy-oriented paper on the opportunities and risks of digital finance.</w:t>
      </w:r>
    </w:p>
    <w:p w14:paraId="2AB5A568" w14:textId="77777777"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Provides conceptual background to frame the transformative potential and risks of digital trade finance.</w:t>
      </w:r>
    </w:p>
    <w:p w14:paraId="15974C51" w14:textId="77777777" w:rsidR="00D84CFA" w:rsidRPr="00A333D5" w:rsidRDefault="00D84CFA" w:rsidP="00D84CFA">
      <w:pPr>
        <w:autoSpaceDE w:val="0"/>
        <w:autoSpaceDN w:val="0"/>
        <w:adjustRightInd w:val="0"/>
        <w:spacing w:after="0" w:line="276" w:lineRule="auto"/>
        <w:ind w:left="720" w:hanging="720"/>
        <w:rPr>
          <w:rFonts w:cs="Arial"/>
          <w:kern w:val="0"/>
        </w:rPr>
      </w:pPr>
    </w:p>
    <w:p w14:paraId="6857887B" w14:textId="59633F44" w:rsidR="00D84CFA" w:rsidRPr="00A333D5" w:rsidRDefault="00D84CFA" w:rsidP="00D84CFA">
      <w:pPr>
        <w:autoSpaceDE w:val="0"/>
        <w:autoSpaceDN w:val="0"/>
        <w:adjustRightInd w:val="0"/>
        <w:spacing w:after="0" w:line="276" w:lineRule="auto"/>
        <w:ind w:left="720" w:hanging="720"/>
        <w:rPr>
          <w:rFonts w:cs="Arial"/>
          <w:kern w:val="0"/>
        </w:rPr>
      </w:pPr>
      <w:r w:rsidRPr="00A333D5">
        <w:rPr>
          <w:rFonts w:cs="Arial"/>
          <w:kern w:val="0"/>
        </w:rPr>
        <w:t xml:space="preserve">  Khalil, M. A., et al. (2025). AI driven transformation in trade finance: A roadmap for automating letter of credit document examination.  Digital Business, 2,  100130. https://doi.org/10.1016/j.digbus.2025.100130 </w:t>
      </w:r>
    </w:p>
    <w:p w14:paraId="011BB459" w14:textId="77777777"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Explores AI’s role in automating trade finance documentation, particularly letters of credit.</w:t>
      </w:r>
    </w:p>
    <w:p w14:paraId="1EE26FC2" w14:textId="77777777"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Supports arguments about efficiency and compliance gains as relative benefits of digital adoption.</w:t>
      </w:r>
    </w:p>
    <w:p w14:paraId="6FE62C82" w14:textId="77777777" w:rsidR="00D84CFA" w:rsidRPr="00A333D5" w:rsidRDefault="00D84CFA" w:rsidP="00D84CFA">
      <w:pPr>
        <w:autoSpaceDE w:val="0"/>
        <w:autoSpaceDN w:val="0"/>
        <w:adjustRightInd w:val="0"/>
        <w:spacing w:after="0" w:line="276" w:lineRule="auto"/>
        <w:ind w:left="720" w:hanging="720"/>
        <w:rPr>
          <w:rFonts w:cs="Arial"/>
          <w:kern w:val="0"/>
        </w:rPr>
      </w:pPr>
    </w:p>
    <w:p w14:paraId="6C46640F" w14:textId="43F64659" w:rsidR="00D84CFA" w:rsidRPr="00A333D5" w:rsidRDefault="00D84CFA" w:rsidP="00D84CFA">
      <w:pPr>
        <w:autoSpaceDE w:val="0"/>
        <w:autoSpaceDN w:val="0"/>
        <w:adjustRightInd w:val="0"/>
        <w:spacing w:after="0" w:line="276" w:lineRule="auto"/>
        <w:ind w:left="720" w:hanging="720"/>
        <w:rPr>
          <w:rFonts w:cs="Arial"/>
          <w:kern w:val="0"/>
        </w:rPr>
      </w:pPr>
      <w:r w:rsidRPr="00A333D5">
        <w:rPr>
          <w:rFonts w:cs="Arial"/>
          <w:kern w:val="0"/>
        </w:rPr>
        <w:t xml:space="preserve">  Khan, H. H., et al. (2025). </w:t>
      </w:r>
      <w:r w:rsidRPr="00A333D5">
        <w:rPr>
          <w:rFonts w:cs="Arial"/>
          <w:i/>
          <w:iCs/>
          <w:kern w:val="0"/>
        </w:rPr>
        <w:t>Digital disruption in financing: Are fintech and bigtech credit reshaping corporate access to capital?  Journal of International Financial Markets, Institutions and Money, 103,</w:t>
      </w:r>
      <w:r w:rsidRPr="00A333D5">
        <w:rPr>
          <w:rFonts w:cs="Arial"/>
          <w:kern w:val="0"/>
        </w:rPr>
        <w:t xml:space="preserve">  102198. https://doi.org/10.1016/j.intfin.2025.102198 </w:t>
      </w:r>
    </w:p>
    <w:p w14:paraId="63797A06" w14:textId="78A967B0"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Investigation into fintech are reshaping corporate access to finance and credit markets.</w:t>
      </w:r>
    </w:p>
    <w:p w14:paraId="6FBA117B" w14:textId="399EDCB9" w:rsidR="00DC253E" w:rsidRPr="00A333D5" w:rsidRDefault="00D84CFA" w:rsidP="00A206C2">
      <w:pPr>
        <w:autoSpaceDE w:val="0"/>
        <w:autoSpaceDN w:val="0"/>
        <w:adjustRightInd w:val="0"/>
        <w:spacing w:after="0" w:line="276" w:lineRule="auto"/>
        <w:ind w:left="720"/>
        <w:rPr>
          <w:rFonts w:cs="Arial"/>
          <w:kern w:val="0"/>
        </w:rPr>
      </w:pPr>
      <w:r w:rsidRPr="00A333D5">
        <w:rPr>
          <w:rFonts w:cs="Arial"/>
          <w:kern w:val="0"/>
        </w:rPr>
        <w:t>Relevant for contextualising competitive pressures faced by banks in adopting digital trade finance.</w:t>
      </w:r>
    </w:p>
    <w:p w14:paraId="1EF49CC9" w14:textId="77777777" w:rsidR="00462179" w:rsidRPr="00A333D5" w:rsidRDefault="00462179" w:rsidP="00A206C2">
      <w:pPr>
        <w:autoSpaceDE w:val="0"/>
        <w:autoSpaceDN w:val="0"/>
        <w:adjustRightInd w:val="0"/>
        <w:spacing w:after="0" w:line="276" w:lineRule="auto"/>
        <w:ind w:left="720"/>
        <w:rPr>
          <w:rFonts w:cs="Arial"/>
          <w:kern w:val="0"/>
        </w:rPr>
      </w:pPr>
    </w:p>
    <w:p w14:paraId="70AC6F64" w14:textId="77777777" w:rsidR="00462179" w:rsidRPr="00A333D5" w:rsidRDefault="00462179" w:rsidP="00462179">
      <w:pPr>
        <w:spacing w:after="0" w:line="240" w:lineRule="auto"/>
        <w:ind w:left="720" w:hanging="720"/>
        <w:rPr>
          <w:rFonts w:cs="Arial"/>
          <w:kern w:val="0"/>
        </w:rPr>
      </w:pPr>
      <w:r w:rsidRPr="00A333D5">
        <w:rPr>
          <w:rFonts w:cs="Arial"/>
          <w:kern w:val="0"/>
        </w:rPr>
        <w:t>Kumar, R., Singh, R., Kumar, K., Khan, S., &amp; Corvello, V. (2023). </w:t>
      </w:r>
      <w:r w:rsidRPr="00A333D5">
        <w:rPr>
          <w:rFonts w:cs="Arial"/>
          <w:i/>
          <w:iCs/>
          <w:kern w:val="0"/>
        </w:rPr>
        <w:t>How does perceived risk and trust affect mobile banking adoption? Empirical evidence from India</w:t>
      </w:r>
      <w:r w:rsidRPr="00A333D5">
        <w:rPr>
          <w:rFonts w:cs="Arial"/>
          <w:kern w:val="0"/>
        </w:rPr>
        <w:t>. </w:t>
      </w:r>
      <w:r w:rsidRPr="00A333D5">
        <w:rPr>
          <w:rFonts w:cs="Arial"/>
          <w:i/>
          <w:iCs/>
          <w:kern w:val="0"/>
        </w:rPr>
        <w:t>Sustainability, 15</w:t>
      </w:r>
      <w:r w:rsidRPr="00A333D5">
        <w:rPr>
          <w:rFonts w:cs="Arial"/>
          <w:kern w:val="0"/>
        </w:rPr>
        <w:t>(5), 4053. </w:t>
      </w:r>
      <w:hyperlink r:id="rId18" w:tgtFrame="_new" w:history="1">
        <w:r w:rsidRPr="00A333D5">
          <w:rPr>
            <w:rFonts w:cs="Arial"/>
            <w:kern w:val="0"/>
          </w:rPr>
          <w:t>https://doi.org/10.3390/su15054053</w:t>
        </w:r>
      </w:hyperlink>
    </w:p>
    <w:p w14:paraId="71A9EB21" w14:textId="725CE43A" w:rsidR="00462179" w:rsidRPr="00A333D5" w:rsidRDefault="00462179" w:rsidP="00462179">
      <w:pPr>
        <w:spacing w:after="0" w:line="240" w:lineRule="auto"/>
        <w:ind w:left="720"/>
        <w:rPr>
          <w:rFonts w:cs="Arial"/>
          <w:kern w:val="0"/>
        </w:rPr>
      </w:pPr>
      <w:r w:rsidRPr="00A333D5">
        <w:rPr>
          <w:rFonts w:cs="Arial"/>
        </w:rPr>
        <w:t xml:space="preserve">Trust positively and perceived risk negatively influence mobile banking adoption in India, with implications for consumer </w:t>
      </w:r>
      <w:proofErr w:type="spellStart"/>
      <w:r w:rsidRPr="00A333D5">
        <w:rPr>
          <w:rFonts w:cs="Arial"/>
        </w:rPr>
        <w:t>behaviour</w:t>
      </w:r>
      <w:proofErr w:type="spellEnd"/>
      <w:r w:rsidRPr="00A333D5">
        <w:rPr>
          <w:rFonts w:cs="Arial"/>
        </w:rPr>
        <w:t xml:space="preserve"> in digital finance. Relevant as it highlights how user perceptions of risk and trust directly affect adoption of digital financial platforms, a dynamic equally critical for client uptake of digital trade finance services.</w:t>
      </w:r>
    </w:p>
    <w:p w14:paraId="60A9A171" w14:textId="4A1180D0" w:rsidR="00217F04" w:rsidRPr="00A333D5" w:rsidRDefault="00217F04" w:rsidP="00D84CFA">
      <w:pPr>
        <w:autoSpaceDE w:val="0"/>
        <w:autoSpaceDN w:val="0"/>
        <w:adjustRightInd w:val="0"/>
        <w:spacing w:after="0" w:line="276" w:lineRule="auto"/>
        <w:ind w:left="720" w:hanging="720"/>
        <w:rPr>
          <w:rFonts w:cs="Arial"/>
          <w:kern w:val="0"/>
        </w:rPr>
      </w:pPr>
    </w:p>
    <w:p w14:paraId="1879469B" w14:textId="40E45ADE" w:rsidR="007709CB" w:rsidRPr="00A333D5" w:rsidRDefault="007709CB" w:rsidP="007709CB">
      <w:pPr>
        <w:spacing w:after="0" w:line="240" w:lineRule="auto"/>
        <w:rPr>
          <w:rFonts w:eastAsia="Times New Roman" w:cs="Times New Roman"/>
          <w:color w:val="000000"/>
          <w:kern w:val="0"/>
          <w14:ligatures w14:val="none"/>
        </w:rPr>
      </w:pPr>
      <w:r w:rsidRPr="00A333D5">
        <w:rPr>
          <w:rFonts w:eastAsia="Times New Roman" w:cs="Times New Roman"/>
          <w:color w:val="000000"/>
          <w:kern w:val="0"/>
          <w14:ligatures w14:val="none"/>
        </w:rPr>
        <w:lastRenderedPageBreak/>
        <w:t>Landis, J.</w:t>
      </w:r>
      <w:r w:rsidRPr="00A333D5">
        <w:rPr>
          <w:rFonts w:ascii="Arial" w:eastAsia="Times New Roman" w:hAnsi="Arial" w:cs="Arial"/>
          <w:color w:val="000000"/>
          <w:kern w:val="0"/>
          <w14:ligatures w14:val="none"/>
        </w:rPr>
        <w:t> </w:t>
      </w:r>
      <w:r w:rsidRPr="00A333D5">
        <w:rPr>
          <w:rFonts w:eastAsia="Times New Roman" w:cs="Times New Roman"/>
          <w:color w:val="000000"/>
          <w:kern w:val="0"/>
          <w14:ligatures w14:val="none"/>
        </w:rPr>
        <w:t>R., &amp; Koch, G.</w:t>
      </w:r>
      <w:r w:rsidRPr="00A333D5">
        <w:rPr>
          <w:rFonts w:ascii="Arial" w:eastAsia="Times New Roman" w:hAnsi="Arial" w:cs="Arial"/>
          <w:color w:val="000000"/>
          <w:kern w:val="0"/>
          <w14:ligatures w14:val="none"/>
        </w:rPr>
        <w:t> </w:t>
      </w:r>
      <w:r w:rsidRPr="00A333D5">
        <w:rPr>
          <w:rFonts w:eastAsia="Times New Roman" w:cs="Times New Roman"/>
          <w:color w:val="000000"/>
          <w:kern w:val="0"/>
          <w14:ligatures w14:val="none"/>
        </w:rPr>
        <w:t>G. (1977). The measurement of observer agreement for categorical data. </w:t>
      </w:r>
      <w:r w:rsidRPr="00A333D5">
        <w:rPr>
          <w:rFonts w:eastAsia="Times New Roman" w:cs="Times New Roman"/>
          <w:i/>
          <w:iCs/>
          <w:color w:val="000000"/>
          <w:kern w:val="0"/>
          <w14:ligatures w14:val="none"/>
        </w:rPr>
        <w:t>Biometrics, 33</w:t>
      </w:r>
      <w:r w:rsidRPr="00A333D5">
        <w:rPr>
          <w:rFonts w:eastAsia="Times New Roman" w:cs="Times New Roman"/>
          <w:color w:val="000000"/>
          <w:kern w:val="0"/>
          <w14:ligatures w14:val="none"/>
        </w:rPr>
        <w:t>(1), 159–174. </w:t>
      </w:r>
      <w:hyperlink r:id="rId19" w:history="1">
        <w:r w:rsidRPr="00A333D5">
          <w:rPr>
            <w:rFonts w:eastAsia="Times New Roman" w:cs="Times New Roman"/>
            <w:color w:val="0000FF"/>
            <w:kern w:val="0"/>
            <w:u w:val="single"/>
            <w14:ligatures w14:val="none"/>
          </w:rPr>
          <w:t>https://doi.org/10.2307/2529310</w:t>
        </w:r>
      </w:hyperlink>
      <w:r w:rsidRPr="00A333D5">
        <w:rPr>
          <w:rFonts w:eastAsia="Times New Roman" w:cs="Times New Roman"/>
          <w:color w:val="000000"/>
          <w:kern w:val="0"/>
          <w14:ligatures w14:val="none"/>
        </w:rPr>
        <w:t> </w:t>
      </w:r>
    </w:p>
    <w:p w14:paraId="00176DBE" w14:textId="43DF144A" w:rsidR="007709CB" w:rsidRPr="00A333D5" w:rsidRDefault="007709CB" w:rsidP="007709CB">
      <w:pPr>
        <w:spacing w:after="0" w:line="240" w:lineRule="auto"/>
        <w:rPr>
          <w:rFonts w:eastAsia="Times New Roman" w:cs="Times New Roman"/>
          <w:color w:val="000000"/>
          <w:kern w:val="0"/>
          <w14:ligatures w14:val="none"/>
        </w:rPr>
      </w:pPr>
      <w:r w:rsidRPr="00A333D5">
        <w:rPr>
          <w:rFonts w:eastAsia="Times New Roman" w:cs="Times New Roman"/>
          <w:color w:val="000000"/>
          <w:kern w:val="0"/>
          <w14:ligatures w14:val="none"/>
        </w:rPr>
        <w:tab/>
        <w:t>Define calculation logic for analysis</w:t>
      </w:r>
    </w:p>
    <w:p w14:paraId="48A5B764" w14:textId="77777777" w:rsidR="007709CB" w:rsidRPr="00A333D5" w:rsidRDefault="007709CB" w:rsidP="00D84CFA">
      <w:pPr>
        <w:autoSpaceDE w:val="0"/>
        <w:autoSpaceDN w:val="0"/>
        <w:adjustRightInd w:val="0"/>
        <w:spacing w:after="0" w:line="276" w:lineRule="auto"/>
        <w:ind w:left="720" w:hanging="720"/>
        <w:rPr>
          <w:rFonts w:cs="Arial"/>
          <w:kern w:val="0"/>
        </w:rPr>
      </w:pPr>
    </w:p>
    <w:p w14:paraId="4E1D8F8F" w14:textId="253DA312" w:rsidR="00D84CFA" w:rsidRPr="00A333D5" w:rsidRDefault="00D84CFA" w:rsidP="00D84CFA">
      <w:pPr>
        <w:autoSpaceDE w:val="0"/>
        <w:autoSpaceDN w:val="0"/>
        <w:adjustRightInd w:val="0"/>
        <w:spacing w:after="0" w:line="276" w:lineRule="auto"/>
        <w:ind w:left="720" w:hanging="720"/>
        <w:rPr>
          <w:rFonts w:cs="Arial"/>
          <w:kern w:val="0"/>
        </w:rPr>
      </w:pPr>
      <w:r w:rsidRPr="00A333D5">
        <w:rPr>
          <w:rFonts w:cs="Arial"/>
          <w:kern w:val="0"/>
        </w:rPr>
        <w:t xml:space="preserve">Li, H., et al. (2025). How does digital finance affect imports, exports and trade balance: Evidence from China.  International Review of Economics &amp; Finance, 99,  104054. https://doi.org/10.1016/j.iref.2025.104054 </w:t>
      </w:r>
    </w:p>
    <w:p w14:paraId="5F193684" w14:textId="77777777"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Analyses the impact of digital finance on trade outcomes in China.</w:t>
      </w:r>
    </w:p>
    <w:p w14:paraId="654D506D" w14:textId="77777777"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Offers valuable empirical evidence for comparison with Hong Kong’s trade finance ecosystem.</w:t>
      </w:r>
    </w:p>
    <w:p w14:paraId="621343B5" w14:textId="77777777" w:rsidR="00D84CFA" w:rsidRPr="00A333D5" w:rsidRDefault="00D84CFA" w:rsidP="00D84CFA">
      <w:pPr>
        <w:autoSpaceDE w:val="0"/>
        <w:autoSpaceDN w:val="0"/>
        <w:adjustRightInd w:val="0"/>
        <w:spacing w:after="0" w:line="276" w:lineRule="auto"/>
        <w:ind w:left="720" w:hanging="720"/>
        <w:rPr>
          <w:rFonts w:cs="Arial"/>
          <w:kern w:val="0"/>
        </w:rPr>
      </w:pPr>
    </w:p>
    <w:p w14:paraId="181955FE" w14:textId="1C2A04DE" w:rsidR="00D84CFA" w:rsidRPr="00A333D5" w:rsidRDefault="00D84CFA" w:rsidP="00D84CFA">
      <w:pPr>
        <w:autoSpaceDE w:val="0"/>
        <w:autoSpaceDN w:val="0"/>
        <w:adjustRightInd w:val="0"/>
        <w:spacing w:after="0" w:line="276" w:lineRule="auto"/>
        <w:ind w:left="720" w:hanging="720"/>
        <w:rPr>
          <w:rFonts w:cs="Arial"/>
          <w:kern w:val="0"/>
        </w:rPr>
      </w:pPr>
      <w:r w:rsidRPr="00A333D5">
        <w:rPr>
          <w:rFonts w:cs="Arial"/>
          <w:kern w:val="0"/>
        </w:rPr>
        <w:t xml:space="preserve">  Luo, S. (2022). </w:t>
      </w:r>
      <w:r w:rsidRPr="00A333D5">
        <w:rPr>
          <w:rFonts w:cs="Arial"/>
          <w:i/>
          <w:iCs/>
          <w:kern w:val="0"/>
        </w:rPr>
        <w:t>Digital finance development and the digital transformation of enterprises: Based on the perspective of financing constraint and innovation drive.  Journal of Mathematics, 2022,</w:t>
      </w:r>
      <w:r w:rsidRPr="00A333D5">
        <w:rPr>
          <w:rFonts w:cs="Arial"/>
          <w:kern w:val="0"/>
        </w:rPr>
        <w:t xml:space="preserve">  Article 1607020. https://doi.org/10.1155/2022/1607020 </w:t>
      </w:r>
    </w:p>
    <w:p w14:paraId="1F049F95" w14:textId="77777777"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Links digital finance to enterprise digital transformation, focusing on financing constraints.</w:t>
      </w:r>
    </w:p>
    <w:p w14:paraId="0F6AD459" w14:textId="2ED2743F"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Helps adoption behaviour within broader corporate innovation strategies.</w:t>
      </w:r>
    </w:p>
    <w:p w14:paraId="10611D2C" w14:textId="77777777" w:rsidR="00D84CFA" w:rsidRPr="00A333D5" w:rsidRDefault="00D84CFA" w:rsidP="00D84CFA">
      <w:pPr>
        <w:autoSpaceDE w:val="0"/>
        <w:autoSpaceDN w:val="0"/>
        <w:adjustRightInd w:val="0"/>
        <w:spacing w:after="0" w:line="276" w:lineRule="auto"/>
        <w:ind w:left="720" w:hanging="720"/>
        <w:rPr>
          <w:rFonts w:cs="Arial"/>
          <w:kern w:val="0"/>
        </w:rPr>
      </w:pPr>
    </w:p>
    <w:p w14:paraId="78A8D55B" w14:textId="6FD5A7A2" w:rsidR="00D84CFA" w:rsidRPr="00A333D5" w:rsidRDefault="00D84CFA" w:rsidP="00D84CFA">
      <w:pPr>
        <w:autoSpaceDE w:val="0"/>
        <w:autoSpaceDN w:val="0"/>
        <w:adjustRightInd w:val="0"/>
        <w:spacing w:after="0" w:line="276" w:lineRule="auto"/>
        <w:ind w:left="720" w:hanging="720"/>
        <w:rPr>
          <w:rFonts w:cs="Arial"/>
          <w:kern w:val="0"/>
        </w:rPr>
      </w:pPr>
      <w:r w:rsidRPr="00A333D5">
        <w:rPr>
          <w:rFonts w:cs="Arial"/>
          <w:kern w:val="0"/>
        </w:rPr>
        <w:t xml:space="preserve">  Miglani, A., et al. (2025). A comprehensive study on energy trading and finance using blockchain technology.  Unconventional Resources, 6,  100160. https://doi.org/10.1016/j.uncres.2025.100160 </w:t>
      </w:r>
    </w:p>
    <w:p w14:paraId="000E02FE" w14:textId="77777777"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Examines blockchain applications in energy trading and finance.</w:t>
      </w:r>
    </w:p>
    <w:p w14:paraId="34957236" w14:textId="77A09E21" w:rsidR="00D84CFA" w:rsidRPr="00A333D5" w:rsidRDefault="00A82839" w:rsidP="00D84CFA">
      <w:pPr>
        <w:autoSpaceDE w:val="0"/>
        <w:autoSpaceDN w:val="0"/>
        <w:adjustRightInd w:val="0"/>
        <w:spacing w:after="0" w:line="276" w:lineRule="auto"/>
        <w:ind w:left="720"/>
        <w:rPr>
          <w:rFonts w:cs="Arial"/>
          <w:kern w:val="0"/>
        </w:rPr>
      </w:pPr>
      <w:r w:rsidRPr="00A333D5">
        <w:rPr>
          <w:rFonts w:cs="Arial"/>
          <w:kern w:val="0"/>
        </w:rPr>
        <w:t xml:space="preserve">Relevant where the </w:t>
      </w:r>
      <w:r w:rsidR="00D84CFA" w:rsidRPr="00A333D5">
        <w:rPr>
          <w:rFonts w:cs="Arial"/>
          <w:kern w:val="0"/>
        </w:rPr>
        <w:t>cross-industry potential of blockchain for transaction efficiency and transparency.</w:t>
      </w:r>
    </w:p>
    <w:p w14:paraId="644B5456" w14:textId="77777777" w:rsidR="00D84CFA" w:rsidRPr="00A333D5" w:rsidRDefault="00D84CFA" w:rsidP="00D84CFA">
      <w:pPr>
        <w:autoSpaceDE w:val="0"/>
        <w:autoSpaceDN w:val="0"/>
        <w:adjustRightInd w:val="0"/>
        <w:spacing w:after="0" w:line="276" w:lineRule="auto"/>
        <w:ind w:left="720" w:hanging="720"/>
        <w:rPr>
          <w:rFonts w:cs="Arial"/>
          <w:kern w:val="0"/>
        </w:rPr>
      </w:pPr>
    </w:p>
    <w:p w14:paraId="38EF6319" w14:textId="22ADA62A" w:rsidR="00D84CFA" w:rsidRPr="00A333D5" w:rsidRDefault="00D84CFA" w:rsidP="00D84CFA">
      <w:pPr>
        <w:autoSpaceDE w:val="0"/>
        <w:autoSpaceDN w:val="0"/>
        <w:adjustRightInd w:val="0"/>
        <w:spacing w:after="0" w:line="276" w:lineRule="auto"/>
        <w:ind w:left="720" w:hanging="720"/>
        <w:rPr>
          <w:rFonts w:cs="Arial"/>
          <w:kern w:val="0"/>
        </w:rPr>
      </w:pPr>
      <w:r w:rsidRPr="00A333D5">
        <w:rPr>
          <w:rFonts w:cs="Arial"/>
          <w:kern w:val="0"/>
        </w:rPr>
        <w:t xml:space="preserve">  Montazemi, A. R., &amp; Qahri-Saremi, H. (2015). Factors affecting adoption of online banking: A meta-analytic structural equation modelling study.  Information &amp; Management, 52 (2), 210–226. https://doi.org/10.1016/j.im.2014.11.002 </w:t>
      </w:r>
    </w:p>
    <w:p w14:paraId="52B99996" w14:textId="77777777"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A meta-analysis of adoption factors in online banking, validated through structural equation modelling.</w:t>
      </w:r>
    </w:p>
    <w:p w14:paraId="3545F1B9" w14:textId="77777777"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Provides a firm empirical foundation for behavioural adoption constructs, such as trust and risk.</w:t>
      </w:r>
    </w:p>
    <w:p w14:paraId="5FF2AA37" w14:textId="77777777" w:rsidR="00D84CFA" w:rsidRPr="00A333D5" w:rsidRDefault="00D84CFA" w:rsidP="00A82839">
      <w:pPr>
        <w:autoSpaceDE w:val="0"/>
        <w:autoSpaceDN w:val="0"/>
        <w:adjustRightInd w:val="0"/>
        <w:spacing w:after="0" w:line="276" w:lineRule="auto"/>
        <w:rPr>
          <w:rFonts w:cs="Arial"/>
          <w:kern w:val="0"/>
        </w:rPr>
      </w:pPr>
    </w:p>
    <w:p w14:paraId="7B78F2D8" w14:textId="0DEA3478" w:rsidR="00D84CFA" w:rsidRPr="00A333D5" w:rsidRDefault="00D84CFA" w:rsidP="00D84CFA">
      <w:pPr>
        <w:autoSpaceDE w:val="0"/>
        <w:autoSpaceDN w:val="0"/>
        <w:adjustRightInd w:val="0"/>
        <w:spacing w:after="0" w:line="276" w:lineRule="auto"/>
        <w:ind w:left="720" w:hanging="720"/>
        <w:rPr>
          <w:rFonts w:cs="Arial"/>
          <w:kern w:val="0"/>
        </w:rPr>
      </w:pPr>
      <w:r w:rsidRPr="00A333D5">
        <w:rPr>
          <w:rFonts w:cs="Arial"/>
          <w:kern w:val="0"/>
        </w:rPr>
        <w:t xml:space="preserve">  Pun, K. F., et al. (2008). </w:t>
      </w:r>
      <w:r w:rsidRPr="00A333D5">
        <w:rPr>
          <w:rFonts w:cs="Arial"/>
          <w:i/>
          <w:iCs/>
          <w:kern w:val="0"/>
        </w:rPr>
        <w:t xml:space="preserve">Towards e-business and supply chain operations: An empirical study of Hong Kong’s trading industry.  International Journal of Value Chain Management, 2 (4), </w:t>
      </w:r>
      <w:r w:rsidRPr="00A333D5">
        <w:rPr>
          <w:rFonts w:cs="Arial"/>
          <w:kern w:val="0"/>
        </w:rPr>
        <w:t xml:space="preserve">450–470. https://doi.org/10.1504/ijvcm.2008.019851 </w:t>
      </w:r>
    </w:p>
    <w:p w14:paraId="6A0933C4" w14:textId="77777777"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Provides early empirical evidence on e-business adoption in Hong Kong’s trading sector, which is relevant for contextualising the adoption of digital trade finance.</w:t>
      </w:r>
    </w:p>
    <w:p w14:paraId="7E13C43C" w14:textId="7B07C522"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lastRenderedPageBreak/>
        <w:t>Directly aligning with the TOE framework</w:t>
      </w:r>
      <w:r w:rsidR="00A82839" w:rsidRPr="00A333D5">
        <w:rPr>
          <w:rFonts w:cs="Arial"/>
          <w:kern w:val="0"/>
        </w:rPr>
        <w:t xml:space="preserve">, </w:t>
      </w:r>
      <w:r w:rsidRPr="00A333D5">
        <w:rPr>
          <w:rFonts w:cs="Arial"/>
          <w:kern w:val="0"/>
        </w:rPr>
        <w:t>allowing us to draw a line between earlier e-business barriers and today’s adoption–monetisation gap in digital trade finance.</w:t>
      </w:r>
    </w:p>
    <w:p w14:paraId="402B57BE" w14:textId="77777777" w:rsidR="00217F04" w:rsidRPr="00A333D5" w:rsidRDefault="00217F04" w:rsidP="00D84CFA">
      <w:pPr>
        <w:autoSpaceDE w:val="0"/>
        <w:autoSpaceDN w:val="0"/>
        <w:adjustRightInd w:val="0"/>
        <w:spacing w:after="0" w:line="276" w:lineRule="auto"/>
        <w:ind w:left="720"/>
        <w:rPr>
          <w:rFonts w:cs="Arial"/>
          <w:kern w:val="0"/>
        </w:rPr>
      </w:pPr>
    </w:p>
    <w:p w14:paraId="0A36FDD2" w14:textId="29A6EB16" w:rsidR="00A206C2" w:rsidRPr="00A333D5" w:rsidRDefault="00217F04" w:rsidP="00A206C2">
      <w:pPr>
        <w:spacing w:after="0" w:line="240" w:lineRule="auto"/>
        <w:rPr>
          <w:rFonts w:eastAsia="Times New Roman" w:cs="Times New Roman"/>
          <w:color w:val="000000" w:themeColor="text1"/>
          <w:kern w:val="0"/>
          <w14:ligatures w14:val="none"/>
        </w:rPr>
      </w:pPr>
      <w:r w:rsidRPr="00A333D5">
        <w:rPr>
          <w:rFonts w:eastAsia="Times New Roman" w:cs="Times New Roman"/>
          <w:color w:val="000000" w:themeColor="text1"/>
          <w:kern w:val="0"/>
          <w14:ligatures w14:val="none"/>
        </w:rPr>
        <w:t>Rochet, J.</w:t>
      </w:r>
      <w:r w:rsidRPr="00A333D5">
        <w:rPr>
          <w:rFonts w:eastAsia="Times New Roman" w:cs="Times New Roman"/>
          <w:color w:val="000000" w:themeColor="text1"/>
          <w:kern w:val="0"/>
          <w14:ligatures w14:val="none"/>
        </w:rPr>
        <w:noBreakHyphen/>
        <w:t xml:space="preserve">C., &amp; </w:t>
      </w:r>
      <w:proofErr w:type="spellStart"/>
      <w:r w:rsidRPr="00A333D5">
        <w:rPr>
          <w:rFonts w:eastAsia="Times New Roman" w:cs="Times New Roman"/>
          <w:color w:val="000000" w:themeColor="text1"/>
          <w:kern w:val="0"/>
          <w14:ligatures w14:val="none"/>
        </w:rPr>
        <w:t>Tirole</w:t>
      </w:r>
      <w:proofErr w:type="spellEnd"/>
      <w:r w:rsidRPr="00A333D5">
        <w:rPr>
          <w:rFonts w:eastAsia="Times New Roman" w:cs="Times New Roman"/>
          <w:color w:val="000000" w:themeColor="text1"/>
          <w:kern w:val="0"/>
          <w14:ligatures w14:val="none"/>
        </w:rPr>
        <w:t>, J. (2003). </w:t>
      </w:r>
      <w:r w:rsidRPr="00A333D5">
        <w:rPr>
          <w:rFonts w:eastAsia="Times New Roman" w:cs="Times New Roman"/>
          <w:i/>
          <w:iCs/>
          <w:color w:val="000000" w:themeColor="text1"/>
          <w:kern w:val="0"/>
          <w14:ligatures w14:val="none"/>
        </w:rPr>
        <w:t>Platform competition in two-sided markets</w:t>
      </w:r>
      <w:r w:rsidRPr="00A333D5">
        <w:rPr>
          <w:rFonts w:eastAsia="Times New Roman" w:cs="Times New Roman"/>
          <w:color w:val="000000" w:themeColor="text1"/>
          <w:kern w:val="0"/>
          <w14:ligatures w14:val="none"/>
        </w:rPr>
        <w:t>. </w:t>
      </w:r>
      <w:r w:rsidRPr="00A333D5">
        <w:rPr>
          <w:rFonts w:eastAsia="Times New Roman" w:cs="Times New Roman"/>
          <w:i/>
          <w:iCs/>
          <w:color w:val="000000" w:themeColor="text1"/>
          <w:kern w:val="0"/>
          <w14:ligatures w14:val="none"/>
        </w:rPr>
        <w:t>Journal of the European Economic Association, 1</w:t>
      </w:r>
      <w:r w:rsidRPr="00A333D5">
        <w:rPr>
          <w:rFonts w:eastAsia="Times New Roman" w:cs="Times New Roman"/>
          <w:color w:val="000000" w:themeColor="text1"/>
          <w:kern w:val="0"/>
          <w14:ligatures w14:val="none"/>
        </w:rPr>
        <w:t>(4), 990–1029.</w:t>
      </w:r>
      <w:r w:rsidR="00A206C2" w:rsidRPr="00A333D5">
        <w:rPr>
          <w:rFonts w:eastAsia="Times New Roman" w:cs="Times New Roman"/>
          <w:color w:val="000000" w:themeColor="text1"/>
          <w:kern w:val="0"/>
          <w14:ligatures w14:val="none"/>
        </w:rPr>
        <w:t xml:space="preserve"> </w:t>
      </w:r>
      <w:hyperlink r:id="rId20" w:history="1">
        <w:r w:rsidR="00A206C2" w:rsidRPr="00A333D5">
          <w:rPr>
            <w:rStyle w:val="Hyperlink"/>
            <w:rFonts w:eastAsia="Times New Roman" w:cs="Times New Roman"/>
            <w:color w:val="000000" w:themeColor="text1"/>
            <w:kern w:val="0"/>
            <w14:ligatures w14:val="none"/>
          </w:rPr>
          <w:t>https://www.researchgate.net/profile/Richard-Schmalensee/publication/297823521_An_Instant_Classic_Rochet_Tirole_Platform_Competition_in_Two-Sided_Markets/links/587d1cb608aed3826af00b3e/An-Instant-Classic-Rochet-Tirole-Platform-Competition-in-Two-Sided-Markets.pdf</w:t>
        </w:r>
      </w:hyperlink>
    </w:p>
    <w:p w14:paraId="65C46746" w14:textId="7422A49B" w:rsidR="00217F04" w:rsidRPr="00A333D5" w:rsidRDefault="00A206C2" w:rsidP="00A206C2">
      <w:pPr>
        <w:pStyle w:val="NormalWeb"/>
        <w:spacing w:before="0" w:beforeAutospacing="0" w:after="0" w:afterAutospacing="0"/>
        <w:ind w:left="720"/>
        <w:rPr>
          <w:rFonts w:asciiTheme="minorHAnsi" w:hAnsiTheme="minorHAnsi"/>
          <w:color w:val="000000" w:themeColor="text1"/>
        </w:rPr>
      </w:pPr>
      <w:r w:rsidRPr="00A333D5">
        <w:rPr>
          <w:rFonts w:asciiTheme="minorHAnsi" w:hAnsiTheme="minorHAnsi"/>
          <w:color w:val="000000" w:themeColor="text1"/>
        </w:rPr>
        <w:t>Provides two-sided platforms manage pricing and network effects by subsidizing one group to attract the other. Relevant because digital trade finance function as two-sided markets, requiring similar pricing and adoption strategies to grow and monetize.</w:t>
      </w:r>
    </w:p>
    <w:p w14:paraId="575C306D" w14:textId="77777777" w:rsidR="00D84CFA" w:rsidRPr="00A333D5" w:rsidRDefault="00D84CFA" w:rsidP="00D84CFA">
      <w:pPr>
        <w:autoSpaceDE w:val="0"/>
        <w:autoSpaceDN w:val="0"/>
        <w:adjustRightInd w:val="0"/>
        <w:spacing w:after="0" w:line="276" w:lineRule="auto"/>
        <w:ind w:left="720" w:hanging="720"/>
        <w:rPr>
          <w:rFonts w:cs="Arial"/>
          <w:kern w:val="0"/>
        </w:rPr>
      </w:pPr>
    </w:p>
    <w:p w14:paraId="06BA9E64" w14:textId="23847614" w:rsidR="00D84CFA" w:rsidRPr="00A333D5" w:rsidRDefault="00D84CFA" w:rsidP="00D84CFA">
      <w:pPr>
        <w:autoSpaceDE w:val="0"/>
        <w:autoSpaceDN w:val="0"/>
        <w:adjustRightInd w:val="0"/>
        <w:spacing w:after="0" w:line="276" w:lineRule="auto"/>
        <w:ind w:left="720" w:hanging="720"/>
        <w:rPr>
          <w:rFonts w:cs="Arial"/>
          <w:kern w:val="0"/>
        </w:rPr>
      </w:pPr>
      <w:r w:rsidRPr="00A333D5">
        <w:rPr>
          <w:rFonts w:cs="Arial"/>
          <w:kern w:val="0"/>
        </w:rPr>
        <w:t xml:space="preserve">  Sayari, K. (2025). The AI revolution in financial markets: Balancing innovation opportunities and challenges. In  Education, future jobs and smart systems in the age of artificial intelligence, Part A  (pp. 141–160). Emerald Publishing. https://doi.org/10.1108/978-1-83608-904-920251009 </w:t>
      </w:r>
    </w:p>
    <w:p w14:paraId="405B1F2C" w14:textId="77777777"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Explores AI’s disruptive role in financial markets, balancing benefits and challenges.</w:t>
      </w:r>
    </w:p>
    <w:p w14:paraId="04404890" w14:textId="25661F12" w:rsidR="00217F04" w:rsidRPr="00A333D5" w:rsidRDefault="00D84CFA" w:rsidP="00462179">
      <w:pPr>
        <w:autoSpaceDE w:val="0"/>
        <w:autoSpaceDN w:val="0"/>
        <w:adjustRightInd w:val="0"/>
        <w:spacing w:after="0" w:line="276" w:lineRule="auto"/>
        <w:ind w:left="720"/>
        <w:rPr>
          <w:rFonts w:cs="Arial"/>
          <w:kern w:val="0"/>
        </w:rPr>
      </w:pPr>
      <w:r w:rsidRPr="00A333D5">
        <w:rPr>
          <w:rFonts w:cs="Arial"/>
          <w:kern w:val="0"/>
        </w:rPr>
        <w:t>Supports discussion of AI-enabled insights as part of perceived relative benefits.</w:t>
      </w:r>
    </w:p>
    <w:p w14:paraId="4770FBC7" w14:textId="77777777" w:rsidR="00217F04" w:rsidRPr="00A333D5" w:rsidRDefault="00217F04" w:rsidP="00462179">
      <w:pPr>
        <w:autoSpaceDE w:val="0"/>
        <w:autoSpaceDN w:val="0"/>
        <w:adjustRightInd w:val="0"/>
        <w:spacing w:after="0" w:line="276" w:lineRule="auto"/>
        <w:rPr>
          <w:rFonts w:cs="Arial"/>
          <w:kern w:val="0"/>
        </w:rPr>
      </w:pPr>
    </w:p>
    <w:p w14:paraId="02EBEBC4" w14:textId="77777777" w:rsidR="00217F04" w:rsidRPr="00A333D5" w:rsidRDefault="00217F04" w:rsidP="00217F04">
      <w:pPr>
        <w:autoSpaceDE w:val="0"/>
        <w:autoSpaceDN w:val="0"/>
        <w:adjustRightInd w:val="0"/>
        <w:spacing w:after="0" w:line="276" w:lineRule="auto"/>
        <w:ind w:left="720" w:hanging="720"/>
        <w:rPr>
          <w:rFonts w:cs="Arial"/>
          <w:kern w:val="0"/>
        </w:rPr>
      </w:pPr>
      <w:r w:rsidRPr="00A333D5">
        <w:rPr>
          <w:rFonts w:cs="Arial"/>
          <w:kern w:val="0"/>
        </w:rPr>
        <w:t>Susanty, A., et al. (2025). Factors influencing the intention of textile and garment SMEs to adopt digital technologies and their impact on performance.  Scientific Reports, 15 (1), 94625. https://doi.org/10.1038/s41598-025-94625-7</w:t>
      </w:r>
    </w:p>
    <w:p w14:paraId="2FC07726" w14:textId="5FD7972D" w:rsidR="00217F04" w:rsidRPr="00A333D5" w:rsidRDefault="00A82839" w:rsidP="00217F04">
      <w:pPr>
        <w:autoSpaceDE w:val="0"/>
        <w:autoSpaceDN w:val="0"/>
        <w:adjustRightInd w:val="0"/>
        <w:spacing w:after="0" w:line="276" w:lineRule="auto"/>
        <w:ind w:left="720"/>
        <w:rPr>
          <w:rFonts w:cs="Arial"/>
          <w:kern w:val="0"/>
        </w:rPr>
      </w:pPr>
      <w:r w:rsidRPr="00A333D5">
        <w:rPr>
          <w:rFonts w:cs="Arial"/>
          <w:kern w:val="0"/>
        </w:rPr>
        <w:t>Examines</w:t>
      </w:r>
      <w:r w:rsidR="00217F04" w:rsidRPr="00A333D5">
        <w:rPr>
          <w:rFonts w:cs="Arial"/>
          <w:kern w:val="0"/>
        </w:rPr>
        <w:t xml:space="preserve"> the adoption factors of digital technology in SMEs, such as performance expectancy, effort expectancy, and social influence, and linking them to performance outcomes.</w:t>
      </w:r>
    </w:p>
    <w:p w14:paraId="05A7C873" w14:textId="77777777" w:rsidR="00217F04" w:rsidRPr="00A333D5" w:rsidRDefault="00217F04" w:rsidP="00217F04">
      <w:pPr>
        <w:autoSpaceDE w:val="0"/>
        <w:autoSpaceDN w:val="0"/>
        <w:adjustRightInd w:val="0"/>
        <w:spacing w:after="0" w:line="276" w:lineRule="auto"/>
        <w:ind w:left="720"/>
        <w:rPr>
          <w:rFonts w:cs="Arial"/>
          <w:kern w:val="0"/>
        </w:rPr>
      </w:pPr>
      <w:r w:rsidRPr="00A333D5">
        <w:rPr>
          <w:rFonts w:cs="Arial"/>
          <w:kern w:val="0"/>
        </w:rPr>
        <w:t xml:space="preserve">Although SME-focused, this article provides transferable </w:t>
      </w:r>
      <w:proofErr w:type="spellStart"/>
      <w:r w:rsidRPr="00A333D5">
        <w:rPr>
          <w:rFonts w:cs="Arial"/>
          <w:kern w:val="0"/>
        </w:rPr>
        <w:t>behavioural</w:t>
      </w:r>
      <w:proofErr w:type="spellEnd"/>
      <w:r w:rsidRPr="00A333D5">
        <w:rPr>
          <w:rFonts w:cs="Arial"/>
          <w:kern w:val="0"/>
        </w:rPr>
        <w:t xml:space="preserve"> constructs relevant to treasurers’ adoption of digital trade finance platforms.</w:t>
      </w:r>
    </w:p>
    <w:p w14:paraId="3F8575F3" w14:textId="77777777" w:rsidR="00D84CFA" w:rsidRPr="00A333D5" w:rsidRDefault="00D84CFA" w:rsidP="00D84CFA">
      <w:pPr>
        <w:autoSpaceDE w:val="0"/>
        <w:autoSpaceDN w:val="0"/>
        <w:adjustRightInd w:val="0"/>
        <w:spacing w:after="0" w:line="276" w:lineRule="auto"/>
        <w:ind w:left="720" w:hanging="720"/>
        <w:rPr>
          <w:rFonts w:cs="Arial"/>
          <w:kern w:val="0"/>
        </w:rPr>
      </w:pPr>
    </w:p>
    <w:p w14:paraId="33742D6F" w14:textId="3072C39D" w:rsidR="00217F04" w:rsidRPr="00A333D5" w:rsidRDefault="00462179" w:rsidP="00462179">
      <w:pPr>
        <w:autoSpaceDE w:val="0"/>
        <w:autoSpaceDN w:val="0"/>
        <w:adjustRightInd w:val="0"/>
        <w:spacing w:after="0" w:line="276" w:lineRule="auto"/>
      </w:pPr>
      <w:r w:rsidRPr="00A333D5">
        <w:rPr>
          <w:color w:val="000000"/>
        </w:rPr>
        <w:t>Tanveer, U., Hoang, T. G., &amp; Ishaq, S. (2025).</w:t>
      </w:r>
      <w:r w:rsidRPr="00A333D5">
        <w:rPr>
          <w:rStyle w:val="apple-converted-space"/>
          <w:color w:val="000000"/>
        </w:rPr>
        <w:t> </w:t>
      </w:r>
      <w:r w:rsidRPr="00A333D5">
        <w:rPr>
          <w:rStyle w:val="Emphasis"/>
          <w:color w:val="000000"/>
        </w:rPr>
        <w:t>Reshaping global trade finance and supply chains through digital supply chain finance platforms</w:t>
      </w:r>
      <w:r w:rsidRPr="00A333D5">
        <w:rPr>
          <w:color w:val="000000"/>
        </w:rPr>
        <w:t>.</w:t>
      </w:r>
      <w:r w:rsidRPr="00A333D5">
        <w:rPr>
          <w:rStyle w:val="apple-converted-space"/>
          <w:color w:val="000000"/>
        </w:rPr>
        <w:t> </w:t>
      </w:r>
      <w:r w:rsidRPr="00A333D5">
        <w:rPr>
          <w:rStyle w:val="Emphasis"/>
          <w:color w:val="000000"/>
        </w:rPr>
        <w:t>Journal of Business Logistics</w:t>
      </w:r>
      <w:r w:rsidRPr="00A333D5">
        <w:rPr>
          <w:color w:val="000000"/>
        </w:rPr>
        <w:t>. Advance online publication.</w:t>
      </w:r>
      <w:r w:rsidRPr="00A333D5">
        <w:rPr>
          <w:rStyle w:val="apple-converted-space"/>
          <w:color w:val="000000"/>
        </w:rPr>
        <w:t> </w:t>
      </w:r>
      <w:hyperlink r:id="rId21" w:history="1">
        <w:r w:rsidR="00766555" w:rsidRPr="00A333D5">
          <w:rPr>
            <w:rStyle w:val="Hyperlink"/>
          </w:rPr>
          <w:t>https://doi.org/10.1111/jbl.70022</w:t>
        </w:r>
      </w:hyperlink>
    </w:p>
    <w:p w14:paraId="6E389A77" w14:textId="43C80C8D" w:rsidR="00766555" w:rsidRPr="00A333D5" w:rsidRDefault="00766555" w:rsidP="00766555">
      <w:pPr>
        <w:pStyle w:val="NormalWeb"/>
        <w:spacing w:before="0" w:beforeAutospacing="0" w:after="0" w:afterAutospacing="0"/>
        <w:ind w:left="360"/>
        <w:rPr>
          <w:rFonts w:asciiTheme="minorHAnsi" w:hAnsiTheme="minorHAnsi"/>
          <w:color w:val="000000"/>
        </w:rPr>
      </w:pPr>
      <w:r w:rsidRPr="00A333D5">
        <w:rPr>
          <w:rFonts w:asciiTheme="minorHAnsi" w:hAnsiTheme="minorHAnsi"/>
          <w:color w:val="000000"/>
        </w:rPr>
        <w:t>Provide digital supply chain finance platforms enhance efficiency, transparency, and financing access in global trade. Relevant as it highlights how digital platforms create value and new fee-based income opportunities in trade finance.</w:t>
      </w:r>
    </w:p>
    <w:p w14:paraId="0FDBA963" w14:textId="77777777" w:rsidR="00217F04" w:rsidRPr="00A333D5" w:rsidRDefault="00217F04" w:rsidP="00766555">
      <w:pPr>
        <w:autoSpaceDE w:val="0"/>
        <w:autoSpaceDN w:val="0"/>
        <w:adjustRightInd w:val="0"/>
        <w:spacing w:after="0" w:line="276" w:lineRule="auto"/>
        <w:rPr>
          <w:rFonts w:cs="Arial"/>
          <w:kern w:val="0"/>
        </w:rPr>
      </w:pPr>
    </w:p>
    <w:p w14:paraId="2B9870B4" w14:textId="16A36D19" w:rsidR="00D84CFA" w:rsidRPr="00A333D5" w:rsidRDefault="00D84CFA" w:rsidP="00766555">
      <w:pPr>
        <w:autoSpaceDE w:val="0"/>
        <w:autoSpaceDN w:val="0"/>
        <w:adjustRightInd w:val="0"/>
        <w:spacing w:after="0" w:line="276" w:lineRule="auto"/>
        <w:ind w:left="360" w:hanging="360"/>
        <w:rPr>
          <w:rFonts w:cs="Arial"/>
          <w:kern w:val="0"/>
        </w:rPr>
      </w:pPr>
      <w:r w:rsidRPr="00A333D5">
        <w:rPr>
          <w:rFonts w:cs="Arial"/>
          <w:kern w:val="0"/>
        </w:rPr>
        <w:t xml:space="preserve">Tsui, Y., et al. (2019). Fintech development in Hong Kong, China.  Econstor.  https://www.econstor.eu/handle/10419/222780 </w:t>
      </w:r>
    </w:p>
    <w:p w14:paraId="12288016" w14:textId="77777777" w:rsidR="00D84CFA" w:rsidRPr="00A333D5" w:rsidRDefault="00D84CFA" w:rsidP="00D84CFA">
      <w:pPr>
        <w:autoSpaceDE w:val="0"/>
        <w:autoSpaceDN w:val="0"/>
        <w:adjustRightInd w:val="0"/>
        <w:spacing w:after="0" w:line="276" w:lineRule="auto"/>
        <w:ind w:left="1440" w:hanging="720"/>
        <w:rPr>
          <w:rFonts w:cs="Arial"/>
          <w:kern w:val="0"/>
        </w:rPr>
      </w:pPr>
      <w:r w:rsidRPr="00A333D5">
        <w:rPr>
          <w:rFonts w:cs="Arial"/>
          <w:kern w:val="0"/>
        </w:rPr>
        <w:lastRenderedPageBreak/>
        <w:t>Discusses fintech development trends in Hong Kong, including regulatory measures.</w:t>
      </w:r>
    </w:p>
    <w:p w14:paraId="62F53095" w14:textId="4FF96B0E" w:rsidR="00DC253E" w:rsidRPr="00A333D5" w:rsidRDefault="00D84CFA" w:rsidP="00766555">
      <w:pPr>
        <w:autoSpaceDE w:val="0"/>
        <w:autoSpaceDN w:val="0"/>
        <w:adjustRightInd w:val="0"/>
        <w:spacing w:after="0" w:line="276" w:lineRule="auto"/>
        <w:ind w:left="1440" w:hanging="720"/>
        <w:rPr>
          <w:rFonts w:cs="Arial"/>
          <w:kern w:val="0"/>
        </w:rPr>
      </w:pPr>
      <w:r w:rsidRPr="00A333D5">
        <w:rPr>
          <w:rFonts w:cs="Arial"/>
          <w:kern w:val="0"/>
        </w:rPr>
        <w:t>Provides helpful background on Hong Kong’s digital finance environment.</w:t>
      </w:r>
    </w:p>
    <w:p w14:paraId="78FDC5C9" w14:textId="77777777" w:rsidR="00D84CFA" w:rsidRPr="00A333D5" w:rsidRDefault="00D84CFA" w:rsidP="00D84CFA">
      <w:pPr>
        <w:autoSpaceDE w:val="0"/>
        <w:autoSpaceDN w:val="0"/>
        <w:adjustRightInd w:val="0"/>
        <w:spacing w:after="0" w:line="276" w:lineRule="auto"/>
        <w:ind w:left="720" w:hanging="720"/>
        <w:rPr>
          <w:rFonts w:cs="Arial"/>
          <w:kern w:val="0"/>
        </w:rPr>
      </w:pPr>
    </w:p>
    <w:p w14:paraId="3A99BB3D" w14:textId="6473F5C7" w:rsidR="00D84CFA" w:rsidRPr="00A333D5" w:rsidRDefault="00D84CFA" w:rsidP="00D84CFA">
      <w:pPr>
        <w:autoSpaceDE w:val="0"/>
        <w:autoSpaceDN w:val="0"/>
        <w:adjustRightInd w:val="0"/>
        <w:spacing w:after="0" w:line="276" w:lineRule="auto"/>
        <w:ind w:left="720" w:hanging="720"/>
        <w:rPr>
          <w:rFonts w:cs="Arial"/>
          <w:kern w:val="0"/>
        </w:rPr>
      </w:pPr>
      <w:r w:rsidRPr="00A333D5">
        <w:rPr>
          <w:rFonts w:cs="Arial"/>
          <w:kern w:val="0"/>
        </w:rPr>
        <w:t xml:space="preserve">  Weber, R. H. (2015). </w:t>
      </w:r>
      <w:r w:rsidRPr="00A333D5">
        <w:rPr>
          <w:rFonts w:cs="Arial"/>
          <w:i/>
          <w:iCs/>
          <w:kern w:val="0"/>
        </w:rPr>
        <w:t>Digital trade and e-commerce: Challenges and opportunities of the Asia-Pacific regionalism.  Asian Journal of WTO and International Health Law and Policy, 10,</w:t>
      </w:r>
      <w:r w:rsidRPr="00A333D5">
        <w:rPr>
          <w:rFonts w:cs="Arial"/>
          <w:kern w:val="0"/>
        </w:rPr>
        <w:t xml:space="preserve">  321–343.  </w:t>
      </w:r>
    </w:p>
    <w:p w14:paraId="36B0D95E" w14:textId="77777777"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Examines regional e-commerce and trade policy issues in the Asia-Pacific.</w:t>
      </w:r>
    </w:p>
    <w:p w14:paraId="398FCC8E" w14:textId="77777777"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Helpful in positioning Hong Kong’s digital trade within broader regional frameworks.</w:t>
      </w:r>
    </w:p>
    <w:p w14:paraId="5CA74285" w14:textId="77777777" w:rsidR="00D84CFA" w:rsidRPr="00A333D5" w:rsidRDefault="00D84CFA" w:rsidP="00D84CFA">
      <w:pPr>
        <w:autoSpaceDE w:val="0"/>
        <w:autoSpaceDN w:val="0"/>
        <w:adjustRightInd w:val="0"/>
        <w:spacing w:after="0" w:line="276" w:lineRule="auto"/>
        <w:ind w:left="720" w:hanging="720"/>
        <w:rPr>
          <w:rFonts w:cs="Arial"/>
          <w:kern w:val="0"/>
        </w:rPr>
      </w:pPr>
    </w:p>
    <w:p w14:paraId="17AFC77A" w14:textId="717BBEDD" w:rsidR="00D84CFA" w:rsidRPr="00A333D5" w:rsidRDefault="00D84CFA" w:rsidP="00D84CFA">
      <w:pPr>
        <w:autoSpaceDE w:val="0"/>
        <w:autoSpaceDN w:val="0"/>
        <w:adjustRightInd w:val="0"/>
        <w:spacing w:after="0" w:line="276" w:lineRule="auto"/>
        <w:ind w:left="720" w:hanging="720"/>
        <w:rPr>
          <w:rFonts w:cs="Arial"/>
          <w:kern w:val="0"/>
        </w:rPr>
      </w:pPr>
      <w:r w:rsidRPr="00A333D5">
        <w:rPr>
          <w:rFonts w:cs="Arial"/>
          <w:kern w:val="0"/>
        </w:rPr>
        <w:t xml:space="preserve">  Xiao, N., et al. (2023). </w:t>
      </w:r>
      <w:r w:rsidRPr="00A333D5">
        <w:rPr>
          <w:rFonts w:cs="Arial"/>
          <w:i/>
          <w:iCs/>
          <w:kern w:val="0"/>
        </w:rPr>
        <w:t>Role of digital finance, investment, and trade in technological progress.  Global Finance Journal, 57,</w:t>
      </w:r>
      <w:r w:rsidRPr="00A333D5">
        <w:rPr>
          <w:rFonts w:cs="Arial"/>
          <w:kern w:val="0"/>
        </w:rPr>
        <w:t xml:space="preserve">  100853. https://doi.org/10.1016/j.gfj.2023.100853 </w:t>
      </w:r>
    </w:p>
    <w:p w14:paraId="4D846105" w14:textId="77777777" w:rsidR="00D84CFA" w:rsidRPr="00A333D5" w:rsidRDefault="00D84CFA" w:rsidP="00D84CFA">
      <w:pPr>
        <w:autoSpaceDE w:val="0"/>
        <w:autoSpaceDN w:val="0"/>
        <w:adjustRightInd w:val="0"/>
        <w:spacing w:after="0" w:line="276" w:lineRule="auto"/>
        <w:ind w:left="1440" w:hanging="720"/>
        <w:rPr>
          <w:rFonts w:cs="Arial"/>
          <w:kern w:val="0"/>
        </w:rPr>
      </w:pPr>
      <w:r w:rsidRPr="00A333D5">
        <w:rPr>
          <w:rFonts w:cs="Arial"/>
          <w:kern w:val="0"/>
        </w:rPr>
        <w:t>Explores how digital finance and trade contribute to technological progress.</w:t>
      </w:r>
    </w:p>
    <w:p w14:paraId="6A8AE484" w14:textId="77777777" w:rsidR="00D84CFA" w:rsidRPr="00A333D5" w:rsidRDefault="00D84CFA" w:rsidP="00D84CFA">
      <w:pPr>
        <w:autoSpaceDE w:val="0"/>
        <w:autoSpaceDN w:val="0"/>
        <w:adjustRightInd w:val="0"/>
        <w:spacing w:after="0" w:line="276" w:lineRule="auto"/>
        <w:ind w:left="1440" w:hanging="720"/>
        <w:rPr>
          <w:rFonts w:cs="Arial"/>
          <w:kern w:val="0"/>
        </w:rPr>
      </w:pPr>
      <w:r w:rsidRPr="00A333D5">
        <w:rPr>
          <w:rFonts w:cs="Arial"/>
          <w:kern w:val="0"/>
        </w:rPr>
        <w:t>Relevant for linking adoption to broader innovation and competitiveness outcomes.</w:t>
      </w:r>
    </w:p>
    <w:p w14:paraId="6F489B02" w14:textId="77777777" w:rsidR="00DC253E" w:rsidRPr="00A333D5" w:rsidRDefault="00D84CFA" w:rsidP="00766555">
      <w:pPr>
        <w:autoSpaceDE w:val="0"/>
        <w:autoSpaceDN w:val="0"/>
        <w:adjustRightInd w:val="0"/>
        <w:spacing w:after="0" w:line="276" w:lineRule="auto"/>
        <w:rPr>
          <w:rFonts w:cs="Arial"/>
          <w:kern w:val="0"/>
        </w:rPr>
      </w:pPr>
      <w:r w:rsidRPr="00A333D5">
        <w:rPr>
          <w:rFonts w:cs="Arial"/>
          <w:kern w:val="0"/>
        </w:rPr>
        <w:t xml:space="preserve">  </w:t>
      </w:r>
    </w:p>
    <w:p w14:paraId="1D8BA48E" w14:textId="1A19EA92" w:rsidR="00D84CFA" w:rsidRPr="00A333D5" w:rsidRDefault="00D84CFA" w:rsidP="009B55CA">
      <w:pPr>
        <w:autoSpaceDE w:val="0"/>
        <w:autoSpaceDN w:val="0"/>
        <w:adjustRightInd w:val="0"/>
        <w:spacing w:after="0" w:line="276" w:lineRule="auto"/>
        <w:ind w:left="90" w:hanging="90"/>
        <w:rPr>
          <w:rFonts w:cs="Arial"/>
          <w:kern w:val="0"/>
        </w:rPr>
      </w:pPr>
      <w:r w:rsidRPr="00A333D5">
        <w:rPr>
          <w:rFonts w:cs="Arial"/>
          <w:kern w:val="0"/>
        </w:rPr>
        <w:t xml:space="preserve">Yin, Q., &amp; Wang, C. (2025). Research on the mechanisms and effects of digital finance on </w:t>
      </w:r>
      <w:r w:rsidR="00750FB8" w:rsidRPr="00A333D5">
        <w:rPr>
          <w:rFonts w:cs="Arial"/>
          <w:kern w:val="0"/>
        </w:rPr>
        <w:t xml:space="preserve">the </w:t>
      </w:r>
      <w:r w:rsidRPr="00A333D5">
        <w:rPr>
          <w:rFonts w:cs="Arial"/>
          <w:kern w:val="0"/>
        </w:rPr>
        <w:t xml:space="preserve">high-quality development of foreign trade.  Sustainability, 17 (13), 5777. https://doi.org/10.3390/su17135777 </w:t>
      </w:r>
    </w:p>
    <w:p w14:paraId="1134A265" w14:textId="77777777" w:rsidR="00D84CFA" w:rsidRPr="00A333D5" w:rsidRDefault="00D84CFA" w:rsidP="00D84CFA">
      <w:pPr>
        <w:autoSpaceDE w:val="0"/>
        <w:autoSpaceDN w:val="0"/>
        <w:adjustRightInd w:val="0"/>
        <w:spacing w:after="0" w:line="276" w:lineRule="auto"/>
        <w:ind w:left="1440" w:hanging="720"/>
        <w:rPr>
          <w:rFonts w:cs="Arial"/>
          <w:kern w:val="0"/>
        </w:rPr>
      </w:pPr>
      <w:r w:rsidRPr="00A333D5">
        <w:rPr>
          <w:rFonts w:cs="Arial"/>
          <w:kern w:val="0"/>
        </w:rPr>
        <w:t>Studies how digital finance promotes high-quality development in foreign trade.</w:t>
      </w:r>
    </w:p>
    <w:p w14:paraId="2B46C91F" w14:textId="6CCF871D"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Supports argument that digital adoption underpins systemic and trade level growth.</w:t>
      </w:r>
    </w:p>
    <w:p w14:paraId="559E683A" w14:textId="77777777" w:rsidR="00D84CFA" w:rsidRPr="00A333D5" w:rsidRDefault="00D84CFA" w:rsidP="00D84CFA">
      <w:pPr>
        <w:autoSpaceDE w:val="0"/>
        <w:autoSpaceDN w:val="0"/>
        <w:adjustRightInd w:val="0"/>
        <w:spacing w:after="0" w:line="276" w:lineRule="auto"/>
        <w:ind w:left="720" w:hanging="720"/>
        <w:rPr>
          <w:rFonts w:cs="Arial"/>
          <w:kern w:val="0"/>
        </w:rPr>
      </w:pPr>
    </w:p>
    <w:p w14:paraId="39115B3A" w14:textId="42131558" w:rsidR="00D84CFA" w:rsidRPr="00A333D5" w:rsidRDefault="00D84CFA" w:rsidP="00D84CFA">
      <w:pPr>
        <w:autoSpaceDE w:val="0"/>
        <w:autoSpaceDN w:val="0"/>
        <w:adjustRightInd w:val="0"/>
        <w:spacing w:after="0" w:line="276" w:lineRule="auto"/>
        <w:ind w:left="720" w:hanging="720"/>
        <w:rPr>
          <w:rFonts w:cs="Arial"/>
          <w:kern w:val="0"/>
        </w:rPr>
      </w:pPr>
      <w:r w:rsidRPr="00A333D5">
        <w:rPr>
          <w:rFonts w:cs="Arial"/>
          <w:kern w:val="0"/>
        </w:rPr>
        <w:t xml:space="preserve">  Zhang, J., et al. (2025). Firm digitalisation and inter-firm financing along the supply chain.  Economic Analysis and Policy, 86,  98–116. https://doi.org/10.1016/j.eap.2025.02.043 </w:t>
      </w:r>
    </w:p>
    <w:p w14:paraId="69E597F5" w14:textId="4E2C50E9"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 xml:space="preserve">Analyses firm </w:t>
      </w:r>
      <w:proofErr w:type="spellStart"/>
      <w:r w:rsidRPr="00A333D5">
        <w:rPr>
          <w:rFonts w:cs="Arial"/>
          <w:kern w:val="0"/>
        </w:rPr>
        <w:t>digitalisation</w:t>
      </w:r>
      <w:proofErr w:type="spellEnd"/>
      <w:r w:rsidRPr="00A333D5">
        <w:rPr>
          <w:rFonts w:cs="Arial"/>
          <w:kern w:val="0"/>
        </w:rPr>
        <w:t xml:space="preserve"> facilitates financing along supply chains.</w:t>
      </w:r>
    </w:p>
    <w:p w14:paraId="280394AE" w14:textId="77777777"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Strengthens the connection between digital adoption, financing efficiency, and trade flows.</w:t>
      </w:r>
    </w:p>
    <w:p w14:paraId="2C6BA8A9" w14:textId="77777777" w:rsidR="00D84CFA" w:rsidRPr="00A333D5" w:rsidRDefault="00D84CFA" w:rsidP="00D84CFA">
      <w:pPr>
        <w:autoSpaceDE w:val="0"/>
        <w:autoSpaceDN w:val="0"/>
        <w:adjustRightInd w:val="0"/>
        <w:spacing w:after="0" w:line="276" w:lineRule="auto"/>
        <w:ind w:left="720" w:hanging="720"/>
        <w:rPr>
          <w:rFonts w:cs="Arial"/>
          <w:kern w:val="0"/>
        </w:rPr>
      </w:pPr>
    </w:p>
    <w:p w14:paraId="39321FE1" w14:textId="7564E27F" w:rsidR="00D84CFA" w:rsidRPr="00A333D5" w:rsidRDefault="00D84CFA" w:rsidP="00D84CFA">
      <w:pPr>
        <w:autoSpaceDE w:val="0"/>
        <w:autoSpaceDN w:val="0"/>
        <w:adjustRightInd w:val="0"/>
        <w:spacing w:after="0" w:line="276" w:lineRule="auto"/>
        <w:ind w:left="720" w:hanging="720"/>
        <w:rPr>
          <w:rFonts w:cs="Arial"/>
          <w:kern w:val="0"/>
        </w:rPr>
      </w:pPr>
      <w:r w:rsidRPr="00A333D5">
        <w:rPr>
          <w:rFonts w:cs="Arial"/>
          <w:kern w:val="0"/>
        </w:rPr>
        <w:t xml:space="preserve">  Zhang, Y., et al. (2020). </w:t>
      </w:r>
      <w:r w:rsidRPr="00A333D5">
        <w:rPr>
          <w:rFonts w:cs="Arial"/>
          <w:i/>
          <w:iCs/>
          <w:kern w:val="0"/>
        </w:rPr>
        <w:t>Critical success factors of green innovation: Technology, organisation and environment readiness.  Journal of Cleaner Production, 264,</w:t>
      </w:r>
      <w:r w:rsidRPr="00A333D5">
        <w:rPr>
          <w:rFonts w:cs="Arial"/>
          <w:kern w:val="0"/>
        </w:rPr>
        <w:t xml:space="preserve">  121701. https://doi.org/10.1016/j.jclepro.2020.121701 </w:t>
      </w:r>
    </w:p>
    <w:p w14:paraId="52FDD553" w14:textId="77777777" w:rsidR="00D84CFA" w:rsidRPr="00A333D5" w:rsidRDefault="00D84CFA" w:rsidP="00D84CFA">
      <w:pPr>
        <w:autoSpaceDE w:val="0"/>
        <w:autoSpaceDN w:val="0"/>
        <w:adjustRightInd w:val="0"/>
        <w:spacing w:after="0" w:line="276" w:lineRule="auto"/>
        <w:ind w:left="1440" w:hanging="720"/>
        <w:rPr>
          <w:rFonts w:cs="Arial"/>
          <w:kern w:val="0"/>
        </w:rPr>
      </w:pPr>
      <w:r w:rsidRPr="00A333D5">
        <w:rPr>
          <w:rFonts w:cs="Arial"/>
          <w:kern w:val="0"/>
        </w:rPr>
        <w:t>Applies TOE to analyse readiness factors for green innovation adoption.</w:t>
      </w:r>
    </w:p>
    <w:p w14:paraId="6EEDC224" w14:textId="77777777" w:rsidR="00D84CFA" w:rsidRPr="00A333D5" w:rsidRDefault="00D84CFA" w:rsidP="00D84CFA">
      <w:pPr>
        <w:autoSpaceDE w:val="0"/>
        <w:autoSpaceDN w:val="0"/>
        <w:adjustRightInd w:val="0"/>
        <w:spacing w:after="0" w:line="276" w:lineRule="auto"/>
        <w:ind w:left="1440" w:hanging="720"/>
        <w:rPr>
          <w:rFonts w:cs="Arial"/>
          <w:kern w:val="0"/>
        </w:rPr>
      </w:pPr>
      <w:r w:rsidRPr="00A333D5">
        <w:rPr>
          <w:rFonts w:cs="Arial"/>
          <w:kern w:val="0"/>
        </w:rPr>
        <w:t>Useful for methodological parallels in applying TOE to digitalisation in trade finance.</w:t>
      </w:r>
    </w:p>
    <w:p w14:paraId="323DDBFC" w14:textId="77777777" w:rsidR="00D84CFA" w:rsidRPr="00A333D5" w:rsidRDefault="00D84CFA" w:rsidP="00D84CFA">
      <w:pPr>
        <w:autoSpaceDE w:val="0"/>
        <w:autoSpaceDN w:val="0"/>
        <w:adjustRightInd w:val="0"/>
        <w:spacing w:after="0" w:line="276" w:lineRule="auto"/>
        <w:ind w:left="720" w:hanging="720"/>
        <w:rPr>
          <w:rFonts w:cs="Arial"/>
          <w:kern w:val="0"/>
        </w:rPr>
      </w:pPr>
    </w:p>
    <w:p w14:paraId="0A2D2499" w14:textId="09F80B8D" w:rsidR="00D84CFA" w:rsidRPr="00A333D5" w:rsidRDefault="00D84CFA" w:rsidP="00D84CFA">
      <w:pPr>
        <w:autoSpaceDE w:val="0"/>
        <w:autoSpaceDN w:val="0"/>
        <w:adjustRightInd w:val="0"/>
        <w:spacing w:after="0" w:line="276" w:lineRule="auto"/>
        <w:ind w:left="720" w:hanging="720"/>
        <w:rPr>
          <w:rFonts w:cs="Arial"/>
          <w:kern w:val="0"/>
        </w:rPr>
      </w:pPr>
      <w:r w:rsidRPr="00A333D5">
        <w:rPr>
          <w:rFonts w:cs="Arial"/>
          <w:kern w:val="0"/>
        </w:rPr>
        <w:t xml:space="preserve">  Zheng, M. (2025). Digital finance, e-commerce development, and regional trade development.  Finance Research Letters, 81,  107532. https://doi.org/10.1016/j.frl.2025.107532 </w:t>
      </w:r>
    </w:p>
    <w:p w14:paraId="00E1B117" w14:textId="1528C773"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lastRenderedPageBreak/>
        <w:t>Explores digital finance and e-commerce in driving regional trade growth.</w:t>
      </w:r>
    </w:p>
    <w:p w14:paraId="6D5378F9" w14:textId="77777777" w:rsidR="00D84CFA" w:rsidRPr="00A333D5" w:rsidRDefault="00D84CFA" w:rsidP="00D84CFA">
      <w:pPr>
        <w:autoSpaceDE w:val="0"/>
        <w:autoSpaceDN w:val="0"/>
        <w:adjustRightInd w:val="0"/>
        <w:spacing w:after="0" w:line="276" w:lineRule="auto"/>
        <w:ind w:left="720"/>
        <w:rPr>
          <w:rFonts w:cs="Arial"/>
          <w:kern w:val="0"/>
        </w:rPr>
      </w:pPr>
      <w:r w:rsidRPr="00A333D5">
        <w:rPr>
          <w:rFonts w:cs="Arial"/>
          <w:kern w:val="0"/>
        </w:rPr>
        <w:t>Provides evidence of digital finance’s role in trade facilitation, which is relevant to Hong Kong’s GBA role.</w:t>
      </w:r>
    </w:p>
    <w:p w14:paraId="3654DC73" w14:textId="77777777" w:rsidR="00D84CFA" w:rsidRPr="00A333D5" w:rsidRDefault="00D84CFA" w:rsidP="00D84CFA">
      <w:pPr>
        <w:autoSpaceDE w:val="0"/>
        <w:autoSpaceDN w:val="0"/>
        <w:adjustRightInd w:val="0"/>
        <w:spacing w:after="0" w:line="276" w:lineRule="auto"/>
        <w:ind w:left="720" w:hanging="720"/>
        <w:rPr>
          <w:rFonts w:cs="Arial"/>
          <w:kern w:val="0"/>
        </w:rPr>
      </w:pPr>
    </w:p>
    <w:p w14:paraId="7099EDAF" w14:textId="52919C3D" w:rsidR="00D84CFA" w:rsidRPr="00A333D5" w:rsidRDefault="00D84CFA" w:rsidP="00D84CFA">
      <w:pPr>
        <w:autoSpaceDE w:val="0"/>
        <w:autoSpaceDN w:val="0"/>
        <w:adjustRightInd w:val="0"/>
        <w:spacing w:after="0" w:line="276" w:lineRule="auto"/>
        <w:ind w:left="720" w:hanging="720"/>
        <w:rPr>
          <w:rFonts w:cs="Arial"/>
          <w:kern w:val="0"/>
        </w:rPr>
      </w:pPr>
      <w:r w:rsidRPr="00A333D5">
        <w:rPr>
          <w:rFonts w:cs="Arial"/>
          <w:kern w:val="0"/>
        </w:rPr>
        <w:t xml:space="preserve">  Zheng, M. (2025). Digital finance, financing constraints, and regional trade development.  Finance Research Letters, 85,  108037. </w:t>
      </w:r>
      <w:hyperlink r:id="rId22" w:history="1">
        <w:r w:rsidR="004A205C" w:rsidRPr="00A333D5">
          <w:rPr>
            <w:rStyle w:val="Hyperlink"/>
            <w:rFonts w:cs="Arial"/>
            <w:kern w:val="0"/>
          </w:rPr>
          <w:t>https://doi.org/10.1016/j.frl.2025.108037</w:t>
        </w:r>
      </w:hyperlink>
      <w:r w:rsidR="004A205C" w:rsidRPr="00A333D5">
        <w:rPr>
          <w:rFonts w:cs="Arial"/>
          <w:kern w:val="0"/>
        </w:rPr>
        <w:tab/>
      </w:r>
      <w:r w:rsidRPr="00A333D5">
        <w:rPr>
          <w:rFonts w:cs="Arial"/>
          <w:kern w:val="0"/>
        </w:rPr>
        <w:t xml:space="preserve"> </w:t>
      </w:r>
    </w:p>
    <w:p w14:paraId="27A97104" w14:textId="22FA4215" w:rsidR="00D84CFA" w:rsidRPr="00A333D5" w:rsidRDefault="00D84CFA" w:rsidP="004A205C">
      <w:pPr>
        <w:autoSpaceDE w:val="0"/>
        <w:autoSpaceDN w:val="0"/>
        <w:adjustRightInd w:val="0"/>
        <w:spacing w:after="0" w:line="276" w:lineRule="auto"/>
        <w:ind w:left="720"/>
        <w:rPr>
          <w:rFonts w:cs="Arial"/>
          <w:kern w:val="0"/>
        </w:rPr>
      </w:pPr>
      <w:proofErr w:type="spellStart"/>
      <w:r w:rsidRPr="00A333D5">
        <w:rPr>
          <w:rFonts w:cs="Arial"/>
          <w:kern w:val="0"/>
        </w:rPr>
        <w:t>Examinesdigital</w:t>
      </w:r>
      <w:proofErr w:type="spellEnd"/>
      <w:r w:rsidRPr="00A333D5">
        <w:rPr>
          <w:rFonts w:cs="Arial"/>
          <w:kern w:val="0"/>
        </w:rPr>
        <w:t xml:space="preserve"> finance alleviates financing constraints and enhances regional trade.</w:t>
      </w:r>
      <w:r w:rsidR="004A205C" w:rsidRPr="00A333D5">
        <w:rPr>
          <w:rFonts w:cs="Arial"/>
          <w:kern w:val="0"/>
        </w:rPr>
        <w:t xml:space="preserve"> </w:t>
      </w:r>
      <w:r w:rsidRPr="00A333D5">
        <w:rPr>
          <w:rFonts w:cs="Arial"/>
          <w:kern w:val="0"/>
        </w:rPr>
        <w:t>Supports the study’s link between digital adoption and improved financing outcomes.</w:t>
      </w:r>
    </w:p>
    <w:p w14:paraId="2A615DC0" w14:textId="77777777" w:rsidR="00D84CFA" w:rsidRPr="00A333D5" w:rsidRDefault="00D84CFA" w:rsidP="00D84CFA">
      <w:pPr>
        <w:autoSpaceDE w:val="0"/>
        <w:autoSpaceDN w:val="0"/>
        <w:adjustRightInd w:val="0"/>
        <w:spacing w:after="0" w:line="276" w:lineRule="auto"/>
        <w:ind w:left="720" w:hanging="720"/>
        <w:rPr>
          <w:rFonts w:cs="Arial"/>
          <w:kern w:val="0"/>
        </w:rPr>
      </w:pPr>
    </w:p>
    <w:p w14:paraId="74566A89" w14:textId="1B210384" w:rsidR="00D84CFA" w:rsidRPr="00A333D5" w:rsidRDefault="00D84CFA" w:rsidP="00D84CFA">
      <w:pPr>
        <w:autoSpaceDE w:val="0"/>
        <w:autoSpaceDN w:val="0"/>
        <w:adjustRightInd w:val="0"/>
        <w:spacing w:after="0" w:line="276" w:lineRule="auto"/>
        <w:ind w:left="720" w:hanging="720"/>
        <w:rPr>
          <w:rFonts w:cs="Arial"/>
          <w:kern w:val="0"/>
        </w:rPr>
      </w:pPr>
      <w:r w:rsidRPr="00A333D5">
        <w:rPr>
          <w:rFonts w:cs="Arial"/>
          <w:kern w:val="0"/>
        </w:rPr>
        <w:t xml:space="preserve">  Zhou, Z., &amp; Li, Z. (2023). </w:t>
      </w:r>
      <w:r w:rsidRPr="00A333D5">
        <w:rPr>
          <w:rFonts w:cs="Arial"/>
          <w:i/>
          <w:iCs/>
          <w:kern w:val="0"/>
        </w:rPr>
        <w:t xml:space="preserve">Corporate digital transformation and trade credit financing. Journal of Business Research, 160, </w:t>
      </w:r>
      <w:r w:rsidRPr="00A333D5">
        <w:rPr>
          <w:rFonts w:cs="Arial"/>
          <w:kern w:val="0"/>
        </w:rPr>
        <w:t xml:space="preserve"> 113793. https://doi.org/10.1016/j.jbusres.2023.113793 </w:t>
      </w:r>
    </w:p>
    <w:p w14:paraId="4CD8FCCC" w14:textId="7C26BA7F" w:rsidR="004A205C" w:rsidRPr="00A333D5" w:rsidRDefault="004A205C" w:rsidP="004A205C">
      <w:pPr>
        <w:autoSpaceDE w:val="0"/>
        <w:autoSpaceDN w:val="0"/>
        <w:adjustRightInd w:val="0"/>
        <w:spacing w:after="0" w:line="276" w:lineRule="auto"/>
        <w:ind w:left="1440" w:hanging="720"/>
        <w:rPr>
          <w:rFonts w:cs="Arial"/>
          <w:kern w:val="0"/>
        </w:rPr>
      </w:pPr>
      <w:r w:rsidRPr="00A333D5">
        <w:rPr>
          <w:rFonts w:cs="Arial"/>
          <w:kern w:val="0"/>
        </w:rPr>
        <w:t>Analyses corporate digital transformation affects trade credit financing.</w:t>
      </w:r>
    </w:p>
    <w:p w14:paraId="3BC863D2" w14:textId="3B670583" w:rsidR="00D84CFA" w:rsidRPr="00A333D5" w:rsidRDefault="004A205C" w:rsidP="004A205C">
      <w:pPr>
        <w:autoSpaceDE w:val="0"/>
        <w:autoSpaceDN w:val="0"/>
        <w:adjustRightInd w:val="0"/>
        <w:spacing w:after="0" w:line="276" w:lineRule="auto"/>
        <w:ind w:left="720"/>
        <w:rPr>
          <w:rFonts w:cs="Arial"/>
          <w:kern w:val="0"/>
        </w:rPr>
      </w:pPr>
      <w:r w:rsidRPr="00A333D5">
        <w:rPr>
          <w:rFonts w:cs="Arial"/>
          <w:kern w:val="0"/>
        </w:rPr>
        <w:t>Directly relevant to understanding the financial outcomes of digital adoption in trade finance.</w:t>
      </w:r>
    </w:p>
    <w:p w14:paraId="6F0EDB83" w14:textId="77777777" w:rsidR="00974724" w:rsidRPr="00A333D5" w:rsidRDefault="00974724" w:rsidP="00D84CFA">
      <w:pPr>
        <w:tabs>
          <w:tab w:val="left" w:pos="0"/>
          <w:tab w:val="left" w:pos="360"/>
        </w:tabs>
        <w:spacing w:before="100" w:beforeAutospacing="1" w:after="100" w:afterAutospacing="1" w:line="276" w:lineRule="auto"/>
        <w:ind w:left="720" w:hanging="720"/>
        <w:jc w:val="both"/>
        <w:rPr>
          <w:rFonts w:eastAsia="Times New Roman" w:cs="Arial"/>
          <w:color w:val="000000"/>
          <w:kern w:val="0"/>
          <w14:ligatures w14:val="none"/>
        </w:rPr>
      </w:pPr>
    </w:p>
    <w:sectPr w:rsidR="00974724" w:rsidRPr="00A333D5">
      <w:footerReference w:type="even" r:id="rId23"/>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E4F337" w14:textId="77777777" w:rsidR="00154066" w:rsidRDefault="00154066" w:rsidP="00974724">
      <w:pPr>
        <w:spacing w:after="0" w:line="240" w:lineRule="auto"/>
      </w:pPr>
      <w:r>
        <w:separator/>
      </w:r>
    </w:p>
  </w:endnote>
  <w:endnote w:type="continuationSeparator" w:id="0">
    <w:p w14:paraId="5EC5C2D7" w14:textId="77777777" w:rsidR="00154066" w:rsidRDefault="00154066" w:rsidP="009747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PMingLiU">
    <w:altName w:val="新細明體"/>
    <w:panose1 w:val="02020500000000000000"/>
    <w:charset w:val="88"/>
    <w:family w:val="roman"/>
    <w:pitch w:val="variable"/>
    <w:sig w:usb0="A00002FF" w:usb1="28CFFCFA" w:usb2="00000016" w:usb3="00000000" w:csb0="00100001"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04988378"/>
      <w:docPartObj>
        <w:docPartGallery w:val="Page Numbers (Bottom of Page)"/>
        <w:docPartUnique/>
      </w:docPartObj>
    </w:sdtPr>
    <w:sdtContent>
      <w:p w14:paraId="2204B686" w14:textId="4FC1C6EC" w:rsidR="00974724" w:rsidRDefault="00974724" w:rsidP="00774F9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5FF664F" w14:textId="77777777" w:rsidR="00974724" w:rsidRDefault="00974724" w:rsidP="0097472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6621470"/>
      <w:docPartObj>
        <w:docPartGallery w:val="Page Numbers (Bottom of Page)"/>
        <w:docPartUnique/>
      </w:docPartObj>
    </w:sdtPr>
    <w:sdtContent>
      <w:p w14:paraId="1F5BDD57" w14:textId="0E37A923" w:rsidR="00974724" w:rsidRDefault="00974724" w:rsidP="00774F9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5E3630E" w14:textId="77777777" w:rsidR="00974724" w:rsidRDefault="00974724" w:rsidP="0097472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5C804A" w14:textId="77777777" w:rsidR="00154066" w:rsidRDefault="00154066" w:rsidP="00974724">
      <w:pPr>
        <w:spacing w:after="0" w:line="240" w:lineRule="auto"/>
      </w:pPr>
      <w:r>
        <w:separator/>
      </w:r>
    </w:p>
  </w:footnote>
  <w:footnote w:type="continuationSeparator" w:id="0">
    <w:p w14:paraId="770AFED0" w14:textId="77777777" w:rsidR="00154066" w:rsidRDefault="00154066" w:rsidP="009747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34B085A"/>
    <w:multiLevelType w:val="multilevel"/>
    <w:tmpl w:val="211697E2"/>
    <w:lvl w:ilvl="0">
      <w:start w:val="3"/>
      <w:numFmt w:val="decimal"/>
      <w:lvlText w:val="%1"/>
      <w:lvlJc w:val="left"/>
      <w:pPr>
        <w:ind w:left="3750" w:hanging="420"/>
      </w:pPr>
      <w:rPr>
        <w:rFonts w:hint="default"/>
      </w:rPr>
    </w:lvl>
    <w:lvl w:ilvl="1">
      <w:start w:val="1"/>
      <w:numFmt w:val="decimal"/>
      <w:lvlText w:val="%1.%2"/>
      <w:lvlJc w:val="left"/>
      <w:pPr>
        <w:ind w:left="4050" w:hanging="720"/>
      </w:pPr>
      <w:rPr>
        <w:rFonts w:hint="default"/>
      </w:rPr>
    </w:lvl>
    <w:lvl w:ilvl="2">
      <w:start w:val="1"/>
      <w:numFmt w:val="decimal"/>
      <w:lvlText w:val="%1.%2.%3"/>
      <w:lvlJc w:val="left"/>
      <w:pPr>
        <w:ind w:left="4050" w:hanging="720"/>
      </w:pPr>
      <w:rPr>
        <w:rFonts w:hint="default"/>
      </w:rPr>
    </w:lvl>
    <w:lvl w:ilvl="3">
      <w:start w:val="1"/>
      <w:numFmt w:val="decimal"/>
      <w:lvlText w:val="%1.%2.%3.%4"/>
      <w:lvlJc w:val="left"/>
      <w:pPr>
        <w:ind w:left="4410" w:hanging="1080"/>
      </w:pPr>
      <w:rPr>
        <w:rFonts w:hint="default"/>
      </w:rPr>
    </w:lvl>
    <w:lvl w:ilvl="4">
      <w:start w:val="1"/>
      <w:numFmt w:val="decimal"/>
      <w:lvlText w:val="%1.%2.%3.%4.%5"/>
      <w:lvlJc w:val="left"/>
      <w:pPr>
        <w:ind w:left="4770" w:hanging="1440"/>
      </w:pPr>
      <w:rPr>
        <w:rFonts w:hint="default"/>
      </w:rPr>
    </w:lvl>
    <w:lvl w:ilvl="5">
      <w:start w:val="1"/>
      <w:numFmt w:val="decimal"/>
      <w:lvlText w:val="%1.%2.%3.%4.%5.%6"/>
      <w:lvlJc w:val="left"/>
      <w:pPr>
        <w:ind w:left="4770" w:hanging="1440"/>
      </w:pPr>
      <w:rPr>
        <w:rFonts w:hint="default"/>
      </w:rPr>
    </w:lvl>
    <w:lvl w:ilvl="6">
      <w:start w:val="1"/>
      <w:numFmt w:val="decimal"/>
      <w:lvlText w:val="%1.%2.%3.%4.%5.%6.%7"/>
      <w:lvlJc w:val="left"/>
      <w:pPr>
        <w:ind w:left="5130" w:hanging="1800"/>
      </w:pPr>
      <w:rPr>
        <w:rFonts w:hint="default"/>
      </w:rPr>
    </w:lvl>
    <w:lvl w:ilvl="7">
      <w:start w:val="1"/>
      <w:numFmt w:val="decimal"/>
      <w:lvlText w:val="%1.%2.%3.%4.%5.%6.%7.%8"/>
      <w:lvlJc w:val="left"/>
      <w:pPr>
        <w:ind w:left="5490" w:hanging="2160"/>
      </w:pPr>
      <w:rPr>
        <w:rFonts w:hint="default"/>
      </w:rPr>
    </w:lvl>
    <w:lvl w:ilvl="8">
      <w:start w:val="1"/>
      <w:numFmt w:val="decimal"/>
      <w:lvlText w:val="%1.%2.%3.%4.%5.%6.%7.%8.%9"/>
      <w:lvlJc w:val="left"/>
      <w:pPr>
        <w:ind w:left="5490" w:hanging="2160"/>
      </w:pPr>
      <w:rPr>
        <w:rFonts w:hint="default"/>
      </w:rPr>
    </w:lvl>
  </w:abstractNum>
  <w:abstractNum w:abstractNumId="2" w15:restartNumberingAfterBreak="0">
    <w:nsid w:val="03E528A6"/>
    <w:multiLevelType w:val="multilevel"/>
    <w:tmpl w:val="4B544068"/>
    <w:lvl w:ilvl="0">
      <w:start w:val="4"/>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063E2B60"/>
    <w:multiLevelType w:val="hybridMultilevel"/>
    <w:tmpl w:val="7FF8E6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81D7D71"/>
    <w:multiLevelType w:val="hybridMultilevel"/>
    <w:tmpl w:val="4EB879DE"/>
    <w:lvl w:ilvl="0" w:tplc="6464F132">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8DD3BD4"/>
    <w:multiLevelType w:val="multilevel"/>
    <w:tmpl w:val="0D0022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9F355E8"/>
    <w:multiLevelType w:val="multilevel"/>
    <w:tmpl w:val="E1506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AD675DF"/>
    <w:multiLevelType w:val="hybridMultilevel"/>
    <w:tmpl w:val="7EDE9E4C"/>
    <w:lvl w:ilvl="0" w:tplc="8004BA56">
      <w:start w:val="2"/>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0AEF2009"/>
    <w:multiLevelType w:val="multilevel"/>
    <w:tmpl w:val="B4E06AD6"/>
    <w:lvl w:ilvl="0">
      <w:start w:val="1"/>
      <w:numFmt w:val="decimal"/>
      <w:lvlText w:val="%1."/>
      <w:lvlJc w:val="left"/>
      <w:pPr>
        <w:ind w:left="720" w:hanging="360"/>
      </w:pPr>
    </w:lvl>
    <w:lvl w:ilvl="1">
      <w:start w:val="9"/>
      <w:numFmt w:val="decimal"/>
      <w:isLgl/>
      <w:lvlText w:val="%1.%2"/>
      <w:lvlJc w:val="left"/>
      <w:pPr>
        <w:ind w:left="800" w:hanging="440"/>
      </w:pPr>
      <w:rPr>
        <w:rFonts w:eastAsiaTheme="majorEastAsia" w:cstheme="majorBidi" w:hint="default"/>
        <w:color w:val="0F4761" w:themeColor="accent1" w:themeShade="BF"/>
        <w:sz w:val="32"/>
      </w:rPr>
    </w:lvl>
    <w:lvl w:ilvl="2">
      <w:start w:val="1"/>
      <w:numFmt w:val="decimal"/>
      <w:isLgl/>
      <w:lvlText w:val="%1.%2.%3"/>
      <w:lvlJc w:val="left"/>
      <w:pPr>
        <w:ind w:left="1080" w:hanging="720"/>
      </w:pPr>
      <w:rPr>
        <w:rFonts w:eastAsiaTheme="majorEastAsia" w:cstheme="majorBidi" w:hint="default"/>
        <w:color w:val="0F4761" w:themeColor="accent1" w:themeShade="BF"/>
        <w:sz w:val="32"/>
      </w:rPr>
    </w:lvl>
    <w:lvl w:ilvl="3">
      <w:start w:val="1"/>
      <w:numFmt w:val="decimal"/>
      <w:isLgl/>
      <w:lvlText w:val="%1.%2.%3.%4"/>
      <w:lvlJc w:val="left"/>
      <w:pPr>
        <w:ind w:left="1080" w:hanging="720"/>
      </w:pPr>
      <w:rPr>
        <w:rFonts w:eastAsiaTheme="majorEastAsia" w:cstheme="majorBidi" w:hint="default"/>
        <w:color w:val="0F4761" w:themeColor="accent1" w:themeShade="BF"/>
        <w:sz w:val="32"/>
      </w:rPr>
    </w:lvl>
    <w:lvl w:ilvl="4">
      <w:start w:val="1"/>
      <w:numFmt w:val="decimal"/>
      <w:isLgl/>
      <w:lvlText w:val="%1.%2.%3.%4.%5"/>
      <w:lvlJc w:val="left"/>
      <w:pPr>
        <w:ind w:left="1440" w:hanging="1080"/>
      </w:pPr>
      <w:rPr>
        <w:rFonts w:eastAsiaTheme="majorEastAsia" w:cstheme="majorBidi" w:hint="default"/>
        <w:color w:val="0F4761" w:themeColor="accent1" w:themeShade="BF"/>
        <w:sz w:val="32"/>
      </w:rPr>
    </w:lvl>
    <w:lvl w:ilvl="5">
      <w:start w:val="1"/>
      <w:numFmt w:val="decimal"/>
      <w:isLgl/>
      <w:lvlText w:val="%1.%2.%3.%4.%5.%6"/>
      <w:lvlJc w:val="left"/>
      <w:pPr>
        <w:ind w:left="1440" w:hanging="1080"/>
      </w:pPr>
      <w:rPr>
        <w:rFonts w:eastAsiaTheme="majorEastAsia" w:cstheme="majorBidi" w:hint="default"/>
        <w:color w:val="0F4761" w:themeColor="accent1" w:themeShade="BF"/>
        <w:sz w:val="32"/>
      </w:rPr>
    </w:lvl>
    <w:lvl w:ilvl="6">
      <w:start w:val="1"/>
      <w:numFmt w:val="decimal"/>
      <w:isLgl/>
      <w:lvlText w:val="%1.%2.%3.%4.%5.%6.%7"/>
      <w:lvlJc w:val="left"/>
      <w:pPr>
        <w:ind w:left="1800" w:hanging="1440"/>
      </w:pPr>
      <w:rPr>
        <w:rFonts w:eastAsiaTheme="majorEastAsia" w:cstheme="majorBidi" w:hint="default"/>
        <w:color w:val="0F4761" w:themeColor="accent1" w:themeShade="BF"/>
        <w:sz w:val="32"/>
      </w:rPr>
    </w:lvl>
    <w:lvl w:ilvl="7">
      <w:start w:val="1"/>
      <w:numFmt w:val="decimal"/>
      <w:isLgl/>
      <w:lvlText w:val="%1.%2.%3.%4.%5.%6.%7.%8"/>
      <w:lvlJc w:val="left"/>
      <w:pPr>
        <w:ind w:left="1800" w:hanging="1440"/>
      </w:pPr>
      <w:rPr>
        <w:rFonts w:eastAsiaTheme="majorEastAsia" w:cstheme="majorBidi" w:hint="default"/>
        <w:color w:val="0F4761" w:themeColor="accent1" w:themeShade="BF"/>
        <w:sz w:val="32"/>
      </w:rPr>
    </w:lvl>
    <w:lvl w:ilvl="8">
      <w:start w:val="1"/>
      <w:numFmt w:val="decimal"/>
      <w:isLgl/>
      <w:lvlText w:val="%1.%2.%3.%4.%5.%6.%7.%8.%9"/>
      <w:lvlJc w:val="left"/>
      <w:pPr>
        <w:ind w:left="2160" w:hanging="1800"/>
      </w:pPr>
      <w:rPr>
        <w:rFonts w:eastAsiaTheme="majorEastAsia" w:cstheme="majorBidi" w:hint="default"/>
        <w:color w:val="0F4761" w:themeColor="accent1" w:themeShade="BF"/>
        <w:sz w:val="32"/>
      </w:rPr>
    </w:lvl>
  </w:abstractNum>
  <w:abstractNum w:abstractNumId="9" w15:restartNumberingAfterBreak="0">
    <w:nsid w:val="14861F66"/>
    <w:multiLevelType w:val="hybridMultilevel"/>
    <w:tmpl w:val="A9DA98C8"/>
    <w:lvl w:ilvl="0" w:tplc="0409000F">
      <w:start w:val="7"/>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25D106E"/>
    <w:multiLevelType w:val="hybridMultilevel"/>
    <w:tmpl w:val="DA6AC0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2E30CB4"/>
    <w:multiLevelType w:val="multilevel"/>
    <w:tmpl w:val="F1D88C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4DE1B94"/>
    <w:multiLevelType w:val="multilevel"/>
    <w:tmpl w:val="88302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67053DD"/>
    <w:multiLevelType w:val="hybridMultilevel"/>
    <w:tmpl w:val="B96E5686"/>
    <w:lvl w:ilvl="0" w:tplc="92CAD480">
      <w:start w:val="2"/>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7C032F8"/>
    <w:multiLevelType w:val="hybridMultilevel"/>
    <w:tmpl w:val="2124AF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288C4AC8"/>
    <w:multiLevelType w:val="multilevel"/>
    <w:tmpl w:val="380A6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CC7C1C"/>
    <w:multiLevelType w:val="hybridMultilevel"/>
    <w:tmpl w:val="4F18E514"/>
    <w:lvl w:ilvl="0" w:tplc="05E20162">
      <w:numFmt w:val="bullet"/>
      <w:lvlText w:val=""/>
      <w:lvlJc w:val="left"/>
      <w:pPr>
        <w:ind w:left="720" w:hanging="360"/>
      </w:pPr>
      <w:rPr>
        <w:rFonts w:ascii="Symbol" w:eastAsia="Times New Roman" w:hAnsi="Symbol" w:cs="Times New Roman" w:hint="default"/>
        <w:sz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DB10FF1"/>
    <w:multiLevelType w:val="multilevel"/>
    <w:tmpl w:val="85104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00D2B9F"/>
    <w:multiLevelType w:val="multilevel"/>
    <w:tmpl w:val="787CB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9250CDD"/>
    <w:multiLevelType w:val="multilevel"/>
    <w:tmpl w:val="3C3AD8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9703C45"/>
    <w:multiLevelType w:val="multilevel"/>
    <w:tmpl w:val="D452E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B200CAE"/>
    <w:multiLevelType w:val="multilevel"/>
    <w:tmpl w:val="2180A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CA30B8A"/>
    <w:multiLevelType w:val="multilevel"/>
    <w:tmpl w:val="D368E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CE973D4"/>
    <w:multiLevelType w:val="hybridMultilevel"/>
    <w:tmpl w:val="47C2617C"/>
    <w:lvl w:ilvl="0" w:tplc="0409000F">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3D065E72"/>
    <w:multiLevelType w:val="multilevel"/>
    <w:tmpl w:val="08BA1DC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D5C2EFF"/>
    <w:multiLevelType w:val="hybridMultilevel"/>
    <w:tmpl w:val="648E37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3D9B29B4"/>
    <w:multiLevelType w:val="multilevel"/>
    <w:tmpl w:val="1D084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F0B5B14"/>
    <w:multiLevelType w:val="multilevel"/>
    <w:tmpl w:val="BECC3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F74097B"/>
    <w:multiLevelType w:val="multilevel"/>
    <w:tmpl w:val="A8FA2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FBD7F48"/>
    <w:multiLevelType w:val="hybridMultilevel"/>
    <w:tmpl w:val="D302B400"/>
    <w:lvl w:ilvl="0" w:tplc="0409000F">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41436689"/>
    <w:multiLevelType w:val="multilevel"/>
    <w:tmpl w:val="E300F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4250A4F"/>
    <w:multiLevelType w:val="multilevel"/>
    <w:tmpl w:val="BE2E6A52"/>
    <w:lvl w:ilvl="0">
      <w:start w:val="1"/>
      <w:numFmt w:val="decimal"/>
      <w:lvlText w:val="%1."/>
      <w:lvlJc w:val="left"/>
      <w:pPr>
        <w:ind w:left="360" w:hanging="360"/>
      </w:pPr>
      <w:rPr>
        <w:rFonts w:hint="default"/>
      </w:rPr>
    </w:lvl>
    <w:lvl w:ilvl="1">
      <w:start w:val="2"/>
      <w:numFmt w:val="decimal"/>
      <w:isLgl/>
      <w:lvlText w:val="%1.%2"/>
      <w:lvlJc w:val="left"/>
      <w:pPr>
        <w:ind w:left="480" w:hanging="48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32" w15:restartNumberingAfterBreak="0">
    <w:nsid w:val="463B16BA"/>
    <w:multiLevelType w:val="hybridMultilevel"/>
    <w:tmpl w:val="3DD8F54A"/>
    <w:lvl w:ilvl="0" w:tplc="8EF4A5C2">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49614F68"/>
    <w:multiLevelType w:val="multilevel"/>
    <w:tmpl w:val="378C7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9DC3E5E"/>
    <w:multiLevelType w:val="multilevel"/>
    <w:tmpl w:val="9D369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BCE51D9"/>
    <w:multiLevelType w:val="multilevel"/>
    <w:tmpl w:val="03DC6DDA"/>
    <w:lvl w:ilvl="0">
      <w:start w:val="4"/>
      <w:numFmt w:val="decimal"/>
      <w:lvlText w:val="%1"/>
      <w:lvlJc w:val="left"/>
      <w:pPr>
        <w:ind w:left="420" w:hanging="420"/>
      </w:pPr>
      <w:rPr>
        <w:rFonts w:asciiTheme="majorHAnsi" w:eastAsiaTheme="majorEastAsia" w:hAnsiTheme="majorHAnsi" w:cstheme="majorBidi" w:hint="default"/>
        <w:color w:val="0F4761" w:themeColor="accent1" w:themeShade="BF"/>
        <w:sz w:val="32"/>
      </w:rPr>
    </w:lvl>
    <w:lvl w:ilvl="1">
      <w:start w:val="6"/>
      <w:numFmt w:val="decimal"/>
      <w:lvlText w:val="%1.%2"/>
      <w:lvlJc w:val="left"/>
      <w:pPr>
        <w:ind w:left="420" w:hanging="420"/>
      </w:pPr>
      <w:rPr>
        <w:rFonts w:asciiTheme="majorHAnsi" w:eastAsiaTheme="majorEastAsia" w:hAnsiTheme="majorHAnsi" w:cstheme="majorBidi" w:hint="default"/>
        <w:color w:val="0F4761" w:themeColor="accent1" w:themeShade="BF"/>
        <w:sz w:val="32"/>
      </w:rPr>
    </w:lvl>
    <w:lvl w:ilvl="2">
      <w:start w:val="1"/>
      <w:numFmt w:val="decimal"/>
      <w:lvlText w:val="%1.%2.%3"/>
      <w:lvlJc w:val="left"/>
      <w:pPr>
        <w:ind w:left="720" w:hanging="720"/>
      </w:pPr>
      <w:rPr>
        <w:rFonts w:asciiTheme="majorHAnsi" w:eastAsiaTheme="majorEastAsia" w:hAnsiTheme="majorHAnsi" w:cstheme="majorBidi" w:hint="default"/>
        <w:color w:val="0F4761" w:themeColor="accent1" w:themeShade="BF"/>
        <w:sz w:val="32"/>
      </w:rPr>
    </w:lvl>
    <w:lvl w:ilvl="3">
      <w:start w:val="1"/>
      <w:numFmt w:val="decimal"/>
      <w:lvlText w:val="%1.%2.%3.%4"/>
      <w:lvlJc w:val="left"/>
      <w:pPr>
        <w:ind w:left="720" w:hanging="720"/>
      </w:pPr>
      <w:rPr>
        <w:rFonts w:asciiTheme="majorHAnsi" w:eastAsiaTheme="majorEastAsia" w:hAnsiTheme="majorHAnsi" w:cstheme="majorBidi" w:hint="default"/>
        <w:color w:val="0F4761" w:themeColor="accent1" w:themeShade="BF"/>
        <w:sz w:val="32"/>
      </w:rPr>
    </w:lvl>
    <w:lvl w:ilvl="4">
      <w:start w:val="1"/>
      <w:numFmt w:val="decimal"/>
      <w:lvlText w:val="%1.%2.%3.%4.%5"/>
      <w:lvlJc w:val="left"/>
      <w:pPr>
        <w:ind w:left="1080" w:hanging="1080"/>
      </w:pPr>
      <w:rPr>
        <w:rFonts w:asciiTheme="majorHAnsi" w:eastAsiaTheme="majorEastAsia" w:hAnsiTheme="majorHAnsi" w:cstheme="majorBidi" w:hint="default"/>
        <w:color w:val="0F4761" w:themeColor="accent1" w:themeShade="BF"/>
        <w:sz w:val="32"/>
      </w:rPr>
    </w:lvl>
    <w:lvl w:ilvl="5">
      <w:start w:val="1"/>
      <w:numFmt w:val="decimal"/>
      <w:lvlText w:val="%1.%2.%3.%4.%5.%6"/>
      <w:lvlJc w:val="left"/>
      <w:pPr>
        <w:ind w:left="1080" w:hanging="1080"/>
      </w:pPr>
      <w:rPr>
        <w:rFonts w:asciiTheme="majorHAnsi" w:eastAsiaTheme="majorEastAsia" w:hAnsiTheme="majorHAnsi" w:cstheme="majorBidi" w:hint="default"/>
        <w:color w:val="0F4761" w:themeColor="accent1" w:themeShade="BF"/>
        <w:sz w:val="32"/>
      </w:rPr>
    </w:lvl>
    <w:lvl w:ilvl="6">
      <w:start w:val="1"/>
      <w:numFmt w:val="decimal"/>
      <w:lvlText w:val="%1.%2.%3.%4.%5.%6.%7"/>
      <w:lvlJc w:val="left"/>
      <w:pPr>
        <w:ind w:left="1440" w:hanging="1440"/>
      </w:pPr>
      <w:rPr>
        <w:rFonts w:asciiTheme="majorHAnsi" w:eastAsiaTheme="majorEastAsia" w:hAnsiTheme="majorHAnsi" w:cstheme="majorBidi" w:hint="default"/>
        <w:color w:val="0F4761" w:themeColor="accent1" w:themeShade="BF"/>
        <w:sz w:val="32"/>
      </w:rPr>
    </w:lvl>
    <w:lvl w:ilvl="7">
      <w:start w:val="1"/>
      <w:numFmt w:val="decimal"/>
      <w:lvlText w:val="%1.%2.%3.%4.%5.%6.%7.%8"/>
      <w:lvlJc w:val="left"/>
      <w:pPr>
        <w:ind w:left="1440" w:hanging="1440"/>
      </w:pPr>
      <w:rPr>
        <w:rFonts w:asciiTheme="majorHAnsi" w:eastAsiaTheme="majorEastAsia" w:hAnsiTheme="majorHAnsi" w:cstheme="majorBidi" w:hint="default"/>
        <w:color w:val="0F4761" w:themeColor="accent1" w:themeShade="BF"/>
        <w:sz w:val="32"/>
      </w:rPr>
    </w:lvl>
    <w:lvl w:ilvl="8">
      <w:start w:val="1"/>
      <w:numFmt w:val="decimal"/>
      <w:lvlText w:val="%1.%2.%3.%4.%5.%6.%7.%8.%9"/>
      <w:lvlJc w:val="left"/>
      <w:pPr>
        <w:ind w:left="1800" w:hanging="1800"/>
      </w:pPr>
      <w:rPr>
        <w:rFonts w:asciiTheme="majorHAnsi" w:eastAsiaTheme="majorEastAsia" w:hAnsiTheme="majorHAnsi" w:cstheme="majorBidi" w:hint="default"/>
        <w:color w:val="0F4761" w:themeColor="accent1" w:themeShade="BF"/>
        <w:sz w:val="32"/>
      </w:rPr>
    </w:lvl>
  </w:abstractNum>
  <w:abstractNum w:abstractNumId="36" w15:restartNumberingAfterBreak="0">
    <w:nsid w:val="4C482C78"/>
    <w:multiLevelType w:val="multilevel"/>
    <w:tmpl w:val="8428851E"/>
    <w:lvl w:ilvl="0">
      <w:start w:val="5"/>
      <w:numFmt w:val="decimal"/>
      <w:lvlText w:val="%1"/>
      <w:lvlJc w:val="left"/>
      <w:pPr>
        <w:ind w:left="420" w:hanging="420"/>
      </w:pPr>
      <w:rPr>
        <w:rFonts w:asciiTheme="majorHAnsi" w:eastAsiaTheme="majorEastAsia" w:hAnsiTheme="majorHAnsi" w:cstheme="majorBidi" w:hint="default"/>
        <w:color w:val="0F4761" w:themeColor="accent1" w:themeShade="BF"/>
        <w:sz w:val="32"/>
      </w:rPr>
    </w:lvl>
    <w:lvl w:ilvl="1">
      <w:start w:val="1"/>
      <w:numFmt w:val="decimal"/>
      <w:lvlText w:val="%1.%2"/>
      <w:lvlJc w:val="left"/>
      <w:pPr>
        <w:ind w:left="420" w:hanging="420"/>
      </w:pPr>
      <w:rPr>
        <w:rFonts w:asciiTheme="majorHAnsi" w:eastAsiaTheme="majorEastAsia" w:hAnsiTheme="majorHAnsi" w:cstheme="majorBidi" w:hint="default"/>
        <w:color w:val="0F4761" w:themeColor="accent1" w:themeShade="BF"/>
        <w:sz w:val="32"/>
      </w:rPr>
    </w:lvl>
    <w:lvl w:ilvl="2">
      <w:start w:val="1"/>
      <w:numFmt w:val="decimal"/>
      <w:lvlText w:val="%1.%2.%3"/>
      <w:lvlJc w:val="left"/>
      <w:pPr>
        <w:ind w:left="720" w:hanging="720"/>
      </w:pPr>
      <w:rPr>
        <w:rFonts w:asciiTheme="majorHAnsi" w:eastAsiaTheme="majorEastAsia" w:hAnsiTheme="majorHAnsi" w:cstheme="majorBidi" w:hint="default"/>
        <w:color w:val="0F4761" w:themeColor="accent1" w:themeShade="BF"/>
        <w:sz w:val="32"/>
      </w:rPr>
    </w:lvl>
    <w:lvl w:ilvl="3">
      <w:start w:val="1"/>
      <w:numFmt w:val="decimal"/>
      <w:lvlText w:val="%1.%2.%3.%4"/>
      <w:lvlJc w:val="left"/>
      <w:pPr>
        <w:ind w:left="720" w:hanging="720"/>
      </w:pPr>
      <w:rPr>
        <w:rFonts w:asciiTheme="majorHAnsi" w:eastAsiaTheme="majorEastAsia" w:hAnsiTheme="majorHAnsi" w:cstheme="majorBidi" w:hint="default"/>
        <w:color w:val="0F4761" w:themeColor="accent1" w:themeShade="BF"/>
        <w:sz w:val="32"/>
      </w:rPr>
    </w:lvl>
    <w:lvl w:ilvl="4">
      <w:start w:val="1"/>
      <w:numFmt w:val="decimal"/>
      <w:lvlText w:val="%1.%2.%3.%4.%5"/>
      <w:lvlJc w:val="left"/>
      <w:pPr>
        <w:ind w:left="1080" w:hanging="1080"/>
      </w:pPr>
      <w:rPr>
        <w:rFonts w:asciiTheme="majorHAnsi" w:eastAsiaTheme="majorEastAsia" w:hAnsiTheme="majorHAnsi" w:cstheme="majorBidi" w:hint="default"/>
        <w:color w:val="0F4761" w:themeColor="accent1" w:themeShade="BF"/>
        <w:sz w:val="32"/>
      </w:rPr>
    </w:lvl>
    <w:lvl w:ilvl="5">
      <w:start w:val="1"/>
      <w:numFmt w:val="decimal"/>
      <w:lvlText w:val="%1.%2.%3.%4.%5.%6"/>
      <w:lvlJc w:val="left"/>
      <w:pPr>
        <w:ind w:left="1080" w:hanging="1080"/>
      </w:pPr>
      <w:rPr>
        <w:rFonts w:asciiTheme="majorHAnsi" w:eastAsiaTheme="majorEastAsia" w:hAnsiTheme="majorHAnsi" w:cstheme="majorBidi" w:hint="default"/>
        <w:color w:val="0F4761" w:themeColor="accent1" w:themeShade="BF"/>
        <w:sz w:val="32"/>
      </w:rPr>
    </w:lvl>
    <w:lvl w:ilvl="6">
      <w:start w:val="1"/>
      <w:numFmt w:val="decimal"/>
      <w:lvlText w:val="%1.%2.%3.%4.%5.%6.%7"/>
      <w:lvlJc w:val="left"/>
      <w:pPr>
        <w:ind w:left="1440" w:hanging="1440"/>
      </w:pPr>
      <w:rPr>
        <w:rFonts w:asciiTheme="majorHAnsi" w:eastAsiaTheme="majorEastAsia" w:hAnsiTheme="majorHAnsi" w:cstheme="majorBidi" w:hint="default"/>
        <w:color w:val="0F4761" w:themeColor="accent1" w:themeShade="BF"/>
        <w:sz w:val="32"/>
      </w:rPr>
    </w:lvl>
    <w:lvl w:ilvl="7">
      <w:start w:val="1"/>
      <w:numFmt w:val="decimal"/>
      <w:lvlText w:val="%1.%2.%3.%4.%5.%6.%7.%8"/>
      <w:lvlJc w:val="left"/>
      <w:pPr>
        <w:ind w:left="1440" w:hanging="1440"/>
      </w:pPr>
      <w:rPr>
        <w:rFonts w:asciiTheme="majorHAnsi" w:eastAsiaTheme="majorEastAsia" w:hAnsiTheme="majorHAnsi" w:cstheme="majorBidi" w:hint="default"/>
        <w:color w:val="0F4761" w:themeColor="accent1" w:themeShade="BF"/>
        <w:sz w:val="32"/>
      </w:rPr>
    </w:lvl>
    <w:lvl w:ilvl="8">
      <w:start w:val="1"/>
      <w:numFmt w:val="decimal"/>
      <w:lvlText w:val="%1.%2.%3.%4.%5.%6.%7.%8.%9"/>
      <w:lvlJc w:val="left"/>
      <w:pPr>
        <w:ind w:left="1800" w:hanging="1800"/>
      </w:pPr>
      <w:rPr>
        <w:rFonts w:asciiTheme="majorHAnsi" w:eastAsiaTheme="majorEastAsia" w:hAnsiTheme="majorHAnsi" w:cstheme="majorBidi" w:hint="default"/>
        <w:color w:val="0F4761" w:themeColor="accent1" w:themeShade="BF"/>
        <w:sz w:val="32"/>
      </w:rPr>
    </w:lvl>
  </w:abstractNum>
  <w:abstractNum w:abstractNumId="37" w15:restartNumberingAfterBreak="0">
    <w:nsid w:val="4DA90D82"/>
    <w:multiLevelType w:val="multilevel"/>
    <w:tmpl w:val="8428851E"/>
    <w:lvl w:ilvl="0">
      <w:start w:val="5"/>
      <w:numFmt w:val="decimal"/>
      <w:lvlText w:val="%1"/>
      <w:lvlJc w:val="left"/>
      <w:pPr>
        <w:ind w:left="420" w:hanging="420"/>
      </w:pPr>
      <w:rPr>
        <w:rFonts w:asciiTheme="majorHAnsi" w:eastAsiaTheme="majorEastAsia" w:hAnsiTheme="majorHAnsi" w:cstheme="majorBidi" w:hint="default"/>
        <w:color w:val="0F4761" w:themeColor="accent1" w:themeShade="BF"/>
        <w:sz w:val="32"/>
      </w:rPr>
    </w:lvl>
    <w:lvl w:ilvl="1">
      <w:start w:val="1"/>
      <w:numFmt w:val="decimal"/>
      <w:lvlText w:val="%1.%2"/>
      <w:lvlJc w:val="left"/>
      <w:pPr>
        <w:ind w:left="420" w:hanging="420"/>
      </w:pPr>
      <w:rPr>
        <w:rFonts w:asciiTheme="majorHAnsi" w:eastAsiaTheme="majorEastAsia" w:hAnsiTheme="majorHAnsi" w:cstheme="majorBidi" w:hint="default"/>
        <w:color w:val="0F4761" w:themeColor="accent1" w:themeShade="BF"/>
        <w:sz w:val="32"/>
      </w:rPr>
    </w:lvl>
    <w:lvl w:ilvl="2">
      <w:start w:val="1"/>
      <w:numFmt w:val="decimal"/>
      <w:lvlText w:val="%1.%2.%3"/>
      <w:lvlJc w:val="left"/>
      <w:pPr>
        <w:ind w:left="720" w:hanging="720"/>
      </w:pPr>
      <w:rPr>
        <w:rFonts w:asciiTheme="majorHAnsi" w:eastAsiaTheme="majorEastAsia" w:hAnsiTheme="majorHAnsi" w:cstheme="majorBidi" w:hint="default"/>
        <w:color w:val="0F4761" w:themeColor="accent1" w:themeShade="BF"/>
        <w:sz w:val="32"/>
      </w:rPr>
    </w:lvl>
    <w:lvl w:ilvl="3">
      <w:start w:val="1"/>
      <w:numFmt w:val="decimal"/>
      <w:lvlText w:val="%1.%2.%3.%4"/>
      <w:lvlJc w:val="left"/>
      <w:pPr>
        <w:ind w:left="720" w:hanging="720"/>
      </w:pPr>
      <w:rPr>
        <w:rFonts w:asciiTheme="majorHAnsi" w:eastAsiaTheme="majorEastAsia" w:hAnsiTheme="majorHAnsi" w:cstheme="majorBidi" w:hint="default"/>
        <w:color w:val="0F4761" w:themeColor="accent1" w:themeShade="BF"/>
        <w:sz w:val="32"/>
      </w:rPr>
    </w:lvl>
    <w:lvl w:ilvl="4">
      <w:start w:val="1"/>
      <w:numFmt w:val="decimal"/>
      <w:lvlText w:val="%1.%2.%3.%4.%5"/>
      <w:lvlJc w:val="left"/>
      <w:pPr>
        <w:ind w:left="1080" w:hanging="1080"/>
      </w:pPr>
      <w:rPr>
        <w:rFonts w:asciiTheme="majorHAnsi" w:eastAsiaTheme="majorEastAsia" w:hAnsiTheme="majorHAnsi" w:cstheme="majorBidi" w:hint="default"/>
        <w:color w:val="0F4761" w:themeColor="accent1" w:themeShade="BF"/>
        <w:sz w:val="32"/>
      </w:rPr>
    </w:lvl>
    <w:lvl w:ilvl="5">
      <w:start w:val="1"/>
      <w:numFmt w:val="decimal"/>
      <w:lvlText w:val="%1.%2.%3.%4.%5.%6"/>
      <w:lvlJc w:val="left"/>
      <w:pPr>
        <w:ind w:left="1080" w:hanging="1080"/>
      </w:pPr>
      <w:rPr>
        <w:rFonts w:asciiTheme="majorHAnsi" w:eastAsiaTheme="majorEastAsia" w:hAnsiTheme="majorHAnsi" w:cstheme="majorBidi" w:hint="default"/>
        <w:color w:val="0F4761" w:themeColor="accent1" w:themeShade="BF"/>
        <w:sz w:val="32"/>
      </w:rPr>
    </w:lvl>
    <w:lvl w:ilvl="6">
      <w:start w:val="1"/>
      <w:numFmt w:val="decimal"/>
      <w:lvlText w:val="%1.%2.%3.%4.%5.%6.%7"/>
      <w:lvlJc w:val="left"/>
      <w:pPr>
        <w:ind w:left="1440" w:hanging="1440"/>
      </w:pPr>
      <w:rPr>
        <w:rFonts w:asciiTheme="majorHAnsi" w:eastAsiaTheme="majorEastAsia" w:hAnsiTheme="majorHAnsi" w:cstheme="majorBidi" w:hint="default"/>
        <w:color w:val="0F4761" w:themeColor="accent1" w:themeShade="BF"/>
        <w:sz w:val="32"/>
      </w:rPr>
    </w:lvl>
    <w:lvl w:ilvl="7">
      <w:start w:val="1"/>
      <w:numFmt w:val="decimal"/>
      <w:lvlText w:val="%1.%2.%3.%4.%5.%6.%7.%8"/>
      <w:lvlJc w:val="left"/>
      <w:pPr>
        <w:ind w:left="1440" w:hanging="1440"/>
      </w:pPr>
      <w:rPr>
        <w:rFonts w:asciiTheme="majorHAnsi" w:eastAsiaTheme="majorEastAsia" w:hAnsiTheme="majorHAnsi" w:cstheme="majorBidi" w:hint="default"/>
        <w:color w:val="0F4761" w:themeColor="accent1" w:themeShade="BF"/>
        <w:sz w:val="32"/>
      </w:rPr>
    </w:lvl>
    <w:lvl w:ilvl="8">
      <w:start w:val="1"/>
      <w:numFmt w:val="decimal"/>
      <w:lvlText w:val="%1.%2.%3.%4.%5.%6.%7.%8.%9"/>
      <w:lvlJc w:val="left"/>
      <w:pPr>
        <w:ind w:left="1800" w:hanging="1800"/>
      </w:pPr>
      <w:rPr>
        <w:rFonts w:asciiTheme="majorHAnsi" w:eastAsiaTheme="majorEastAsia" w:hAnsiTheme="majorHAnsi" w:cstheme="majorBidi" w:hint="default"/>
        <w:color w:val="0F4761" w:themeColor="accent1" w:themeShade="BF"/>
        <w:sz w:val="32"/>
      </w:rPr>
    </w:lvl>
  </w:abstractNum>
  <w:abstractNum w:abstractNumId="38" w15:restartNumberingAfterBreak="0">
    <w:nsid w:val="537B6306"/>
    <w:multiLevelType w:val="hybridMultilevel"/>
    <w:tmpl w:val="196ECF4C"/>
    <w:lvl w:ilvl="0" w:tplc="8004BA56">
      <w:start w:val="2"/>
      <w:numFmt w:val="bullet"/>
      <w:lvlText w:val=""/>
      <w:lvlJc w:val="left"/>
      <w:pPr>
        <w:ind w:left="1080" w:hanging="360"/>
      </w:pPr>
      <w:rPr>
        <w:rFonts w:ascii="Symbol" w:eastAsia="Times New Roman" w:hAnsi="Symbol"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9" w15:restartNumberingAfterBreak="0">
    <w:nsid w:val="53911DA3"/>
    <w:multiLevelType w:val="hybridMultilevel"/>
    <w:tmpl w:val="45BC94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56C874D5"/>
    <w:multiLevelType w:val="multilevel"/>
    <w:tmpl w:val="DE505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A011C8D"/>
    <w:multiLevelType w:val="multilevel"/>
    <w:tmpl w:val="E54C2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D6D5F17"/>
    <w:multiLevelType w:val="hybridMultilevel"/>
    <w:tmpl w:val="9934EB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634943F0"/>
    <w:multiLevelType w:val="multilevel"/>
    <w:tmpl w:val="FBDEF68A"/>
    <w:lvl w:ilvl="0">
      <w:start w:val="3"/>
      <w:numFmt w:val="decimal"/>
      <w:lvlText w:val="%1"/>
      <w:lvlJc w:val="left"/>
      <w:pPr>
        <w:ind w:left="420" w:hanging="42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4" w15:restartNumberingAfterBreak="0">
    <w:nsid w:val="64170CAA"/>
    <w:multiLevelType w:val="hybridMultilevel"/>
    <w:tmpl w:val="5350961E"/>
    <w:lvl w:ilvl="0" w:tplc="6464F132">
      <w:start w:val="3"/>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5" w15:restartNumberingAfterBreak="0">
    <w:nsid w:val="64530402"/>
    <w:multiLevelType w:val="multilevel"/>
    <w:tmpl w:val="01265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5CF07E1"/>
    <w:multiLevelType w:val="multilevel"/>
    <w:tmpl w:val="03DC6DDA"/>
    <w:lvl w:ilvl="0">
      <w:start w:val="4"/>
      <w:numFmt w:val="decimal"/>
      <w:lvlText w:val="%1"/>
      <w:lvlJc w:val="left"/>
      <w:pPr>
        <w:ind w:left="420" w:hanging="420"/>
      </w:pPr>
      <w:rPr>
        <w:rFonts w:asciiTheme="majorHAnsi" w:eastAsiaTheme="majorEastAsia" w:hAnsiTheme="majorHAnsi" w:cstheme="majorBidi" w:hint="default"/>
        <w:color w:val="0F4761" w:themeColor="accent1" w:themeShade="BF"/>
        <w:sz w:val="32"/>
      </w:rPr>
    </w:lvl>
    <w:lvl w:ilvl="1">
      <w:start w:val="6"/>
      <w:numFmt w:val="decimal"/>
      <w:lvlText w:val="%1.%2"/>
      <w:lvlJc w:val="left"/>
      <w:pPr>
        <w:ind w:left="420" w:hanging="420"/>
      </w:pPr>
      <w:rPr>
        <w:rFonts w:asciiTheme="majorHAnsi" w:eastAsiaTheme="majorEastAsia" w:hAnsiTheme="majorHAnsi" w:cstheme="majorBidi" w:hint="default"/>
        <w:color w:val="0F4761" w:themeColor="accent1" w:themeShade="BF"/>
        <w:sz w:val="32"/>
      </w:rPr>
    </w:lvl>
    <w:lvl w:ilvl="2">
      <w:start w:val="1"/>
      <w:numFmt w:val="decimal"/>
      <w:lvlText w:val="%1.%2.%3"/>
      <w:lvlJc w:val="left"/>
      <w:pPr>
        <w:ind w:left="720" w:hanging="720"/>
      </w:pPr>
      <w:rPr>
        <w:rFonts w:asciiTheme="majorHAnsi" w:eastAsiaTheme="majorEastAsia" w:hAnsiTheme="majorHAnsi" w:cstheme="majorBidi" w:hint="default"/>
        <w:color w:val="0F4761" w:themeColor="accent1" w:themeShade="BF"/>
        <w:sz w:val="32"/>
      </w:rPr>
    </w:lvl>
    <w:lvl w:ilvl="3">
      <w:start w:val="1"/>
      <w:numFmt w:val="decimal"/>
      <w:lvlText w:val="%1.%2.%3.%4"/>
      <w:lvlJc w:val="left"/>
      <w:pPr>
        <w:ind w:left="720" w:hanging="720"/>
      </w:pPr>
      <w:rPr>
        <w:rFonts w:asciiTheme="majorHAnsi" w:eastAsiaTheme="majorEastAsia" w:hAnsiTheme="majorHAnsi" w:cstheme="majorBidi" w:hint="default"/>
        <w:color w:val="0F4761" w:themeColor="accent1" w:themeShade="BF"/>
        <w:sz w:val="32"/>
      </w:rPr>
    </w:lvl>
    <w:lvl w:ilvl="4">
      <w:start w:val="1"/>
      <w:numFmt w:val="decimal"/>
      <w:lvlText w:val="%1.%2.%3.%4.%5"/>
      <w:lvlJc w:val="left"/>
      <w:pPr>
        <w:ind w:left="1080" w:hanging="1080"/>
      </w:pPr>
      <w:rPr>
        <w:rFonts w:asciiTheme="majorHAnsi" w:eastAsiaTheme="majorEastAsia" w:hAnsiTheme="majorHAnsi" w:cstheme="majorBidi" w:hint="default"/>
        <w:color w:val="0F4761" w:themeColor="accent1" w:themeShade="BF"/>
        <w:sz w:val="32"/>
      </w:rPr>
    </w:lvl>
    <w:lvl w:ilvl="5">
      <w:start w:val="1"/>
      <w:numFmt w:val="decimal"/>
      <w:lvlText w:val="%1.%2.%3.%4.%5.%6"/>
      <w:lvlJc w:val="left"/>
      <w:pPr>
        <w:ind w:left="1080" w:hanging="1080"/>
      </w:pPr>
      <w:rPr>
        <w:rFonts w:asciiTheme="majorHAnsi" w:eastAsiaTheme="majorEastAsia" w:hAnsiTheme="majorHAnsi" w:cstheme="majorBidi" w:hint="default"/>
        <w:color w:val="0F4761" w:themeColor="accent1" w:themeShade="BF"/>
        <w:sz w:val="32"/>
      </w:rPr>
    </w:lvl>
    <w:lvl w:ilvl="6">
      <w:start w:val="1"/>
      <w:numFmt w:val="decimal"/>
      <w:lvlText w:val="%1.%2.%3.%4.%5.%6.%7"/>
      <w:lvlJc w:val="left"/>
      <w:pPr>
        <w:ind w:left="1440" w:hanging="1440"/>
      </w:pPr>
      <w:rPr>
        <w:rFonts w:asciiTheme="majorHAnsi" w:eastAsiaTheme="majorEastAsia" w:hAnsiTheme="majorHAnsi" w:cstheme="majorBidi" w:hint="default"/>
        <w:color w:val="0F4761" w:themeColor="accent1" w:themeShade="BF"/>
        <w:sz w:val="32"/>
      </w:rPr>
    </w:lvl>
    <w:lvl w:ilvl="7">
      <w:start w:val="1"/>
      <w:numFmt w:val="decimal"/>
      <w:lvlText w:val="%1.%2.%3.%4.%5.%6.%7.%8"/>
      <w:lvlJc w:val="left"/>
      <w:pPr>
        <w:ind w:left="1440" w:hanging="1440"/>
      </w:pPr>
      <w:rPr>
        <w:rFonts w:asciiTheme="majorHAnsi" w:eastAsiaTheme="majorEastAsia" w:hAnsiTheme="majorHAnsi" w:cstheme="majorBidi" w:hint="default"/>
        <w:color w:val="0F4761" w:themeColor="accent1" w:themeShade="BF"/>
        <w:sz w:val="32"/>
      </w:rPr>
    </w:lvl>
    <w:lvl w:ilvl="8">
      <w:start w:val="1"/>
      <w:numFmt w:val="decimal"/>
      <w:lvlText w:val="%1.%2.%3.%4.%5.%6.%7.%8.%9"/>
      <w:lvlJc w:val="left"/>
      <w:pPr>
        <w:ind w:left="1800" w:hanging="1800"/>
      </w:pPr>
      <w:rPr>
        <w:rFonts w:asciiTheme="majorHAnsi" w:eastAsiaTheme="majorEastAsia" w:hAnsiTheme="majorHAnsi" w:cstheme="majorBidi" w:hint="default"/>
        <w:color w:val="0F4761" w:themeColor="accent1" w:themeShade="BF"/>
        <w:sz w:val="32"/>
      </w:rPr>
    </w:lvl>
  </w:abstractNum>
  <w:abstractNum w:abstractNumId="47" w15:restartNumberingAfterBreak="0">
    <w:nsid w:val="67B961A1"/>
    <w:multiLevelType w:val="multilevel"/>
    <w:tmpl w:val="6E74D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0897AB1"/>
    <w:multiLevelType w:val="multilevel"/>
    <w:tmpl w:val="4A68D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96A3712"/>
    <w:multiLevelType w:val="multilevel"/>
    <w:tmpl w:val="8428851E"/>
    <w:lvl w:ilvl="0">
      <w:start w:val="5"/>
      <w:numFmt w:val="decimal"/>
      <w:lvlText w:val="%1"/>
      <w:lvlJc w:val="left"/>
      <w:pPr>
        <w:ind w:left="420" w:hanging="420"/>
      </w:pPr>
      <w:rPr>
        <w:rFonts w:asciiTheme="majorHAnsi" w:eastAsiaTheme="majorEastAsia" w:hAnsiTheme="majorHAnsi" w:cstheme="majorBidi" w:hint="default"/>
        <w:color w:val="0F4761" w:themeColor="accent1" w:themeShade="BF"/>
        <w:sz w:val="32"/>
      </w:rPr>
    </w:lvl>
    <w:lvl w:ilvl="1">
      <w:start w:val="1"/>
      <w:numFmt w:val="decimal"/>
      <w:lvlText w:val="%1.%2"/>
      <w:lvlJc w:val="left"/>
      <w:pPr>
        <w:ind w:left="420" w:hanging="420"/>
      </w:pPr>
      <w:rPr>
        <w:rFonts w:asciiTheme="majorHAnsi" w:eastAsiaTheme="majorEastAsia" w:hAnsiTheme="majorHAnsi" w:cstheme="majorBidi" w:hint="default"/>
        <w:color w:val="0F4761" w:themeColor="accent1" w:themeShade="BF"/>
        <w:sz w:val="32"/>
      </w:rPr>
    </w:lvl>
    <w:lvl w:ilvl="2">
      <w:start w:val="1"/>
      <w:numFmt w:val="decimal"/>
      <w:lvlText w:val="%1.%2.%3"/>
      <w:lvlJc w:val="left"/>
      <w:pPr>
        <w:ind w:left="720" w:hanging="720"/>
      </w:pPr>
      <w:rPr>
        <w:rFonts w:asciiTheme="majorHAnsi" w:eastAsiaTheme="majorEastAsia" w:hAnsiTheme="majorHAnsi" w:cstheme="majorBidi" w:hint="default"/>
        <w:color w:val="0F4761" w:themeColor="accent1" w:themeShade="BF"/>
        <w:sz w:val="32"/>
      </w:rPr>
    </w:lvl>
    <w:lvl w:ilvl="3">
      <w:start w:val="1"/>
      <w:numFmt w:val="decimal"/>
      <w:lvlText w:val="%1.%2.%3.%4"/>
      <w:lvlJc w:val="left"/>
      <w:pPr>
        <w:ind w:left="720" w:hanging="720"/>
      </w:pPr>
      <w:rPr>
        <w:rFonts w:asciiTheme="majorHAnsi" w:eastAsiaTheme="majorEastAsia" w:hAnsiTheme="majorHAnsi" w:cstheme="majorBidi" w:hint="default"/>
        <w:color w:val="0F4761" w:themeColor="accent1" w:themeShade="BF"/>
        <w:sz w:val="32"/>
      </w:rPr>
    </w:lvl>
    <w:lvl w:ilvl="4">
      <w:start w:val="1"/>
      <w:numFmt w:val="decimal"/>
      <w:lvlText w:val="%1.%2.%3.%4.%5"/>
      <w:lvlJc w:val="left"/>
      <w:pPr>
        <w:ind w:left="1080" w:hanging="1080"/>
      </w:pPr>
      <w:rPr>
        <w:rFonts w:asciiTheme="majorHAnsi" w:eastAsiaTheme="majorEastAsia" w:hAnsiTheme="majorHAnsi" w:cstheme="majorBidi" w:hint="default"/>
        <w:color w:val="0F4761" w:themeColor="accent1" w:themeShade="BF"/>
        <w:sz w:val="32"/>
      </w:rPr>
    </w:lvl>
    <w:lvl w:ilvl="5">
      <w:start w:val="1"/>
      <w:numFmt w:val="decimal"/>
      <w:lvlText w:val="%1.%2.%3.%4.%5.%6"/>
      <w:lvlJc w:val="left"/>
      <w:pPr>
        <w:ind w:left="1080" w:hanging="1080"/>
      </w:pPr>
      <w:rPr>
        <w:rFonts w:asciiTheme="majorHAnsi" w:eastAsiaTheme="majorEastAsia" w:hAnsiTheme="majorHAnsi" w:cstheme="majorBidi" w:hint="default"/>
        <w:color w:val="0F4761" w:themeColor="accent1" w:themeShade="BF"/>
        <w:sz w:val="32"/>
      </w:rPr>
    </w:lvl>
    <w:lvl w:ilvl="6">
      <w:start w:val="1"/>
      <w:numFmt w:val="decimal"/>
      <w:lvlText w:val="%1.%2.%3.%4.%5.%6.%7"/>
      <w:lvlJc w:val="left"/>
      <w:pPr>
        <w:ind w:left="1440" w:hanging="1440"/>
      </w:pPr>
      <w:rPr>
        <w:rFonts w:asciiTheme="majorHAnsi" w:eastAsiaTheme="majorEastAsia" w:hAnsiTheme="majorHAnsi" w:cstheme="majorBidi" w:hint="default"/>
        <w:color w:val="0F4761" w:themeColor="accent1" w:themeShade="BF"/>
        <w:sz w:val="32"/>
      </w:rPr>
    </w:lvl>
    <w:lvl w:ilvl="7">
      <w:start w:val="1"/>
      <w:numFmt w:val="decimal"/>
      <w:lvlText w:val="%1.%2.%3.%4.%5.%6.%7.%8"/>
      <w:lvlJc w:val="left"/>
      <w:pPr>
        <w:ind w:left="1440" w:hanging="1440"/>
      </w:pPr>
      <w:rPr>
        <w:rFonts w:asciiTheme="majorHAnsi" w:eastAsiaTheme="majorEastAsia" w:hAnsiTheme="majorHAnsi" w:cstheme="majorBidi" w:hint="default"/>
        <w:color w:val="0F4761" w:themeColor="accent1" w:themeShade="BF"/>
        <w:sz w:val="32"/>
      </w:rPr>
    </w:lvl>
    <w:lvl w:ilvl="8">
      <w:start w:val="1"/>
      <w:numFmt w:val="decimal"/>
      <w:lvlText w:val="%1.%2.%3.%4.%5.%6.%7.%8.%9"/>
      <w:lvlJc w:val="left"/>
      <w:pPr>
        <w:ind w:left="1800" w:hanging="1800"/>
      </w:pPr>
      <w:rPr>
        <w:rFonts w:asciiTheme="majorHAnsi" w:eastAsiaTheme="majorEastAsia" w:hAnsiTheme="majorHAnsi" w:cstheme="majorBidi" w:hint="default"/>
        <w:color w:val="0F4761" w:themeColor="accent1" w:themeShade="BF"/>
        <w:sz w:val="32"/>
      </w:rPr>
    </w:lvl>
  </w:abstractNum>
  <w:abstractNum w:abstractNumId="50" w15:restartNumberingAfterBreak="0">
    <w:nsid w:val="7DCF3363"/>
    <w:multiLevelType w:val="multilevel"/>
    <w:tmpl w:val="5ABC4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50669698">
    <w:abstractNumId w:val="5"/>
  </w:num>
  <w:num w:numId="2" w16cid:durableId="1636565960">
    <w:abstractNumId w:val="27"/>
  </w:num>
  <w:num w:numId="3" w16cid:durableId="1104227894">
    <w:abstractNumId w:val="24"/>
  </w:num>
  <w:num w:numId="4" w16cid:durableId="944507414">
    <w:abstractNumId w:val="12"/>
  </w:num>
  <w:num w:numId="5" w16cid:durableId="793332644">
    <w:abstractNumId w:val="26"/>
  </w:num>
  <w:num w:numId="6" w16cid:durableId="1326278794">
    <w:abstractNumId w:val="18"/>
  </w:num>
  <w:num w:numId="7" w16cid:durableId="1899896471">
    <w:abstractNumId w:val="30"/>
  </w:num>
  <w:num w:numId="8" w16cid:durableId="80420956">
    <w:abstractNumId w:val="22"/>
  </w:num>
  <w:num w:numId="9" w16cid:durableId="1592197431">
    <w:abstractNumId w:val="11"/>
  </w:num>
  <w:num w:numId="10" w16cid:durableId="1316108841">
    <w:abstractNumId w:val="34"/>
  </w:num>
  <w:num w:numId="11" w16cid:durableId="668796473">
    <w:abstractNumId w:val="48"/>
  </w:num>
  <w:num w:numId="12" w16cid:durableId="751857843">
    <w:abstractNumId w:val="41"/>
  </w:num>
  <w:num w:numId="13" w16cid:durableId="1642998641">
    <w:abstractNumId w:val="50"/>
  </w:num>
  <w:num w:numId="14" w16cid:durableId="1223761096">
    <w:abstractNumId w:val="19"/>
  </w:num>
  <w:num w:numId="15" w16cid:durableId="292172290">
    <w:abstractNumId w:val="33"/>
  </w:num>
  <w:num w:numId="16" w16cid:durableId="1290434615">
    <w:abstractNumId w:val="40"/>
  </w:num>
  <w:num w:numId="17" w16cid:durableId="1209996070">
    <w:abstractNumId w:val="15"/>
  </w:num>
  <w:num w:numId="18" w16cid:durableId="519318321">
    <w:abstractNumId w:val="28"/>
  </w:num>
  <w:num w:numId="19" w16cid:durableId="1922831177">
    <w:abstractNumId w:val="17"/>
  </w:num>
  <w:num w:numId="20" w16cid:durableId="235672489">
    <w:abstractNumId w:val="6"/>
  </w:num>
  <w:num w:numId="21" w16cid:durableId="1857890444">
    <w:abstractNumId w:val="47"/>
  </w:num>
  <w:num w:numId="22" w16cid:durableId="1740133330">
    <w:abstractNumId w:val="21"/>
  </w:num>
  <w:num w:numId="23" w16cid:durableId="1457262593">
    <w:abstractNumId w:val="45"/>
  </w:num>
  <w:num w:numId="24" w16cid:durableId="891305277">
    <w:abstractNumId w:val="31"/>
  </w:num>
  <w:num w:numId="25" w16cid:durableId="346448360">
    <w:abstractNumId w:val="2"/>
  </w:num>
  <w:num w:numId="26" w16cid:durableId="1370643335">
    <w:abstractNumId w:val="46"/>
  </w:num>
  <w:num w:numId="27" w16cid:durableId="127211676">
    <w:abstractNumId w:val="35"/>
  </w:num>
  <w:num w:numId="28" w16cid:durableId="707527707">
    <w:abstractNumId w:val="36"/>
  </w:num>
  <w:num w:numId="29" w16cid:durableId="589047639">
    <w:abstractNumId w:val="49"/>
  </w:num>
  <w:num w:numId="30" w16cid:durableId="1334988536">
    <w:abstractNumId w:val="37"/>
  </w:num>
  <w:num w:numId="31" w16cid:durableId="1817798210">
    <w:abstractNumId w:val="13"/>
  </w:num>
  <w:num w:numId="32" w16cid:durableId="481506699">
    <w:abstractNumId w:val="32"/>
  </w:num>
  <w:num w:numId="33" w16cid:durableId="1048914368">
    <w:abstractNumId w:val="44"/>
  </w:num>
  <w:num w:numId="34" w16cid:durableId="1824079906">
    <w:abstractNumId w:val="4"/>
  </w:num>
  <w:num w:numId="35" w16cid:durableId="496305431">
    <w:abstractNumId w:val="1"/>
  </w:num>
  <w:num w:numId="36" w16cid:durableId="175583459">
    <w:abstractNumId w:val="10"/>
  </w:num>
  <w:num w:numId="37" w16cid:durableId="259065413">
    <w:abstractNumId w:val="38"/>
  </w:num>
  <w:num w:numId="38" w16cid:durableId="1361660329">
    <w:abstractNumId w:val="7"/>
  </w:num>
  <w:num w:numId="39" w16cid:durableId="260526717">
    <w:abstractNumId w:val="42"/>
  </w:num>
  <w:num w:numId="40" w16cid:durableId="1738940678">
    <w:abstractNumId w:val="14"/>
  </w:num>
  <w:num w:numId="41" w16cid:durableId="1122843368">
    <w:abstractNumId w:val="3"/>
  </w:num>
  <w:num w:numId="42" w16cid:durableId="1248032849">
    <w:abstractNumId w:val="8"/>
  </w:num>
  <w:num w:numId="43" w16cid:durableId="1912542018">
    <w:abstractNumId w:val="16"/>
  </w:num>
  <w:num w:numId="44" w16cid:durableId="303241669">
    <w:abstractNumId w:val="0"/>
  </w:num>
  <w:num w:numId="45" w16cid:durableId="2129005777">
    <w:abstractNumId w:val="39"/>
  </w:num>
  <w:num w:numId="46" w16cid:durableId="179205610">
    <w:abstractNumId w:val="9"/>
  </w:num>
  <w:num w:numId="47" w16cid:durableId="429545619">
    <w:abstractNumId w:val="25"/>
  </w:num>
  <w:num w:numId="48" w16cid:durableId="1721786042">
    <w:abstractNumId w:val="43"/>
  </w:num>
  <w:num w:numId="49" w16cid:durableId="995457996">
    <w:abstractNumId w:val="23"/>
  </w:num>
  <w:num w:numId="50" w16cid:durableId="1376462495">
    <w:abstractNumId w:val="29"/>
  </w:num>
  <w:num w:numId="51" w16cid:durableId="152825675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26CE"/>
    <w:rsid w:val="000133C0"/>
    <w:rsid w:val="00014A9C"/>
    <w:rsid w:val="00020B96"/>
    <w:rsid w:val="00033C44"/>
    <w:rsid w:val="000573F5"/>
    <w:rsid w:val="00062EAD"/>
    <w:rsid w:val="000A2857"/>
    <w:rsid w:val="000B727F"/>
    <w:rsid w:val="000C1051"/>
    <w:rsid w:val="000F443F"/>
    <w:rsid w:val="000F744C"/>
    <w:rsid w:val="00102CB6"/>
    <w:rsid w:val="001060A9"/>
    <w:rsid w:val="001350AC"/>
    <w:rsid w:val="00154066"/>
    <w:rsid w:val="0015556C"/>
    <w:rsid w:val="001774CC"/>
    <w:rsid w:val="00193739"/>
    <w:rsid w:val="001C2AB5"/>
    <w:rsid w:val="001C7952"/>
    <w:rsid w:val="001D226B"/>
    <w:rsid w:val="001D513C"/>
    <w:rsid w:val="001D57C7"/>
    <w:rsid w:val="001E016A"/>
    <w:rsid w:val="001E5792"/>
    <w:rsid w:val="001F0DFC"/>
    <w:rsid w:val="0020709D"/>
    <w:rsid w:val="00217F04"/>
    <w:rsid w:val="0023484E"/>
    <w:rsid w:val="0024157B"/>
    <w:rsid w:val="002539C4"/>
    <w:rsid w:val="00274244"/>
    <w:rsid w:val="002A0A2D"/>
    <w:rsid w:val="002A4A96"/>
    <w:rsid w:val="002A5E3D"/>
    <w:rsid w:val="002C2D1D"/>
    <w:rsid w:val="002C58BE"/>
    <w:rsid w:val="002D436F"/>
    <w:rsid w:val="002F4757"/>
    <w:rsid w:val="002F6B04"/>
    <w:rsid w:val="00322C06"/>
    <w:rsid w:val="003329F6"/>
    <w:rsid w:val="00343893"/>
    <w:rsid w:val="0034731E"/>
    <w:rsid w:val="003776B2"/>
    <w:rsid w:val="003A2D1D"/>
    <w:rsid w:val="003C6290"/>
    <w:rsid w:val="003E36A3"/>
    <w:rsid w:val="003F13B4"/>
    <w:rsid w:val="00431E99"/>
    <w:rsid w:val="00434C6F"/>
    <w:rsid w:val="004453B5"/>
    <w:rsid w:val="0045178D"/>
    <w:rsid w:val="00462179"/>
    <w:rsid w:val="00477402"/>
    <w:rsid w:val="004858D3"/>
    <w:rsid w:val="004A11E1"/>
    <w:rsid w:val="004A1710"/>
    <w:rsid w:val="004A205C"/>
    <w:rsid w:val="004B7844"/>
    <w:rsid w:val="004C092D"/>
    <w:rsid w:val="004C59E9"/>
    <w:rsid w:val="004E1D4F"/>
    <w:rsid w:val="004F2797"/>
    <w:rsid w:val="004F5947"/>
    <w:rsid w:val="005142BC"/>
    <w:rsid w:val="0052685D"/>
    <w:rsid w:val="00566B6E"/>
    <w:rsid w:val="005814E9"/>
    <w:rsid w:val="005A1F8F"/>
    <w:rsid w:val="005A3FAF"/>
    <w:rsid w:val="005A6B7A"/>
    <w:rsid w:val="005B246A"/>
    <w:rsid w:val="005B570C"/>
    <w:rsid w:val="005C0101"/>
    <w:rsid w:val="005C7F52"/>
    <w:rsid w:val="005D7843"/>
    <w:rsid w:val="005E03DE"/>
    <w:rsid w:val="00612F21"/>
    <w:rsid w:val="0062431B"/>
    <w:rsid w:val="0065670B"/>
    <w:rsid w:val="00672EE4"/>
    <w:rsid w:val="006A6C97"/>
    <w:rsid w:val="006A7E13"/>
    <w:rsid w:val="006B5A12"/>
    <w:rsid w:val="00712FF8"/>
    <w:rsid w:val="007365DD"/>
    <w:rsid w:val="00750FB8"/>
    <w:rsid w:val="00766555"/>
    <w:rsid w:val="007709CB"/>
    <w:rsid w:val="00777963"/>
    <w:rsid w:val="007779A3"/>
    <w:rsid w:val="00792548"/>
    <w:rsid w:val="007A648D"/>
    <w:rsid w:val="007C41CC"/>
    <w:rsid w:val="007D518F"/>
    <w:rsid w:val="007E7123"/>
    <w:rsid w:val="00835FEE"/>
    <w:rsid w:val="008721E5"/>
    <w:rsid w:val="00875391"/>
    <w:rsid w:val="00885802"/>
    <w:rsid w:val="0088603D"/>
    <w:rsid w:val="00891817"/>
    <w:rsid w:val="008A4135"/>
    <w:rsid w:val="008B0C70"/>
    <w:rsid w:val="008F1DCF"/>
    <w:rsid w:val="008F74B3"/>
    <w:rsid w:val="00904CD8"/>
    <w:rsid w:val="00942496"/>
    <w:rsid w:val="009621DF"/>
    <w:rsid w:val="0097449C"/>
    <w:rsid w:val="00974724"/>
    <w:rsid w:val="00975C7B"/>
    <w:rsid w:val="0099453E"/>
    <w:rsid w:val="009B55CA"/>
    <w:rsid w:val="009C4E7A"/>
    <w:rsid w:val="009E27E0"/>
    <w:rsid w:val="009E4847"/>
    <w:rsid w:val="00A0651B"/>
    <w:rsid w:val="00A1315D"/>
    <w:rsid w:val="00A17130"/>
    <w:rsid w:val="00A206C2"/>
    <w:rsid w:val="00A268CF"/>
    <w:rsid w:val="00A333D5"/>
    <w:rsid w:val="00A5003D"/>
    <w:rsid w:val="00A82839"/>
    <w:rsid w:val="00A91628"/>
    <w:rsid w:val="00AA1AEA"/>
    <w:rsid w:val="00AB7087"/>
    <w:rsid w:val="00AD72BD"/>
    <w:rsid w:val="00AE734E"/>
    <w:rsid w:val="00AF5365"/>
    <w:rsid w:val="00B01BAE"/>
    <w:rsid w:val="00B064B8"/>
    <w:rsid w:val="00B11B75"/>
    <w:rsid w:val="00B26836"/>
    <w:rsid w:val="00B54B64"/>
    <w:rsid w:val="00B73319"/>
    <w:rsid w:val="00B8545B"/>
    <w:rsid w:val="00BA1EF5"/>
    <w:rsid w:val="00BB006D"/>
    <w:rsid w:val="00BB141F"/>
    <w:rsid w:val="00BB6C3A"/>
    <w:rsid w:val="00BC3EE0"/>
    <w:rsid w:val="00BD3046"/>
    <w:rsid w:val="00BE21A2"/>
    <w:rsid w:val="00BF616A"/>
    <w:rsid w:val="00BF79CC"/>
    <w:rsid w:val="00C21C38"/>
    <w:rsid w:val="00C35A3C"/>
    <w:rsid w:val="00C44FCA"/>
    <w:rsid w:val="00C66C8E"/>
    <w:rsid w:val="00C873B4"/>
    <w:rsid w:val="00C92079"/>
    <w:rsid w:val="00C934E1"/>
    <w:rsid w:val="00CA1223"/>
    <w:rsid w:val="00CA33C2"/>
    <w:rsid w:val="00CC15CA"/>
    <w:rsid w:val="00CC5E1F"/>
    <w:rsid w:val="00CF2701"/>
    <w:rsid w:val="00D0477C"/>
    <w:rsid w:val="00D25527"/>
    <w:rsid w:val="00D31375"/>
    <w:rsid w:val="00D326CE"/>
    <w:rsid w:val="00D4226C"/>
    <w:rsid w:val="00D443D6"/>
    <w:rsid w:val="00D54E6F"/>
    <w:rsid w:val="00D84CFA"/>
    <w:rsid w:val="00DA2E56"/>
    <w:rsid w:val="00DC253E"/>
    <w:rsid w:val="00DC74BD"/>
    <w:rsid w:val="00DF092E"/>
    <w:rsid w:val="00DF79FF"/>
    <w:rsid w:val="00E266F6"/>
    <w:rsid w:val="00E5237C"/>
    <w:rsid w:val="00E65319"/>
    <w:rsid w:val="00E81240"/>
    <w:rsid w:val="00E9306D"/>
    <w:rsid w:val="00E966D8"/>
    <w:rsid w:val="00EB066B"/>
    <w:rsid w:val="00EB1D99"/>
    <w:rsid w:val="00ED2D81"/>
    <w:rsid w:val="00ED33B5"/>
    <w:rsid w:val="00EF220C"/>
    <w:rsid w:val="00EF27CB"/>
    <w:rsid w:val="00F04E42"/>
    <w:rsid w:val="00F1353D"/>
    <w:rsid w:val="00F32744"/>
    <w:rsid w:val="00F63318"/>
    <w:rsid w:val="00F72705"/>
    <w:rsid w:val="00F7499E"/>
    <w:rsid w:val="00F92EDB"/>
    <w:rsid w:val="00FC0735"/>
    <w:rsid w:val="00FC351E"/>
    <w:rsid w:val="00FD7CCA"/>
    <w:rsid w:val="00FE2725"/>
    <w:rsid w:val="00FE413F"/>
    <w:rsid w:val="00FE5F2B"/>
    <w:rsid w:val="00FE72F8"/>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C52E8"/>
  <w15:chartTrackingRefBased/>
  <w15:docId w15:val="{813DAF81-6F4C-DA40-B7FA-E2B10524E5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26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326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326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326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26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26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26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26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26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26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326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326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326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26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26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26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26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26CE"/>
    <w:rPr>
      <w:rFonts w:eastAsiaTheme="majorEastAsia" w:cstheme="majorBidi"/>
      <w:color w:val="272727" w:themeColor="text1" w:themeTint="D8"/>
    </w:rPr>
  </w:style>
  <w:style w:type="paragraph" w:styleId="Title">
    <w:name w:val="Title"/>
    <w:basedOn w:val="Normal"/>
    <w:next w:val="Normal"/>
    <w:link w:val="TitleChar"/>
    <w:uiPriority w:val="10"/>
    <w:qFormat/>
    <w:rsid w:val="00D326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26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26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26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26CE"/>
    <w:pPr>
      <w:spacing w:before="160"/>
      <w:jc w:val="center"/>
    </w:pPr>
    <w:rPr>
      <w:i/>
      <w:iCs/>
      <w:color w:val="404040" w:themeColor="text1" w:themeTint="BF"/>
    </w:rPr>
  </w:style>
  <w:style w:type="character" w:customStyle="1" w:styleId="QuoteChar">
    <w:name w:val="Quote Char"/>
    <w:basedOn w:val="DefaultParagraphFont"/>
    <w:link w:val="Quote"/>
    <w:uiPriority w:val="29"/>
    <w:rsid w:val="00D326CE"/>
    <w:rPr>
      <w:i/>
      <w:iCs/>
      <w:color w:val="404040" w:themeColor="text1" w:themeTint="BF"/>
    </w:rPr>
  </w:style>
  <w:style w:type="paragraph" w:styleId="ListParagraph">
    <w:name w:val="List Paragraph"/>
    <w:basedOn w:val="Normal"/>
    <w:uiPriority w:val="34"/>
    <w:qFormat/>
    <w:rsid w:val="00D326CE"/>
    <w:pPr>
      <w:ind w:left="720"/>
      <w:contextualSpacing/>
    </w:pPr>
  </w:style>
  <w:style w:type="character" w:styleId="IntenseEmphasis">
    <w:name w:val="Intense Emphasis"/>
    <w:basedOn w:val="DefaultParagraphFont"/>
    <w:uiPriority w:val="21"/>
    <w:qFormat/>
    <w:rsid w:val="00D326CE"/>
    <w:rPr>
      <w:i/>
      <w:iCs/>
      <w:color w:val="0F4761" w:themeColor="accent1" w:themeShade="BF"/>
    </w:rPr>
  </w:style>
  <w:style w:type="paragraph" w:styleId="IntenseQuote">
    <w:name w:val="Intense Quote"/>
    <w:basedOn w:val="Normal"/>
    <w:next w:val="Normal"/>
    <w:link w:val="IntenseQuoteChar"/>
    <w:uiPriority w:val="30"/>
    <w:qFormat/>
    <w:rsid w:val="00D326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26CE"/>
    <w:rPr>
      <w:i/>
      <w:iCs/>
      <w:color w:val="0F4761" w:themeColor="accent1" w:themeShade="BF"/>
    </w:rPr>
  </w:style>
  <w:style w:type="character" w:styleId="IntenseReference">
    <w:name w:val="Intense Reference"/>
    <w:basedOn w:val="DefaultParagraphFont"/>
    <w:uiPriority w:val="32"/>
    <w:qFormat/>
    <w:rsid w:val="00D326CE"/>
    <w:rPr>
      <w:b/>
      <w:bCs/>
      <w:smallCaps/>
      <w:color w:val="0F4761" w:themeColor="accent1" w:themeShade="BF"/>
      <w:spacing w:val="5"/>
    </w:rPr>
  </w:style>
  <w:style w:type="paragraph" w:styleId="NormalWeb">
    <w:name w:val="Normal (Web)"/>
    <w:basedOn w:val="Normal"/>
    <w:uiPriority w:val="99"/>
    <w:unhideWhenUsed/>
    <w:rsid w:val="00D326CE"/>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apple-converted-space">
    <w:name w:val="apple-converted-space"/>
    <w:basedOn w:val="DefaultParagraphFont"/>
    <w:rsid w:val="00D326CE"/>
  </w:style>
  <w:style w:type="character" w:styleId="Strong">
    <w:name w:val="Strong"/>
    <w:basedOn w:val="DefaultParagraphFont"/>
    <w:uiPriority w:val="22"/>
    <w:qFormat/>
    <w:rsid w:val="00D326CE"/>
    <w:rPr>
      <w:b/>
      <w:bCs/>
    </w:rPr>
  </w:style>
  <w:style w:type="character" w:styleId="Emphasis">
    <w:name w:val="Emphasis"/>
    <w:basedOn w:val="DefaultParagraphFont"/>
    <w:uiPriority w:val="20"/>
    <w:qFormat/>
    <w:rsid w:val="00D326CE"/>
    <w:rPr>
      <w:i/>
      <w:iCs/>
    </w:rPr>
  </w:style>
  <w:style w:type="paragraph" w:styleId="Footer">
    <w:name w:val="footer"/>
    <w:basedOn w:val="Normal"/>
    <w:link w:val="FooterChar"/>
    <w:uiPriority w:val="99"/>
    <w:unhideWhenUsed/>
    <w:rsid w:val="0097472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4724"/>
  </w:style>
  <w:style w:type="character" w:styleId="PageNumber">
    <w:name w:val="page number"/>
    <w:basedOn w:val="DefaultParagraphFont"/>
    <w:uiPriority w:val="99"/>
    <w:semiHidden/>
    <w:unhideWhenUsed/>
    <w:rsid w:val="00974724"/>
  </w:style>
  <w:style w:type="paragraph" w:styleId="TOCHeading">
    <w:name w:val="TOC Heading"/>
    <w:basedOn w:val="Heading1"/>
    <w:next w:val="Normal"/>
    <w:uiPriority w:val="39"/>
    <w:unhideWhenUsed/>
    <w:qFormat/>
    <w:rsid w:val="00C934E1"/>
    <w:pPr>
      <w:spacing w:before="480" w:after="0" w:line="276" w:lineRule="auto"/>
      <w:outlineLvl w:val="9"/>
    </w:pPr>
    <w:rPr>
      <w:b/>
      <w:bCs/>
      <w:kern w:val="0"/>
      <w:sz w:val="28"/>
      <w:szCs w:val="28"/>
      <w:lang w:eastAsia="en-US"/>
      <w14:ligatures w14:val="none"/>
    </w:rPr>
  </w:style>
  <w:style w:type="paragraph" w:styleId="TOC1">
    <w:name w:val="toc 1"/>
    <w:basedOn w:val="Normal"/>
    <w:next w:val="Normal"/>
    <w:autoRedefine/>
    <w:uiPriority w:val="39"/>
    <w:unhideWhenUsed/>
    <w:rsid w:val="00C934E1"/>
    <w:pPr>
      <w:spacing w:before="360" w:after="360"/>
    </w:pPr>
    <w:rPr>
      <w:b/>
      <w:bCs/>
      <w:caps/>
      <w:sz w:val="22"/>
      <w:szCs w:val="22"/>
      <w:u w:val="single"/>
    </w:rPr>
  </w:style>
  <w:style w:type="paragraph" w:styleId="TOC2">
    <w:name w:val="toc 2"/>
    <w:basedOn w:val="Normal"/>
    <w:next w:val="Normal"/>
    <w:autoRedefine/>
    <w:uiPriority w:val="39"/>
    <w:unhideWhenUsed/>
    <w:rsid w:val="00C934E1"/>
    <w:pPr>
      <w:spacing w:after="0"/>
    </w:pPr>
    <w:rPr>
      <w:b/>
      <w:bCs/>
      <w:smallCaps/>
      <w:sz w:val="22"/>
      <w:szCs w:val="22"/>
    </w:rPr>
  </w:style>
  <w:style w:type="character" w:styleId="Hyperlink">
    <w:name w:val="Hyperlink"/>
    <w:basedOn w:val="DefaultParagraphFont"/>
    <w:uiPriority w:val="99"/>
    <w:unhideWhenUsed/>
    <w:rsid w:val="00C934E1"/>
    <w:rPr>
      <w:color w:val="467886" w:themeColor="hyperlink"/>
      <w:u w:val="single"/>
    </w:rPr>
  </w:style>
  <w:style w:type="paragraph" w:styleId="TOC3">
    <w:name w:val="toc 3"/>
    <w:basedOn w:val="Normal"/>
    <w:next w:val="Normal"/>
    <w:autoRedefine/>
    <w:uiPriority w:val="39"/>
    <w:unhideWhenUsed/>
    <w:rsid w:val="00C934E1"/>
    <w:pPr>
      <w:spacing w:after="0"/>
    </w:pPr>
    <w:rPr>
      <w:smallCaps/>
      <w:sz w:val="22"/>
      <w:szCs w:val="22"/>
    </w:rPr>
  </w:style>
  <w:style w:type="paragraph" w:styleId="TOC4">
    <w:name w:val="toc 4"/>
    <w:basedOn w:val="Normal"/>
    <w:next w:val="Normal"/>
    <w:autoRedefine/>
    <w:uiPriority w:val="39"/>
    <w:semiHidden/>
    <w:unhideWhenUsed/>
    <w:rsid w:val="00C934E1"/>
    <w:pPr>
      <w:spacing w:after="0"/>
    </w:pPr>
    <w:rPr>
      <w:sz w:val="22"/>
      <w:szCs w:val="22"/>
    </w:rPr>
  </w:style>
  <w:style w:type="paragraph" w:styleId="TOC5">
    <w:name w:val="toc 5"/>
    <w:basedOn w:val="Normal"/>
    <w:next w:val="Normal"/>
    <w:autoRedefine/>
    <w:uiPriority w:val="39"/>
    <w:semiHidden/>
    <w:unhideWhenUsed/>
    <w:rsid w:val="00C934E1"/>
    <w:pPr>
      <w:spacing w:after="0"/>
    </w:pPr>
    <w:rPr>
      <w:sz w:val="22"/>
      <w:szCs w:val="22"/>
    </w:rPr>
  </w:style>
  <w:style w:type="paragraph" w:styleId="TOC6">
    <w:name w:val="toc 6"/>
    <w:basedOn w:val="Normal"/>
    <w:next w:val="Normal"/>
    <w:autoRedefine/>
    <w:uiPriority w:val="39"/>
    <w:semiHidden/>
    <w:unhideWhenUsed/>
    <w:rsid w:val="00C934E1"/>
    <w:pPr>
      <w:spacing w:after="0"/>
    </w:pPr>
    <w:rPr>
      <w:sz w:val="22"/>
      <w:szCs w:val="22"/>
    </w:rPr>
  </w:style>
  <w:style w:type="paragraph" w:styleId="TOC7">
    <w:name w:val="toc 7"/>
    <w:basedOn w:val="Normal"/>
    <w:next w:val="Normal"/>
    <w:autoRedefine/>
    <w:uiPriority w:val="39"/>
    <w:semiHidden/>
    <w:unhideWhenUsed/>
    <w:rsid w:val="00C934E1"/>
    <w:pPr>
      <w:spacing w:after="0"/>
    </w:pPr>
    <w:rPr>
      <w:sz w:val="22"/>
      <w:szCs w:val="22"/>
    </w:rPr>
  </w:style>
  <w:style w:type="paragraph" w:styleId="TOC8">
    <w:name w:val="toc 8"/>
    <w:basedOn w:val="Normal"/>
    <w:next w:val="Normal"/>
    <w:autoRedefine/>
    <w:uiPriority w:val="39"/>
    <w:semiHidden/>
    <w:unhideWhenUsed/>
    <w:rsid w:val="00C934E1"/>
    <w:pPr>
      <w:spacing w:after="0"/>
    </w:pPr>
    <w:rPr>
      <w:sz w:val="22"/>
      <w:szCs w:val="22"/>
    </w:rPr>
  </w:style>
  <w:style w:type="paragraph" w:styleId="TOC9">
    <w:name w:val="toc 9"/>
    <w:basedOn w:val="Normal"/>
    <w:next w:val="Normal"/>
    <w:autoRedefine/>
    <w:uiPriority w:val="39"/>
    <w:semiHidden/>
    <w:unhideWhenUsed/>
    <w:rsid w:val="00C934E1"/>
    <w:pPr>
      <w:spacing w:after="0"/>
    </w:pPr>
    <w:rPr>
      <w:sz w:val="22"/>
      <w:szCs w:val="22"/>
    </w:rPr>
  </w:style>
  <w:style w:type="paragraph" w:styleId="Header">
    <w:name w:val="header"/>
    <w:basedOn w:val="Normal"/>
    <w:link w:val="HeaderChar"/>
    <w:uiPriority w:val="99"/>
    <w:unhideWhenUsed/>
    <w:rsid w:val="00C934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C934E1"/>
  </w:style>
  <w:style w:type="character" w:styleId="UnresolvedMention">
    <w:name w:val="Unresolved Mention"/>
    <w:basedOn w:val="DefaultParagraphFont"/>
    <w:uiPriority w:val="99"/>
    <w:semiHidden/>
    <w:unhideWhenUsed/>
    <w:rsid w:val="005C7F52"/>
    <w:rPr>
      <w:color w:val="605E5C"/>
      <w:shd w:val="clear" w:color="auto" w:fill="E1DFDD"/>
    </w:rPr>
  </w:style>
  <w:style w:type="paragraph" w:styleId="NoSpacing">
    <w:name w:val="No Spacing"/>
    <w:uiPriority w:val="1"/>
    <w:qFormat/>
    <w:rsid w:val="001F0DFC"/>
    <w:pPr>
      <w:spacing w:after="0" w:line="240" w:lineRule="auto"/>
    </w:pPr>
  </w:style>
  <w:style w:type="paragraph" w:customStyle="1" w:styleId="p1">
    <w:name w:val="p1"/>
    <w:basedOn w:val="Normal"/>
    <w:rsid w:val="008721E5"/>
    <w:pPr>
      <w:spacing w:after="0" w:line="240" w:lineRule="auto"/>
    </w:pPr>
    <w:rPr>
      <w:rFonts w:ascii="Helvetica" w:eastAsia="Times New Roman" w:hAnsi="Helvetica" w:cs="Times New Roman"/>
      <w:color w:val="414141"/>
      <w:kern w:val="0"/>
      <w:sz w:val="15"/>
      <w:szCs w:val="15"/>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doi.org/10.3390/su15054053"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1111/jbl.70022" TargetMode="Externa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hyperlink" Target="https://doi.org/10.1108/APJBA-10-2023-0497"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tandfonline.com/doi/abs/10.1080/13645579.2016.1144401" TargetMode="External"/><Relationship Id="rId20" Type="http://schemas.openxmlformats.org/officeDocument/2006/relationships/hyperlink" Target="https://www.researchgate.net/profile/Richard-Schmalensee/publication/297823521_An_Instant_Classic_Rochet_Tirole_Platform_Competition_in_Two-Sided_Markets/links/587d1cb608aed3826af00b3e/An-Instant-Classic-Rochet-Tirole-Platform-Competition-in-Two-Sided-Market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media-publications.bcg.com/The-forthcoming-revolution-in-small-business-lending.pdf" TargetMode="External"/><Relationship Id="rId23" Type="http://schemas.openxmlformats.org/officeDocument/2006/relationships/footer" Target="footer1.xml"/><Relationship Id="rId10" Type="http://schemas.openxmlformats.org/officeDocument/2006/relationships/image" Target="media/image2.emf"/><Relationship Id="rId19" Type="http://schemas.openxmlformats.org/officeDocument/2006/relationships/hyperlink" Target="https://doi.org/10.2307/2529310"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doi.org/10.1016/j.joitmc.2024.100215" TargetMode="External"/><Relationship Id="rId22" Type="http://schemas.openxmlformats.org/officeDocument/2006/relationships/hyperlink" Target="https://doi.org/10.1016/j.frl.2025.1080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3D9226-878D-E84F-B63C-5D570564D4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251</TotalTime>
  <Pages>36</Pages>
  <Words>9857</Words>
  <Characters>56186</Characters>
  <Application>Microsoft Office Word</Application>
  <DocSecurity>0</DocSecurity>
  <Lines>468</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Maureen Chan</dc:creator>
  <cp:keywords/>
  <dc:description/>
  <cp:lastModifiedBy>Maureen Chan</cp:lastModifiedBy>
  <cp:revision>31</cp:revision>
  <cp:lastPrinted>2025-08-26T18:19:00Z</cp:lastPrinted>
  <dcterms:created xsi:type="dcterms:W3CDTF">2025-08-30T19:05:00Z</dcterms:created>
  <dcterms:modified xsi:type="dcterms:W3CDTF">2025-09-06T06:39:00Z</dcterms:modified>
</cp:coreProperties>
</file>