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5120F" w14:textId="77777777" w:rsidR="00CB6781" w:rsidRDefault="00CB6781" w:rsidP="00CB6781">
      <w:pPr>
        <w:pStyle w:val="Heading2"/>
        <w:numPr>
          <w:ilvl w:val="0"/>
          <w:numId w:val="0"/>
        </w:numPr>
        <w:spacing w:before="0"/>
        <w:ind w:left="576" w:hanging="576"/>
      </w:pPr>
    </w:p>
    <w:p w14:paraId="001FCBB3" w14:textId="58C7623B" w:rsidR="00CB6781" w:rsidRDefault="00A665EC" w:rsidP="00CB6781">
      <w:pPr>
        <w:pStyle w:val="Heading2"/>
        <w:numPr>
          <w:ilvl w:val="0"/>
          <w:numId w:val="0"/>
        </w:numPr>
        <w:spacing w:before="0"/>
        <w:ind w:left="576" w:hanging="576"/>
      </w:pPr>
      <w:r>
        <w:rPr>
          <w:noProof/>
        </w:rPr>
        <w:drawing>
          <wp:inline distT="0" distB="0" distL="0" distR="0" wp14:anchorId="13070C8D" wp14:editId="0458ABE7">
            <wp:extent cx="3218815" cy="1122045"/>
            <wp:effectExtent l="0" t="0" r="635" b="1905"/>
            <wp:docPr id="183188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18815" cy="1122045"/>
                    </a:xfrm>
                    <a:prstGeom prst="rect">
                      <a:avLst/>
                    </a:prstGeom>
                    <a:noFill/>
                  </pic:spPr>
                </pic:pic>
              </a:graphicData>
            </a:graphic>
          </wp:inline>
        </w:drawing>
      </w:r>
    </w:p>
    <w:p w14:paraId="51C91F40" w14:textId="77777777" w:rsidR="00A665EC" w:rsidRPr="00A665EC" w:rsidRDefault="00A665EC" w:rsidP="00A665EC">
      <w:pPr>
        <w:pStyle w:val="BodyText"/>
      </w:pPr>
    </w:p>
    <w:p w14:paraId="5CB6BD3A" w14:textId="6A07912C" w:rsidR="00CB6781" w:rsidRDefault="00CB6781" w:rsidP="00CB6781">
      <w:pPr>
        <w:pStyle w:val="Heading2"/>
        <w:numPr>
          <w:ilvl w:val="0"/>
          <w:numId w:val="0"/>
        </w:numPr>
        <w:spacing w:before="0"/>
        <w:ind w:left="576" w:hanging="576"/>
      </w:pPr>
    </w:p>
    <w:p w14:paraId="0992EFBD" w14:textId="77777777" w:rsidR="00A665EC" w:rsidRDefault="00A665EC" w:rsidP="00A665EC">
      <w:pPr>
        <w:pStyle w:val="BodyText"/>
      </w:pPr>
      <w:r>
        <w:t>MODULE CODE/ COD Y MODIWL: LCBB4002</w:t>
      </w:r>
    </w:p>
    <w:p w14:paraId="6503EDAA" w14:textId="77777777" w:rsidR="00A665EC" w:rsidRDefault="00A665EC" w:rsidP="00A665EC">
      <w:pPr>
        <w:pStyle w:val="BodyText"/>
      </w:pPr>
      <w:r>
        <w:t xml:space="preserve">COMMUNITY ENGAGEMENT </w:t>
      </w:r>
    </w:p>
    <w:p w14:paraId="62C181F3" w14:textId="77777777" w:rsidR="00A665EC" w:rsidRDefault="00A665EC" w:rsidP="00A665EC">
      <w:pPr>
        <w:pStyle w:val="BodyText"/>
      </w:pPr>
      <w:r>
        <w:t>ASSESSMENT TYPE: ASSIGNMENT</w:t>
      </w:r>
    </w:p>
    <w:p w14:paraId="34A33666" w14:textId="77777777" w:rsidR="00A665EC" w:rsidRDefault="00A665EC" w:rsidP="00A665EC">
      <w:pPr>
        <w:pStyle w:val="BodyText"/>
      </w:pPr>
      <w:r>
        <w:t>ASSESSMENT/COMPONENT: 2</w:t>
      </w:r>
    </w:p>
    <w:p w14:paraId="746AA8D7" w14:textId="7A8AC924" w:rsidR="00A665EC" w:rsidRDefault="00A665EC" w:rsidP="00A665EC">
      <w:pPr>
        <w:pStyle w:val="BodyText"/>
      </w:pPr>
      <w:r>
        <w:t xml:space="preserve">Student Name:  </w:t>
      </w:r>
      <w:r w:rsidR="00B1759D" w:rsidRPr="00B1759D">
        <w:t>Petronela Apetroaie</w:t>
      </w:r>
    </w:p>
    <w:p w14:paraId="4BE9BB39" w14:textId="4E409FEE" w:rsidR="00CB6781" w:rsidRDefault="00A665EC" w:rsidP="00A665EC">
      <w:pPr>
        <w:pStyle w:val="BodyText"/>
      </w:pPr>
      <w:r>
        <w:t>Student ID:</w:t>
      </w:r>
      <w:r w:rsidR="00B1759D">
        <w:t xml:space="preserve"> 2242725</w:t>
      </w:r>
    </w:p>
    <w:p w14:paraId="190736DC" w14:textId="77777777" w:rsidR="00A665EC" w:rsidRDefault="00A665EC" w:rsidP="00A665EC">
      <w:pPr>
        <w:pStyle w:val="BodyText"/>
      </w:pPr>
    </w:p>
    <w:p w14:paraId="0591203F" w14:textId="77777777" w:rsidR="00A665EC" w:rsidRDefault="00A665EC" w:rsidP="00A665EC">
      <w:pPr>
        <w:pStyle w:val="BodyText"/>
      </w:pPr>
    </w:p>
    <w:p w14:paraId="217719C9" w14:textId="77777777" w:rsidR="00A665EC" w:rsidRDefault="00A665EC" w:rsidP="00A665EC">
      <w:pPr>
        <w:pStyle w:val="BodyText"/>
      </w:pPr>
    </w:p>
    <w:p w14:paraId="2FD1C4CF" w14:textId="77777777" w:rsidR="00A665EC" w:rsidRDefault="00A665EC" w:rsidP="00A665EC">
      <w:pPr>
        <w:pStyle w:val="BodyText"/>
      </w:pPr>
    </w:p>
    <w:p w14:paraId="2273B8D3" w14:textId="77777777" w:rsidR="00A665EC" w:rsidRDefault="00A665EC" w:rsidP="00A665EC">
      <w:pPr>
        <w:pStyle w:val="BodyText"/>
      </w:pPr>
    </w:p>
    <w:p w14:paraId="547229FC" w14:textId="77777777" w:rsidR="00A665EC" w:rsidRDefault="00A665EC" w:rsidP="00A665EC">
      <w:pPr>
        <w:pStyle w:val="BodyText"/>
      </w:pPr>
    </w:p>
    <w:p w14:paraId="2CB3E1A3" w14:textId="77777777" w:rsidR="00A665EC" w:rsidRDefault="00A665EC" w:rsidP="00A665EC">
      <w:pPr>
        <w:pStyle w:val="BodyText"/>
      </w:pPr>
    </w:p>
    <w:p w14:paraId="456B1F89" w14:textId="77777777" w:rsidR="00A665EC" w:rsidRDefault="00A665EC" w:rsidP="00A665EC">
      <w:pPr>
        <w:pStyle w:val="BodyText"/>
      </w:pPr>
    </w:p>
    <w:p w14:paraId="208C5EA9" w14:textId="77777777" w:rsidR="00A665EC" w:rsidRDefault="00A665EC" w:rsidP="00A665EC">
      <w:pPr>
        <w:pStyle w:val="BodyText"/>
      </w:pPr>
    </w:p>
    <w:p w14:paraId="317B5400" w14:textId="77777777" w:rsidR="00A665EC" w:rsidRPr="00A665EC" w:rsidRDefault="00A665EC" w:rsidP="00A665EC">
      <w:pPr>
        <w:pStyle w:val="BodyText"/>
        <w:spacing w:line="360" w:lineRule="auto"/>
        <w:jc w:val="both"/>
        <w:rPr>
          <w:rFonts w:ascii="Times New Roman" w:hAnsi="Times New Roman"/>
          <w:b/>
          <w:bCs/>
        </w:rPr>
      </w:pPr>
      <w:r w:rsidRPr="00A665EC">
        <w:rPr>
          <w:rFonts w:ascii="Times New Roman" w:hAnsi="Times New Roman"/>
          <w:b/>
          <w:bCs/>
        </w:rPr>
        <w:lastRenderedPageBreak/>
        <w:t>Introduction</w:t>
      </w:r>
    </w:p>
    <w:p w14:paraId="635254FF" w14:textId="77777777" w:rsidR="00A665EC" w:rsidRPr="00A665EC" w:rsidRDefault="00A665EC" w:rsidP="00A665EC">
      <w:pPr>
        <w:pStyle w:val="BodyText"/>
        <w:spacing w:line="360" w:lineRule="auto"/>
        <w:jc w:val="both"/>
        <w:rPr>
          <w:rFonts w:ascii="Times New Roman" w:hAnsi="Times New Roman"/>
        </w:rPr>
      </w:pPr>
      <w:r w:rsidRPr="00A665EC">
        <w:rPr>
          <w:rFonts w:ascii="Times New Roman" w:hAnsi="Times New Roman"/>
        </w:rPr>
        <w:t xml:space="preserve">I want to start a community participation initiative that matches my interests and serves a major urban need: environmental sustainability. The successful Birmingham Digital Inclusion Initiative (BDII) motivated me to create this project. My effort, the Urban Greening Movement (UGM), aims to make urban landscapes more sustainable and environmentally friendly. The purpose is to develop green spaces and promote eco-friendly habits among urbanites to promote harmonious coexistence with nature. UGM promotes sustainability by integrating eco-friendly practices into urban life. Also, this includes communal gardening, green infrastructure, and eco-friendly lifestyles. </w:t>
      </w:r>
      <w:r w:rsidRPr="00A665EC">
        <w:rPr>
          <w:rFonts w:ascii="Times New Roman" w:hAnsi="Times New Roman"/>
          <w:i/>
          <w:iCs/>
        </w:rPr>
        <w:t>Moore (2018)</w:t>
      </w:r>
      <w:r w:rsidRPr="00A665EC">
        <w:rPr>
          <w:rFonts w:ascii="Times New Roman" w:hAnsi="Times New Roman"/>
        </w:rPr>
        <w:t xml:space="preserve"> declares the initiative will employ BDII's successful strategies. BDII initiatives emphasise strategic planning, inclusive community interaction, and iterative and adaptive design. However, UGM will modify these concepts to accommodate urban environmental sustainability challenges and opportunities. A paradigm for urban environmental stewardship must be developed to help cities worldwide transition to more sustainable urban living. UGM prioritises community participation to empower communities to change their environment. This strategy supports community-based participatory research, which emphasises community involvement throughout project creation (</w:t>
      </w:r>
      <w:r w:rsidRPr="00A665EC">
        <w:rPr>
          <w:rFonts w:ascii="Times New Roman" w:hAnsi="Times New Roman"/>
          <w:i/>
          <w:iCs/>
        </w:rPr>
        <w:t>Israel et al., 1998).</w:t>
      </w:r>
      <w:r w:rsidRPr="00A665EC">
        <w:rPr>
          <w:rFonts w:ascii="Times New Roman" w:hAnsi="Times New Roman"/>
        </w:rPr>
        <w:t xml:space="preserve"> The project will also include sustainable urban planning theory, which recognises the interconnection of social, economic, and environmental factors in urban expansion (</w:t>
      </w:r>
      <w:r w:rsidRPr="00A665EC">
        <w:rPr>
          <w:rFonts w:ascii="Times New Roman" w:hAnsi="Times New Roman"/>
          <w:i/>
          <w:iCs/>
        </w:rPr>
        <w:t>Beatley, 2000)</w:t>
      </w:r>
      <w:r w:rsidRPr="00A665EC">
        <w:rPr>
          <w:rFonts w:ascii="Times New Roman" w:hAnsi="Times New Roman"/>
        </w:rPr>
        <w:t xml:space="preserve">. However, the Urban Greening Movement proposes a transformative approach to urban sustainability. This technique applies BDII teachings to environmental stewardship. The </w:t>
      </w:r>
      <w:r w:rsidRPr="00A665EC">
        <w:rPr>
          <w:rFonts w:ascii="Times New Roman" w:hAnsi="Times New Roman"/>
          <w:b/>
          <w:bCs/>
          <w:i/>
          <w:iCs/>
        </w:rPr>
        <w:t xml:space="preserve">Urban Green Movement (UGM) </w:t>
      </w:r>
      <w:r w:rsidRPr="00A665EC">
        <w:rPr>
          <w:rFonts w:ascii="Times New Roman" w:hAnsi="Times New Roman"/>
        </w:rPr>
        <w:t>uses strategic planning, community engagement, and iterative design to create a sustainable, ecologically friendly, and inclusive urban future.</w:t>
      </w:r>
    </w:p>
    <w:p w14:paraId="6893A209" w14:textId="77777777" w:rsidR="00A665EC" w:rsidRPr="00A665EC" w:rsidRDefault="00A665EC" w:rsidP="00FE3443">
      <w:pPr>
        <w:pStyle w:val="BodyText"/>
        <w:spacing w:line="360" w:lineRule="auto"/>
        <w:rPr>
          <w:rFonts w:ascii="Times New Roman" w:hAnsi="Times New Roman"/>
          <w:b/>
          <w:bCs/>
        </w:rPr>
      </w:pPr>
      <w:r w:rsidRPr="00A665EC">
        <w:rPr>
          <w:rFonts w:ascii="Times New Roman" w:hAnsi="Times New Roman"/>
          <w:b/>
          <w:bCs/>
        </w:rPr>
        <w:t>Main Body</w:t>
      </w:r>
    </w:p>
    <w:p w14:paraId="02BC2697" w14:textId="77777777" w:rsidR="00A665EC" w:rsidRPr="00A665EC" w:rsidRDefault="00A665EC" w:rsidP="00FE3443">
      <w:pPr>
        <w:pStyle w:val="BodyText"/>
        <w:spacing w:line="360" w:lineRule="auto"/>
        <w:rPr>
          <w:rFonts w:ascii="Times New Roman" w:hAnsi="Times New Roman"/>
          <w:b/>
          <w:bCs/>
        </w:rPr>
      </w:pPr>
      <w:r w:rsidRPr="00A665EC">
        <w:rPr>
          <w:rFonts w:ascii="Times New Roman" w:hAnsi="Times New Roman"/>
          <w:b/>
          <w:bCs/>
        </w:rPr>
        <w:t>Evaluating Approaches and Methods</w:t>
      </w:r>
    </w:p>
    <w:p w14:paraId="072110E0" w14:textId="77777777" w:rsidR="00A665EC" w:rsidRPr="00A665EC" w:rsidRDefault="00A665EC" w:rsidP="00FE3443">
      <w:pPr>
        <w:pStyle w:val="BodyText"/>
        <w:spacing w:line="360" w:lineRule="auto"/>
        <w:rPr>
          <w:rFonts w:ascii="Times New Roman" w:hAnsi="Times New Roman"/>
          <w:b/>
          <w:bCs/>
          <w:i/>
          <w:iCs/>
        </w:rPr>
      </w:pPr>
      <w:r w:rsidRPr="00A665EC">
        <w:rPr>
          <w:rFonts w:ascii="Times New Roman" w:hAnsi="Times New Roman"/>
          <w:b/>
          <w:bCs/>
          <w:i/>
          <w:iCs/>
        </w:rPr>
        <w:t>Community Engagement Models</w:t>
      </w:r>
    </w:p>
    <w:p w14:paraId="1A9126B0" w14:textId="77777777" w:rsidR="00A665EC" w:rsidRPr="00A665EC" w:rsidRDefault="00A665EC" w:rsidP="00FE3443">
      <w:pPr>
        <w:pStyle w:val="BodyText"/>
        <w:spacing w:line="360" w:lineRule="auto"/>
        <w:rPr>
          <w:rFonts w:ascii="Times New Roman" w:hAnsi="Times New Roman"/>
        </w:rPr>
      </w:pPr>
      <w:r w:rsidRPr="00A665EC">
        <w:rPr>
          <w:rFonts w:ascii="Times New Roman" w:hAnsi="Times New Roman"/>
        </w:rPr>
        <w:t>A community-centre approach was a key component of the Birmingham Digital Inclusion Initiative (BDII) and played a vital role in its success. The major method of community engagement was via digital channels, with a particular focus on promoting digital inclusivity (</w:t>
      </w:r>
      <w:r w:rsidRPr="00A665EC">
        <w:rPr>
          <w:rFonts w:ascii="Times New Roman" w:hAnsi="Times New Roman"/>
          <w:i/>
          <w:iCs/>
        </w:rPr>
        <w:t>Smith, 2019).</w:t>
      </w:r>
      <w:r w:rsidRPr="00A665EC">
        <w:rPr>
          <w:rFonts w:ascii="Times New Roman" w:hAnsi="Times New Roman"/>
        </w:rPr>
        <w:t xml:space="preserve"> Conversely, the Urban Greening Movement (UGM) will prioritise environmental education and active participation, specifically focusing on fostering ecological awareness and promoting accountability.</w:t>
      </w:r>
      <w:r w:rsidRPr="00A665EC">
        <w:t xml:space="preserve"> </w:t>
      </w:r>
      <w:r w:rsidRPr="00A665EC">
        <w:rPr>
          <w:rFonts w:ascii="Times New Roman" w:hAnsi="Times New Roman"/>
        </w:rPr>
        <w:t>By adopting participatory approaches, UGM will encourage community members to take part in environmental activities and decision-making. The approach aligns with Arnstein's Ladder of Public Participation, a framework that emphasises the goal of attaining ever higher levels of public empowerment (</w:t>
      </w:r>
      <w:r w:rsidRPr="00A665EC">
        <w:rPr>
          <w:rFonts w:ascii="Times New Roman" w:hAnsi="Times New Roman"/>
          <w:i/>
          <w:iCs/>
        </w:rPr>
        <w:t>Arnstein, 1969).</w:t>
      </w:r>
      <w:r w:rsidRPr="00A665EC">
        <w:rPr>
          <w:rFonts w:ascii="Times New Roman" w:hAnsi="Times New Roman"/>
        </w:rPr>
        <w:t xml:space="preserve"> According to </w:t>
      </w:r>
      <w:r w:rsidRPr="00A665EC">
        <w:rPr>
          <w:rFonts w:ascii="Times New Roman" w:hAnsi="Times New Roman"/>
          <w:i/>
          <w:iCs/>
        </w:rPr>
        <w:t>Arnstein, (1969)</w:t>
      </w:r>
      <w:r w:rsidRPr="00A665EC">
        <w:rPr>
          <w:rFonts w:ascii="Times New Roman" w:hAnsi="Times New Roman"/>
        </w:rPr>
        <w:t xml:space="preserve"> UGM would include both community-based participatory research and experiential learning. Therefore, this initiative will provide individuals the chance to actively engage with environmental issues, therefore fostering a deeper understanding of sustainability and a heightened dedication to its principles.</w:t>
      </w:r>
    </w:p>
    <w:p w14:paraId="4D85F915"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Dynamic Consultation and Communication</w:t>
      </w:r>
    </w:p>
    <w:p w14:paraId="27B16C57"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One of the most important strengths of BDII was its ability to communicate effectively with digital media. As a result, </w:t>
      </w:r>
      <w:r w:rsidRPr="00A665EC">
        <w:rPr>
          <w:rFonts w:ascii="Times New Roman" w:hAnsi="Times New Roman"/>
          <w:i/>
          <w:iCs/>
        </w:rPr>
        <w:t>Jones, and Pimlott-Wilson (2020)</w:t>
      </w:r>
      <w:r w:rsidRPr="00A665EC">
        <w:rPr>
          <w:rFonts w:ascii="Times New Roman" w:hAnsi="Times New Roman"/>
        </w:rPr>
        <w:t xml:space="preserve"> enabled the general transmission of knowledge and facilitated involvement from a distance. UGM, on the other hand, will combine these digital technologies with physical encounters, acknowledging the significance of having experiences that are tactile in nature. Utilising this hybrid strategy, the reach and accessibility of digital platforms are combined with the effects of events that take place in the real world. UGM will promote awareness and organisation via the use of channels such as social media, but it will also hold in-person seminars, community meetings, and events that include hands-on participation in green areas. The dual approach aligns with the multi-channel engagement strategy proposed by </w:t>
      </w:r>
      <w:r w:rsidRPr="00A665EC">
        <w:rPr>
          <w:rFonts w:ascii="Times New Roman" w:hAnsi="Times New Roman"/>
          <w:i/>
          <w:iCs/>
        </w:rPr>
        <w:t>Bryson, Quick, Slotterback, and Crosby (2013).</w:t>
      </w:r>
      <w:r w:rsidRPr="00A665EC">
        <w:rPr>
          <w:rFonts w:ascii="Times New Roman" w:hAnsi="Times New Roman"/>
        </w:rPr>
        <w:t xml:space="preserve"> This technique ensures involvement that is both more extensive and more inclusive.</w:t>
      </w:r>
    </w:p>
    <w:p w14:paraId="5C960F55"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Stakeholder Contribution</w:t>
      </w:r>
    </w:p>
    <w:p w14:paraId="03D725E5"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As a reflection of the many effects that environmental activities have, the variety of stakeholders that will be involved in UGM will be more extensive than in BDII. Freeman developed stakeholder theory in 1984, which will be an essential tool for locating and interacting with this heterogeneous group. In the context of UGM, stakeholders will consist of environmental specialists, local enterprises, educational institutions, community organisations, and government agencies at the local level. Additionally, an all-encompassing approach ensures that stakeholders embrace a wide range of viewpoints and areas of expertise, leading to more complete and efficient solutions for environmental sustainability.</w:t>
      </w:r>
    </w:p>
    <w:p w14:paraId="6FD578E3"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Inclusion and Accessibility</w:t>
      </w:r>
    </w:p>
    <w:p w14:paraId="6B8B8D3B"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i/>
          <w:iCs/>
        </w:rPr>
        <w:t>Jaeger (2012)</w:t>
      </w:r>
      <w:r w:rsidRPr="00A665EC">
        <w:rPr>
          <w:rFonts w:ascii="Times New Roman" w:hAnsi="Times New Roman"/>
        </w:rPr>
        <w:t xml:space="preserve"> argues that BDII's emphasis on digital inclusion will fundamentally support the execution of UGM. This strategy will enable all individuals within the community, including those with mobility limitations, to effectively use digital resources and platforms. In contrast, UGM aims to extend this concept of inclusion to the tangible domain by ensuring that environmentally friendly green areas and resources are physically accessible to individuals of diverse abilities. Also, this technique aligns with the principles of universal design, which promote the creation of inclusive settings that accommodate individuals of various ages, sizes, abilities, and disabilities (</w:t>
      </w:r>
      <w:r w:rsidRPr="00A665EC">
        <w:rPr>
          <w:rFonts w:ascii="Times New Roman" w:hAnsi="Times New Roman"/>
          <w:i/>
          <w:iCs/>
        </w:rPr>
        <w:t>Story, 2011).</w:t>
      </w:r>
    </w:p>
    <w:p w14:paraId="63B5F882"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Study and Community Representing</w:t>
      </w:r>
    </w:p>
    <w:p w14:paraId="570B789A"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The Urban Green Management (UGM) programme aims to conduct a thorough analysis of urban environmental concerns and use community mapping techniques to identify key intervention areas and potential green spaces. Also, this approach has implemented the incorporation of geographic information systems (GIS) into community planning (</w:t>
      </w:r>
      <w:r w:rsidRPr="00A665EC">
        <w:rPr>
          <w:rFonts w:ascii="Times New Roman" w:hAnsi="Times New Roman"/>
          <w:i/>
          <w:iCs/>
        </w:rPr>
        <w:t>McCall and Dunn, 2012).</w:t>
      </w:r>
      <w:r w:rsidRPr="00A665EC">
        <w:rPr>
          <w:rFonts w:ascii="Times New Roman" w:hAnsi="Times New Roman"/>
        </w:rPr>
        <w:t xml:space="preserve"> Community mapping plays a crucial role in identifying suitable sites for green initiatives while also facilitating a comprehensive understanding of the socio-economic and cultural milieu. Therefore, this knowledge enables the implementation of targeted and efficient interventions.</w:t>
      </w:r>
    </w:p>
    <w:p w14:paraId="6E1EA2EE"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Social Commitment via Media Programs</w:t>
      </w:r>
    </w:p>
    <w:p w14:paraId="285D6F63"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UGM, like BDII, will use digital channels for the purpose of interaction. Nevertheless, the primary emphasis will revolve around the promotion of environmental consciousness, the dissemination of resources, and the facilitation of community engagement. According to </w:t>
      </w:r>
      <w:r w:rsidRPr="00A665EC">
        <w:rPr>
          <w:rFonts w:ascii="Times New Roman" w:hAnsi="Times New Roman"/>
          <w:i/>
          <w:iCs/>
        </w:rPr>
        <w:t>Atkin and Rice (2013),</w:t>
      </w:r>
      <w:r w:rsidRPr="00A665EC">
        <w:rPr>
          <w:rFonts w:ascii="Times New Roman" w:hAnsi="Times New Roman"/>
        </w:rPr>
        <w:t xml:space="preserve"> this tactic is consistent with the Social Mobilisation Theory, which places an emphasis on the utilisation of various media channels to establish a movement and motivate collective action. Via these channels, UGM hopes to spread knowledge, plan activities, and foster a sense of community around environmental sustainability.</w:t>
      </w:r>
    </w:p>
    <w:p w14:paraId="2386E43C"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Effect Assessment and Valuation</w:t>
      </w:r>
    </w:p>
    <w:p w14:paraId="08EE9F47"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Iterative design, akin to BDII, will be used by UGM, with a stronger focus on long-term environmental effect assessment. Additionally, the proposed methodology would include a combination of quantitative and qualitative measures to evaluate the efficacy of the project in enhancing urban sustainability. Also, the evaluation framework will be positioned in accordance with the logic model of programme evaluation (</w:t>
      </w:r>
      <w:r w:rsidRPr="00A665EC">
        <w:rPr>
          <w:rFonts w:ascii="Times New Roman" w:hAnsi="Times New Roman"/>
          <w:i/>
          <w:iCs/>
        </w:rPr>
        <w:t>W.K. Kellogg Foundation, 2004),</w:t>
      </w:r>
      <w:r w:rsidRPr="00A665EC">
        <w:rPr>
          <w:rFonts w:ascii="Times New Roman" w:hAnsi="Times New Roman"/>
        </w:rPr>
        <w:t xml:space="preserve"> which offers a structured approach to gathering, analysing, and applying data to enhance and take responsibility for outcomes and choices.</w:t>
      </w:r>
    </w:p>
    <w:p w14:paraId="4561133A"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However, UGM will use the effective elements of BDII and modify them to align with the specific obstacles and objectives associated with promoting environmental sustainability in urban environments. The importance of using a comprehensive, inclusive, and flexible strategy for community involvement is highlighted in this comparative examination. Such an approach is essential for effectively tackling intricate environmental challenges in metropolitan areas.</w:t>
      </w:r>
    </w:p>
    <w:p w14:paraId="382B66E5" w14:textId="77777777" w:rsidR="00A665EC" w:rsidRPr="00A665EC" w:rsidRDefault="00A665EC" w:rsidP="00FE3443">
      <w:pPr>
        <w:pStyle w:val="BodyText"/>
        <w:spacing w:line="360" w:lineRule="auto"/>
        <w:jc w:val="both"/>
        <w:rPr>
          <w:rFonts w:ascii="Times New Roman" w:hAnsi="Times New Roman"/>
          <w:b/>
          <w:bCs/>
        </w:rPr>
      </w:pPr>
      <w:r w:rsidRPr="00A665EC">
        <w:rPr>
          <w:rFonts w:ascii="Times New Roman" w:hAnsi="Times New Roman"/>
          <w:b/>
          <w:bCs/>
        </w:rPr>
        <w:t>Theoretical Stance and Models Deployment</w:t>
      </w:r>
    </w:p>
    <w:p w14:paraId="74173C53"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A Theory of Behaviour That Is Planned</w:t>
      </w:r>
    </w:p>
    <w:p w14:paraId="3A7233E3"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A strong framework for understanding and influencing individual behaviour is provided by </w:t>
      </w:r>
      <w:r w:rsidRPr="00A665EC">
        <w:rPr>
          <w:rFonts w:ascii="Times New Roman" w:hAnsi="Times New Roman"/>
          <w:i/>
          <w:iCs/>
        </w:rPr>
        <w:t>Ajzen's (1991</w:t>
      </w:r>
      <w:r w:rsidRPr="00A665EC">
        <w:rPr>
          <w:rFonts w:ascii="Times New Roman" w:hAnsi="Times New Roman"/>
        </w:rPr>
        <w:t>) Theory of Planned Behaviour (TPB), which was developed by said person. Regarding the Urban Green Movement (UGM), the TPB will play a significant role in the formulation of initiatives that encourage urban dwellers to embrace environmentally responsible practises. According to this theory, behaviour is directly controlled by the desire to do the behaviour, which is in turn affected by attitudes, subjective norms, and perceived behavioural control (</w:t>
      </w:r>
      <w:r w:rsidRPr="00A665EC">
        <w:rPr>
          <w:rFonts w:ascii="Times New Roman" w:hAnsi="Times New Roman"/>
          <w:i/>
          <w:iCs/>
        </w:rPr>
        <w:t>Ajzen, 1991</w:t>
      </w:r>
      <w:r w:rsidRPr="00A665EC">
        <w:rPr>
          <w:rFonts w:ascii="Times New Roman" w:hAnsi="Times New Roman"/>
        </w:rPr>
        <w:t>). Other factors that influence behaviour include perceived behavioural control. This model will be used by UGM to design interventions that have a positive impact on the attitudes of residents towards environmental sustainability, leverage social norms to encourage the adoption of environmentally friendly practises throughout the whole community, and improve the perceived ease and effectiveness of participating in these practises.</w:t>
      </w:r>
    </w:p>
    <w:p w14:paraId="4A3D6F7E"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Using methods such as surveys and focus groups, UGM can collect information on the attitudes, perceived norms, and perceived hurdles that citizens have towards participating in sustainable behaviours. Also, the creation of focused messaging and actions, such as community workshops, awareness campaigns, and the distribution of resources that make sustainable living more accessible and attractive, will be guided by the information that has been gathered (</w:t>
      </w:r>
      <w:r w:rsidRPr="00A665EC">
        <w:rPr>
          <w:rFonts w:ascii="Times New Roman" w:hAnsi="Times New Roman"/>
          <w:i/>
          <w:iCs/>
        </w:rPr>
        <w:t>Reed, et. Al., 2009).</w:t>
      </w:r>
    </w:p>
    <w:p w14:paraId="31EB216C"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Social Marketing Centred Around the Community</w:t>
      </w:r>
    </w:p>
    <w:p w14:paraId="246DEE40"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Community-Based Social Marketing (CBSM), as described by </w:t>
      </w:r>
      <w:r w:rsidRPr="00A665EC">
        <w:rPr>
          <w:rFonts w:ascii="Times New Roman" w:hAnsi="Times New Roman"/>
          <w:i/>
          <w:iCs/>
        </w:rPr>
        <w:t>McKenzie-Mohr (2000),</w:t>
      </w:r>
      <w:r w:rsidRPr="00A665EC">
        <w:rPr>
          <w:rFonts w:ascii="Times New Roman" w:hAnsi="Times New Roman"/>
        </w:rPr>
        <w:t xml:space="preserve"> places an emphasis on the significance of determining the factors that act as facilitators and obstacles to certain behaviours to facilitate the development of long-term behaviour change. Additionally, to encourage sustainable behaviours within the community, CBSM will play a pivotal role in the strategy that UGM pursues. Identifying obstacles that stand in the way of the desired behaviour, designing strategies to overcome these obstacles, testing these strategies with a small portion of the community, and finally expanding the strategy to include the whole community are the four essential processes that are included in this implementation methodology.</w:t>
      </w:r>
    </w:p>
    <w:p w14:paraId="2859C1B4"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CBSM will be used by UGM to promote behaviours such as recycling, using public transit, and engaging in activities pertaining to community green space. For instance, if a lack of comprehension is a barrier to recycling, UGM may design teaching materials and participate in seminars to address this issue. Also, if convenience is a concern, UGM may collaborate with the authorities in the neighbourhood to enhance the number of recycling bins installed around the community.</w:t>
      </w:r>
    </w:p>
    <w:p w14:paraId="1668CF90"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The Theory of Stakeholders</w:t>
      </w:r>
    </w:p>
    <w:p w14:paraId="4DEF917E"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Freeman's (1984) Stakeholder Theory places an emphasis on the significance of being able to identify and consider the interests of all stakeholders who are impacted by a project. When it comes to recognising and balancing the multiple interests of various organisations, such as people, local companies, environmental groups, and government agencies, Stakeholder Theory will be an essential component in the UGM (</w:t>
      </w:r>
      <w:r w:rsidRPr="00A665EC">
        <w:rPr>
          <w:rFonts w:ascii="Times New Roman" w:hAnsi="Times New Roman"/>
          <w:i/>
          <w:iCs/>
        </w:rPr>
        <w:t>Fishbein and Ajzen, 2010</w:t>
      </w:r>
      <w:r w:rsidRPr="00A665EC">
        <w:rPr>
          <w:rFonts w:ascii="Times New Roman" w:hAnsi="Times New Roman"/>
        </w:rPr>
        <w:t>). By ensuring that the project meets the interests of all parties involved and provides advantages to all of them, this theory argues for the participation and engagement of all stakeholders in the decision-making process.</w:t>
      </w:r>
    </w:p>
    <w:p w14:paraId="7AAD61DE"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The University of Georgia will perform a stakeholder analysis as part of its application of the Stakeholder Theory to identify significant groups and their interests in relation to the sustainability of the urban environment. Also, the establishment of feedback systems and regular stakeholder meetings will be carried out to guarantee continuous communication and cooperation (</w:t>
      </w:r>
      <w:r w:rsidRPr="00A665EC">
        <w:rPr>
          <w:rFonts w:ascii="Times New Roman" w:hAnsi="Times New Roman"/>
          <w:i/>
          <w:iCs/>
        </w:rPr>
        <w:t>Clarkson, 1995).</w:t>
      </w:r>
      <w:r w:rsidRPr="00A665EC">
        <w:rPr>
          <w:rFonts w:ascii="Times New Roman" w:hAnsi="Times New Roman"/>
        </w:rPr>
        <w:t xml:space="preserve"> Not only does this method bring about an increase in the legitimacy and support for the project, but it also guarantees that a wide range of viewpoints and areas of expertise are taken into consideration when formulating and putting into action measures that promote sustainability.</w:t>
      </w:r>
    </w:p>
    <w:p w14:paraId="68906C58"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However, the combination of TPB, CBSM, and Stakeholder Theory will result in the establishment of a complete theoretical basis for UGM. This foundation will serve as a guide for the creation of successful methods for promoting environmental sustainability in urban contexts. Therefore, these theories provide insights into the process of changing individual behaviours, engaging communities, and managing stakeholders, all of which are essential for the success of environmental efforts.</w:t>
      </w:r>
    </w:p>
    <w:p w14:paraId="07995EFD" w14:textId="77777777" w:rsidR="00A665EC" w:rsidRPr="00A665EC" w:rsidRDefault="00A665EC" w:rsidP="00FE3443">
      <w:pPr>
        <w:pStyle w:val="BodyText"/>
        <w:spacing w:line="360" w:lineRule="auto"/>
        <w:jc w:val="both"/>
        <w:rPr>
          <w:rFonts w:ascii="Times New Roman" w:hAnsi="Times New Roman"/>
          <w:b/>
          <w:bCs/>
        </w:rPr>
      </w:pPr>
      <w:r w:rsidRPr="00A665EC">
        <w:rPr>
          <w:rFonts w:ascii="Times New Roman" w:hAnsi="Times New Roman"/>
          <w:b/>
          <w:bCs/>
        </w:rPr>
        <w:t>Best Practices and Validation</w:t>
      </w:r>
    </w:p>
    <w:p w14:paraId="21DDBC6B"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Involved Design engages.</w:t>
      </w:r>
    </w:p>
    <w:p w14:paraId="52922AAA"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Participatory design is essential for effective and meaningful community participation projects like UGM. UGM ensures that green spaces and sustainability-focused activities are tailored to community needs by including community people in their planning and design. In addition to increasing the project's usefulness, this tactic also increases community support and pride in the endeavour, which are critical to its success and longevity. </w:t>
      </w:r>
      <w:proofErr w:type="spellStart"/>
      <w:r w:rsidRPr="00A665EC">
        <w:rPr>
          <w:rFonts w:ascii="Times New Roman" w:hAnsi="Times New Roman"/>
          <w:i/>
          <w:iCs/>
        </w:rPr>
        <w:t>Sanoff</w:t>
      </w:r>
      <w:proofErr w:type="spellEnd"/>
      <w:r w:rsidRPr="00A665EC">
        <w:rPr>
          <w:rFonts w:ascii="Times New Roman" w:hAnsi="Times New Roman"/>
          <w:i/>
          <w:iCs/>
        </w:rPr>
        <w:t xml:space="preserve"> (2000)</w:t>
      </w:r>
      <w:r w:rsidRPr="00A665EC">
        <w:rPr>
          <w:rFonts w:ascii="Times New Roman" w:hAnsi="Times New Roman"/>
        </w:rPr>
        <w:t xml:space="preserve"> promotes participatory design in community development because it increases the likelihood that outcomes will meet users' needs and be supported by them.</w:t>
      </w:r>
    </w:p>
    <w:p w14:paraId="4C7B94C6"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Frequent Feedback Mechanisms</w:t>
      </w:r>
    </w:p>
    <w:p w14:paraId="3C0741AD"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Community feedback channels are essential for adaptive UGM management. Surveys, focus groups, and community forums help the project team get community input. Insights like this are invaluable to the team as they work to improve and expand the project over time. Nonprofit programme management requires ongoing review, according to </w:t>
      </w:r>
      <w:r w:rsidRPr="00A665EC">
        <w:rPr>
          <w:rFonts w:ascii="Times New Roman" w:hAnsi="Times New Roman"/>
          <w:i/>
          <w:iCs/>
        </w:rPr>
        <w:t>Carman (2007).</w:t>
      </w:r>
      <w:r w:rsidRPr="00A665EC">
        <w:rPr>
          <w:rFonts w:ascii="Times New Roman" w:hAnsi="Times New Roman"/>
        </w:rPr>
        <w:t xml:space="preserve"> Also, he advises using feedback mechanisms to assess programming effectiveness and make changes.</w:t>
      </w:r>
    </w:p>
    <w:p w14:paraId="7D6F6A34"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Workshops and Events for Professional Development</w:t>
      </w:r>
    </w:p>
    <w:p w14:paraId="364A3D5C"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Educational seminars and activities help residents learn about environmental issues and develop sustainable living skills. Through education and training, UGM empowers community members to make informed decisions and adopt sustainable habits. According to </w:t>
      </w:r>
      <w:r w:rsidRPr="00A665EC">
        <w:rPr>
          <w:rFonts w:ascii="Times New Roman" w:hAnsi="Times New Roman"/>
          <w:i/>
          <w:iCs/>
        </w:rPr>
        <w:t>Bell et al. (2018)</w:t>
      </w:r>
      <w:r w:rsidRPr="00A665EC">
        <w:rPr>
          <w:rFonts w:ascii="Times New Roman" w:hAnsi="Times New Roman"/>
        </w:rPr>
        <w:t>, environmental education is crucial to promoting sustainable behaviour.</w:t>
      </w:r>
    </w:p>
    <w:p w14:paraId="5920BE9F" w14:textId="77777777" w:rsidR="00A665EC" w:rsidRPr="00A665EC" w:rsidRDefault="00A665EC" w:rsidP="00FE3443">
      <w:pPr>
        <w:pStyle w:val="BodyText"/>
        <w:spacing w:line="360" w:lineRule="auto"/>
        <w:jc w:val="both"/>
        <w:rPr>
          <w:rFonts w:ascii="Times New Roman" w:hAnsi="Times New Roman"/>
          <w:b/>
          <w:bCs/>
          <w:i/>
          <w:iCs/>
        </w:rPr>
      </w:pPr>
      <w:r w:rsidRPr="00A665EC">
        <w:rPr>
          <w:rFonts w:ascii="Times New Roman" w:hAnsi="Times New Roman"/>
          <w:b/>
          <w:bCs/>
          <w:i/>
          <w:iCs/>
        </w:rPr>
        <w:t>Collaboration and Partnership</w:t>
      </w:r>
    </w:p>
    <w:p w14:paraId="583DCF8C"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 xml:space="preserve">UGM must cooperate with environmental groups, local businesses, and other stakeholders to grow its impact. These alliances might give the initiative with additional resources, expertise, and support, enabling more ambitious projects and a greater impact. </w:t>
      </w:r>
      <w:r w:rsidRPr="00A665EC">
        <w:rPr>
          <w:rFonts w:ascii="Times New Roman" w:hAnsi="Times New Roman"/>
          <w:i/>
          <w:iCs/>
        </w:rPr>
        <w:t>Waddock (1988)</w:t>
      </w:r>
      <w:r w:rsidRPr="00A665EC">
        <w:rPr>
          <w:rFonts w:ascii="Times New Roman" w:hAnsi="Times New Roman"/>
        </w:rPr>
        <w:t xml:space="preserve"> stresses the need of partnerships in addressing complex social and environmental issues. He believes cross-sector cooperation may provide more creative and effective solutions.</w:t>
      </w:r>
    </w:p>
    <w:p w14:paraId="56501C61" w14:textId="77777777"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Community participation programmes like UGM must use participatory design, regular feedback mechanisms, educational seminars and events, and collaborations and partnerships to succeed. These practises ensure the project's success, responsiveness, and relevance in increasing urban environmental sustainability.</w:t>
      </w:r>
    </w:p>
    <w:p w14:paraId="5A5D8C01" w14:textId="77777777" w:rsidR="00A665EC" w:rsidRPr="00A665EC" w:rsidRDefault="00A665EC" w:rsidP="00FE3443">
      <w:pPr>
        <w:pStyle w:val="BodyText"/>
        <w:spacing w:line="360" w:lineRule="auto"/>
        <w:jc w:val="both"/>
        <w:rPr>
          <w:rFonts w:ascii="Times New Roman" w:hAnsi="Times New Roman"/>
          <w:b/>
          <w:bCs/>
        </w:rPr>
      </w:pPr>
      <w:r w:rsidRPr="00A665EC">
        <w:rPr>
          <w:rFonts w:ascii="Times New Roman" w:hAnsi="Times New Roman"/>
          <w:b/>
          <w:bCs/>
        </w:rPr>
        <w:t xml:space="preserve">Conclusion </w:t>
      </w:r>
    </w:p>
    <w:p w14:paraId="29EA26EA" w14:textId="24A062FD" w:rsidR="00A665EC" w:rsidRPr="00A665EC" w:rsidRDefault="00A665EC" w:rsidP="00FE3443">
      <w:pPr>
        <w:pStyle w:val="BodyText"/>
        <w:spacing w:line="360" w:lineRule="auto"/>
        <w:jc w:val="both"/>
        <w:rPr>
          <w:rFonts w:ascii="Times New Roman" w:hAnsi="Times New Roman"/>
        </w:rPr>
      </w:pPr>
      <w:r w:rsidRPr="00A665EC">
        <w:rPr>
          <w:rFonts w:ascii="Times New Roman" w:hAnsi="Times New Roman"/>
        </w:rPr>
        <w:t>Considering the BDII and the UGM has made me see how crucial it is to focus on the community, prepare ahead, and be flexible while working on community involvement programmes. This perspective highlights many crucial components, including the need of active community engagement, the use of customised communication tactics, and the significance of a multidisciplinary approach encompassing diverse stakeholders. With its emphasis on environmental sustainability, the UGM provides a chance to apply these lessons in a new setting, which has the potential to establish a precedent for future projects pertaining to urban sustainability.</w:t>
      </w:r>
    </w:p>
    <w:p w14:paraId="16E3AA63" w14:textId="77777777" w:rsidR="00A665EC" w:rsidRPr="00A665EC" w:rsidRDefault="00A665EC" w:rsidP="00A665EC">
      <w:pPr>
        <w:pStyle w:val="BodyText"/>
      </w:pPr>
    </w:p>
    <w:p w14:paraId="370C6777" w14:textId="77777777" w:rsidR="00A665EC" w:rsidRPr="00A665EC" w:rsidRDefault="00A665EC" w:rsidP="00A665EC">
      <w:pPr>
        <w:pStyle w:val="BodyText"/>
      </w:pPr>
      <w:r w:rsidRPr="00A665EC">
        <w:t>References</w:t>
      </w:r>
    </w:p>
    <w:p w14:paraId="71EA0F5A" w14:textId="77777777" w:rsidR="00A665EC" w:rsidRPr="00A665EC" w:rsidRDefault="00A665EC" w:rsidP="00A665EC">
      <w:pPr>
        <w:pStyle w:val="BodyText"/>
        <w:numPr>
          <w:ilvl w:val="0"/>
          <w:numId w:val="2"/>
        </w:numPr>
      </w:pPr>
      <w:r w:rsidRPr="00A665EC">
        <w:t>Arnstein, S. R. (1969). A Ladder of Citizen Participation. JAIP, 35(4), 216-224.</w:t>
      </w:r>
    </w:p>
    <w:p w14:paraId="3B5BE8B5" w14:textId="77777777" w:rsidR="00A665EC" w:rsidRPr="00A665EC" w:rsidRDefault="00A665EC" w:rsidP="00A665EC">
      <w:pPr>
        <w:pStyle w:val="BodyText"/>
        <w:numPr>
          <w:ilvl w:val="0"/>
          <w:numId w:val="2"/>
        </w:numPr>
      </w:pPr>
      <w:r w:rsidRPr="00A665EC">
        <w:rPr>
          <w:lang w:val="it-IT"/>
        </w:rPr>
        <w:t xml:space="preserve">Atkin, C. K., &amp; Rice, R. E. (2013). </w:t>
      </w:r>
      <w:r w:rsidRPr="00A665EC">
        <w:t xml:space="preserve">Theory and principles of public communication campaigns. </w:t>
      </w:r>
      <w:r w:rsidRPr="00A665EC">
        <w:rPr>
          <w:i/>
          <w:iCs/>
        </w:rPr>
        <w:t>In Public Communication Campaigns</w:t>
      </w:r>
      <w:r w:rsidRPr="00A665EC">
        <w:t xml:space="preserve"> (4th ed., pp. 3-19). Sage.</w:t>
      </w:r>
    </w:p>
    <w:p w14:paraId="4FFB28B7" w14:textId="77777777" w:rsidR="00A665EC" w:rsidRPr="00A665EC" w:rsidRDefault="00A665EC" w:rsidP="00A665EC">
      <w:pPr>
        <w:pStyle w:val="BodyText"/>
        <w:numPr>
          <w:ilvl w:val="0"/>
          <w:numId w:val="2"/>
        </w:numPr>
      </w:pPr>
      <w:r w:rsidRPr="00A665EC">
        <w:t xml:space="preserve">Ajzen, I. (1991). The theory of planned </w:t>
      </w:r>
      <w:proofErr w:type="spellStart"/>
      <w:r w:rsidRPr="00A665EC">
        <w:t>behavior</w:t>
      </w:r>
      <w:proofErr w:type="spellEnd"/>
      <w:r w:rsidRPr="00A665EC">
        <w:t xml:space="preserve">. </w:t>
      </w:r>
      <w:r w:rsidRPr="00A665EC">
        <w:rPr>
          <w:i/>
          <w:iCs/>
        </w:rPr>
        <w:t xml:space="preserve">Organizational </w:t>
      </w:r>
      <w:proofErr w:type="spellStart"/>
      <w:r w:rsidRPr="00A665EC">
        <w:rPr>
          <w:i/>
          <w:iCs/>
        </w:rPr>
        <w:t>Behavior</w:t>
      </w:r>
      <w:proofErr w:type="spellEnd"/>
      <w:r w:rsidRPr="00A665EC">
        <w:rPr>
          <w:i/>
          <w:iCs/>
        </w:rPr>
        <w:t xml:space="preserve"> and Human Decision Processes</w:t>
      </w:r>
      <w:r w:rsidRPr="00A665EC">
        <w:t>, 50(2), 179-211.</w:t>
      </w:r>
    </w:p>
    <w:p w14:paraId="7155E0D3" w14:textId="77777777" w:rsidR="00A665EC" w:rsidRPr="00A665EC" w:rsidRDefault="00A665EC" w:rsidP="00A665EC">
      <w:pPr>
        <w:pStyle w:val="BodyText"/>
        <w:numPr>
          <w:ilvl w:val="0"/>
          <w:numId w:val="2"/>
        </w:numPr>
      </w:pPr>
      <w:r w:rsidRPr="00A665EC">
        <w:t>Bryson, J. M., Quick, K. S., Slotterback, C. S., &amp; Crosby, B. C. (2013). Designing Public Participation Processes.</w:t>
      </w:r>
    </w:p>
    <w:p w14:paraId="069EF185" w14:textId="77777777" w:rsidR="00A665EC" w:rsidRPr="00A665EC" w:rsidRDefault="00A665EC" w:rsidP="00A665EC">
      <w:pPr>
        <w:pStyle w:val="BodyText"/>
        <w:numPr>
          <w:ilvl w:val="0"/>
          <w:numId w:val="2"/>
        </w:numPr>
      </w:pPr>
      <w:r w:rsidRPr="00A665EC">
        <w:t xml:space="preserve">Beatley, T. (2000). </w:t>
      </w:r>
      <w:r w:rsidRPr="00A665EC">
        <w:rPr>
          <w:i/>
          <w:iCs/>
        </w:rPr>
        <w:t>Green Urbanism: Learning from European Cities</w:t>
      </w:r>
      <w:r w:rsidRPr="00A665EC">
        <w:t>. Washington, DC: Island Press.</w:t>
      </w:r>
    </w:p>
    <w:p w14:paraId="1AA44054" w14:textId="77777777" w:rsidR="00A665EC" w:rsidRPr="00A665EC" w:rsidRDefault="00A665EC" w:rsidP="00A665EC">
      <w:pPr>
        <w:pStyle w:val="BodyText"/>
        <w:numPr>
          <w:ilvl w:val="0"/>
          <w:numId w:val="2"/>
        </w:numPr>
      </w:pPr>
      <w:r w:rsidRPr="00A665EC">
        <w:t xml:space="preserve">Bell, A., Russell, C., &amp; Simons, G. (2018). Environmental Education and Sustainability in Schools. </w:t>
      </w:r>
      <w:r w:rsidRPr="00A665EC">
        <w:rPr>
          <w:i/>
          <w:iCs/>
        </w:rPr>
        <w:t>Environmental Education Research</w:t>
      </w:r>
      <w:r w:rsidRPr="00A665EC">
        <w:t>, 24(6), 839-854.</w:t>
      </w:r>
    </w:p>
    <w:p w14:paraId="2A449528" w14:textId="77777777" w:rsidR="00A665EC" w:rsidRPr="00A665EC" w:rsidRDefault="00A665EC" w:rsidP="00A665EC">
      <w:pPr>
        <w:pStyle w:val="BodyText"/>
        <w:numPr>
          <w:ilvl w:val="0"/>
          <w:numId w:val="2"/>
        </w:numPr>
      </w:pPr>
      <w:r w:rsidRPr="00A665EC">
        <w:t xml:space="preserve">Clarkson, M. B. E. (1995). A stakeholder framework for </w:t>
      </w:r>
      <w:proofErr w:type="spellStart"/>
      <w:r w:rsidRPr="00A665EC">
        <w:t>analyzing</w:t>
      </w:r>
      <w:proofErr w:type="spellEnd"/>
      <w:r w:rsidRPr="00A665EC">
        <w:t xml:space="preserve"> and evaluating corporate social performance. </w:t>
      </w:r>
      <w:r w:rsidRPr="00A665EC">
        <w:rPr>
          <w:i/>
          <w:iCs/>
        </w:rPr>
        <w:t>Academy of Management Review</w:t>
      </w:r>
      <w:r w:rsidRPr="00A665EC">
        <w:t>, 20(1), 92-117.</w:t>
      </w:r>
    </w:p>
    <w:p w14:paraId="241AF3AE" w14:textId="77777777" w:rsidR="00A665EC" w:rsidRPr="00A665EC" w:rsidRDefault="00A665EC" w:rsidP="00A665EC">
      <w:pPr>
        <w:pStyle w:val="BodyText"/>
        <w:numPr>
          <w:ilvl w:val="0"/>
          <w:numId w:val="2"/>
        </w:numPr>
      </w:pPr>
      <w:r w:rsidRPr="00A665EC">
        <w:t xml:space="preserve">Carman, J. G. (2007). Evaluation practice among community-based organizations: Research into the reality. </w:t>
      </w:r>
      <w:r w:rsidRPr="00A665EC">
        <w:rPr>
          <w:i/>
          <w:iCs/>
        </w:rPr>
        <w:t>American Journal of Evaluation</w:t>
      </w:r>
      <w:r w:rsidRPr="00A665EC">
        <w:t>, 28(1), 60-75.</w:t>
      </w:r>
    </w:p>
    <w:p w14:paraId="39030D03" w14:textId="77777777" w:rsidR="00A665EC" w:rsidRPr="00A665EC" w:rsidRDefault="00A665EC" w:rsidP="00A665EC">
      <w:pPr>
        <w:pStyle w:val="BodyText"/>
        <w:numPr>
          <w:ilvl w:val="0"/>
          <w:numId w:val="2"/>
        </w:numPr>
      </w:pPr>
      <w:r w:rsidRPr="00A665EC">
        <w:t>Freeman, R. E. (1984). Strategic Management: A Stakeholder Approach. Boston: Pitman.</w:t>
      </w:r>
    </w:p>
    <w:p w14:paraId="45170BC6" w14:textId="77777777" w:rsidR="00A665EC" w:rsidRPr="00A665EC" w:rsidRDefault="00A665EC" w:rsidP="00A665EC">
      <w:pPr>
        <w:pStyle w:val="BodyText"/>
        <w:numPr>
          <w:ilvl w:val="0"/>
          <w:numId w:val="2"/>
        </w:numPr>
      </w:pPr>
      <w:r w:rsidRPr="00A665EC">
        <w:t xml:space="preserve">Fishbein, M., &amp; Ajzen, I. (2010). </w:t>
      </w:r>
      <w:r w:rsidRPr="00A665EC">
        <w:rPr>
          <w:i/>
          <w:iCs/>
        </w:rPr>
        <w:t xml:space="preserve">Predicting and Changing </w:t>
      </w:r>
      <w:proofErr w:type="spellStart"/>
      <w:r w:rsidRPr="00A665EC">
        <w:rPr>
          <w:i/>
          <w:iCs/>
        </w:rPr>
        <w:t>Behavior</w:t>
      </w:r>
      <w:proofErr w:type="spellEnd"/>
      <w:r w:rsidRPr="00A665EC">
        <w:rPr>
          <w:i/>
          <w:iCs/>
        </w:rPr>
        <w:t>: The Reasoned Action Approach</w:t>
      </w:r>
      <w:r w:rsidRPr="00A665EC">
        <w:t>. New York: Psychology Press.</w:t>
      </w:r>
    </w:p>
    <w:p w14:paraId="202B830C" w14:textId="77777777" w:rsidR="00A665EC" w:rsidRPr="00A665EC" w:rsidRDefault="00A665EC" w:rsidP="00A665EC">
      <w:pPr>
        <w:pStyle w:val="BodyText"/>
        <w:numPr>
          <w:ilvl w:val="0"/>
          <w:numId w:val="2"/>
        </w:numPr>
      </w:pPr>
      <w:r w:rsidRPr="00A665EC">
        <w:t xml:space="preserve">Israel, B. A., Schulz, A. J., Parker, E. A., &amp; Becker, A. B. (1998). ‘Review of community-based research: Assessing partnership approaches to improve public health’, </w:t>
      </w:r>
      <w:r w:rsidRPr="00A665EC">
        <w:rPr>
          <w:i/>
          <w:iCs/>
        </w:rPr>
        <w:t>Annual Review of Public Health</w:t>
      </w:r>
      <w:r w:rsidRPr="00A665EC">
        <w:t>, 19, pp. 173-202.</w:t>
      </w:r>
    </w:p>
    <w:p w14:paraId="404F2E37" w14:textId="77777777" w:rsidR="00A665EC" w:rsidRPr="00A665EC" w:rsidRDefault="00A665EC" w:rsidP="00A665EC">
      <w:pPr>
        <w:pStyle w:val="BodyText"/>
        <w:numPr>
          <w:ilvl w:val="0"/>
          <w:numId w:val="2"/>
        </w:numPr>
      </w:pPr>
      <w:r w:rsidRPr="00A665EC">
        <w:t xml:space="preserve">Moore, T. (2018). ‘Community engagement in urban governance and planning’, </w:t>
      </w:r>
      <w:r w:rsidRPr="00A665EC">
        <w:rPr>
          <w:i/>
          <w:iCs/>
        </w:rPr>
        <w:t>City, Culture and Society</w:t>
      </w:r>
      <w:r w:rsidRPr="00A665EC">
        <w:t>, 12, pp. 1-10.</w:t>
      </w:r>
    </w:p>
    <w:p w14:paraId="38ACB911" w14:textId="77777777" w:rsidR="00A665EC" w:rsidRPr="00A665EC" w:rsidRDefault="00A665EC" w:rsidP="00A665EC">
      <w:pPr>
        <w:pStyle w:val="BodyText"/>
        <w:numPr>
          <w:ilvl w:val="0"/>
          <w:numId w:val="2"/>
        </w:numPr>
      </w:pPr>
      <w:r w:rsidRPr="00A665EC">
        <w:t xml:space="preserve">McKenzie-Mohr, D. (2000). Promoting sustainable </w:t>
      </w:r>
      <w:proofErr w:type="spellStart"/>
      <w:r w:rsidRPr="00A665EC">
        <w:t>behavior</w:t>
      </w:r>
      <w:proofErr w:type="spellEnd"/>
      <w:r w:rsidRPr="00A665EC">
        <w:t xml:space="preserve">: An introduction to community-based social marketing. </w:t>
      </w:r>
      <w:r w:rsidRPr="00A665EC">
        <w:rPr>
          <w:i/>
          <w:iCs/>
        </w:rPr>
        <w:t>Journal of Social Issues</w:t>
      </w:r>
      <w:r w:rsidRPr="00A665EC">
        <w:t>, 56(3), 543-554.</w:t>
      </w:r>
    </w:p>
    <w:p w14:paraId="554486C8" w14:textId="77777777" w:rsidR="00A665EC" w:rsidRPr="00A665EC" w:rsidRDefault="00A665EC" w:rsidP="00A665EC">
      <w:pPr>
        <w:pStyle w:val="BodyText"/>
        <w:numPr>
          <w:ilvl w:val="0"/>
          <w:numId w:val="2"/>
        </w:numPr>
      </w:pPr>
      <w:r w:rsidRPr="00A665EC">
        <w:t xml:space="preserve">Reed, M. S., Graves, A., Dandy, N., Posthumus, H., Hubacek, K., Morris, J., ... &amp; Stringer, L. C. (2009). Who's in and why? A typology of stakeholder analysis methods for natural resource management. </w:t>
      </w:r>
      <w:r w:rsidRPr="00A665EC">
        <w:rPr>
          <w:i/>
          <w:iCs/>
        </w:rPr>
        <w:t>Journal of Environmental Management</w:t>
      </w:r>
      <w:r w:rsidRPr="00A665EC">
        <w:t>, 90(5), 1933-1949.</w:t>
      </w:r>
    </w:p>
    <w:p w14:paraId="40F39D0B" w14:textId="77777777" w:rsidR="00A665EC" w:rsidRPr="00A665EC" w:rsidRDefault="00A665EC" w:rsidP="00A665EC">
      <w:pPr>
        <w:pStyle w:val="BodyText"/>
        <w:numPr>
          <w:ilvl w:val="0"/>
          <w:numId w:val="2"/>
        </w:numPr>
      </w:pPr>
      <w:proofErr w:type="spellStart"/>
      <w:r w:rsidRPr="00A665EC">
        <w:t>Sanoff</w:t>
      </w:r>
      <w:proofErr w:type="spellEnd"/>
      <w:r w:rsidRPr="00A665EC">
        <w:t>, H. (2000). Community Participation Methods in Design and Planning. New York: Wiley.</w:t>
      </w:r>
    </w:p>
    <w:p w14:paraId="5CDC8889" w14:textId="77777777" w:rsidR="00A665EC" w:rsidRPr="00A665EC" w:rsidRDefault="00A665EC" w:rsidP="00A665EC">
      <w:pPr>
        <w:pStyle w:val="BodyText"/>
        <w:numPr>
          <w:ilvl w:val="0"/>
          <w:numId w:val="2"/>
        </w:numPr>
      </w:pPr>
      <w:r w:rsidRPr="00A665EC">
        <w:t xml:space="preserve">Waddock, S. A. (1988). Building successful social partnerships. </w:t>
      </w:r>
      <w:r w:rsidRPr="00A665EC">
        <w:rPr>
          <w:i/>
          <w:iCs/>
        </w:rPr>
        <w:t>Sloan Management Review</w:t>
      </w:r>
      <w:r w:rsidRPr="00A665EC">
        <w:t>, 29(4), 17-23.</w:t>
      </w:r>
    </w:p>
    <w:p w14:paraId="136ECBEF" w14:textId="77777777" w:rsidR="00A665EC" w:rsidRPr="00A665EC" w:rsidRDefault="00A665EC" w:rsidP="00A665EC">
      <w:pPr>
        <w:pStyle w:val="BodyText"/>
      </w:pPr>
    </w:p>
    <w:p w14:paraId="1C925356" w14:textId="77777777" w:rsidR="00A665EC" w:rsidRPr="00A665EC" w:rsidRDefault="00A665EC" w:rsidP="00A665EC">
      <w:pPr>
        <w:pStyle w:val="BodyText"/>
      </w:pPr>
    </w:p>
    <w:p w14:paraId="3493D6F8" w14:textId="77777777" w:rsidR="00A665EC" w:rsidRPr="00A665EC" w:rsidRDefault="00A665EC" w:rsidP="00A665EC">
      <w:pPr>
        <w:pStyle w:val="BodyText"/>
      </w:pPr>
    </w:p>
    <w:p w14:paraId="217BB36D" w14:textId="77777777" w:rsidR="00A665EC" w:rsidRDefault="00A665EC" w:rsidP="00A665EC">
      <w:pPr>
        <w:pStyle w:val="BodyText"/>
      </w:pPr>
    </w:p>
    <w:p w14:paraId="69BD42EC" w14:textId="77777777" w:rsidR="00CB6781" w:rsidRDefault="00CB6781" w:rsidP="00CB6781">
      <w:pPr>
        <w:pStyle w:val="BodyText"/>
      </w:pPr>
    </w:p>
    <w:p w14:paraId="21E15D8A" w14:textId="77777777" w:rsidR="00CB6781" w:rsidRDefault="00CB6781" w:rsidP="00CB6781">
      <w:pPr>
        <w:pStyle w:val="BodyText"/>
      </w:pPr>
    </w:p>
    <w:p w14:paraId="4E6FB8DA" w14:textId="77777777" w:rsidR="00CB6781" w:rsidRDefault="00CB6781" w:rsidP="00CB6781">
      <w:pPr>
        <w:pStyle w:val="BodyText"/>
      </w:pPr>
    </w:p>
    <w:p w14:paraId="18320DEC" w14:textId="77777777" w:rsidR="00CB6781" w:rsidRDefault="00CB6781" w:rsidP="00CB6781">
      <w:pPr>
        <w:pStyle w:val="BodyText"/>
      </w:pPr>
    </w:p>
    <w:p w14:paraId="464C3064" w14:textId="77777777" w:rsidR="00CB6781" w:rsidRDefault="00CB6781" w:rsidP="00CB6781">
      <w:pPr>
        <w:pStyle w:val="BodyText"/>
      </w:pPr>
    </w:p>
    <w:p w14:paraId="552A88D4" w14:textId="77777777" w:rsidR="00CB6781" w:rsidRDefault="00CB6781" w:rsidP="00CB6781">
      <w:pPr>
        <w:pStyle w:val="BodyText"/>
      </w:pPr>
    </w:p>
    <w:p w14:paraId="59BD2D89" w14:textId="77777777" w:rsidR="00CB6781" w:rsidRDefault="00CB6781" w:rsidP="00CB6781">
      <w:pPr>
        <w:pStyle w:val="BodyText"/>
      </w:pPr>
    </w:p>
    <w:p w14:paraId="1F5FEDD8" w14:textId="77777777" w:rsidR="00CB6781" w:rsidRDefault="00CB6781" w:rsidP="00CB6781">
      <w:pPr>
        <w:pStyle w:val="BodyText"/>
      </w:pPr>
    </w:p>
    <w:p w14:paraId="741543ED" w14:textId="77777777" w:rsidR="00CB6781" w:rsidRDefault="00CB6781" w:rsidP="00CB6781">
      <w:pPr>
        <w:pStyle w:val="BodyText"/>
      </w:pPr>
    </w:p>
    <w:p w14:paraId="0184C13A" w14:textId="77777777" w:rsidR="00CB6781" w:rsidRDefault="00CB6781" w:rsidP="00CB6781">
      <w:pPr>
        <w:pStyle w:val="BodyText"/>
      </w:pPr>
    </w:p>
    <w:p w14:paraId="50AE7296" w14:textId="77777777" w:rsidR="00CB6781" w:rsidRDefault="00CB6781" w:rsidP="00CB6781">
      <w:pPr>
        <w:pStyle w:val="BodyText"/>
      </w:pPr>
    </w:p>
    <w:p w14:paraId="656C015A" w14:textId="77777777" w:rsidR="00CB6781" w:rsidRDefault="00CB6781" w:rsidP="00CB6781">
      <w:pPr>
        <w:pStyle w:val="BodyText"/>
      </w:pPr>
    </w:p>
    <w:p w14:paraId="29DB0BCB" w14:textId="77777777" w:rsidR="00CB6781" w:rsidRDefault="00CB6781" w:rsidP="00CB6781">
      <w:pPr>
        <w:pStyle w:val="BodyText"/>
      </w:pPr>
    </w:p>
    <w:p w14:paraId="2CB01D22" w14:textId="77777777" w:rsidR="00CB6781" w:rsidRDefault="00CB6781" w:rsidP="00CB6781">
      <w:pPr>
        <w:pStyle w:val="BodyText"/>
      </w:pPr>
    </w:p>
    <w:p w14:paraId="597F951C" w14:textId="77777777" w:rsidR="00CB6781" w:rsidRPr="00CB6781" w:rsidRDefault="00CB6781" w:rsidP="00CB6781">
      <w:pPr>
        <w:pStyle w:val="BodyText"/>
      </w:pPr>
    </w:p>
    <w:p w14:paraId="62EEF896" w14:textId="7C703217" w:rsidR="00CB6781" w:rsidRPr="00CB6781" w:rsidRDefault="0099230B" w:rsidP="00CB6781">
      <w:pPr>
        <w:pStyle w:val="Heading2"/>
        <w:numPr>
          <w:ilvl w:val="0"/>
          <w:numId w:val="0"/>
        </w:numPr>
        <w:spacing w:before="0"/>
        <w:ind w:left="576" w:hanging="576"/>
      </w:pPr>
      <w:r>
        <w:t xml:space="preserve">CPD Record </w:t>
      </w:r>
    </w:p>
    <w:p w14:paraId="5E335F0B" w14:textId="77777777" w:rsidR="0099230B" w:rsidRPr="009B3F09" w:rsidRDefault="0099230B" w:rsidP="0099230B">
      <w:pPr>
        <w:pStyle w:val="BodyText"/>
        <w:spacing w:after="60"/>
      </w:pP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486"/>
        <w:gridCol w:w="4532"/>
      </w:tblGrid>
      <w:tr w:rsidR="0099230B" w:rsidRPr="00EE0E49" w14:paraId="0B481398" w14:textId="77777777" w:rsidTr="00F00DC3">
        <w:trPr>
          <w:trHeight w:val="819"/>
        </w:trPr>
        <w:tc>
          <w:tcPr>
            <w:tcW w:w="5016" w:type="dxa"/>
          </w:tcPr>
          <w:p w14:paraId="73D20D3F" w14:textId="70D69F95" w:rsidR="0099230B" w:rsidRPr="00EE0E49" w:rsidRDefault="0099230B" w:rsidP="0099230B">
            <w:pPr>
              <w:rPr>
                <w:b/>
              </w:rPr>
            </w:pPr>
            <w:r w:rsidRPr="00EE0E49">
              <w:rPr>
                <w:b/>
              </w:rPr>
              <w:t>Name:</w:t>
            </w:r>
            <w:r>
              <w:rPr>
                <w:b/>
              </w:rPr>
              <w:t xml:space="preserve"> </w:t>
            </w:r>
            <w:bookmarkStart w:id="0" w:name="_Hlk151640408"/>
            <w:r w:rsidR="00B1759D">
              <w:rPr>
                <w:b/>
              </w:rPr>
              <w:t>P</w:t>
            </w:r>
            <w:r w:rsidR="00B1759D" w:rsidRPr="00B1759D">
              <w:rPr>
                <w:b/>
                <w:bCs/>
              </w:rPr>
              <w:t xml:space="preserve">etronela </w:t>
            </w:r>
            <w:r w:rsidR="00B1759D">
              <w:rPr>
                <w:b/>
                <w:bCs/>
              </w:rPr>
              <w:t>A</w:t>
            </w:r>
            <w:r w:rsidR="00B1759D" w:rsidRPr="00B1759D">
              <w:rPr>
                <w:b/>
                <w:bCs/>
              </w:rPr>
              <w:t>petroaie</w:t>
            </w:r>
            <w:bookmarkEnd w:id="0"/>
          </w:p>
        </w:tc>
        <w:tc>
          <w:tcPr>
            <w:tcW w:w="4486" w:type="dxa"/>
          </w:tcPr>
          <w:p w14:paraId="5C532B70" w14:textId="77777777" w:rsidR="0099230B" w:rsidRPr="00553C72" w:rsidRDefault="0099230B" w:rsidP="00F00DC3">
            <w:pPr>
              <w:rPr>
                <w:rFonts w:ascii="Constantia" w:hAnsi="Constantia"/>
                <w:i/>
              </w:rPr>
            </w:pPr>
          </w:p>
        </w:tc>
        <w:tc>
          <w:tcPr>
            <w:tcW w:w="4532" w:type="dxa"/>
          </w:tcPr>
          <w:p w14:paraId="7DB643C5" w14:textId="77777777" w:rsidR="0099230B" w:rsidRPr="00EE0E49" w:rsidRDefault="0099230B" w:rsidP="00F00DC3">
            <w:pPr>
              <w:rPr>
                <w:b/>
              </w:rPr>
            </w:pPr>
            <w:r w:rsidRPr="00EE0E49">
              <w:rPr>
                <w:b/>
              </w:rPr>
              <w:t>Covering the period from:</w:t>
            </w:r>
          </w:p>
          <w:p w14:paraId="5452E5D6" w14:textId="581EA61D" w:rsidR="0099230B" w:rsidRPr="00EE0E49" w:rsidRDefault="0099230B" w:rsidP="00F00DC3">
            <w:r w:rsidRPr="00EE0E49">
              <w:rPr>
                <w:b/>
              </w:rPr>
              <w:t>To:</w:t>
            </w:r>
            <w:r>
              <w:rPr>
                <w:b/>
              </w:rPr>
              <w:t xml:space="preserve"> </w:t>
            </w:r>
            <w:r w:rsidR="00E92643">
              <w:rPr>
                <w:b/>
              </w:rPr>
              <w:t xml:space="preserve">September-December </w:t>
            </w:r>
          </w:p>
        </w:tc>
      </w:tr>
    </w:tbl>
    <w:p w14:paraId="67246151" w14:textId="77777777" w:rsidR="0099230B" w:rsidRDefault="0099230B" w:rsidP="0099230B">
      <w:pPr>
        <w:rPr>
          <w:rFonts w:ascii="Verdana" w:hAnsi="Verdana"/>
          <w:sz w:val="20"/>
        </w:rPr>
      </w:pPr>
    </w:p>
    <w:tbl>
      <w:tblPr>
        <w:tblW w:w="1485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3119"/>
        <w:gridCol w:w="1984"/>
        <w:gridCol w:w="3657"/>
        <w:gridCol w:w="4536"/>
      </w:tblGrid>
      <w:tr w:rsidR="0099230B" w:rsidRPr="00E541C1" w14:paraId="6DC3BE64" w14:textId="77777777" w:rsidTr="005022D4">
        <w:tc>
          <w:tcPr>
            <w:tcW w:w="1560" w:type="dxa"/>
            <w:tcBorders>
              <w:bottom w:val="single" w:sz="4" w:space="0" w:color="auto"/>
            </w:tcBorders>
          </w:tcPr>
          <w:p w14:paraId="79B65BFB" w14:textId="77777777" w:rsidR="0099230B" w:rsidRPr="00E541C1" w:rsidRDefault="0099230B" w:rsidP="00F00DC3">
            <w:pPr>
              <w:tabs>
                <w:tab w:val="center" w:pos="719"/>
              </w:tabs>
              <w:rPr>
                <w:rFonts w:ascii="Verdana" w:hAnsi="Verdana"/>
                <w:b/>
                <w:sz w:val="18"/>
                <w:szCs w:val="18"/>
              </w:rPr>
            </w:pPr>
            <w:r>
              <w:rPr>
                <w:rFonts w:ascii="Verdana" w:hAnsi="Verdana"/>
                <w:b/>
                <w:sz w:val="18"/>
                <w:szCs w:val="18"/>
              </w:rPr>
              <w:tab/>
            </w:r>
            <w:r w:rsidRPr="00E541C1">
              <w:rPr>
                <w:rFonts w:ascii="Verdana" w:hAnsi="Verdana"/>
                <w:b/>
                <w:sz w:val="18"/>
                <w:szCs w:val="18"/>
              </w:rPr>
              <w:t>Key dates</w:t>
            </w:r>
          </w:p>
        </w:tc>
        <w:tc>
          <w:tcPr>
            <w:tcW w:w="3119" w:type="dxa"/>
            <w:tcBorders>
              <w:bottom w:val="single" w:sz="4" w:space="0" w:color="auto"/>
            </w:tcBorders>
          </w:tcPr>
          <w:p w14:paraId="63F39A2D" w14:textId="77777777" w:rsidR="0099230B" w:rsidRPr="00E541C1" w:rsidRDefault="0099230B" w:rsidP="00F00DC3">
            <w:pPr>
              <w:jc w:val="center"/>
              <w:rPr>
                <w:rFonts w:ascii="Verdana" w:hAnsi="Verdana"/>
                <w:b/>
                <w:sz w:val="18"/>
                <w:szCs w:val="18"/>
              </w:rPr>
            </w:pPr>
            <w:r w:rsidRPr="00E541C1">
              <w:rPr>
                <w:rFonts w:ascii="Verdana" w:hAnsi="Verdana"/>
                <w:b/>
                <w:sz w:val="18"/>
                <w:szCs w:val="18"/>
              </w:rPr>
              <w:t>What did you do?</w:t>
            </w:r>
          </w:p>
        </w:tc>
        <w:tc>
          <w:tcPr>
            <w:tcW w:w="1984" w:type="dxa"/>
            <w:tcBorders>
              <w:bottom w:val="single" w:sz="4" w:space="0" w:color="auto"/>
            </w:tcBorders>
          </w:tcPr>
          <w:p w14:paraId="136EA311" w14:textId="77777777" w:rsidR="0099230B" w:rsidRPr="00E541C1" w:rsidRDefault="0099230B" w:rsidP="00F00DC3">
            <w:pPr>
              <w:jc w:val="center"/>
              <w:rPr>
                <w:rFonts w:ascii="Verdana" w:hAnsi="Verdana"/>
                <w:b/>
                <w:sz w:val="18"/>
                <w:szCs w:val="18"/>
              </w:rPr>
            </w:pPr>
            <w:r w:rsidRPr="00E541C1">
              <w:rPr>
                <w:rFonts w:ascii="Verdana" w:hAnsi="Verdana"/>
                <w:b/>
                <w:sz w:val="18"/>
                <w:szCs w:val="18"/>
              </w:rPr>
              <w:t>Why?</w:t>
            </w:r>
          </w:p>
        </w:tc>
        <w:tc>
          <w:tcPr>
            <w:tcW w:w="3657" w:type="dxa"/>
            <w:tcBorders>
              <w:bottom w:val="single" w:sz="4" w:space="0" w:color="auto"/>
            </w:tcBorders>
          </w:tcPr>
          <w:p w14:paraId="16727A2D" w14:textId="77777777" w:rsidR="0099230B" w:rsidRPr="00E541C1" w:rsidRDefault="0099230B" w:rsidP="00F00DC3">
            <w:pPr>
              <w:jc w:val="center"/>
              <w:rPr>
                <w:rFonts w:ascii="Verdana" w:hAnsi="Verdana"/>
                <w:b/>
                <w:sz w:val="18"/>
                <w:szCs w:val="18"/>
              </w:rPr>
            </w:pPr>
            <w:r w:rsidRPr="00E541C1">
              <w:rPr>
                <w:rFonts w:ascii="Verdana" w:hAnsi="Verdana"/>
                <w:b/>
                <w:sz w:val="18"/>
                <w:szCs w:val="18"/>
              </w:rPr>
              <w:t>What did you learn from this?</w:t>
            </w:r>
          </w:p>
        </w:tc>
        <w:tc>
          <w:tcPr>
            <w:tcW w:w="4536" w:type="dxa"/>
            <w:tcBorders>
              <w:bottom w:val="single" w:sz="4" w:space="0" w:color="auto"/>
            </w:tcBorders>
          </w:tcPr>
          <w:p w14:paraId="40C5D043" w14:textId="77777777" w:rsidR="0099230B" w:rsidRPr="00E541C1" w:rsidRDefault="0099230B" w:rsidP="00F00DC3">
            <w:pPr>
              <w:jc w:val="center"/>
              <w:rPr>
                <w:rFonts w:ascii="Verdana" w:hAnsi="Verdana"/>
                <w:b/>
                <w:sz w:val="18"/>
                <w:szCs w:val="18"/>
              </w:rPr>
            </w:pPr>
            <w:r w:rsidRPr="00E541C1">
              <w:rPr>
                <w:rFonts w:ascii="Verdana" w:hAnsi="Verdana"/>
                <w:b/>
                <w:sz w:val="18"/>
                <w:szCs w:val="18"/>
              </w:rPr>
              <w:t>How have/will you use this?</w:t>
            </w:r>
          </w:p>
          <w:p w14:paraId="7FD371DA" w14:textId="77777777" w:rsidR="0099230B" w:rsidRPr="00E541C1" w:rsidRDefault="0099230B" w:rsidP="00F00DC3">
            <w:pPr>
              <w:jc w:val="center"/>
              <w:rPr>
                <w:rFonts w:ascii="Verdana" w:hAnsi="Verdana"/>
                <w:b/>
                <w:sz w:val="18"/>
                <w:szCs w:val="18"/>
              </w:rPr>
            </w:pPr>
            <w:r w:rsidRPr="00E541C1">
              <w:rPr>
                <w:rFonts w:ascii="Verdana" w:hAnsi="Verdana"/>
                <w:b/>
                <w:sz w:val="18"/>
                <w:szCs w:val="18"/>
              </w:rPr>
              <w:t>Any further action?</w:t>
            </w:r>
          </w:p>
        </w:tc>
      </w:tr>
      <w:tr w:rsidR="0099230B" w:rsidRPr="00553C72" w14:paraId="444410D7" w14:textId="77777777" w:rsidTr="005022D4">
        <w:tc>
          <w:tcPr>
            <w:tcW w:w="1560" w:type="dxa"/>
            <w:tcBorders>
              <w:top w:val="single" w:sz="4" w:space="0" w:color="auto"/>
              <w:left w:val="single" w:sz="4" w:space="0" w:color="auto"/>
              <w:bottom w:val="single" w:sz="4" w:space="0" w:color="auto"/>
              <w:right w:val="single" w:sz="4" w:space="0" w:color="auto"/>
            </w:tcBorders>
            <w:shd w:val="clear" w:color="auto" w:fill="D9D9D9"/>
          </w:tcPr>
          <w:p w14:paraId="096BE876" w14:textId="69888F37" w:rsidR="0099230B" w:rsidRPr="00FE3443" w:rsidRDefault="0099230B" w:rsidP="00F00DC3">
            <w:pPr>
              <w:rPr>
                <w:rFonts w:ascii="Constantia" w:hAnsi="Constantia"/>
                <w:b/>
                <w:bCs/>
                <w:i/>
                <w:sz w:val="20"/>
              </w:rPr>
            </w:pPr>
            <w:r w:rsidRPr="00553C72">
              <w:rPr>
                <w:rFonts w:ascii="Constantia" w:hAnsi="Constantia"/>
                <w:i/>
                <w:sz w:val="20"/>
              </w:rPr>
              <w:t xml:space="preserve"> </w:t>
            </w:r>
            <w:r w:rsidR="00E92643" w:rsidRPr="00FE3443">
              <w:rPr>
                <w:rStyle w:val="A1"/>
                <w:b/>
                <w:bCs/>
              </w:rPr>
              <w:t xml:space="preserve">Week </w:t>
            </w:r>
            <w:r w:rsidR="009A7156">
              <w:rPr>
                <w:rStyle w:val="A1"/>
                <w:b/>
                <w:bCs/>
              </w:rPr>
              <w:t>1</w:t>
            </w:r>
            <w:r w:rsidR="00E92643" w:rsidRPr="00FE3443">
              <w:rPr>
                <w:rStyle w:val="A1"/>
                <w:b/>
                <w:bCs/>
              </w:rPr>
              <w:t xml:space="preserve"> </w:t>
            </w:r>
          </w:p>
        </w:tc>
        <w:tc>
          <w:tcPr>
            <w:tcW w:w="3119" w:type="dxa"/>
            <w:tcBorders>
              <w:top w:val="single" w:sz="4" w:space="0" w:color="auto"/>
              <w:left w:val="single" w:sz="4" w:space="0" w:color="auto"/>
              <w:bottom w:val="single" w:sz="4" w:space="0" w:color="auto"/>
              <w:right w:val="single" w:sz="4" w:space="0" w:color="auto"/>
            </w:tcBorders>
            <w:shd w:val="clear" w:color="auto" w:fill="D9D9D9"/>
          </w:tcPr>
          <w:p w14:paraId="0BC19A29" w14:textId="49C4784C" w:rsidR="0099230B" w:rsidRPr="00FE3443" w:rsidRDefault="00FE3443" w:rsidP="00FE3443">
            <w:pPr>
              <w:jc w:val="both"/>
              <w:rPr>
                <w:rFonts w:ascii="Times New Roman" w:hAnsi="Times New Roman"/>
                <w:b/>
                <w:bCs/>
                <w:iCs/>
                <w:szCs w:val="24"/>
              </w:rPr>
            </w:pPr>
            <w:r w:rsidRPr="00FE3443">
              <w:rPr>
                <w:rFonts w:ascii="Times New Roman" w:hAnsi="Times New Roman"/>
                <w:b/>
                <w:bCs/>
                <w:iCs/>
                <w:szCs w:val="24"/>
              </w:rPr>
              <w:t xml:space="preserve">Through in-depth analysis of various </w:t>
            </w:r>
            <w:r w:rsidRPr="00FE3443">
              <w:rPr>
                <w:rFonts w:ascii="Times New Roman" w:hAnsi="Times New Roman"/>
                <w:b/>
                <w:bCs/>
                <w:iCs/>
                <w:szCs w:val="24"/>
              </w:rPr>
              <w:t>associations</w:t>
            </w:r>
            <w:r w:rsidRPr="00FE3443">
              <w:rPr>
                <w:rFonts w:ascii="Times New Roman" w:hAnsi="Times New Roman"/>
                <w:b/>
                <w:bCs/>
                <w:iCs/>
                <w:szCs w:val="24"/>
              </w:rPr>
              <w:t xml:space="preserve">, I developed critical reflection skills and adapted my skills to suit different requirements. I successfully </w:t>
            </w:r>
            <w:r w:rsidRPr="00FE3443">
              <w:rPr>
                <w:rFonts w:ascii="Times New Roman" w:hAnsi="Times New Roman"/>
                <w:b/>
                <w:bCs/>
                <w:iCs/>
                <w:szCs w:val="24"/>
              </w:rPr>
              <w:t>converted</w:t>
            </w:r>
            <w:r w:rsidRPr="00FE3443">
              <w:rPr>
                <w:rFonts w:ascii="Times New Roman" w:hAnsi="Times New Roman"/>
                <w:b/>
                <w:bCs/>
                <w:iCs/>
                <w:szCs w:val="24"/>
              </w:rPr>
              <w:t xml:space="preserve"> academic ideas into practical business solutions, demonstrating the importance of combining academic frameworks with creative thinking to address real-world challenges in the business sector. This experience highlighted the need for adaptability and the ability to translate theoretical knowledge into practical solutions.</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1D43DF94" w14:textId="3AC851C7" w:rsidR="0099230B" w:rsidRPr="00FE3443" w:rsidRDefault="00FE3443" w:rsidP="00FE3443">
            <w:pPr>
              <w:jc w:val="both"/>
              <w:rPr>
                <w:rFonts w:ascii="Times New Roman" w:hAnsi="Times New Roman"/>
                <w:b/>
                <w:bCs/>
                <w:iCs/>
                <w:szCs w:val="24"/>
              </w:rPr>
            </w:pPr>
            <w:r w:rsidRPr="00FE3443">
              <w:rPr>
                <w:rFonts w:ascii="Times New Roman" w:hAnsi="Times New Roman"/>
                <w:b/>
                <w:bCs/>
                <w:iCs/>
                <w:szCs w:val="24"/>
              </w:rPr>
              <w:t>Participating in these initiatives enabled me to combine classroom theory with practical application, equipping me with the necessary skills for my chosen field.</w:t>
            </w:r>
          </w:p>
        </w:tc>
        <w:tc>
          <w:tcPr>
            <w:tcW w:w="3657" w:type="dxa"/>
            <w:tcBorders>
              <w:top w:val="single" w:sz="4" w:space="0" w:color="auto"/>
              <w:left w:val="single" w:sz="4" w:space="0" w:color="auto"/>
              <w:bottom w:val="single" w:sz="4" w:space="0" w:color="auto"/>
              <w:right w:val="single" w:sz="4" w:space="0" w:color="auto"/>
            </w:tcBorders>
            <w:shd w:val="clear" w:color="auto" w:fill="D9D9D9"/>
          </w:tcPr>
          <w:p w14:paraId="4FE4EB95" w14:textId="66E2EDFD" w:rsidR="0099230B" w:rsidRPr="00CB6781" w:rsidRDefault="0099230B" w:rsidP="00FE3443">
            <w:pPr>
              <w:pStyle w:val="Pa1"/>
              <w:spacing w:after="60"/>
              <w:jc w:val="both"/>
              <w:rPr>
                <w:rFonts w:ascii="Times New Roman" w:hAnsi="Times New Roman"/>
                <w:iCs/>
              </w:rPr>
            </w:pPr>
            <w:r w:rsidRPr="00553C72">
              <w:rPr>
                <w:rFonts w:ascii="Constantia" w:hAnsi="Constantia"/>
                <w:i/>
                <w:sz w:val="20"/>
                <w:szCs w:val="22"/>
              </w:rPr>
              <w:t xml:space="preserve"> </w:t>
            </w:r>
            <w:r w:rsidR="00FE3443" w:rsidRPr="00FE3443">
              <w:rPr>
                <w:rFonts w:ascii="Times New Roman" w:hAnsi="Times New Roman"/>
                <w:b/>
                <w:bCs/>
                <w:iCs/>
              </w:rPr>
              <w:t xml:space="preserve">I </w:t>
            </w:r>
            <w:r w:rsidR="00FE3443" w:rsidRPr="00FE3443">
              <w:rPr>
                <w:rFonts w:ascii="Times New Roman" w:hAnsi="Times New Roman"/>
                <w:b/>
                <w:bCs/>
                <w:iCs/>
              </w:rPr>
              <w:t>have</w:t>
            </w:r>
            <w:r w:rsidR="00FE3443" w:rsidRPr="00FE3443">
              <w:rPr>
                <w:rFonts w:ascii="Times New Roman" w:hAnsi="Times New Roman"/>
                <w:b/>
                <w:bCs/>
                <w:iCs/>
              </w:rPr>
              <w:t xml:space="preserve"> gained valuable insights into the importance of self-reflection, continuous learning, and personal growth in fostering professional and personal growth, as well as the necessity of possessing transferable skills</w:t>
            </w:r>
            <w:r w:rsidR="00FE3443" w:rsidRPr="00FE3443">
              <w:rPr>
                <w:rFonts w:ascii="Constantia" w:hAnsi="Constantia"/>
                <w:i/>
                <w:sz w:val="20"/>
                <w:szCs w:val="22"/>
              </w:rPr>
              <w:t>.</w:t>
            </w:r>
          </w:p>
        </w:tc>
        <w:tc>
          <w:tcPr>
            <w:tcW w:w="4536" w:type="dxa"/>
            <w:tcBorders>
              <w:top w:val="single" w:sz="4" w:space="0" w:color="auto"/>
              <w:left w:val="single" w:sz="4" w:space="0" w:color="auto"/>
              <w:bottom w:val="single" w:sz="4" w:space="0" w:color="auto"/>
              <w:right w:val="single" w:sz="4" w:space="0" w:color="auto"/>
            </w:tcBorders>
            <w:shd w:val="clear" w:color="auto" w:fill="D9D9D9"/>
          </w:tcPr>
          <w:p w14:paraId="1C2EA386" w14:textId="41D5606E" w:rsidR="0099230B" w:rsidRPr="0050681E" w:rsidRDefault="0050681E" w:rsidP="00F00DC3">
            <w:pPr>
              <w:pStyle w:val="Pa1"/>
              <w:spacing w:after="60"/>
              <w:rPr>
                <w:rFonts w:ascii="Times New Roman" w:hAnsi="Times New Roman"/>
                <w:b/>
                <w:bCs/>
                <w:iCs/>
              </w:rPr>
            </w:pPr>
            <w:r w:rsidRPr="0050681E">
              <w:rPr>
                <w:rFonts w:ascii="Times New Roman" w:hAnsi="Times New Roman"/>
                <w:b/>
                <w:bCs/>
                <w:iCs/>
              </w:rPr>
              <w:t>This session aims to enhance</w:t>
            </w:r>
            <w:r w:rsidRPr="0050681E">
              <w:rPr>
                <w:rFonts w:ascii="Times New Roman" w:hAnsi="Times New Roman"/>
                <w:b/>
                <w:bCs/>
                <w:iCs/>
              </w:rPr>
              <w:t xml:space="preserve"> my professional</w:t>
            </w:r>
            <w:r w:rsidRPr="0050681E">
              <w:rPr>
                <w:rFonts w:ascii="Times New Roman" w:hAnsi="Times New Roman"/>
                <w:b/>
                <w:bCs/>
                <w:iCs/>
              </w:rPr>
              <w:t xml:space="preserve"> efficacy and interpersonal skills by </w:t>
            </w:r>
            <w:r w:rsidRPr="0050681E">
              <w:rPr>
                <w:rFonts w:ascii="Times New Roman" w:hAnsi="Times New Roman"/>
                <w:b/>
                <w:bCs/>
                <w:iCs/>
              </w:rPr>
              <w:t>adapting</w:t>
            </w:r>
            <w:r w:rsidRPr="0050681E">
              <w:rPr>
                <w:rFonts w:ascii="Times New Roman" w:hAnsi="Times New Roman"/>
                <w:b/>
                <w:bCs/>
                <w:iCs/>
              </w:rPr>
              <w:t xml:space="preserve"> resumes and cover letters to each employer's </w:t>
            </w:r>
            <w:r w:rsidR="00B1759D" w:rsidRPr="0050681E">
              <w:rPr>
                <w:rFonts w:ascii="Times New Roman" w:hAnsi="Times New Roman"/>
                <w:b/>
                <w:bCs/>
                <w:iCs/>
              </w:rPr>
              <w:t>needs and</w:t>
            </w:r>
            <w:r w:rsidRPr="0050681E">
              <w:rPr>
                <w:rFonts w:ascii="Times New Roman" w:hAnsi="Times New Roman"/>
                <w:b/>
                <w:bCs/>
                <w:iCs/>
              </w:rPr>
              <w:t xml:space="preserve"> committing to lifelong study and self-improvement.</w:t>
            </w:r>
          </w:p>
        </w:tc>
      </w:tr>
      <w:tr w:rsidR="0099230B" w:rsidRPr="00553C72" w14:paraId="296814EC" w14:textId="77777777" w:rsidTr="005022D4">
        <w:tc>
          <w:tcPr>
            <w:tcW w:w="1560" w:type="dxa"/>
            <w:tcBorders>
              <w:top w:val="single" w:sz="4" w:space="0" w:color="auto"/>
              <w:left w:val="single" w:sz="4" w:space="0" w:color="auto"/>
              <w:bottom w:val="single" w:sz="4" w:space="0" w:color="auto"/>
              <w:right w:val="single" w:sz="4" w:space="0" w:color="auto"/>
            </w:tcBorders>
            <w:shd w:val="clear" w:color="auto" w:fill="D9D9D9"/>
          </w:tcPr>
          <w:p w14:paraId="0246D4B0" w14:textId="2F85F44D" w:rsidR="0099230B" w:rsidRPr="0050681E" w:rsidRDefault="00E92643" w:rsidP="00F00DC3">
            <w:pPr>
              <w:rPr>
                <w:rFonts w:ascii="Times New Roman" w:hAnsi="Times New Roman"/>
                <w:b/>
                <w:bCs/>
                <w:iCs/>
                <w:szCs w:val="24"/>
              </w:rPr>
            </w:pPr>
            <w:r w:rsidRPr="0050681E">
              <w:rPr>
                <w:rFonts w:ascii="Times New Roman" w:hAnsi="Times New Roman"/>
                <w:b/>
                <w:bCs/>
                <w:iCs/>
                <w:szCs w:val="24"/>
              </w:rPr>
              <w:t>Week</w:t>
            </w:r>
            <w:r w:rsidR="009A7156">
              <w:rPr>
                <w:rFonts w:ascii="Times New Roman" w:hAnsi="Times New Roman"/>
                <w:b/>
                <w:bCs/>
                <w:iCs/>
                <w:szCs w:val="24"/>
              </w:rPr>
              <w:t xml:space="preserve"> 2</w:t>
            </w:r>
            <w:r w:rsidRPr="0050681E">
              <w:rPr>
                <w:rFonts w:ascii="Times New Roman" w:hAnsi="Times New Roman"/>
                <w:b/>
                <w:bCs/>
                <w:iCs/>
                <w:szCs w:val="24"/>
              </w:rPr>
              <w:t xml:space="preserve"> </w:t>
            </w:r>
          </w:p>
        </w:tc>
        <w:tc>
          <w:tcPr>
            <w:tcW w:w="3119" w:type="dxa"/>
            <w:tcBorders>
              <w:top w:val="single" w:sz="4" w:space="0" w:color="auto"/>
              <w:left w:val="single" w:sz="4" w:space="0" w:color="auto"/>
              <w:bottom w:val="single" w:sz="4" w:space="0" w:color="auto"/>
              <w:right w:val="single" w:sz="4" w:space="0" w:color="auto"/>
            </w:tcBorders>
            <w:shd w:val="clear" w:color="auto" w:fill="D9D9D9"/>
          </w:tcPr>
          <w:p w14:paraId="725A0979" w14:textId="016268FF" w:rsidR="0099230B" w:rsidRPr="0050681E" w:rsidRDefault="0050681E" w:rsidP="0050681E">
            <w:pPr>
              <w:jc w:val="both"/>
              <w:rPr>
                <w:rFonts w:ascii="Times New Roman" w:hAnsi="Times New Roman"/>
                <w:b/>
                <w:bCs/>
                <w:iCs/>
                <w:szCs w:val="24"/>
              </w:rPr>
            </w:pPr>
            <w:r>
              <w:rPr>
                <w:rFonts w:ascii="Times New Roman" w:hAnsi="Times New Roman"/>
                <w:b/>
                <w:bCs/>
                <w:iCs/>
                <w:szCs w:val="24"/>
              </w:rPr>
              <w:t xml:space="preserve">I have </w:t>
            </w:r>
            <w:r w:rsidRPr="0050681E">
              <w:rPr>
                <w:rFonts w:ascii="Times New Roman" w:hAnsi="Times New Roman"/>
                <w:b/>
                <w:bCs/>
                <w:iCs/>
                <w:szCs w:val="24"/>
              </w:rPr>
              <w:t>highlighted</w:t>
            </w:r>
            <w:r w:rsidRPr="0050681E">
              <w:rPr>
                <w:rFonts w:ascii="Times New Roman" w:hAnsi="Times New Roman"/>
                <w:b/>
                <w:bCs/>
                <w:iCs/>
                <w:szCs w:val="24"/>
              </w:rPr>
              <w:t xml:space="preserve"> the significance of community involvement principles in the effectiveness of community-based practices, </w:t>
            </w:r>
            <w:r w:rsidRPr="0050681E">
              <w:rPr>
                <w:rFonts w:ascii="Times New Roman" w:hAnsi="Times New Roman"/>
                <w:b/>
                <w:bCs/>
                <w:iCs/>
                <w:szCs w:val="24"/>
              </w:rPr>
              <w:t>accenting</w:t>
            </w:r>
            <w:r w:rsidRPr="0050681E">
              <w:rPr>
                <w:rFonts w:ascii="Times New Roman" w:hAnsi="Times New Roman"/>
                <w:b/>
                <w:bCs/>
                <w:iCs/>
                <w:szCs w:val="24"/>
              </w:rPr>
              <w:t xml:space="preserve"> the benefits of involving communities and the importance of considering human needs in decision-making.</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032A673E" w14:textId="69D6D26E" w:rsidR="0099230B" w:rsidRPr="0050681E" w:rsidRDefault="0050681E" w:rsidP="0050681E">
            <w:pPr>
              <w:jc w:val="both"/>
              <w:rPr>
                <w:rFonts w:ascii="Times New Roman" w:hAnsi="Times New Roman"/>
                <w:b/>
                <w:bCs/>
                <w:iCs/>
                <w:szCs w:val="24"/>
              </w:rPr>
            </w:pPr>
            <w:r w:rsidRPr="0050681E">
              <w:rPr>
                <w:rFonts w:ascii="Times New Roman" w:hAnsi="Times New Roman"/>
                <w:b/>
                <w:bCs/>
                <w:iCs/>
                <w:szCs w:val="24"/>
              </w:rPr>
              <w:t>My aims</w:t>
            </w:r>
            <w:r w:rsidRPr="0050681E">
              <w:rPr>
                <w:rFonts w:ascii="Times New Roman" w:hAnsi="Times New Roman"/>
                <w:b/>
                <w:bCs/>
                <w:iCs/>
                <w:szCs w:val="24"/>
              </w:rPr>
              <w:t xml:space="preserve"> </w:t>
            </w:r>
            <w:r w:rsidRPr="0050681E">
              <w:rPr>
                <w:rFonts w:ascii="Times New Roman" w:hAnsi="Times New Roman"/>
                <w:b/>
                <w:bCs/>
                <w:iCs/>
                <w:szCs w:val="24"/>
              </w:rPr>
              <w:t>are</w:t>
            </w:r>
            <w:r w:rsidRPr="0050681E">
              <w:rPr>
                <w:rFonts w:ascii="Times New Roman" w:hAnsi="Times New Roman"/>
                <w:b/>
                <w:bCs/>
                <w:iCs/>
                <w:szCs w:val="24"/>
              </w:rPr>
              <w:t xml:space="preserve"> to understand the significance of community participation in companies and partnerships by raising awareness, involving people in decision-making, and encouraging active community involvement in their mission.</w:t>
            </w:r>
          </w:p>
        </w:tc>
        <w:tc>
          <w:tcPr>
            <w:tcW w:w="3657" w:type="dxa"/>
            <w:tcBorders>
              <w:top w:val="single" w:sz="4" w:space="0" w:color="auto"/>
              <w:left w:val="single" w:sz="4" w:space="0" w:color="auto"/>
              <w:bottom w:val="single" w:sz="4" w:space="0" w:color="auto"/>
              <w:right w:val="single" w:sz="4" w:space="0" w:color="auto"/>
            </w:tcBorders>
            <w:shd w:val="clear" w:color="auto" w:fill="D9D9D9"/>
          </w:tcPr>
          <w:p w14:paraId="0CC75885" w14:textId="2FB48B21" w:rsidR="0099230B" w:rsidRPr="0050681E" w:rsidRDefault="0050681E" w:rsidP="0050681E">
            <w:pPr>
              <w:pStyle w:val="Pa1"/>
              <w:spacing w:after="60"/>
              <w:jc w:val="both"/>
              <w:rPr>
                <w:rFonts w:ascii="Times New Roman" w:hAnsi="Times New Roman"/>
                <w:b/>
                <w:bCs/>
                <w:iCs/>
              </w:rPr>
            </w:pPr>
            <w:r w:rsidRPr="0050681E">
              <w:rPr>
                <w:rFonts w:ascii="Times New Roman" w:hAnsi="Times New Roman"/>
                <w:b/>
                <w:bCs/>
                <w:iCs/>
              </w:rPr>
              <w:t>The importance of actively engaging with the community and the many benefits it provides has been clear to me. It helps companies and their partners raise project visibility, include community needs into decision-making, and cultivate social capital. The significance of community engagement and common values to the effectiveness of community-based approaches was also very clear to me.</w:t>
            </w:r>
          </w:p>
        </w:tc>
        <w:tc>
          <w:tcPr>
            <w:tcW w:w="4536" w:type="dxa"/>
            <w:tcBorders>
              <w:top w:val="single" w:sz="4" w:space="0" w:color="auto"/>
              <w:left w:val="single" w:sz="4" w:space="0" w:color="auto"/>
              <w:bottom w:val="single" w:sz="4" w:space="0" w:color="auto"/>
              <w:right w:val="single" w:sz="4" w:space="0" w:color="auto"/>
            </w:tcBorders>
            <w:shd w:val="clear" w:color="auto" w:fill="D9D9D9"/>
          </w:tcPr>
          <w:p w14:paraId="569B9320" w14:textId="38CEC93A" w:rsidR="005022D4" w:rsidRPr="002C7644" w:rsidRDefault="002C7644" w:rsidP="002C7644">
            <w:pPr>
              <w:pStyle w:val="Pa1"/>
              <w:spacing w:after="60"/>
              <w:jc w:val="both"/>
              <w:rPr>
                <w:rFonts w:ascii="Times New Roman" w:hAnsi="Times New Roman"/>
                <w:b/>
                <w:bCs/>
              </w:rPr>
            </w:pPr>
            <w:r w:rsidRPr="002C7644">
              <w:rPr>
                <w:rFonts w:ascii="Times New Roman" w:hAnsi="Times New Roman"/>
                <w:b/>
                <w:bCs/>
              </w:rPr>
              <w:t xml:space="preserve">Using this information, I want to </w:t>
            </w:r>
            <w:r>
              <w:rPr>
                <w:rFonts w:ascii="Times New Roman" w:hAnsi="Times New Roman"/>
                <w:b/>
                <w:bCs/>
              </w:rPr>
              <w:t xml:space="preserve">mention </w:t>
            </w:r>
            <w:r w:rsidRPr="002C7644">
              <w:rPr>
                <w:rFonts w:ascii="Times New Roman" w:hAnsi="Times New Roman"/>
                <w:b/>
                <w:bCs/>
              </w:rPr>
              <w:t xml:space="preserve">the significance of community involvement in my future </w:t>
            </w:r>
            <w:r w:rsidRPr="002C7644">
              <w:rPr>
                <w:rFonts w:ascii="Times New Roman" w:hAnsi="Times New Roman"/>
                <w:b/>
                <w:bCs/>
              </w:rPr>
              <w:t>activities</w:t>
            </w:r>
            <w:r w:rsidRPr="002C7644">
              <w:rPr>
                <w:rFonts w:ascii="Times New Roman" w:hAnsi="Times New Roman"/>
                <w:b/>
                <w:bCs/>
              </w:rPr>
              <w:t>. I want to encourage people to actively participate in decision-making, prioritise community needs when making decisions, and build social capital by listening to and acting on their feedback. Improving community-based practises and creating meaningful connections will rely on this knowledge.</w:t>
            </w:r>
          </w:p>
        </w:tc>
      </w:tr>
      <w:tr w:rsidR="0099230B" w:rsidRPr="008E3E20" w14:paraId="0571BFC4" w14:textId="77777777" w:rsidTr="005022D4">
        <w:tc>
          <w:tcPr>
            <w:tcW w:w="1560" w:type="dxa"/>
            <w:tcBorders>
              <w:top w:val="single" w:sz="4" w:space="0" w:color="auto"/>
              <w:left w:val="single" w:sz="4" w:space="0" w:color="auto"/>
              <w:bottom w:val="single" w:sz="4" w:space="0" w:color="auto"/>
              <w:right w:val="single" w:sz="4" w:space="0" w:color="auto"/>
            </w:tcBorders>
          </w:tcPr>
          <w:p w14:paraId="603382F4" w14:textId="7D9D2016" w:rsidR="0099230B" w:rsidRPr="002C7644" w:rsidRDefault="005022D4" w:rsidP="00F00DC3">
            <w:pPr>
              <w:rPr>
                <w:rFonts w:ascii="Times New Roman" w:hAnsi="Times New Roman"/>
                <w:b/>
                <w:bCs/>
                <w:szCs w:val="24"/>
              </w:rPr>
            </w:pPr>
            <w:r w:rsidRPr="002C7644">
              <w:rPr>
                <w:rFonts w:ascii="Times New Roman" w:hAnsi="Times New Roman"/>
                <w:b/>
                <w:bCs/>
                <w:szCs w:val="24"/>
              </w:rPr>
              <w:t xml:space="preserve">Week </w:t>
            </w:r>
            <w:r w:rsidR="009A7156">
              <w:rPr>
                <w:rFonts w:ascii="Times New Roman" w:hAnsi="Times New Roman"/>
                <w:b/>
                <w:bCs/>
                <w:szCs w:val="24"/>
              </w:rPr>
              <w:t>3</w:t>
            </w:r>
            <w:r w:rsidRPr="002C7644">
              <w:rPr>
                <w:rFonts w:ascii="Times New Roman" w:hAnsi="Times New Roman"/>
                <w:b/>
                <w:bCs/>
                <w:szCs w:val="24"/>
              </w:rPr>
              <w:t xml:space="preserve"> </w:t>
            </w:r>
          </w:p>
          <w:p w14:paraId="3333B497" w14:textId="77777777" w:rsidR="0099230B" w:rsidRPr="008E3E20" w:rsidRDefault="0099230B" w:rsidP="00F00DC3">
            <w:pPr>
              <w:rPr>
                <w:rFonts w:ascii="Verdana" w:hAnsi="Verdana"/>
                <w:sz w:val="18"/>
                <w:szCs w:val="18"/>
              </w:rPr>
            </w:pPr>
          </w:p>
        </w:tc>
        <w:tc>
          <w:tcPr>
            <w:tcW w:w="3119" w:type="dxa"/>
            <w:tcBorders>
              <w:top w:val="single" w:sz="4" w:space="0" w:color="auto"/>
              <w:left w:val="single" w:sz="4" w:space="0" w:color="auto"/>
              <w:bottom w:val="single" w:sz="4" w:space="0" w:color="auto"/>
              <w:right w:val="single" w:sz="4" w:space="0" w:color="auto"/>
            </w:tcBorders>
          </w:tcPr>
          <w:p w14:paraId="61A3D88C" w14:textId="025935D6" w:rsidR="0099230B" w:rsidRPr="002C7644" w:rsidRDefault="002C7644" w:rsidP="002C7644">
            <w:pPr>
              <w:jc w:val="both"/>
              <w:rPr>
                <w:rFonts w:ascii="Times New Roman" w:hAnsi="Times New Roman"/>
                <w:b/>
                <w:bCs/>
                <w:szCs w:val="24"/>
              </w:rPr>
            </w:pPr>
            <w:r w:rsidRPr="002C7644">
              <w:rPr>
                <w:rFonts w:ascii="Times New Roman" w:hAnsi="Times New Roman"/>
                <w:b/>
                <w:bCs/>
                <w:szCs w:val="24"/>
              </w:rPr>
              <w:t xml:space="preserve">I learned how important it is to </w:t>
            </w:r>
            <w:r w:rsidRPr="002C7644">
              <w:rPr>
                <w:rFonts w:ascii="Times New Roman" w:hAnsi="Times New Roman"/>
                <w:b/>
                <w:bCs/>
                <w:szCs w:val="24"/>
              </w:rPr>
              <w:t>charily</w:t>
            </w:r>
            <w:r w:rsidRPr="002C7644">
              <w:rPr>
                <w:rFonts w:ascii="Times New Roman" w:hAnsi="Times New Roman"/>
                <w:b/>
                <w:bCs/>
                <w:szCs w:val="24"/>
              </w:rPr>
              <w:t xml:space="preserve"> plan and build community involvement programmes, including how to define their scope and make a list of all the activities that will be a part of them. Not only that, but I learned about the training and assistance that is essential during this phase, as well as the obstacles that might hinder good planning and design.</w:t>
            </w:r>
          </w:p>
        </w:tc>
        <w:tc>
          <w:tcPr>
            <w:tcW w:w="1984" w:type="dxa"/>
            <w:tcBorders>
              <w:top w:val="single" w:sz="4" w:space="0" w:color="auto"/>
              <w:left w:val="single" w:sz="4" w:space="0" w:color="auto"/>
              <w:bottom w:val="single" w:sz="4" w:space="0" w:color="auto"/>
              <w:right w:val="single" w:sz="4" w:space="0" w:color="auto"/>
            </w:tcBorders>
          </w:tcPr>
          <w:p w14:paraId="65B76EF0" w14:textId="28BDB813" w:rsidR="0099230B" w:rsidRPr="002C7644" w:rsidRDefault="002C7644" w:rsidP="002C7644">
            <w:pPr>
              <w:jc w:val="both"/>
              <w:rPr>
                <w:rFonts w:ascii="Times New Roman" w:hAnsi="Times New Roman"/>
                <w:b/>
                <w:bCs/>
                <w:szCs w:val="24"/>
              </w:rPr>
            </w:pPr>
            <w:r w:rsidRPr="002C7644">
              <w:rPr>
                <w:rFonts w:ascii="Times New Roman" w:hAnsi="Times New Roman"/>
                <w:b/>
                <w:bCs/>
                <w:szCs w:val="24"/>
              </w:rPr>
              <w:t xml:space="preserve">I </w:t>
            </w:r>
            <w:r w:rsidRPr="002C7644">
              <w:rPr>
                <w:rFonts w:ascii="Times New Roman" w:hAnsi="Times New Roman"/>
                <w:b/>
                <w:bCs/>
                <w:szCs w:val="24"/>
              </w:rPr>
              <w:t>fell</w:t>
            </w:r>
            <w:r w:rsidRPr="002C7644">
              <w:rPr>
                <w:rFonts w:ascii="Times New Roman" w:hAnsi="Times New Roman"/>
                <w:b/>
                <w:bCs/>
                <w:szCs w:val="24"/>
              </w:rPr>
              <w:t xml:space="preserve"> myself into this </w:t>
            </w:r>
            <w:r w:rsidRPr="002C7644">
              <w:rPr>
                <w:rFonts w:ascii="Times New Roman" w:hAnsi="Times New Roman"/>
                <w:b/>
                <w:bCs/>
                <w:szCs w:val="24"/>
              </w:rPr>
              <w:t>area</w:t>
            </w:r>
            <w:r w:rsidRPr="002C7644">
              <w:rPr>
                <w:rFonts w:ascii="Times New Roman" w:hAnsi="Times New Roman"/>
                <w:b/>
                <w:bCs/>
                <w:szCs w:val="24"/>
              </w:rPr>
              <w:t xml:space="preserve"> to learn everything I could about the function and significance of community participation and planning. Understanding its aims, procedures, and any obstacles was my primary </w:t>
            </w:r>
            <w:r w:rsidRPr="002C7644">
              <w:rPr>
                <w:rFonts w:ascii="Times New Roman" w:hAnsi="Times New Roman"/>
                <w:b/>
                <w:bCs/>
                <w:szCs w:val="24"/>
              </w:rPr>
              <w:t>goal</w:t>
            </w:r>
            <w:r w:rsidRPr="002C7644">
              <w:rPr>
                <w:rFonts w:ascii="Times New Roman" w:hAnsi="Times New Roman"/>
                <w:b/>
                <w:bCs/>
                <w:szCs w:val="24"/>
              </w:rPr>
              <w:t>. Furthermore, I was curious about the training and assistance that would be needed throughout this stage.</w:t>
            </w:r>
          </w:p>
        </w:tc>
        <w:tc>
          <w:tcPr>
            <w:tcW w:w="3657" w:type="dxa"/>
            <w:tcBorders>
              <w:top w:val="single" w:sz="4" w:space="0" w:color="auto"/>
              <w:left w:val="single" w:sz="4" w:space="0" w:color="auto"/>
              <w:bottom w:val="single" w:sz="4" w:space="0" w:color="auto"/>
              <w:right w:val="single" w:sz="4" w:space="0" w:color="auto"/>
            </w:tcBorders>
          </w:tcPr>
          <w:p w14:paraId="4927E599" w14:textId="1830E1A9" w:rsidR="0099230B" w:rsidRPr="002C7644" w:rsidRDefault="002C7644" w:rsidP="002C7644">
            <w:pPr>
              <w:jc w:val="both"/>
              <w:rPr>
                <w:rFonts w:ascii="Times New Roman" w:hAnsi="Times New Roman"/>
                <w:b/>
                <w:bCs/>
                <w:szCs w:val="24"/>
              </w:rPr>
            </w:pPr>
            <w:r w:rsidRPr="002C7644">
              <w:rPr>
                <w:rFonts w:ascii="Times New Roman" w:hAnsi="Times New Roman"/>
                <w:b/>
                <w:bCs/>
                <w:szCs w:val="24"/>
              </w:rPr>
              <w:t>To</w:t>
            </w:r>
            <w:r w:rsidRPr="002C7644">
              <w:rPr>
                <w:rFonts w:ascii="Times New Roman" w:hAnsi="Times New Roman"/>
                <w:b/>
                <w:bCs/>
                <w:szCs w:val="24"/>
              </w:rPr>
              <w:t xml:space="preserve"> promote balanced and fair information transmission, include the community in decision-making, and enable collaborative change-making, our investigation showed that community involvement </w:t>
            </w:r>
            <w:r w:rsidRPr="002C7644">
              <w:rPr>
                <w:rFonts w:ascii="Times New Roman" w:hAnsi="Times New Roman"/>
                <w:b/>
                <w:bCs/>
                <w:szCs w:val="24"/>
              </w:rPr>
              <w:t>must</w:t>
            </w:r>
            <w:r w:rsidRPr="002C7644">
              <w:rPr>
                <w:rFonts w:ascii="Times New Roman" w:hAnsi="Times New Roman"/>
                <w:b/>
                <w:bCs/>
                <w:szCs w:val="24"/>
              </w:rPr>
              <w:t xml:space="preserve"> be deliberately planned and developed. In addition, I learned about the need of offering proper training and assistance in this setting and the many difficulties linked to community participation.</w:t>
            </w:r>
          </w:p>
        </w:tc>
        <w:tc>
          <w:tcPr>
            <w:tcW w:w="4536" w:type="dxa"/>
            <w:tcBorders>
              <w:top w:val="single" w:sz="4" w:space="0" w:color="auto"/>
              <w:left w:val="single" w:sz="4" w:space="0" w:color="auto"/>
              <w:bottom w:val="single" w:sz="4" w:space="0" w:color="auto"/>
              <w:right w:val="single" w:sz="4" w:space="0" w:color="auto"/>
            </w:tcBorders>
          </w:tcPr>
          <w:p w14:paraId="1A9FF474" w14:textId="310D4D2C" w:rsidR="0099230B" w:rsidRPr="002C7644" w:rsidRDefault="002C7644" w:rsidP="002C7644">
            <w:pPr>
              <w:jc w:val="both"/>
              <w:rPr>
                <w:rFonts w:ascii="Times New Roman" w:hAnsi="Times New Roman"/>
                <w:b/>
                <w:bCs/>
                <w:szCs w:val="24"/>
              </w:rPr>
            </w:pPr>
            <w:r w:rsidRPr="002C7644">
              <w:rPr>
                <w:rFonts w:ascii="Times New Roman" w:hAnsi="Times New Roman"/>
                <w:b/>
                <w:bCs/>
                <w:szCs w:val="24"/>
              </w:rPr>
              <w:t xml:space="preserve">This understanding will </w:t>
            </w:r>
            <w:r w:rsidRPr="002C7644">
              <w:rPr>
                <w:rFonts w:ascii="Times New Roman" w:hAnsi="Times New Roman"/>
                <w:b/>
                <w:bCs/>
                <w:szCs w:val="24"/>
              </w:rPr>
              <w:t>structure</w:t>
            </w:r>
            <w:r w:rsidRPr="002C7644">
              <w:rPr>
                <w:rFonts w:ascii="Times New Roman" w:hAnsi="Times New Roman"/>
                <w:b/>
                <w:bCs/>
                <w:szCs w:val="24"/>
              </w:rPr>
              <w:t xml:space="preserve"> my approach to community participation. I intend to organize engagement activities that provide impartial and comprehensive information, promote active involvement from the community, and enable individuals to contribute to positive transformations. Additionally, I will stay cognizant of potential obstacles and pursue necessary training and support to effectively address them.</w:t>
            </w:r>
          </w:p>
        </w:tc>
      </w:tr>
      <w:tr w:rsidR="0089160B" w:rsidRPr="008E3E20" w14:paraId="54662AAD" w14:textId="77777777" w:rsidTr="005022D4">
        <w:tc>
          <w:tcPr>
            <w:tcW w:w="1560" w:type="dxa"/>
            <w:tcBorders>
              <w:top w:val="single" w:sz="4" w:space="0" w:color="auto"/>
              <w:left w:val="single" w:sz="4" w:space="0" w:color="auto"/>
              <w:bottom w:val="single" w:sz="4" w:space="0" w:color="auto"/>
              <w:right w:val="single" w:sz="4" w:space="0" w:color="auto"/>
            </w:tcBorders>
          </w:tcPr>
          <w:p w14:paraId="57CE98E6" w14:textId="676D3BFC" w:rsidR="0089160B" w:rsidRPr="002C7644" w:rsidRDefault="0089160B" w:rsidP="00F00DC3">
            <w:pPr>
              <w:rPr>
                <w:rFonts w:ascii="Times New Roman" w:hAnsi="Times New Roman"/>
                <w:b/>
                <w:bCs/>
                <w:szCs w:val="24"/>
              </w:rPr>
            </w:pPr>
            <w:r w:rsidRPr="002C7644">
              <w:rPr>
                <w:rFonts w:ascii="Times New Roman" w:hAnsi="Times New Roman"/>
                <w:b/>
                <w:bCs/>
                <w:szCs w:val="24"/>
              </w:rPr>
              <w:t xml:space="preserve">Week </w:t>
            </w:r>
            <w:r w:rsidR="009A7156">
              <w:rPr>
                <w:rFonts w:ascii="Times New Roman" w:hAnsi="Times New Roman"/>
                <w:b/>
                <w:bCs/>
                <w:szCs w:val="24"/>
              </w:rPr>
              <w:t>4</w:t>
            </w:r>
          </w:p>
        </w:tc>
        <w:tc>
          <w:tcPr>
            <w:tcW w:w="3119" w:type="dxa"/>
            <w:tcBorders>
              <w:top w:val="single" w:sz="4" w:space="0" w:color="auto"/>
              <w:left w:val="single" w:sz="4" w:space="0" w:color="auto"/>
              <w:bottom w:val="single" w:sz="4" w:space="0" w:color="auto"/>
              <w:right w:val="single" w:sz="4" w:space="0" w:color="auto"/>
            </w:tcBorders>
          </w:tcPr>
          <w:p w14:paraId="2BCCA172" w14:textId="53240867" w:rsidR="0089160B" w:rsidRPr="002C7644" w:rsidRDefault="002C7644" w:rsidP="002C7644">
            <w:pPr>
              <w:jc w:val="both"/>
              <w:rPr>
                <w:rFonts w:ascii="Times New Roman" w:hAnsi="Times New Roman"/>
                <w:b/>
                <w:bCs/>
                <w:szCs w:val="24"/>
              </w:rPr>
            </w:pPr>
            <w:r w:rsidRPr="002C7644">
              <w:rPr>
                <w:rFonts w:ascii="Times New Roman" w:hAnsi="Times New Roman"/>
                <w:b/>
                <w:bCs/>
                <w:szCs w:val="24"/>
              </w:rPr>
              <w:t xml:space="preserve">Part of my research into the </w:t>
            </w:r>
            <w:r w:rsidRPr="002C7644">
              <w:rPr>
                <w:rFonts w:ascii="Times New Roman" w:hAnsi="Times New Roman"/>
                <w:b/>
                <w:bCs/>
                <w:szCs w:val="24"/>
              </w:rPr>
              <w:t>descriptions</w:t>
            </w:r>
            <w:r w:rsidRPr="002C7644">
              <w:rPr>
                <w:rFonts w:ascii="Times New Roman" w:hAnsi="Times New Roman"/>
                <w:b/>
                <w:bCs/>
                <w:szCs w:val="24"/>
              </w:rPr>
              <w:t xml:space="preserve"> and requirements of community participation included familiarising myself with several standardised approaches. The significance of developing norms that encourage openness, justice, equality, and participation in one's community was another thing I picked up.</w:t>
            </w:r>
          </w:p>
        </w:tc>
        <w:tc>
          <w:tcPr>
            <w:tcW w:w="1984" w:type="dxa"/>
            <w:tcBorders>
              <w:top w:val="single" w:sz="4" w:space="0" w:color="auto"/>
              <w:left w:val="single" w:sz="4" w:space="0" w:color="auto"/>
              <w:bottom w:val="single" w:sz="4" w:space="0" w:color="auto"/>
              <w:right w:val="single" w:sz="4" w:space="0" w:color="auto"/>
            </w:tcBorders>
          </w:tcPr>
          <w:p w14:paraId="645A6FD9" w14:textId="098DE9F1" w:rsidR="0089160B" w:rsidRPr="002C7644" w:rsidRDefault="002C7644" w:rsidP="002C7644">
            <w:pPr>
              <w:jc w:val="both"/>
              <w:rPr>
                <w:rFonts w:ascii="Times New Roman" w:hAnsi="Times New Roman"/>
                <w:b/>
                <w:bCs/>
                <w:szCs w:val="24"/>
              </w:rPr>
            </w:pPr>
            <w:r w:rsidRPr="002C7644">
              <w:rPr>
                <w:rFonts w:ascii="Times New Roman" w:hAnsi="Times New Roman"/>
                <w:b/>
                <w:bCs/>
                <w:szCs w:val="24"/>
              </w:rPr>
              <w:t xml:space="preserve">I set out to understand the </w:t>
            </w:r>
            <w:r w:rsidRPr="002C7644">
              <w:rPr>
                <w:rFonts w:ascii="Times New Roman" w:hAnsi="Times New Roman"/>
                <w:b/>
                <w:bCs/>
                <w:szCs w:val="24"/>
              </w:rPr>
              <w:t>area</w:t>
            </w:r>
            <w:r w:rsidRPr="002C7644">
              <w:rPr>
                <w:rFonts w:ascii="Times New Roman" w:hAnsi="Times New Roman"/>
                <w:b/>
                <w:bCs/>
                <w:szCs w:val="24"/>
              </w:rPr>
              <w:t xml:space="preserve"> of community involvement by investigating its most </w:t>
            </w:r>
            <w:r w:rsidRPr="002C7644">
              <w:rPr>
                <w:rFonts w:ascii="Times New Roman" w:hAnsi="Times New Roman"/>
                <w:b/>
                <w:bCs/>
                <w:szCs w:val="24"/>
              </w:rPr>
              <w:t>relevant</w:t>
            </w:r>
            <w:r w:rsidRPr="002C7644">
              <w:rPr>
                <w:rFonts w:ascii="Times New Roman" w:hAnsi="Times New Roman"/>
                <w:b/>
                <w:bCs/>
                <w:szCs w:val="24"/>
              </w:rPr>
              <w:t xml:space="preserve"> features and accepted practises. Keeping engagement efforts consistent while learning to use various strategies was my focus. Equal and inclusive community engagement was another area I want to investigate in terms of policymaking.</w:t>
            </w:r>
          </w:p>
        </w:tc>
        <w:tc>
          <w:tcPr>
            <w:tcW w:w="3657" w:type="dxa"/>
            <w:tcBorders>
              <w:top w:val="single" w:sz="4" w:space="0" w:color="auto"/>
              <w:left w:val="single" w:sz="4" w:space="0" w:color="auto"/>
              <w:bottom w:val="single" w:sz="4" w:space="0" w:color="auto"/>
              <w:right w:val="single" w:sz="4" w:space="0" w:color="auto"/>
            </w:tcBorders>
          </w:tcPr>
          <w:p w14:paraId="7C81C513" w14:textId="56573850" w:rsidR="0089160B" w:rsidRPr="002C7644" w:rsidRDefault="002C7644" w:rsidP="002C7644">
            <w:pPr>
              <w:jc w:val="both"/>
              <w:rPr>
                <w:rFonts w:ascii="Times New Roman" w:hAnsi="Times New Roman"/>
                <w:b/>
                <w:bCs/>
                <w:szCs w:val="24"/>
              </w:rPr>
            </w:pPr>
            <w:r w:rsidRPr="002C7644">
              <w:rPr>
                <w:rFonts w:ascii="Times New Roman" w:hAnsi="Times New Roman"/>
                <w:b/>
                <w:bCs/>
                <w:szCs w:val="24"/>
              </w:rPr>
              <w:t xml:space="preserve">According to what I read, the standards for community involvement have a significant impact on how well it works. Based on my study, </w:t>
            </w:r>
            <w:r w:rsidRPr="002C7644">
              <w:rPr>
                <w:rFonts w:ascii="Times New Roman" w:hAnsi="Times New Roman"/>
                <w:b/>
                <w:bCs/>
                <w:szCs w:val="24"/>
              </w:rPr>
              <w:t>these</w:t>
            </w:r>
            <w:r w:rsidRPr="002C7644">
              <w:rPr>
                <w:rFonts w:ascii="Times New Roman" w:hAnsi="Times New Roman"/>
                <w:b/>
                <w:bCs/>
                <w:szCs w:val="24"/>
              </w:rPr>
              <w:t xml:space="preserve"> processes rely on policies that prioritise inclusion, justice, equality, and active engagement. To achieve meaningful and effective community interaction, it is necessary to grasp these traits and criteria.</w:t>
            </w:r>
          </w:p>
        </w:tc>
        <w:tc>
          <w:tcPr>
            <w:tcW w:w="4536" w:type="dxa"/>
            <w:tcBorders>
              <w:top w:val="single" w:sz="4" w:space="0" w:color="auto"/>
              <w:left w:val="single" w:sz="4" w:space="0" w:color="auto"/>
              <w:bottom w:val="single" w:sz="4" w:space="0" w:color="auto"/>
              <w:right w:val="single" w:sz="4" w:space="0" w:color="auto"/>
            </w:tcBorders>
          </w:tcPr>
          <w:p w14:paraId="197263AA" w14:textId="7BB0975C" w:rsidR="0089160B" w:rsidRPr="00B965AD" w:rsidRDefault="00B965AD" w:rsidP="00B965AD">
            <w:pPr>
              <w:jc w:val="both"/>
              <w:rPr>
                <w:rFonts w:ascii="Times New Roman" w:hAnsi="Times New Roman"/>
                <w:b/>
                <w:bCs/>
                <w:szCs w:val="24"/>
              </w:rPr>
            </w:pPr>
            <w:r w:rsidRPr="00B965AD">
              <w:rPr>
                <w:rFonts w:ascii="Times New Roman" w:hAnsi="Times New Roman"/>
                <w:b/>
                <w:bCs/>
                <w:szCs w:val="24"/>
              </w:rPr>
              <w:t xml:space="preserve">My strategy for </w:t>
            </w:r>
            <w:r w:rsidRPr="00B965AD">
              <w:rPr>
                <w:rFonts w:ascii="Times New Roman" w:hAnsi="Times New Roman"/>
                <w:b/>
                <w:bCs/>
                <w:szCs w:val="24"/>
              </w:rPr>
              <w:t>connecting</w:t>
            </w:r>
            <w:r w:rsidRPr="00B965AD">
              <w:rPr>
                <w:rFonts w:ascii="Times New Roman" w:hAnsi="Times New Roman"/>
                <w:b/>
                <w:bCs/>
                <w:szCs w:val="24"/>
              </w:rPr>
              <w:t xml:space="preserve"> with the community will be guided by this understanding. By consistently using a variety of tactics that promote inclusion, justice, equality, and participation, I want to achieve my goals. I want my community service to have a positive effect and be beneficial to everyone involved, therefore I'm going to use this strategy.</w:t>
            </w:r>
          </w:p>
        </w:tc>
      </w:tr>
      <w:tr w:rsidR="0089160B" w:rsidRPr="008E3E20" w14:paraId="26C26458" w14:textId="77777777" w:rsidTr="005022D4">
        <w:tc>
          <w:tcPr>
            <w:tcW w:w="1560" w:type="dxa"/>
            <w:tcBorders>
              <w:top w:val="single" w:sz="4" w:space="0" w:color="auto"/>
              <w:left w:val="single" w:sz="4" w:space="0" w:color="auto"/>
              <w:bottom w:val="single" w:sz="4" w:space="0" w:color="auto"/>
              <w:right w:val="single" w:sz="4" w:space="0" w:color="auto"/>
            </w:tcBorders>
          </w:tcPr>
          <w:p w14:paraId="4FB6FABD" w14:textId="6DB254F9" w:rsidR="0089160B" w:rsidRPr="00B965AD" w:rsidRDefault="0089160B" w:rsidP="00F00DC3">
            <w:pPr>
              <w:rPr>
                <w:rFonts w:ascii="Times New Roman" w:hAnsi="Times New Roman"/>
                <w:b/>
                <w:bCs/>
                <w:szCs w:val="24"/>
              </w:rPr>
            </w:pPr>
            <w:r w:rsidRPr="00B965AD">
              <w:rPr>
                <w:rFonts w:ascii="Times New Roman" w:hAnsi="Times New Roman"/>
                <w:b/>
                <w:bCs/>
                <w:szCs w:val="24"/>
              </w:rPr>
              <w:t xml:space="preserve">Week </w:t>
            </w:r>
            <w:r w:rsidR="009A7156">
              <w:rPr>
                <w:rFonts w:ascii="Times New Roman" w:hAnsi="Times New Roman"/>
                <w:b/>
                <w:bCs/>
                <w:szCs w:val="24"/>
              </w:rPr>
              <w:t>5</w:t>
            </w:r>
          </w:p>
        </w:tc>
        <w:tc>
          <w:tcPr>
            <w:tcW w:w="3119" w:type="dxa"/>
            <w:tcBorders>
              <w:top w:val="single" w:sz="4" w:space="0" w:color="auto"/>
              <w:left w:val="single" w:sz="4" w:space="0" w:color="auto"/>
              <w:bottom w:val="single" w:sz="4" w:space="0" w:color="auto"/>
              <w:right w:val="single" w:sz="4" w:space="0" w:color="auto"/>
            </w:tcBorders>
          </w:tcPr>
          <w:p w14:paraId="39BDFCB4" w14:textId="617FC336" w:rsidR="0089160B" w:rsidRPr="00B965AD" w:rsidRDefault="00B965AD" w:rsidP="00B965AD">
            <w:pPr>
              <w:jc w:val="both"/>
              <w:rPr>
                <w:rFonts w:ascii="Times New Roman" w:hAnsi="Times New Roman"/>
                <w:b/>
                <w:bCs/>
                <w:szCs w:val="24"/>
              </w:rPr>
            </w:pPr>
            <w:r w:rsidRPr="00B965AD">
              <w:rPr>
                <w:rFonts w:ascii="Times New Roman" w:hAnsi="Times New Roman"/>
                <w:b/>
                <w:bCs/>
                <w:szCs w:val="24"/>
              </w:rPr>
              <w:t xml:space="preserve">I learned about the </w:t>
            </w:r>
            <w:r w:rsidRPr="00B965AD">
              <w:rPr>
                <w:rFonts w:ascii="Times New Roman" w:hAnsi="Times New Roman"/>
                <w:b/>
                <w:bCs/>
                <w:szCs w:val="24"/>
              </w:rPr>
              <w:t>many ways</w:t>
            </w:r>
            <w:r w:rsidRPr="00B965AD">
              <w:rPr>
                <w:rFonts w:ascii="Times New Roman" w:hAnsi="Times New Roman"/>
                <w:b/>
                <w:bCs/>
                <w:szCs w:val="24"/>
              </w:rPr>
              <w:t xml:space="preserve"> and </w:t>
            </w:r>
            <w:r w:rsidRPr="00B965AD">
              <w:rPr>
                <w:rFonts w:ascii="Times New Roman" w:hAnsi="Times New Roman"/>
                <w:b/>
                <w:bCs/>
                <w:szCs w:val="24"/>
              </w:rPr>
              <w:t>settings</w:t>
            </w:r>
            <w:r w:rsidRPr="00B965AD">
              <w:rPr>
                <w:rFonts w:ascii="Times New Roman" w:hAnsi="Times New Roman"/>
                <w:b/>
                <w:bCs/>
                <w:szCs w:val="24"/>
              </w:rPr>
              <w:t xml:space="preserve"> that people may become involved in their communities. To do this, we had to figure out how well they worked, how much they cost, and how realistic they were. The significance of incorporating time management tactics into the deployment of these resources was also investigated.</w:t>
            </w:r>
          </w:p>
        </w:tc>
        <w:tc>
          <w:tcPr>
            <w:tcW w:w="1984" w:type="dxa"/>
            <w:tcBorders>
              <w:top w:val="single" w:sz="4" w:space="0" w:color="auto"/>
              <w:left w:val="single" w:sz="4" w:space="0" w:color="auto"/>
              <w:bottom w:val="single" w:sz="4" w:space="0" w:color="auto"/>
              <w:right w:val="single" w:sz="4" w:space="0" w:color="auto"/>
            </w:tcBorders>
          </w:tcPr>
          <w:p w14:paraId="48944947" w14:textId="12E48FC6" w:rsidR="0089160B" w:rsidRPr="005C7626" w:rsidRDefault="00B965AD" w:rsidP="00B965AD">
            <w:pPr>
              <w:jc w:val="both"/>
              <w:rPr>
                <w:rFonts w:ascii="Times New Roman" w:hAnsi="Times New Roman"/>
                <w:szCs w:val="24"/>
              </w:rPr>
            </w:pPr>
            <w:r w:rsidRPr="00B965AD">
              <w:rPr>
                <w:rFonts w:ascii="Times New Roman" w:hAnsi="Times New Roman"/>
                <w:b/>
                <w:bCs/>
                <w:szCs w:val="24"/>
              </w:rPr>
              <w:t xml:space="preserve">My study has </w:t>
            </w:r>
            <w:r w:rsidRPr="00B965AD">
              <w:rPr>
                <w:rFonts w:ascii="Times New Roman" w:hAnsi="Times New Roman"/>
                <w:b/>
                <w:bCs/>
                <w:szCs w:val="24"/>
              </w:rPr>
              <w:t>instructed</w:t>
            </w:r>
            <w:r w:rsidRPr="00B965AD">
              <w:rPr>
                <w:rFonts w:ascii="Times New Roman" w:hAnsi="Times New Roman"/>
                <w:b/>
                <w:bCs/>
                <w:szCs w:val="24"/>
              </w:rPr>
              <w:t xml:space="preserve"> me about </w:t>
            </w:r>
            <w:r w:rsidRPr="00B965AD">
              <w:rPr>
                <w:rFonts w:ascii="Times New Roman" w:hAnsi="Times New Roman"/>
                <w:b/>
                <w:bCs/>
                <w:szCs w:val="24"/>
              </w:rPr>
              <w:t>many kinds of</w:t>
            </w:r>
            <w:r w:rsidRPr="00B965AD">
              <w:rPr>
                <w:rFonts w:ascii="Times New Roman" w:hAnsi="Times New Roman"/>
                <w:b/>
                <w:bCs/>
                <w:szCs w:val="24"/>
              </w:rPr>
              <w:t xml:space="preserve"> community involvement platforms and tools. My main goal was to learn when and how to use various tactics effectively. My secondary objective in learning these technologies was to become</w:t>
            </w:r>
            <w:r w:rsidRPr="00B965AD">
              <w:rPr>
                <w:rFonts w:ascii="Times New Roman" w:hAnsi="Times New Roman"/>
                <w:szCs w:val="24"/>
              </w:rPr>
              <w:t xml:space="preserve"> </w:t>
            </w:r>
            <w:r w:rsidRPr="00B965AD">
              <w:rPr>
                <w:rFonts w:ascii="Times New Roman" w:hAnsi="Times New Roman"/>
                <w:b/>
                <w:bCs/>
                <w:szCs w:val="24"/>
              </w:rPr>
              <w:t>proficient in time management.</w:t>
            </w:r>
          </w:p>
        </w:tc>
        <w:tc>
          <w:tcPr>
            <w:tcW w:w="3657" w:type="dxa"/>
            <w:tcBorders>
              <w:top w:val="single" w:sz="4" w:space="0" w:color="auto"/>
              <w:left w:val="single" w:sz="4" w:space="0" w:color="auto"/>
              <w:bottom w:val="single" w:sz="4" w:space="0" w:color="auto"/>
              <w:right w:val="single" w:sz="4" w:space="0" w:color="auto"/>
            </w:tcBorders>
          </w:tcPr>
          <w:p w14:paraId="7BCBF1FF" w14:textId="379D2209" w:rsidR="0089160B" w:rsidRPr="00B965AD" w:rsidRDefault="00B965AD" w:rsidP="00F00DC3">
            <w:pPr>
              <w:rPr>
                <w:rFonts w:ascii="Times New Roman" w:hAnsi="Times New Roman"/>
                <w:b/>
                <w:bCs/>
                <w:szCs w:val="24"/>
              </w:rPr>
            </w:pPr>
            <w:r w:rsidRPr="00B965AD">
              <w:rPr>
                <w:rFonts w:ascii="Times New Roman" w:hAnsi="Times New Roman"/>
                <w:b/>
                <w:bCs/>
                <w:szCs w:val="24"/>
              </w:rPr>
              <w:t xml:space="preserve">While researching contemporary approaches to community participation, I came across the following: public events, social media, interviews, creative arts, and music; I also saw that these strategies are </w:t>
            </w:r>
            <w:r w:rsidRPr="00B965AD">
              <w:rPr>
                <w:rFonts w:ascii="Times New Roman" w:hAnsi="Times New Roman"/>
                <w:b/>
                <w:bCs/>
                <w:szCs w:val="24"/>
              </w:rPr>
              <w:t>cost-effective,</w:t>
            </w:r>
            <w:r w:rsidRPr="00B965AD">
              <w:rPr>
                <w:rFonts w:ascii="Times New Roman" w:hAnsi="Times New Roman"/>
                <w:b/>
                <w:bCs/>
                <w:szCs w:val="24"/>
              </w:rPr>
              <w:t xml:space="preserve"> and that time management is key.</w:t>
            </w:r>
          </w:p>
        </w:tc>
        <w:tc>
          <w:tcPr>
            <w:tcW w:w="4536" w:type="dxa"/>
            <w:tcBorders>
              <w:top w:val="single" w:sz="4" w:space="0" w:color="auto"/>
              <w:left w:val="single" w:sz="4" w:space="0" w:color="auto"/>
              <w:bottom w:val="single" w:sz="4" w:space="0" w:color="auto"/>
              <w:right w:val="single" w:sz="4" w:space="0" w:color="auto"/>
            </w:tcBorders>
          </w:tcPr>
          <w:p w14:paraId="5A0FAF3C" w14:textId="5E08DA16" w:rsidR="0089160B" w:rsidRPr="00B965AD" w:rsidRDefault="00B965AD" w:rsidP="00F00DC3">
            <w:pPr>
              <w:rPr>
                <w:rFonts w:ascii="Times New Roman" w:hAnsi="Times New Roman"/>
                <w:b/>
                <w:bCs/>
                <w:szCs w:val="24"/>
              </w:rPr>
            </w:pPr>
            <w:r w:rsidRPr="00B965AD">
              <w:rPr>
                <w:rFonts w:ascii="Times New Roman" w:hAnsi="Times New Roman"/>
                <w:b/>
                <w:bCs/>
                <w:szCs w:val="24"/>
              </w:rPr>
              <w:t>By meticulously picking the most practical, efficient, and cost-effective methods and platforms, I want to improve community involvement. The success and timeliness of these encounters depend on your ability to manage your time well.</w:t>
            </w:r>
          </w:p>
        </w:tc>
      </w:tr>
      <w:tr w:rsidR="001D29F8" w:rsidRPr="008E3E20" w14:paraId="2ED1D4B6" w14:textId="77777777" w:rsidTr="005022D4">
        <w:tc>
          <w:tcPr>
            <w:tcW w:w="1560" w:type="dxa"/>
            <w:tcBorders>
              <w:top w:val="single" w:sz="4" w:space="0" w:color="auto"/>
              <w:left w:val="single" w:sz="4" w:space="0" w:color="auto"/>
              <w:bottom w:val="single" w:sz="4" w:space="0" w:color="auto"/>
              <w:right w:val="single" w:sz="4" w:space="0" w:color="auto"/>
            </w:tcBorders>
          </w:tcPr>
          <w:p w14:paraId="1DAFAAED" w14:textId="0141900D" w:rsidR="001D29F8" w:rsidRPr="00B965AD" w:rsidRDefault="001D29F8" w:rsidP="00F00DC3">
            <w:pPr>
              <w:rPr>
                <w:rFonts w:ascii="Times New Roman" w:hAnsi="Times New Roman"/>
                <w:b/>
                <w:bCs/>
                <w:szCs w:val="24"/>
              </w:rPr>
            </w:pPr>
            <w:r w:rsidRPr="00B965AD">
              <w:rPr>
                <w:rFonts w:ascii="Times New Roman" w:hAnsi="Times New Roman"/>
                <w:b/>
                <w:bCs/>
                <w:szCs w:val="24"/>
              </w:rPr>
              <w:t xml:space="preserve">Week </w:t>
            </w:r>
            <w:r w:rsidR="009A7156">
              <w:rPr>
                <w:rFonts w:ascii="Times New Roman" w:hAnsi="Times New Roman"/>
                <w:b/>
                <w:bCs/>
                <w:szCs w:val="24"/>
              </w:rPr>
              <w:t>6</w:t>
            </w:r>
          </w:p>
        </w:tc>
        <w:tc>
          <w:tcPr>
            <w:tcW w:w="3119" w:type="dxa"/>
            <w:tcBorders>
              <w:top w:val="single" w:sz="4" w:space="0" w:color="auto"/>
              <w:left w:val="single" w:sz="4" w:space="0" w:color="auto"/>
              <w:bottom w:val="single" w:sz="4" w:space="0" w:color="auto"/>
              <w:right w:val="single" w:sz="4" w:space="0" w:color="auto"/>
            </w:tcBorders>
          </w:tcPr>
          <w:p w14:paraId="773D0AE1" w14:textId="0E9DB081" w:rsidR="001D29F8" w:rsidRPr="00B965AD" w:rsidRDefault="00B965AD" w:rsidP="00B965AD">
            <w:pPr>
              <w:jc w:val="both"/>
              <w:rPr>
                <w:rFonts w:ascii="Times New Roman" w:hAnsi="Times New Roman"/>
                <w:b/>
                <w:bCs/>
                <w:szCs w:val="24"/>
              </w:rPr>
            </w:pPr>
            <w:r w:rsidRPr="00B965AD">
              <w:rPr>
                <w:rFonts w:ascii="Times New Roman" w:hAnsi="Times New Roman"/>
                <w:b/>
                <w:bCs/>
                <w:szCs w:val="24"/>
              </w:rPr>
              <w:t xml:space="preserve">The primary emphasis of my study was to the comprehensive </w:t>
            </w:r>
            <w:r w:rsidRPr="00B965AD">
              <w:rPr>
                <w:rFonts w:ascii="Times New Roman" w:hAnsi="Times New Roman"/>
                <w:b/>
                <w:bCs/>
                <w:szCs w:val="24"/>
              </w:rPr>
              <w:t>conception</w:t>
            </w:r>
            <w:r w:rsidRPr="00B965AD">
              <w:rPr>
                <w:rFonts w:ascii="Times New Roman" w:hAnsi="Times New Roman"/>
                <w:b/>
                <w:bCs/>
                <w:szCs w:val="24"/>
              </w:rPr>
              <w:t xml:space="preserve"> of sustainable community participation, including its definition and inherent constraints. I conducted an examination of the merits associated with this </w:t>
            </w:r>
            <w:r w:rsidRPr="00B965AD">
              <w:rPr>
                <w:rFonts w:ascii="Times New Roman" w:hAnsi="Times New Roman"/>
                <w:b/>
                <w:bCs/>
                <w:szCs w:val="24"/>
              </w:rPr>
              <w:t>method</w:t>
            </w:r>
            <w:r w:rsidRPr="00B965AD">
              <w:rPr>
                <w:rFonts w:ascii="Times New Roman" w:hAnsi="Times New Roman"/>
                <w:b/>
                <w:bCs/>
                <w:szCs w:val="24"/>
              </w:rPr>
              <w:t xml:space="preserve"> and its potential impact on the promotion of sustainable development.</w:t>
            </w:r>
          </w:p>
        </w:tc>
        <w:tc>
          <w:tcPr>
            <w:tcW w:w="1984" w:type="dxa"/>
            <w:tcBorders>
              <w:top w:val="single" w:sz="4" w:space="0" w:color="auto"/>
              <w:left w:val="single" w:sz="4" w:space="0" w:color="auto"/>
              <w:bottom w:val="single" w:sz="4" w:space="0" w:color="auto"/>
              <w:right w:val="single" w:sz="4" w:space="0" w:color="auto"/>
            </w:tcBorders>
          </w:tcPr>
          <w:p w14:paraId="7BD75032" w14:textId="68DE3C59" w:rsidR="001D29F8" w:rsidRPr="00B965AD" w:rsidRDefault="00B965AD" w:rsidP="00B965AD">
            <w:pPr>
              <w:jc w:val="both"/>
              <w:rPr>
                <w:rFonts w:ascii="Times New Roman" w:hAnsi="Times New Roman"/>
                <w:b/>
                <w:bCs/>
                <w:szCs w:val="24"/>
              </w:rPr>
            </w:pPr>
            <w:r w:rsidRPr="00B965AD">
              <w:rPr>
                <w:rFonts w:ascii="Times New Roman" w:hAnsi="Times New Roman"/>
                <w:b/>
                <w:bCs/>
                <w:szCs w:val="24"/>
              </w:rPr>
              <w:t xml:space="preserve">I engaged in an exploration of sustainable community participation </w:t>
            </w:r>
            <w:r w:rsidRPr="00B965AD">
              <w:rPr>
                <w:rFonts w:ascii="Times New Roman" w:hAnsi="Times New Roman"/>
                <w:b/>
                <w:bCs/>
                <w:szCs w:val="24"/>
              </w:rPr>
              <w:t>to</w:t>
            </w:r>
            <w:r w:rsidRPr="00B965AD">
              <w:rPr>
                <w:rFonts w:ascii="Times New Roman" w:hAnsi="Times New Roman"/>
                <w:b/>
                <w:bCs/>
                <w:szCs w:val="24"/>
              </w:rPr>
              <w:t xml:space="preserve"> get a </w:t>
            </w:r>
            <w:r w:rsidRPr="00B965AD">
              <w:rPr>
                <w:rFonts w:ascii="Times New Roman" w:hAnsi="Times New Roman"/>
                <w:b/>
                <w:bCs/>
                <w:szCs w:val="24"/>
              </w:rPr>
              <w:t>thorough</w:t>
            </w:r>
            <w:r w:rsidRPr="00B965AD">
              <w:rPr>
                <w:rFonts w:ascii="Times New Roman" w:hAnsi="Times New Roman"/>
                <w:b/>
                <w:bCs/>
                <w:szCs w:val="24"/>
              </w:rPr>
              <w:t xml:space="preserve"> understanding of its fundamental concepts and associated benefits. The objective of this study was to get a comprehensive understanding of how this </w:t>
            </w:r>
            <w:r w:rsidRPr="00B965AD">
              <w:rPr>
                <w:rFonts w:ascii="Times New Roman" w:hAnsi="Times New Roman"/>
                <w:b/>
                <w:bCs/>
                <w:szCs w:val="24"/>
              </w:rPr>
              <w:t>strategy</w:t>
            </w:r>
            <w:r w:rsidRPr="00B965AD">
              <w:rPr>
                <w:rFonts w:ascii="Times New Roman" w:hAnsi="Times New Roman"/>
                <w:b/>
                <w:bCs/>
                <w:szCs w:val="24"/>
              </w:rPr>
              <w:t xml:space="preserve"> contributes to the promotion and advancement of sustainable development.</w:t>
            </w:r>
          </w:p>
        </w:tc>
        <w:tc>
          <w:tcPr>
            <w:tcW w:w="3657" w:type="dxa"/>
            <w:tcBorders>
              <w:top w:val="single" w:sz="4" w:space="0" w:color="auto"/>
              <w:left w:val="single" w:sz="4" w:space="0" w:color="auto"/>
              <w:bottom w:val="single" w:sz="4" w:space="0" w:color="auto"/>
              <w:right w:val="single" w:sz="4" w:space="0" w:color="auto"/>
            </w:tcBorders>
          </w:tcPr>
          <w:p w14:paraId="0E2C951D" w14:textId="7EECBA7D" w:rsidR="001D29F8" w:rsidRPr="00B965AD" w:rsidRDefault="00B965AD" w:rsidP="00B965AD">
            <w:pPr>
              <w:jc w:val="both"/>
              <w:rPr>
                <w:rFonts w:ascii="Times New Roman" w:hAnsi="Times New Roman"/>
                <w:b/>
                <w:bCs/>
                <w:szCs w:val="24"/>
              </w:rPr>
            </w:pPr>
            <w:r w:rsidRPr="00B965AD">
              <w:rPr>
                <w:rFonts w:ascii="Times New Roman" w:hAnsi="Times New Roman"/>
                <w:b/>
                <w:bCs/>
                <w:szCs w:val="24"/>
              </w:rPr>
              <w:t>Recognising interdependencies in sustainable community participation is crucial, according to the research, which stresses the need of global resource conservation (financial and human). It highlighted how crucial it is for communities to work together to protect their ecosystems and build resilient communities. The significance of strong interpersonal relationships, open lines of communication, and the formation of self-sufficient communal groups were among the most important things to remember.</w:t>
            </w:r>
          </w:p>
        </w:tc>
        <w:tc>
          <w:tcPr>
            <w:tcW w:w="4536" w:type="dxa"/>
            <w:tcBorders>
              <w:top w:val="single" w:sz="4" w:space="0" w:color="auto"/>
              <w:left w:val="single" w:sz="4" w:space="0" w:color="auto"/>
              <w:bottom w:val="single" w:sz="4" w:space="0" w:color="auto"/>
              <w:right w:val="single" w:sz="4" w:space="0" w:color="auto"/>
            </w:tcBorders>
          </w:tcPr>
          <w:p w14:paraId="5F613241" w14:textId="6F394C87" w:rsidR="001D29F8" w:rsidRPr="00D43F55" w:rsidRDefault="00D43F55" w:rsidP="00D43F55">
            <w:pPr>
              <w:jc w:val="both"/>
              <w:rPr>
                <w:rFonts w:ascii="Times New Roman" w:hAnsi="Times New Roman"/>
                <w:b/>
                <w:bCs/>
                <w:szCs w:val="24"/>
              </w:rPr>
            </w:pPr>
            <w:r w:rsidRPr="00D43F55">
              <w:rPr>
                <w:rFonts w:ascii="Times New Roman" w:hAnsi="Times New Roman"/>
                <w:b/>
                <w:bCs/>
                <w:szCs w:val="24"/>
              </w:rPr>
              <w:t>Now that I know what it takes to be a sustainable community member, I can't wait to become more involved in local projects. I want to put environmental preservation and community welfare at the forefront, having a firm grasp of its principles and advantages. To achieve sustainable development objectives via active and sustainable community engagement, my efforts will promote self-reliance, social connection, and communication.</w:t>
            </w:r>
          </w:p>
        </w:tc>
      </w:tr>
      <w:tr w:rsidR="001D29F8" w:rsidRPr="008E3E20" w14:paraId="3F74B708" w14:textId="77777777" w:rsidTr="005022D4">
        <w:tc>
          <w:tcPr>
            <w:tcW w:w="1560" w:type="dxa"/>
            <w:tcBorders>
              <w:top w:val="single" w:sz="4" w:space="0" w:color="auto"/>
              <w:left w:val="single" w:sz="4" w:space="0" w:color="auto"/>
              <w:bottom w:val="single" w:sz="4" w:space="0" w:color="auto"/>
              <w:right w:val="single" w:sz="4" w:space="0" w:color="auto"/>
            </w:tcBorders>
          </w:tcPr>
          <w:p w14:paraId="1A4D2499" w14:textId="72E1711F" w:rsidR="001D29F8" w:rsidRPr="00D43F55" w:rsidRDefault="001D29F8" w:rsidP="00F00DC3">
            <w:pPr>
              <w:rPr>
                <w:rFonts w:ascii="Times New Roman" w:hAnsi="Times New Roman"/>
                <w:b/>
                <w:bCs/>
                <w:szCs w:val="24"/>
              </w:rPr>
            </w:pPr>
            <w:r w:rsidRPr="00D43F55">
              <w:rPr>
                <w:rFonts w:ascii="Times New Roman" w:hAnsi="Times New Roman"/>
                <w:b/>
                <w:bCs/>
                <w:szCs w:val="24"/>
              </w:rPr>
              <w:t xml:space="preserve">Week </w:t>
            </w:r>
            <w:r w:rsidR="009A7156">
              <w:rPr>
                <w:rFonts w:ascii="Times New Roman" w:hAnsi="Times New Roman"/>
                <w:b/>
                <w:bCs/>
                <w:szCs w:val="24"/>
              </w:rPr>
              <w:t>7</w:t>
            </w:r>
            <w:r w:rsidRPr="00D43F55">
              <w:rPr>
                <w:rFonts w:ascii="Times New Roman" w:hAnsi="Times New Roman"/>
                <w:b/>
                <w:bCs/>
                <w:szCs w:val="24"/>
              </w:rPr>
              <w:t xml:space="preserve"> </w:t>
            </w:r>
          </w:p>
        </w:tc>
        <w:tc>
          <w:tcPr>
            <w:tcW w:w="3119" w:type="dxa"/>
            <w:tcBorders>
              <w:top w:val="single" w:sz="4" w:space="0" w:color="auto"/>
              <w:left w:val="single" w:sz="4" w:space="0" w:color="auto"/>
              <w:bottom w:val="single" w:sz="4" w:space="0" w:color="auto"/>
              <w:right w:val="single" w:sz="4" w:space="0" w:color="auto"/>
            </w:tcBorders>
          </w:tcPr>
          <w:p w14:paraId="1C81B270" w14:textId="6344BB16" w:rsidR="001D29F8" w:rsidRPr="00D43F55" w:rsidRDefault="00D43F55" w:rsidP="00D43F55">
            <w:pPr>
              <w:jc w:val="both"/>
              <w:rPr>
                <w:rFonts w:ascii="Times New Roman" w:hAnsi="Times New Roman"/>
                <w:b/>
                <w:bCs/>
                <w:szCs w:val="24"/>
              </w:rPr>
            </w:pPr>
            <w:r w:rsidRPr="00D43F55">
              <w:rPr>
                <w:rFonts w:ascii="Times New Roman" w:hAnsi="Times New Roman"/>
                <w:b/>
                <w:bCs/>
                <w:szCs w:val="24"/>
              </w:rPr>
              <w:t xml:space="preserve">The significance of community-driven change and the methodologies employed to evaluate its effects were the primary foci of my research. To further assess the social effect, I </w:t>
            </w:r>
            <w:r w:rsidRPr="00D43F55">
              <w:rPr>
                <w:rFonts w:ascii="Times New Roman" w:hAnsi="Times New Roman"/>
                <w:b/>
                <w:bCs/>
                <w:szCs w:val="24"/>
              </w:rPr>
              <w:t>investigated</w:t>
            </w:r>
            <w:r w:rsidRPr="00D43F55">
              <w:rPr>
                <w:rFonts w:ascii="Times New Roman" w:hAnsi="Times New Roman"/>
                <w:b/>
                <w:bCs/>
                <w:szCs w:val="24"/>
              </w:rPr>
              <w:t xml:space="preserve"> assessment methods that relied on community involvement.</w:t>
            </w:r>
          </w:p>
        </w:tc>
        <w:tc>
          <w:tcPr>
            <w:tcW w:w="1984" w:type="dxa"/>
            <w:tcBorders>
              <w:top w:val="single" w:sz="4" w:space="0" w:color="auto"/>
              <w:left w:val="single" w:sz="4" w:space="0" w:color="auto"/>
              <w:bottom w:val="single" w:sz="4" w:space="0" w:color="auto"/>
              <w:right w:val="single" w:sz="4" w:space="0" w:color="auto"/>
            </w:tcBorders>
          </w:tcPr>
          <w:p w14:paraId="36A736A6" w14:textId="1E89C403" w:rsidR="001D29F8" w:rsidRPr="00D43F55" w:rsidRDefault="00D43F55" w:rsidP="00D43F55">
            <w:pPr>
              <w:jc w:val="both"/>
              <w:rPr>
                <w:rFonts w:ascii="Times New Roman" w:hAnsi="Times New Roman"/>
                <w:b/>
                <w:bCs/>
                <w:szCs w:val="24"/>
              </w:rPr>
            </w:pPr>
            <w:r w:rsidRPr="00D43F55">
              <w:rPr>
                <w:rFonts w:ascii="Times New Roman" w:hAnsi="Times New Roman"/>
                <w:b/>
                <w:bCs/>
                <w:szCs w:val="24"/>
              </w:rPr>
              <w:t xml:space="preserve">As I progressed through my coursework, I came to see the significance of community involvement in fostering change. </w:t>
            </w:r>
            <w:r w:rsidRPr="00D43F55">
              <w:rPr>
                <w:rFonts w:ascii="Times New Roman" w:hAnsi="Times New Roman"/>
                <w:b/>
                <w:bCs/>
                <w:szCs w:val="24"/>
              </w:rPr>
              <w:t>To</w:t>
            </w:r>
            <w:r w:rsidRPr="00D43F55">
              <w:rPr>
                <w:rFonts w:ascii="Times New Roman" w:hAnsi="Times New Roman"/>
                <w:b/>
                <w:bCs/>
                <w:szCs w:val="24"/>
              </w:rPr>
              <w:t xml:space="preserve"> better plan and carry out community engagement activities, I wanted to get insight into how to assess this kind of involvement and measure its social effect.</w:t>
            </w:r>
          </w:p>
        </w:tc>
        <w:tc>
          <w:tcPr>
            <w:tcW w:w="3657" w:type="dxa"/>
            <w:tcBorders>
              <w:top w:val="single" w:sz="4" w:space="0" w:color="auto"/>
              <w:left w:val="single" w:sz="4" w:space="0" w:color="auto"/>
              <w:bottom w:val="single" w:sz="4" w:space="0" w:color="auto"/>
              <w:right w:val="single" w:sz="4" w:space="0" w:color="auto"/>
            </w:tcBorders>
          </w:tcPr>
          <w:p w14:paraId="47E84E7A" w14:textId="77F18E29" w:rsidR="001D29F8" w:rsidRPr="00D43F55" w:rsidRDefault="00D43F55" w:rsidP="00D43F55">
            <w:pPr>
              <w:jc w:val="both"/>
              <w:rPr>
                <w:rFonts w:ascii="Times New Roman" w:hAnsi="Times New Roman"/>
                <w:b/>
                <w:bCs/>
                <w:szCs w:val="24"/>
              </w:rPr>
            </w:pPr>
            <w:r w:rsidRPr="00D43F55">
              <w:rPr>
                <w:rFonts w:ascii="Times New Roman" w:hAnsi="Times New Roman"/>
                <w:b/>
                <w:bCs/>
                <w:szCs w:val="24"/>
              </w:rPr>
              <w:t xml:space="preserve">The content demonstrated how community service may improve social dynamics and lead to more prosperity, stronger connections, and overall societal health. </w:t>
            </w:r>
            <w:r w:rsidRPr="00D43F55">
              <w:rPr>
                <w:rFonts w:ascii="Times New Roman" w:hAnsi="Times New Roman"/>
                <w:b/>
                <w:bCs/>
                <w:szCs w:val="24"/>
              </w:rPr>
              <w:t>Officials'</w:t>
            </w:r>
            <w:r w:rsidRPr="00D43F55">
              <w:rPr>
                <w:rFonts w:ascii="Times New Roman" w:hAnsi="Times New Roman"/>
                <w:b/>
                <w:bCs/>
                <w:szCs w:val="24"/>
              </w:rPr>
              <w:t xml:space="preserve"> use of community engagement to </w:t>
            </w:r>
            <w:r w:rsidRPr="00D43F55">
              <w:rPr>
                <w:rFonts w:ascii="Times New Roman" w:hAnsi="Times New Roman"/>
                <w:b/>
                <w:bCs/>
                <w:szCs w:val="24"/>
              </w:rPr>
              <w:t>hold</w:t>
            </w:r>
            <w:r w:rsidRPr="00D43F55">
              <w:rPr>
                <w:rFonts w:ascii="Times New Roman" w:hAnsi="Times New Roman"/>
                <w:b/>
                <w:bCs/>
                <w:szCs w:val="24"/>
              </w:rPr>
              <w:t xml:space="preserve"> diverse socioeconomic issues, each with its own distinct effect, was also shown. As a result of community involvement, we were able to close gaps and strengthen linkages between previously isolated areas.</w:t>
            </w:r>
          </w:p>
        </w:tc>
        <w:tc>
          <w:tcPr>
            <w:tcW w:w="4536" w:type="dxa"/>
            <w:tcBorders>
              <w:top w:val="single" w:sz="4" w:space="0" w:color="auto"/>
              <w:left w:val="single" w:sz="4" w:space="0" w:color="auto"/>
              <w:bottom w:val="single" w:sz="4" w:space="0" w:color="auto"/>
              <w:right w:val="single" w:sz="4" w:space="0" w:color="auto"/>
            </w:tcBorders>
          </w:tcPr>
          <w:p w14:paraId="361785CC" w14:textId="67DDEAC5" w:rsidR="001D29F8" w:rsidRPr="00D43F55" w:rsidRDefault="00D43F55" w:rsidP="00D43F55">
            <w:pPr>
              <w:jc w:val="both"/>
              <w:rPr>
                <w:rFonts w:ascii="Times New Roman" w:hAnsi="Times New Roman"/>
                <w:b/>
                <w:bCs/>
                <w:szCs w:val="24"/>
              </w:rPr>
            </w:pPr>
            <w:r w:rsidRPr="00D43F55">
              <w:rPr>
                <w:rFonts w:ascii="Times New Roman" w:hAnsi="Times New Roman"/>
                <w:b/>
                <w:bCs/>
                <w:szCs w:val="24"/>
              </w:rPr>
              <w:t xml:space="preserve">I want to use this knowledge to </w:t>
            </w:r>
            <w:r>
              <w:rPr>
                <w:rFonts w:ascii="Times New Roman" w:hAnsi="Times New Roman"/>
                <w:b/>
                <w:bCs/>
                <w:szCs w:val="24"/>
              </w:rPr>
              <w:t>show</w:t>
            </w:r>
            <w:r w:rsidRPr="00D43F55">
              <w:rPr>
                <w:rFonts w:ascii="Times New Roman" w:hAnsi="Times New Roman"/>
                <w:b/>
                <w:bCs/>
                <w:szCs w:val="24"/>
              </w:rPr>
              <w:t xml:space="preserve"> the need of community involvement in bringing about constructive change. The results of community involvement initiatives will be evaluated by me using the specified evaluation tools. To better understand the results and efficacy of community engagement programmes, I want to analyse social effects. With this information in hand, I can design and implement community involvement projects with confidence, knowing that they will lead to tangible results.</w:t>
            </w:r>
          </w:p>
        </w:tc>
      </w:tr>
      <w:tr w:rsidR="00642145" w:rsidRPr="008E3E20" w14:paraId="3A3F11B5" w14:textId="77777777" w:rsidTr="005022D4">
        <w:tc>
          <w:tcPr>
            <w:tcW w:w="1560" w:type="dxa"/>
            <w:tcBorders>
              <w:top w:val="single" w:sz="4" w:space="0" w:color="auto"/>
              <w:left w:val="single" w:sz="4" w:space="0" w:color="auto"/>
              <w:bottom w:val="single" w:sz="4" w:space="0" w:color="auto"/>
              <w:right w:val="single" w:sz="4" w:space="0" w:color="auto"/>
            </w:tcBorders>
          </w:tcPr>
          <w:p w14:paraId="36318776" w14:textId="4426D514" w:rsidR="00642145" w:rsidRPr="00D43F55" w:rsidRDefault="00642145" w:rsidP="00F00DC3">
            <w:pPr>
              <w:rPr>
                <w:rFonts w:ascii="Times New Roman" w:hAnsi="Times New Roman"/>
                <w:b/>
                <w:bCs/>
                <w:szCs w:val="24"/>
              </w:rPr>
            </w:pPr>
            <w:r w:rsidRPr="00D43F55">
              <w:rPr>
                <w:rFonts w:ascii="Times New Roman" w:hAnsi="Times New Roman"/>
                <w:b/>
                <w:bCs/>
                <w:szCs w:val="24"/>
              </w:rPr>
              <w:t xml:space="preserve">Week </w:t>
            </w:r>
            <w:r w:rsidR="009A7156">
              <w:rPr>
                <w:rFonts w:ascii="Times New Roman" w:hAnsi="Times New Roman"/>
                <w:b/>
                <w:bCs/>
                <w:szCs w:val="24"/>
              </w:rPr>
              <w:t>8</w:t>
            </w:r>
            <w:r w:rsidRPr="00D43F55">
              <w:rPr>
                <w:rFonts w:ascii="Times New Roman" w:hAnsi="Times New Roman"/>
                <w:b/>
                <w:bCs/>
                <w:szCs w:val="24"/>
              </w:rPr>
              <w:t xml:space="preserve"> </w:t>
            </w:r>
          </w:p>
        </w:tc>
        <w:tc>
          <w:tcPr>
            <w:tcW w:w="3119" w:type="dxa"/>
            <w:tcBorders>
              <w:top w:val="single" w:sz="4" w:space="0" w:color="auto"/>
              <w:left w:val="single" w:sz="4" w:space="0" w:color="auto"/>
              <w:bottom w:val="single" w:sz="4" w:space="0" w:color="auto"/>
              <w:right w:val="single" w:sz="4" w:space="0" w:color="auto"/>
            </w:tcBorders>
          </w:tcPr>
          <w:p w14:paraId="252690B6" w14:textId="59F92984" w:rsidR="00642145" w:rsidRPr="00D43F55" w:rsidRDefault="00D43F55" w:rsidP="00D43F55">
            <w:pPr>
              <w:jc w:val="both"/>
              <w:rPr>
                <w:rFonts w:ascii="Times New Roman" w:hAnsi="Times New Roman"/>
                <w:b/>
                <w:bCs/>
                <w:szCs w:val="24"/>
              </w:rPr>
            </w:pPr>
            <w:r w:rsidRPr="00D43F55">
              <w:rPr>
                <w:rFonts w:ascii="Times New Roman" w:hAnsi="Times New Roman"/>
                <w:b/>
                <w:bCs/>
                <w:szCs w:val="24"/>
              </w:rPr>
              <w:t xml:space="preserve">The importance and many </w:t>
            </w:r>
            <w:r w:rsidRPr="00D43F55">
              <w:rPr>
                <w:rFonts w:ascii="Times New Roman" w:hAnsi="Times New Roman"/>
                <w:b/>
                <w:bCs/>
                <w:szCs w:val="24"/>
              </w:rPr>
              <w:t>sides</w:t>
            </w:r>
            <w:r w:rsidRPr="00D43F55">
              <w:rPr>
                <w:rFonts w:ascii="Times New Roman" w:hAnsi="Times New Roman"/>
                <w:b/>
                <w:bCs/>
                <w:szCs w:val="24"/>
              </w:rPr>
              <w:t xml:space="preserve"> of student reflection were the primary </w:t>
            </w:r>
            <w:r w:rsidRPr="00D43F55">
              <w:rPr>
                <w:rFonts w:ascii="Times New Roman" w:hAnsi="Times New Roman"/>
                <w:b/>
                <w:bCs/>
                <w:szCs w:val="24"/>
              </w:rPr>
              <w:t>centres</w:t>
            </w:r>
            <w:r w:rsidRPr="00D43F55">
              <w:rPr>
                <w:rFonts w:ascii="Times New Roman" w:hAnsi="Times New Roman"/>
                <w:b/>
                <w:bCs/>
                <w:szCs w:val="24"/>
              </w:rPr>
              <w:t xml:space="preserve"> of my research. I also looked at ways to get people to think deeply by having them examine both </w:t>
            </w:r>
            <w:r w:rsidRPr="00D43F55">
              <w:rPr>
                <w:rFonts w:ascii="Times New Roman" w:hAnsi="Times New Roman"/>
                <w:b/>
                <w:bCs/>
                <w:szCs w:val="24"/>
              </w:rPr>
              <w:t>ordinary</w:t>
            </w:r>
            <w:r w:rsidRPr="00D43F55">
              <w:rPr>
                <w:rFonts w:ascii="Times New Roman" w:hAnsi="Times New Roman"/>
                <w:b/>
                <w:bCs/>
                <w:szCs w:val="24"/>
              </w:rPr>
              <w:t xml:space="preserve"> and momentous events.</w:t>
            </w:r>
          </w:p>
        </w:tc>
        <w:tc>
          <w:tcPr>
            <w:tcW w:w="1984" w:type="dxa"/>
            <w:tcBorders>
              <w:top w:val="single" w:sz="4" w:space="0" w:color="auto"/>
              <w:left w:val="single" w:sz="4" w:space="0" w:color="auto"/>
              <w:bottom w:val="single" w:sz="4" w:space="0" w:color="auto"/>
              <w:right w:val="single" w:sz="4" w:space="0" w:color="auto"/>
            </w:tcBorders>
          </w:tcPr>
          <w:p w14:paraId="538A5D99" w14:textId="77D4D2B1" w:rsidR="00642145" w:rsidRPr="00D43F55" w:rsidRDefault="00D43F55" w:rsidP="00D43F55">
            <w:pPr>
              <w:jc w:val="both"/>
              <w:rPr>
                <w:rFonts w:ascii="Times New Roman" w:hAnsi="Times New Roman"/>
                <w:b/>
                <w:bCs/>
                <w:szCs w:val="24"/>
              </w:rPr>
            </w:pPr>
            <w:r w:rsidRPr="00D43F55">
              <w:rPr>
                <w:rFonts w:ascii="Times New Roman" w:hAnsi="Times New Roman"/>
                <w:b/>
                <w:bCs/>
                <w:szCs w:val="24"/>
              </w:rPr>
              <w:t>To</w:t>
            </w:r>
            <w:r w:rsidRPr="00D43F55">
              <w:rPr>
                <w:rFonts w:ascii="Times New Roman" w:hAnsi="Times New Roman"/>
                <w:b/>
                <w:bCs/>
                <w:szCs w:val="24"/>
              </w:rPr>
              <w:t xml:space="preserve"> understand the benefits of reflection on learning, I dove into this subject. I set out to explore how reflection helps students comprehend concepts, pinpoint their own areas of weakness, absorb new knowledge, and develop as individuals.</w:t>
            </w:r>
          </w:p>
        </w:tc>
        <w:tc>
          <w:tcPr>
            <w:tcW w:w="3657" w:type="dxa"/>
            <w:tcBorders>
              <w:top w:val="single" w:sz="4" w:space="0" w:color="auto"/>
              <w:left w:val="single" w:sz="4" w:space="0" w:color="auto"/>
              <w:bottom w:val="single" w:sz="4" w:space="0" w:color="auto"/>
              <w:right w:val="single" w:sz="4" w:space="0" w:color="auto"/>
            </w:tcBorders>
          </w:tcPr>
          <w:p w14:paraId="7E359B5B" w14:textId="140261A9" w:rsidR="00642145" w:rsidRPr="00D43F55" w:rsidRDefault="00D43F55" w:rsidP="00D43F55">
            <w:pPr>
              <w:jc w:val="both"/>
              <w:rPr>
                <w:rFonts w:ascii="Times New Roman" w:hAnsi="Times New Roman"/>
                <w:b/>
                <w:bCs/>
                <w:szCs w:val="24"/>
              </w:rPr>
            </w:pPr>
            <w:r w:rsidRPr="00D43F55">
              <w:rPr>
                <w:rFonts w:ascii="Times New Roman" w:hAnsi="Times New Roman"/>
                <w:b/>
                <w:bCs/>
                <w:szCs w:val="24"/>
              </w:rPr>
              <w:t xml:space="preserve">I learned from the material that students may benefit much from engaging in self-reflection. Making educated judgements about one's education is made possible when one </w:t>
            </w:r>
            <w:r w:rsidRPr="00D43F55">
              <w:rPr>
                <w:rFonts w:ascii="Times New Roman" w:hAnsi="Times New Roman"/>
                <w:b/>
                <w:bCs/>
                <w:szCs w:val="24"/>
              </w:rPr>
              <w:t>can</w:t>
            </w:r>
            <w:r w:rsidRPr="00D43F55">
              <w:rPr>
                <w:rFonts w:ascii="Times New Roman" w:hAnsi="Times New Roman"/>
                <w:b/>
                <w:bCs/>
                <w:szCs w:val="24"/>
              </w:rPr>
              <w:t xml:space="preserve"> assess one's own knowledge, identify areas of weakness, relate new material to one's own experiences, and so on. In addition, the many approaches mentioned may successfully promote introspection.</w:t>
            </w:r>
          </w:p>
        </w:tc>
        <w:tc>
          <w:tcPr>
            <w:tcW w:w="4536" w:type="dxa"/>
            <w:tcBorders>
              <w:top w:val="single" w:sz="4" w:space="0" w:color="auto"/>
              <w:left w:val="single" w:sz="4" w:space="0" w:color="auto"/>
              <w:bottom w:val="single" w:sz="4" w:space="0" w:color="auto"/>
              <w:right w:val="single" w:sz="4" w:space="0" w:color="auto"/>
            </w:tcBorders>
          </w:tcPr>
          <w:p w14:paraId="6995FE06" w14:textId="1794FEE4" w:rsidR="00642145" w:rsidRPr="003B4EB9" w:rsidRDefault="009A7156" w:rsidP="009A7156">
            <w:pPr>
              <w:jc w:val="both"/>
              <w:rPr>
                <w:rFonts w:ascii="Times New Roman" w:hAnsi="Times New Roman"/>
                <w:szCs w:val="24"/>
              </w:rPr>
            </w:pPr>
            <w:r w:rsidRPr="009A7156">
              <w:rPr>
                <w:rFonts w:ascii="Times New Roman" w:hAnsi="Times New Roman"/>
                <w:b/>
                <w:bCs/>
                <w:szCs w:val="24"/>
              </w:rPr>
              <w:t xml:space="preserve">I wish to actively ponder on this material to learn better. I can learn more in many areas by examining what I know, determining what I need to learn, and connecting what I read to my own experiences. I also wish to employ the tactics outlined to stimulate deep and significant thinking, such examining </w:t>
            </w:r>
            <w:r w:rsidRPr="009A7156">
              <w:rPr>
                <w:rFonts w:ascii="Times New Roman" w:hAnsi="Times New Roman"/>
                <w:b/>
                <w:bCs/>
                <w:szCs w:val="24"/>
              </w:rPr>
              <w:t>every day</w:t>
            </w:r>
            <w:r w:rsidRPr="009A7156">
              <w:rPr>
                <w:rFonts w:ascii="Times New Roman" w:hAnsi="Times New Roman"/>
                <w:b/>
                <w:bCs/>
                <w:szCs w:val="24"/>
              </w:rPr>
              <w:t xml:space="preserve"> and important events. Overall, I think this information will help me learn and grow</w:t>
            </w:r>
            <w:r w:rsidRPr="009A7156">
              <w:rPr>
                <w:rFonts w:ascii="Times New Roman" w:hAnsi="Times New Roman"/>
                <w:szCs w:val="24"/>
              </w:rPr>
              <w:t>.</w:t>
            </w:r>
          </w:p>
        </w:tc>
      </w:tr>
      <w:tr w:rsidR="00642145" w:rsidRPr="008E3E20" w14:paraId="489E30C8" w14:textId="77777777" w:rsidTr="005022D4">
        <w:tc>
          <w:tcPr>
            <w:tcW w:w="1560" w:type="dxa"/>
            <w:tcBorders>
              <w:top w:val="single" w:sz="4" w:space="0" w:color="auto"/>
              <w:left w:val="single" w:sz="4" w:space="0" w:color="auto"/>
              <w:bottom w:val="single" w:sz="4" w:space="0" w:color="auto"/>
              <w:right w:val="single" w:sz="4" w:space="0" w:color="auto"/>
            </w:tcBorders>
          </w:tcPr>
          <w:p w14:paraId="3C5DE36F" w14:textId="69E26043" w:rsidR="00642145" w:rsidRPr="009A7156" w:rsidRDefault="00642145" w:rsidP="00F00DC3">
            <w:pPr>
              <w:rPr>
                <w:rFonts w:ascii="Times New Roman" w:hAnsi="Times New Roman"/>
                <w:b/>
                <w:bCs/>
                <w:szCs w:val="24"/>
              </w:rPr>
            </w:pPr>
            <w:r w:rsidRPr="009A7156">
              <w:rPr>
                <w:rFonts w:ascii="Times New Roman" w:hAnsi="Times New Roman"/>
                <w:b/>
                <w:bCs/>
                <w:szCs w:val="24"/>
              </w:rPr>
              <w:t xml:space="preserve">Week </w:t>
            </w:r>
            <w:r w:rsidR="009A7156">
              <w:rPr>
                <w:rFonts w:ascii="Times New Roman" w:hAnsi="Times New Roman"/>
                <w:b/>
                <w:bCs/>
                <w:szCs w:val="24"/>
              </w:rPr>
              <w:t>9</w:t>
            </w:r>
            <w:r w:rsidRPr="009A7156">
              <w:rPr>
                <w:rFonts w:ascii="Times New Roman" w:hAnsi="Times New Roman"/>
                <w:b/>
                <w:bCs/>
                <w:szCs w:val="24"/>
              </w:rPr>
              <w:t xml:space="preserve"> </w:t>
            </w:r>
          </w:p>
        </w:tc>
        <w:tc>
          <w:tcPr>
            <w:tcW w:w="3119" w:type="dxa"/>
            <w:tcBorders>
              <w:top w:val="single" w:sz="4" w:space="0" w:color="auto"/>
              <w:left w:val="single" w:sz="4" w:space="0" w:color="auto"/>
              <w:bottom w:val="single" w:sz="4" w:space="0" w:color="auto"/>
              <w:right w:val="single" w:sz="4" w:space="0" w:color="auto"/>
            </w:tcBorders>
          </w:tcPr>
          <w:p w14:paraId="78EAE7B3" w14:textId="03F6D38C" w:rsidR="00642145" w:rsidRPr="009A7156" w:rsidRDefault="009A7156" w:rsidP="009A7156">
            <w:pPr>
              <w:jc w:val="both"/>
              <w:rPr>
                <w:rFonts w:ascii="Times New Roman" w:hAnsi="Times New Roman"/>
                <w:b/>
                <w:bCs/>
                <w:szCs w:val="24"/>
              </w:rPr>
            </w:pPr>
            <w:r w:rsidRPr="009A7156">
              <w:rPr>
                <w:rFonts w:ascii="Times New Roman" w:hAnsi="Times New Roman"/>
                <w:b/>
                <w:bCs/>
                <w:szCs w:val="24"/>
              </w:rPr>
              <w:t>The importance of maintaining and analysing community engagement was examined. I learned data collecting for community involvement project analysis in my education.</w:t>
            </w:r>
          </w:p>
        </w:tc>
        <w:tc>
          <w:tcPr>
            <w:tcW w:w="1984" w:type="dxa"/>
            <w:tcBorders>
              <w:top w:val="single" w:sz="4" w:space="0" w:color="auto"/>
              <w:left w:val="single" w:sz="4" w:space="0" w:color="auto"/>
              <w:bottom w:val="single" w:sz="4" w:space="0" w:color="auto"/>
              <w:right w:val="single" w:sz="4" w:space="0" w:color="auto"/>
            </w:tcBorders>
          </w:tcPr>
          <w:p w14:paraId="66C7AEB8" w14:textId="301EA649" w:rsidR="00642145" w:rsidRPr="009A7156" w:rsidRDefault="009A7156" w:rsidP="009A7156">
            <w:pPr>
              <w:jc w:val="both"/>
              <w:rPr>
                <w:rFonts w:ascii="Times New Roman" w:hAnsi="Times New Roman"/>
                <w:b/>
                <w:bCs/>
                <w:szCs w:val="24"/>
              </w:rPr>
            </w:pPr>
            <w:r w:rsidRPr="009A7156">
              <w:rPr>
                <w:rFonts w:ascii="Times New Roman" w:hAnsi="Times New Roman"/>
                <w:b/>
                <w:bCs/>
                <w:szCs w:val="24"/>
              </w:rPr>
              <w:t xml:space="preserve">I </w:t>
            </w:r>
            <w:r w:rsidRPr="009A7156">
              <w:rPr>
                <w:rFonts w:ascii="Times New Roman" w:hAnsi="Times New Roman"/>
                <w:b/>
                <w:bCs/>
                <w:szCs w:val="24"/>
              </w:rPr>
              <w:t>examined</w:t>
            </w:r>
            <w:r w:rsidRPr="009A7156">
              <w:rPr>
                <w:rFonts w:ascii="Times New Roman" w:hAnsi="Times New Roman"/>
                <w:b/>
                <w:bCs/>
                <w:szCs w:val="24"/>
              </w:rPr>
              <w:t xml:space="preserve"> this problem to discover how assessment and measurement affect community engagement. This study focused on community engagement and its role in directing and improving future initiatives.</w:t>
            </w:r>
          </w:p>
        </w:tc>
        <w:tc>
          <w:tcPr>
            <w:tcW w:w="3657" w:type="dxa"/>
            <w:tcBorders>
              <w:top w:val="single" w:sz="4" w:space="0" w:color="auto"/>
              <w:left w:val="single" w:sz="4" w:space="0" w:color="auto"/>
              <w:bottom w:val="single" w:sz="4" w:space="0" w:color="auto"/>
              <w:right w:val="single" w:sz="4" w:space="0" w:color="auto"/>
            </w:tcBorders>
          </w:tcPr>
          <w:p w14:paraId="1586A9E1" w14:textId="0567D25A" w:rsidR="00642145" w:rsidRPr="009A7156" w:rsidRDefault="009A7156" w:rsidP="009A7156">
            <w:pPr>
              <w:jc w:val="both"/>
              <w:rPr>
                <w:rFonts w:ascii="Times New Roman" w:hAnsi="Times New Roman"/>
                <w:b/>
                <w:bCs/>
                <w:szCs w:val="24"/>
              </w:rPr>
            </w:pPr>
            <w:r w:rsidRPr="009A7156">
              <w:rPr>
                <w:rFonts w:ascii="Times New Roman" w:hAnsi="Times New Roman"/>
                <w:b/>
                <w:bCs/>
                <w:szCs w:val="24"/>
              </w:rPr>
              <w:t xml:space="preserve">The lecture </w:t>
            </w:r>
            <w:r w:rsidRPr="009A7156">
              <w:rPr>
                <w:rFonts w:ascii="Times New Roman" w:hAnsi="Times New Roman"/>
                <w:b/>
                <w:bCs/>
                <w:szCs w:val="24"/>
              </w:rPr>
              <w:t>showed</w:t>
            </w:r>
            <w:r w:rsidRPr="009A7156">
              <w:rPr>
                <w:rFonts w:ascii="Times New Roman" w:hAnsi="Times New Roman"/>
                <w:b/>
                <w:bCs/>
                <w:szCs w:val="24"/>
              </w:rPr>
              <w:t xml:space="preserve"> me that community participation must be assessed to evaluate its efficacy. This helps evaluate engagement efforts. Evaluation helps make informed choices and boost community engagement.</w:t>
            </w:r>
          </w:p>
        </w:tc>
        <w:tc>
          <w:tcPr>
            <w:tcW w:w="4536" w:type="dxa"/>
            <w:tcBorders>
              <w:top w:val="single" w:sz="4" w:space="0" w:color="auto"/>
              <w:left w:val="single" w:sz="4" w:space="0" w:color="auto"/>
              <w:bottom w:val="single" w:sz="4" w:space="0" w:color="auto"/>
              <w:right w:val="single" w:sz="4" w:space="0" w:color="auto"/>
            </w:tcBorders>
          </w:tcPr>
          <w:p w14:paraId="6A2FD8D4" w14:textId="18998B09" w:rsidR="00642145" w:rsidRPr="009A7156" w:rsidRDefault="009A7156" w:rsidP="009A7156">
            <w:pPr>
              <w:jc w:val="both"/>
              <w:rPr>
                <w:rFonts w:ascii="Times New Roman" w:hAnsi="Times New Roman"/>
                <w:b/>
                <w:bCs/>
                <w:szCs w:val="24"/>
              </w:rPr>
            </w:pPr>
            <w:r w:rsidRPr="009A7156">
              <w:rPr>
                <w:rFonts w:ascii="Times New Roman" w:hAnsi="Times New Roman"/>
                <w:b/>
                <w:bCs/>
                <w:szCs w:val="24"/>
              </w:rPr>
              <w:t xml:space="preserve">I should </w:t>
            </w:r>
            <w:r w:rsidRPr="009A7156">
              <w:rPr>
                <w:rFonts w:ascii="Times New Roman" w:hAnsi="Times New Roman"/>
                <w:b/>
                <w:bCs/>
                <w:szCs w:val="24"/>
              </w:rPr>
              <w:t>underline</w:t>
            </w:r>
            <w:r w:rsidRPr="009A7156">
              <w:rPr>
                <w:rFonts w:ascii="Times New Roman" w:hAnsi="Times New Roman"/>
                <w:b/>
                <w:bCs/>
                <w:szCs w:val="24"/>
              </w:rPr>
              <w:t xml:space="preserve"> tracking community participation in my work using this data. Effective assessment and measuring methodologies may help me enhance my engagement efforts. This data may help me measure community participation's benefits and enhance my efforts.</w:t>
            </w:r>
          </w:p>
        </w:tc>
      </w:tr>
      <w:tr w:rsidR="00107C02" w:rsidRPr="008E3E20" w14:paraId="2730F7C7" w14:textId="77777777" w:rsidTr="005022D4">
        <w:tc>
          <w:tcPr>
            <w:tcW w:w="1560" w:type="dxa"/>
            <w:tcBorders>
              <w:top w:val="single" w:sz="4" w:space="0" w:color="auto"/>
              <w:left w:val="single" w:sz="4" w:space="0" w:color="auto"/>
              <w:bottom w:val="single" w:sz="4" w:space="0" w:color="auto"/>
              <w:right w:val="single" w:sz="4" w:space="0" w:color="auto"/>
            </w:tcBorders>
          </w:tcPr>
          <w:p w14:paraId="132E7B04" w14:textId="74FEC4FB" w:rsidR="00107C02" w:rsidRPr="009A7156" w:rsidRDefault="00107C02" w:rsidP="00F00DC3">
            <w:pPr>
              <w:rPr>
                <w:rFonts w:ascii="Times New Roman" w:hAnsi="Times New Roman"/>
                <w:b/>
                <w:bCs/>
                <w:szCs w:val="24"/>
              </w:rPr>
            </w:pPr>
            <w:r w:rsidRPr="009A7156">
              <w:rPr>
                <w:rFonts w:ascii="Times New Roman" w:hAnsi="Times New Roman"/>
                <w:b/>
                <w:bCs/>
                <w:szCs w:val="24"/>
              </w:rPr>
              <w:t xml:space="preserve">Week </w:t>
            </w:r>
            <w:r w:rsidR="009A7156" w:rsidRPr="009A7156">
              <w:rPr>
                <w:rFonts w:ascii="Times New Roman" w:hAnsi="Times New Roman"/>
                <w:b/>
                <w:bCs/>
                <w:szCs w:val="24"/>
              </w:rPr>
              <w:t>10</w:t>
            </w:r>
          </w:p>
        </w:tc>
        <w:tc>
          <w:tcPr>
            <w:tcW w:w="3119" w:type="dxa"/>
            <w:tcBorders>
              <w:top w:val="single" w:sz="4" w:space="0" w:color="auto"/>
              <w:left w:val="single" w:sz="4" w:space="0" w:color="auto"/>
              <w:bottom w:val="single" w:sz="4" w:space="0" w:color="auto"/>
              <w:right w:val="single" w:sz="4" w:space="0" w:color="auto"/>
            </w:tcBorders>
          </w:tcPr>
          <w:p w14:paraId="7932084A" w14:textId="5B8663E2" w:rsidR="00107C02" w:rsidRPr="009A7156" w:rsidRDefault="009A7156" w:rsidP="009A7156">
            <w:pPr>
              <w:jc w:val="both"/>
              <w:rPr>
                <w:rFonts w:ascii="Times New Roman" w:hAnsi="Times New Roman"/>
                <w:b/>
                <w:bCs/>
                <w:szCs w:val="24"/>
              </w:rPr>
            </w:pPr>
            <w:r w:rsidRPr="009A7156">
              <w:rPr>
                <w:rFonts w:ascii="Times New Roman" w:hAnsi="Times New Roman"/>
                <w:b/>
                <w:bCs/>
                <w:szCs w:val="24"/>
              </w:rPr>
              <w:t>The session I attended included discussion, correction, and evaluation.</w:t>
            </w:r>
          </w:p>
        </w:tc>
        <w:tc>
          <w:tcPr>
            <w:tcW w:w="1984" w:type="dxa"/>
            <w:tcBorders>
              <w:top w:val="single" w:sz="4" w:space="0" w:color="auto"/>
              <w:left w:val="single" w:sz="4" w:space="0" w:color="auto"/>
              <w:bottom w:val="single" w:sz="4" w:space="0" w:color="auto"/>
              <w:right w:val="single" w:sz="4" w:space="0" w:color="auto"/>
            </w:tcBorders>
          </w:tcPr>
          <w:p w14:paraId="0F74F5CC" w14:textId="32B5CE37" w:rsidR="00107C02" w:rsidRPr="009A7156" w:rsidRDefault="009A7156" w:rsidP="009A7156">
            <w:pPr>
              <w:jc w:val="both"/>
              <w:rPr>
                <w:rFonts w:ascii="Times New Roman" w:hAnsi="Times New Roman"/>
                <w:b/>
                <w:bCs/>
                <w:szCs w:val="24"/>
              </w:rPr>
            </w:pPr>
            <w:r w:rsidRPr="009A7156">
              <w:rPr>
                <w:rFonts w:ascii="Times New Roman" w:hAnsi="Times New Roman"/>
                <w:b/>
                <w:bCs/>
                <w:szCs w:val="24"/>
              </w:rPr>
              <w:t>S</w:t>
            </w:r>
            <w:r w:rsidRPr="009A7156">
              <w:rPr>
                <w:rFonts w:ascii="Times New Roman" w:hAnsi="Times New Roman"/>
                <w:b/>
                <w:bCs/>
                <w:szCs w:val="24"/>
              </w:rPr>
              <w:t>o that I may better understand the material and have a more satisfying educational experience overall.</w:t>
            </w:r>
          </w:p>
        </w:tc>
        <w:tc>
          <w:tcPr>
            <w:tcW w:w="3657" w:type="dxa"/>
            <w:tcBorders>
              <w:top w:val="single" w:sz="4" w:space="0" w:color="auto"/>
              <w:left w:val="single" w:sz="4" w:space="0" w:color="auto"/>
              <w:bottom w:val="single" w:sz="4" w:space="0" w:color="auto"/>
              <w:right w:val="single" w:sz="4" w:space="0" w:color="auto"/>
            </w:tcBorders>
          </w:tcPr>
          <w:p w14:paraId="150650C7" w14:textId="76DC07C7" w:rsidR="00107C02" w:rsidRPr="009A7156" w:rsidRDefault="009A7156" w:rsidP="009A7156">
            <w:pPr>
              <w:jc w:val="both"/>
              <w:rPr>
                <w:rFonts w:ascii="Times New Roman" w:hAnsi="Times New Roman"/>
                <w:b/>
                <w:bCs/>
                <w:szCs w:val="24"/>
              </w:rPr>
            </w:pPr>
            <w:r w:rsidRPr="009A7156">
              <w:rPr>
                <w:rFonts w:ascii="Times New Roman" w:hAnsi="Times New Roman"/>
                <w:b/>
                <w:bCs/>
                <w:szCs w:val="24"/>
              </w:rPr>
              <w:t xml:space="preserve">The significance of engaging in </w:t>
            </w:r>
            <w:r w:rsidRPr="009A7156">
              <w:rPr>
                <w:rFonts w:ascii="Times New Roman" w:hAnsi="Times New Roman"/>
                <w:b/>
                <w:bCs/>
                <w:szCs w:val="24"/>
              </w:rPr>
              <w:t>productive</w:t>
            </w:r>
            <w:r w:rsidRPr="009A7156">
              <w:rPr>
                <w:rFonts w:ascii="Times New Roman" w:hAnsi="Times New Roman"/>
                <w:b/>
                <w:bCs/>
                <w:szCs w:val="24"/>
              </w:rPr>
              <w:t xml:space="preserve"> debates, reviewing pertinent information, and evaluating my own progress in learning is something I would want to emphasise.</w:t>
            </w:r>
          </w:p>
        </w:tc>
        <w:tc>
          <w:tcPr>
            <w:tcW w:w="4536" w:type="dxa"/>
            <w:tcBorders>
              <w:top w:val="single" w:sz="4" w:space="0" w:color="auto"/>
              <w:left w:val="single" w:sz="4" w:space="0" w:color="auto"/>
              <w:bottom w:val="single" w:sz="4" w:space="0" w:color="auto"/>
              <w:right w:val="single" w:sz="4" w:space="0" w:color="auto"/>
            </w:tcBorders>
          </w:tcPr>
          <w:p w14:paraId="2E55A894" w14:textId="13D3D656" w:rsidR="00107C02" w:rsidRPr="009A7156" w:rsidRDefault="009A7156" w:rsidP="009A7156">
            <w:pPr>
              <w:jc w:val="both"/>
              <w:rPr>
                <w:rFonts w:ascii="Times New Roman" w:hAnsi="Times New Roman"/>
                <w:b/>
                <w:bCs/>
                <w:szCs w:val="24"/>
              </w:rPr>
            </w:pPr>
            <w:r w:rsidRPr="009A7156">
              <w:rPr>
                <w:rFonts w:ascii="Times New Roman" w:hAnsi="Times New Roman"/>
                <w:b/>
                <w:bCs/>
                <w:szCs w:val="24"/>
              </w:rPr>
              <w:t xml:space="preserve">I intend to make the most of my future learning chances by contributing thoughtfully to class discussions, </w:t>
            </w:r>
            <w:r w:rsidRPr="009A7156">
              <w:rPr>
                <w:rFonts w:ascii="Times New Roman" w:hAnsi="Times New Roman"/>
                <w:b/>
                <w:bCs/>
                <w:szCs w:val="24"/>
              </w:rPr>
              <w:t>reading,</w:t>
            </w:r>
            <w:r w:rsidRPr="009A7156">
              <w:rPr>
                <w:rFonts w:ascii="Times New Roman" w:hAnsi="Times New Roman"/>
                <w:b/>
                <w:bCs/>
                <w:szCs w:val="24"/>
              </w:rPr>
              <w:t xml:space="preserve"> and revising assigned work, and regularly evaluating my own progress.</w:t>
            </w:r>
          </w:p>
        </w:tc>
      </w:tr>
    </w:tbl>
    <w:p w14:paraId="77D66976" w14:textId="77777777" w:rsidR="00716A66" w:rsidRDefault="00716A66"/>
    <w:sectPr w:rsidR="00716A66" w:rsidSect="0099230B">
      <w:pgSz w:w="15840" w:h="12240" w:orient="landscape"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Futura BT">
    <w:altName w:val="Century Gothic"/>
    <w:panose1 w:val="00000000000000000000"/>
    <w:charset w:val="00"/>
    <w:family w:val="swiss"/>
    <w:notTrueType/>
    <w:pitch w:val="default"/>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44D8D"/>
    <w:multiLevelType w:val="multilevel"/>
    <w:tmpl w:val="E1E0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AD2551"/>
    <w:multiLevelType w:val="multilevel"/>
    <w:tmpl w:val="848C94D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56693361">
    <w:abstractNumId w:val="1"/>
  </w:num>
  <w:num w:numId="2" w16cid:durableId="631324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30B"/>
    <w:rsid w:val="00107C02"/>
    <w:rsid w:val="001D29F8"/>
    <w:rsid w:val="00232EC8"/>
    <w:rsid w:val="00297452"/>
    <w:rsid w:val="002C7644"/>
    <w:rsid w:val="003B4EB9"/>
    <w:rsid w:val="005022D4"/>
    <w:rsid w:val="0050681E"/>
    <w:rsid w:val="005C7626"/>
    <w:rsid w:val="00642145"/>
    <w:rsid w:val="00716A66"/>
    <w:rsid w:val="0089160B"/>
    <w:rsid w:val="008E3C4E"/>
    <w:rsid w:val="0099230B"/>
    <w:rsid w:val="009A7156"/>
    <w:rsid w:val="00A665EC"/>
    <w:rsid w:val="00B1759D"/>
    <w:rsid w:val="00B965AD"/>
    <w:rsid w:val="00C97E80"/>
    <w:rsid w:val="00CB6781"/>
    <w:rsid w:val="00D43F55"/>
    <w:rsid w:val="00E015C4"/>
    <w:rsid w:val="00E92643"/>
    <w:rsid w:val="00FE3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346E5"/>
  <w15:docId w15:val="{09FB1D1B-36CF-4276-A83E-31A511EEE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PG Normal"/>
    <w:qFormat/>
    <w:rsid w:val="0099230B"/>
    <w:pPr>
      <w:spacing w:after="60" w:line="240" w:lineRule="auto"/>
    </w:pPr>
    <w:rPr>
      <w:rFonts w:ascii="Tahoma" w:eastAsia="Calibri" w:hAnsi="Tahoma" w:cs="Times New Roman"/>
      <w:sz w:val="24"/>
    </w:rPr>
  </w:style>
  <w:style w:type="paragraph" w:styleId="Heading1">
    <w:name w:val="heading 1"/>
    <w:basedOn w:val="Normal"/>
    <w:next w:val="Normal"/>
    <w:link w:val="Heading1Char"/>
    <w:qFormat/>
    <w:rsid w:val="0099230B"/>
    <w:pPr>
      <w:keepNext/>
      <w:keepLines/>
      <w:numPr>
        <w:numId w:val="1"/>
      </w:numPr>
      <w:spacing w:before="240" w:after="120"/>
      <w:contextualSpacing/>
      <w:outlineLvl w:val="0"/>
    </w:pPr>
    <w:rPr>
      <w:rFonts w:ascii="Verdana" w:eastAsia="Times New Roman" w:hAnsi="Verdana"/>
      <w:b/>
      <w:bCs/>
      <w:color w:val="000099"/>
      <w:sz w:val="40"/>
      <w:szCs w:val="28"/>
    </w:rPr>
  </w:style>
  <w:style w:type="paragraph" w:styleId="Heading2">
    <w:name w:val="heading 2"/>
    <w:basedOn w:val="Normal"/>
    <w:next w:val="BodyText"/>
    <w:link w:val="Heading2Char"/>
    <w:autoRedefine/>
    <w:qFormat/>
    <w:rsid w:val="0099230B"/>
    <w:pPr>
      <w:keepNext/>
      <w:numPr>
        <w:ilvl w:val="1"/>
        <w:numId w:val="1"/>
      </w:numPr>
      <w:tabs>
        <w:tab w:val="center" w:pos="1134"/>
      </w:tabs>
      <w:spacing w:before="240"/>
      <w:outlineLvl w:val="1"/>
    </w:pPr>
    <w:rPr>
      <w:rFonts w:ascii="Verdana" w:eastAsia="Times New Roman" w:hAnsi="Verdana"/>
      <w:b/>
      <w:i/>
      <w:color w:val="006600"/>
      <w:sz w:val="32"/>
      <w:szCs w:val="20"/>
    </w:rPr>
  </w:style>
  <w:style w:type="paragraph" w:styleId="Heading3">
    <w:name w:val="heading 3"/>
    <w:basedOn w:val="Normal"/>
    <w:next w:val="Normal"/>
    <w:link w:val="Heading3Char"/>
    <w:qFormat/>
    <w:rsid w:val="0099230B"/>
    <w:pPr>
      <w:keepNext/>
      <w:keepLines/>
      <w:numPr>
        <w:ilvl w:val="2"/>
        <w:numId w:val="1"/>
      </w:numPr>
      <w:spacing w:before="120"/>
      <w:contextualSpacing/>
      <w:outlineLvl w:val="2"/>
    </w:pPr>
    <w:rPr>
      <w:rFonts w:ascii="Verdana" w:eastAsia="Times New Roman" w:hAnsi="Verdana"/>
      <w:b/>
      <w:bCs/>
      <w:color w:val="003366"/>
      <w:sz w:val="28"/>
    </w:rPr>
  </w:style>
  <w:style w:type="paragraph" w:styleId="Heading4">
    <w:name w:val="heading 4"/>
    <w:basedOn w:val="Normal"/>
    <w:next w:val="Normal"/>
    <w:link w:val="Heading4Char"/>
    <w:qFormat/>
    <w:rsid w:val="0099230B"/>
    <w:pPr>
      <w:keepNext/>
      <w:numPr>
        <w:ilvl w:val="3"/>
        <w:numId w:val="1"/>
      </w:numPr>
      <w:spacing w:before="240"/>
      <w:outlineLvl w:val="3"/>
    </w:pPr>
    <w:rPr>
      <w:rFonts w:ascii="Calibri" w:eastAsia="Times New Roman" w:hAnsi="Calibri"/>
      <w:b/>
      <w:bCs/>
      <w:sz w:val="28"/>
      <w:szCs w:val="28"/>
    </w:rPr>
  </w:style>
  <w:style w:type="paragraph" w:styleId="Heading5">
    <w:name w:val="heading 5"/>
    <w:basedOn w:val="Normal"/>
    <w:next w:val="Normal"/>
    <w:link w:val="Heading5Char"/>
    <w:qFormat/>
    <w:rsid w:val="0099230B"/>
    <w:pPr>
      <w:numPr>
        <w:ilvl w:val="4"/>
        <w:numId w:val="1"/>
      </w:numPr>
      <w:spacing w:before="240"/>
      <w:outlineLvl w:val="4"/>
    </w:pPr>
    <w:rPr>
      <w:rFonts w:ascii="Calibri" w:eastAsia="Times New Roman" w:hAnsi="Calibri"/>
      <w:b/>
      <w:bCs/>
      <w:i/>
      <w:iCs/>
      <w:sz w:val="26"/>
      <w:szCs w:val="26"/>
    </w:rPr>
  </w:style>
  <w:style w:type="paragraph" w:styleId="Heading6">
    <w:name w:val="heading 6"/>
    <w:basedOn w:val="Normal"/>
    <w:next w:val="Normal"/>
    <w:link w:val="Heading6Char"/>
    <w:qFormat/>
    <w:rsid w:val="0099230B"/>
    <w:pPr>
      <w:numPr>
        <w:ilvl w:val="5"/>
        <w:numId w:val="1"/>
      </w:numPr>
      <w:spacing w:before="240"/>
      <w:outlineLvl w:val="5"/>
    </w:pPr>
    <w:rPr>
      <w:rFonts w:ascii="Calibri" w:eastAsia="Times New Roman" w:hAnsi="Calibri"/>
      <w:b/>
      <w:bCs/>
      <w:sz w:val="22"/>
    </w:rPr>
  </w:style>
  <w:style w:type="paragraph" w:styleId="Heading7">
    <w:name w:val="heading 7"/>
    <w:basedOn w:val="Normal"/>
    <w:next w:val="Normal"/>
    <w:link w:val="Heading7Char"/>
    <w:qFormat/>
    <w:rsid w:val="0099230B"/>
    <w:pPr>
      <w:numPr>
        <w:ilvl w:val="6"/>
        <w:numId w:val="1"/>
      </w:numPr>
      <w:spacing w:before="240"/>
      <w:outlineLvl w:val="6"/>
    </w:pPr>
    <w:rPr>
      <w:rFonts w:ascii="Calibri" w:eastAsia="Times New Roman" w:hAnsi="Calibri"/>
      <w:szCs w:val="24"/>
    </w:rPr>
  </w:style>
  <w:style w:type="paragraph" w:styleId="Heading8">
    <w:name w:val="heading 8"/>
    <w:basedOn w:val="Normal"/>
    <w:next w:val="Normal"/>
    <w:link w:val="Heading8Char"/>
    <w:qFormat/>
    <w:rsid w:val="0099230B"/>
    <w:pPr>
      <w:numPr>
        <w:ilvl w:val="7"/>
        <w:numId w:val="1"/>
      </w:numPr>
      <w:spacing w:before="240"/>
      <w:outlineLvl w:val="7"/>
    </w:pPr>
    <w:rPr>
      <w:rFonts w:ascii="Calibri" w:eastAsia="Times New Roman" w:hAnsi="Calibri"/>
      <w:i/>
      <w:iCs/>
      <w:szCs w:val="24"/>
    </w:rPr>
  </w:style>
  <w:style w:type="paragraph" w:styleId="Heading9">
    <w:name w:val="heading 9"/>
    <w:basedOn w:val="Normal"/>
    <w:next w:val="Normal"/>
    <w:link w:val="Heading9Char"/>
    <w:qFormat/>
    <w:rsid w:val="0099230B"/>
    <w:pPr>
      <w:numPr>
        <w:ilvl w:val="8"/>
        <w:numId w:val="1"/>
      </w:numPr>
      <w:spacing w:before="240"/>
      <w:outlineLvl w:val="8"/>
    </w:pPr>
    <w:rPr>
      <w:rFonts w:ascii="Cambria" w:eastAsia="Times New Roman" w:hAnsi="Cambria"/>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230B"/>
    <w:rPr>
      <w:rFonts w:ascii="Verdana" w:eastAsia="Times New Roman" w:hAnsi="Verdana" w:cs="Times New Roman"/>
      <w:b/>
      <w:bCs/>
      <w:color w:val="000099"/>
      <w:sz w:val="40"/>
      <w:szCs w:val="28"/>
    </w:rPr>
  </w:style>
  <w:style w:type="character" w:customStyle="1" w:styleId="Heading2Char">
    <w:name w:val="Heading 2 Char"/>
    <w:basedOn w:val="DefaultParagraphFont"/>
    <w:link w:val="Heading2"/>
    <w:rsid w:val="0099230B"/>
    <w:rPr>
      <w:rFonts w:ascii="Verdana" w:eastAsia="Times New Roman" w:hAnsi="Verdana" w:cs="Times New Roman"/>
      <w:b/>
      <w:i/>
      <w:color w:val="006600"/>
      <w:sz w:val="32"/>
      <w:szCs w:val="20"/>
    </w:rPr>
  </w:style>
  <w:style w:type="character" w:customStyle="1" w:styleId="Heading3Char">
    <w:name w:val="Heading 3 Char"/>
    <w:basedOn w:val="DefaultParagraphFont"/>
    <w:link w:val="Heading3"/>
    <w:rsid w:val="0099230B"/>
    <w:rPr>
      <w:rFonts w:ascii="Verdana" w:eastAsia="Times New Roman" w:hAnsi="Verdana" w:cs="Times New Roman"/>
      <w:b/>
      <w:bCs/>
      <w:color w:val="003366"/>
      <w:sz w:val="28"/>
    </w:rPr>
  </w:style>
  <w:style w:type="character" w:customStyle="1" w:styleId="Heading4Char">
    <w:name w:val="Heading 4 Char"/>
    <w:basedOn w:val="DefaultParagraphFont"/>
    <w:link w:val="Heading4"/>
    <w:rsid w:val="0099230B"/>
    <w:rPr>
      <w:rFonts w:ascii="Calibri" w:eastAsia="Times New Roman" w:hAnsi="Calibri" w:cs="Times New Roman"/>
      <w:b/>
      <w:bCs/>
      <w:sz w:val="28"/>
      <w:szCs w:val="28"/>
    </w:rPr>
  </w:style>
  <w:style w:type="character" w:customStyle="1" w:styleId="Heading5Char">
    <w:name w:val="Heading 5 Char"/>
    <w:basedOn w:val="DefaultParagraphFont"/>
    <w:link w:val="Heading5"/>
    <w:rsid w:val="0099230B"/>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99230B"/>
    <w:rPr>
      <w:rFonts w:ascii="Calibri" w:eastAsia="Times New Roman" w:hAnsi="Calibri" w:cs="Times New Roman"/>
      <w:b/>
      <w:bCs/>
    </w:rPr>
  </w:style>
  <w:style w:type="character" w:customStyle="1" w:styleId="Heading7Char">
    <w:name w:val="Heading 7 Char"/>
    <w:basedOn w:val="DefaultParagraphFont"/>
    <w:link w:val="Heading7"/>
    <w:rsid w:val="0099230B"/>
    <w:rPr>
      <w:rFonts w:ascii="Calibri" w:eastAsia="Times New Roman" w:hAnsi="Calibri" w:cs="Times New Roman"/>
      <w:sz w:val="24"/>
      <w:szCs w:val="24"/>
    </w:rPr>
  </w:style>
  <w:style w:type="character" w:customStyle="1" w:styleId="Heading8Char">
    <w:name w:val="Heading 8 Char"/>
    <w:basedOn w:val="DefaultParagraphFont"/>
    <w:link w:val="Heading8"/>
    <w:rsid w:val="0099230B"/>
    <w:rPr>
      <w:rFonts w:ascii="Calibri" w:eastAsia="Times New Roman" w:hAnsi="Calibri" w:cs="Times New Roman"/>
      <w:i/>
      <w:iCs/>
      <w:sz w:val="24"/>
      <w:szCs w:val="24"/>
    </w:rPr>
  </w:style>
  <w:style w:type="character" w:customStyle="1" w:styleId="Heading9Char">
    <w:name w:val="Heading 9 Char"/>
    <w:basedOn w:val="DefaultParagraphFont"/>
    <w:link w:val="Heading9"/>
    <w:rsid w:val="0099230B"/>
    <w:rPr>
      <w:rFonts w:ascii="Cambria" w:eastAsia="Times New Roman" w:hAnsi="Cambria" w:cs="Times New Roman"/>
    </w:rPr>
  </w:style>
  <w:style w:type="paragraph" w:styleId="BodyText">
    <w:name w:val="Body Text"/>
    <w:basedOn w:val="Normal"/>
    <w:link w:val="BodyTextChar"/>
    <w:unhideWhenUsed/>
    <w:rsid w:val="0099230B"/>
    <w:pPr>
      <w:spacing w:after="120"/>
    </w:pPr>
  </w:style>
  <w:style w:type="character" w:customStyle="1" w:styleId="BodyTextChar">
    <w:name w:val="Body Text Char"/>
    <w:basedOn w:val="DefaultParagraphFont"/>
    <w:link w:val="BodyText"/>
    <w:rsid w:val="0099230B"/>
    <w:rPr>
      <w:rFonts w:ascii="Tahoma" w:eastAsia="Calibri" w:hAnsi="Tahoma" w:cs="Times New Roman"/>
      <w:sz w:val="24"/>
    </w:rPr>
  </w:style>
  <w:style w:type="character" w:customStyle="1" w:styleId="A1">
    <w:name w:val="A1"/>
    <w:uiPriority w:val="99"/>
    <w:rsid w:val="0099230B"/>
    <w:rPr>
      <w:rFonts w:cs="Futura BT"/>
      <w:color w:val="000000"/>
      <w:sz w:val="22"/>
      <w:szCs w:val="22"/>
    </w:rPr>
  </w:style>
  <w:style w:type="paragraph" w:customStyle="1" w:styleId="Pa1">
    <w:name w:val="Pa1"/>
    <w:basedOn w:val="Normal"/>
    <w:next w:val="Normal"/>
    <w:uiPriority w:val="99"/>
    <w:rsid w:val="0099230B"/>
    <w:pPr>
      <w:autoSpaceDE w:val="0"/>
      <w:autoSpaceDN w:val="0"/>
      <w:adjustRightInd w:val="0"/>
      <w:spacing w:after="0" w:line="241" w:lineRule="atLeast"/>
    </w:pPr>
    <w:rPr>
      <w:rFonts w:ascii="Futura BT" w:hAnsi="Futura BT"/>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4484</Words>
  <Characters>25563</Characters>
  <Application>Microsoft Office Word</Application>
  <DocSecurity>0</DocSecurity>
  <Lines>213</Lines>
  <Paragraphs>59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vt:lpstr>
      <vt:lpstr>    /</vt:lpstr>
      <vt:lpstr>    </vt:lpstr>
      <vt:lpstr>    CPD Record </vt:lpstr>
    </vt:vector>
  </TitlesOfParts>
  <Company>Hewlett-Packard</Company>
  <LinksUpToDate>false</LinksUpToDate>
  <CharactersWithSpaces>29988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petronela</dc:creator>
  <cp:lastModifiedBy>iulia chiriac</cp:lastModifiedBy>
  <cp:revision>2</cp:revision>
  <dcterms:created xsi:type="dcterms:W3CDTF">2023-11-23T14:01:00Z</dcterms:created>
  <dcterms:modified xsi:type="dcterms:W3CDTF">2023-11-23T14:01:00Z</dcterms:modified>
</cp:coreProperties>
</file>