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3507D" w14:textId="3A317E4B" w:rsidR="000616E2" w:rsidRDefault="0095016F" w:rsidP="0095016F">
      <w:pPr>
        <w:jc w:val="center"/>
      </w:pPr>
      <w:r>
        <w:rPr>
          <w:noProof/>
        </w:rPr>
        <w:drawing>
          <wp:inline distT="0" distB="0" distL="0" distR="0" wp14:anchorId="46E1D71E" wp14:editId="74F4A7E9">
            <wp:extent cx="4816293" cy="2011680"/>
            <wp:effectExtent l="0" t="0" r="3810" b="7620"/>
            <wp:docPr id="2002776103"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31776" cy="2018147"/>
                    </a:xfrm>
                    <a:prstGeom prst="rect">
                      <a:avLst/>
                    </a:prstGeom>
                    <a:noFill/>
                    <a:ln>
                      <a:noFill/>
                    </a:ln>
                  </pic:spPr>
                </pic:pic>
              </a:graphicData>
            </a:graphic>
          </wp:inline>
        </w:drawing>
      </w:r>
    </w:p>
    <w:p w14:paraId="72CC6EFE" w14:textId="77777777" w:rsidR="0095016F" w:rsidRDefault="0095016F" w:rsidP="0095016F">
      <w:pPr>
        <w:jc w:val="center"/>
        <w:rPr>
          <w:rFonts w:ascii="Arial" w:hAnsi="Arial" w:cs="Arial"/>
        </w:rPr>
      </w:pPr>
    </w:p>
    <w:p w14:paraId="77DF252C" w14:textId="77777777" w:rsidR="00270990" w:rsidRDefault="00270990" w:rsidP="00841880">
      <w:pPr>
        <w:pStyle w:val="NoSpacing"/>
        <w:rPr>
          <w:rFonts w:ascii="Arial" w:hAnsi="Arial" w:cs="Arial"/>
          <w:b/>
          <w:bCs/>
          <w:sz w:val="30"/>
          <w:szCs w:val="30"/>
        </w:rPr>
      </w:pPr>
    </w:p>
    <w:p w14:paraId="32FC4EF5" w14:textId="77777777"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Programme: Master of Business Administration</w:t>
      </w:r>
    </w:p>
    <w:p w14:paraId="146DD84F" w14:textId="7A1BF8C8"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 xml:space="preserve">Module: </w:t>
      </w:r>
      <w:r w:rsidRPr="00AF6021">
        <w:rPr>
          <w:rFonts w:ascii="Arial" w:hAnsi="Arial" w:cs="Arial"/>
          <w:b/>
          <w:bCs/>
          <w:sz w:val="26"/>
          <w:szCs w:val="26"/>
        </w:rPr>
        <w:t>Marketing Management</w:t>
      </w:r>
    </w:p>
    <w:p w14:paraId="5510173B" w14:textId="3E7B2AA7"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Module code: LCMB702</w:t>
      </w:r>
      <w:r>
        <w:rPr>
          <w:rFonts w:ascii="Arial" w:hAnsi="Arial" w:cs="Arial"/>
          <w:b/>
          <w:bCs/>
          <w:sz w:val="26"/>
          <w:szCs w:val="26"/>
        </w:rPr>
        <w:t>4</w:t>
      </w:r>
    </w:p>
    <w:p w14:paraId="655805AD" w14:textId="1D22BE36"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 xml:space="preserve">Title: </w:t>
      </w:r>
      <w:r w:rsidR="00BE4536" w:rsidRPr="00040263">
        <w:rPr>
          <w:rFonts w:ascii="Arial" w:hAnsi="Arial" w:cs="Arial"/>
          <w:b/>
          <w:bCs/>
          <w:sz w:val="26"/>
          <w:szCs w:val="26"/>
        </w:rPr>
        <w:t>Assessment Component 1</w:t>
      </w:r>
      <w:r w:rsidR="00BE4536">
        <w:rPr>
          <w:rFonts w:ascii="Arial" w:hAnsi="Arial" w:cs="Arial"/>
          <w:b/>
          <w:bCs/>
          <w:sz w:val="26"/>
          <w:szCs w:val="26"/>
        </w:rPr>
        <w:t xml:space="preserve">: </w:t>
      </w:r>
      <w:r w:rsidR="00BE4536" w:rsidRPr="00BE4536">
        <w:rPr>
          <w:rFonts w:ascii="Arial" w:hAnsi="Arial" w:cs="Arial"/>
          <w:b/>
          <w:bCs/>
          <w:sz w:val="26"/>
          <w:szCs w:val="26"/>
        </w:rPr>
        <w:t>Pioneers and Followers</w:t>
      </w:r>
    </w:p>
    <w:p w14:paraId="7CDEB67B" w14:textId="77777777"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Word count:  2500</w:t>
      </w:r>
    </w:p>
    <w:p w14:paraId="070B7776" w14:textId="459D26C3"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 xml:space="preserve">Lecturer: </w:t>
      </w:r>
      <w:r w:rsidRPr="00AF6021">
        <w:rPr>
          <w:rFonts w:ascii="Arial" w:hAnsi="Arial" w:cs="Arial"/>
          <w:b/>
          <w:bCs/>
          <w:sz w:val="26"/>
          <w:szCs w:val="26"/>
        </w:rPr>
        <w:t xml:space="preserve">Dian </w:t>
      </w:r>
      <w:proofErr w:type="spellStart"/>
      <w:r w:rsidRPr="00AF6021">
        <w:rPr>
          <w:rFonts w:ascii="Arial" w:hAnsi="Arial" w:cs="Arial"/>
          <w:b/>
          <w:bCs/>
          <w:sz w:val="26"/>
          <w:szCs w:val="26"/>
        </w:rPr>
        <w:t>Mayasari</w:t>
      </w:r>
      <w:proofErr w:type="spellEnd"/>
    </w:p>
    <w:p w14:paraId="5DF29733" w14:textId="77777777"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Student Name:</w:t>
      </w:r>
      <w:r>
        <w:rPr>
          <w:rFonts w:ascii="Arial" w:hAnsi="Arial" w:cs="Arial"/>
          <w:b/>
          <w:bCs/>
          <w:sz w:val="26"/>
          <w:szCs w:val="26"/>
        </w:rPr>
        <w:t xml:space="preserve"> Bansi Naranbhai </w:t>
      </w:r>
      <w:proofErr w:type="spellStart"/>
      <w:r>
        <w:rPr>
          <w:rFonts w:ascii="Arial" w:hAnsi="Arial" w:cs="Arial"/>
          <w:b/>
          <w:bCs/>
          <w:sz w:val="26"/>
          <w:szCs w:val="26"/>
        </w:rPr>
        <w:t>Vastarpara</w:t>
      </w:r>
      <w:proofErr w:type="spellEnd"/>
    </w:p>
    <w:p w14:paraId="3E9F553F" w14:textId="77777777"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Student ID:</w:t>
      </w:r>
      <w:r>
        <w:rPr>
          <w:rFonts w:ascii="Arial" w:hAnsi="Arial" w:cs="Arial"/>
          <w:b/>
          <w:bCs/>
          <w:sz w:val="26"/>
          <w:szCs w:val="26"/>
        </w:rPr>
        <w:t xml:space="preserve"> 2508499</w:t>
      </w:r>
    </w:p>
    <w:p w14:paraId="019623F0" w14:textId="5AEDBAE2" w:rsidR="00AF6021" w:rsidRPr="00040263" w:rsidRDefault="00AF6021" w:rsidP="00AF6021">
      <w:pPr>
        <w:spacing w:line="480" w:lineRule="auto"/>
        <w:jc w:val="center"/>
        <w:rPr>
          <w:rFonts w:ascii="Arial" w:hAnsi="Arial" w:cs="Arial"/>
          <w:b/>
          <w:bCs/>
          <w:sz w:val="26"/>
          <w:szCs w:val="26"/>
        </w:rPr>
      </w:pPr>
      <w:r w:rsidRPr="00040263">
        <w:rPr>
          <w:rFonts w:ascii="Arial" w:hAnsi="Arial" w:cs="Arial"/>
          <w:b/>
          <w:bCs/>
          <w:sz w:val="26"/>
          <w:szCs w:val="26"/>
        </w:rPr>
        <w:t xml:space="preserve">Submission Date- </w:t>
      </w:r>
      <w:r>
        <w:rPr>
          <w:rFonts w:ascii="Arial" w:hAnsi="Arial" w:cs="Arial"/>
          <w:b/>
          <w:bCs/>
          <w:sz w:val="26"/>
          <w:szCs w:val="26"/>
        </w:rPr>
        <w:t>24</w:t>
      </w:r>
      <w:r w:rsidRPr="00040263">
        <w:rPr>
          <w:rFonts w:ascii="Arial" w:hAnsi="Arial" w:cs="Arial"/>
          <w:b/>
          <w:bCs/>
          <w:sz w:val="26"/>
          <w:szCs w:val="26"/>
        </w:rPr>
        <w:t xml:space="preserve">th </w:t>
      </w:r>
      <w:r>
        <w:rPr>
          <w:rFonts w:ascii="Arial" w:hAnsi="Arial" w:cs="Arial"/>
          <w:b/>
          <w:bCs/>
          <w:sz w:val="26"/>
          <w:szCs w:val="26"/>
        </w:rPr>
        <w:t>November</w:t>
      </w:r>
      <w:r w:rsidRPr="00040263">
        <w:rPr>
          <w:rFonts w:ascii="Arial" w:hAnsi="Arial" w:cs="Arial"/>
          <w:b/>
          <w:bCs/>
          <w:sz w:val="26"/>
          <w:szCs w:val="26"/>
        </w:rPr>
        <w:t xml:space="preserve"> 2025</w:t>
      </w:r>
    </w:p>
    <w:p w14:paraId="397C0141" w14:textId="798D0B6D" w:rsidR="00AB1DE3" w:rsidRDefault="00AB1DE3" w:rsidP="00267E4E">
      <w:pPr>
        <w:pStyle w:val="NoSpacing"/>
        <w:jc w:val="center"/>
      </w:pPr>
      <w:r>
        <w:br w:type="page"/>
      </w:r>
    </w:p>
    <w:sdt>
      <w:sdtPr>
        <w:rPr>
          <w:rFonts w:asciiTheme="minorHAnsi" w:eastAsiaTheme="minorHAnsi" w:hAnsiTheme="minorHAnsi" w:cstheme="minorBidi"/>
          <w:color w:val="auto"/>
          <w:kern w:val="2"/>
          <w:sz w:val="22"/>
          <w:szCs w:val="22"/>
          <w:lang w:val="en-GB"/>
          <w14:ligatures w14:val="standardContextual"/>
        </w:rPr>
        <w:id w:val="1363779944"/>
        <w:docPartObj>
          <w:docPartGallery w:val="Table of Contents"/>
          <w:docPartUnique/>
        </w:docPartObj>
      </w:sdtPr>
      <w:sdtEndPr>
        <w:rPr>
          <w:noProof/>
          <w:sz w:val="24"/>
          <w:szCs w:val="24"/>
        </w:rPr>
      </w:sdtEndPr>
      <w:sdtContent>
        <w:p w14:paraId="1B9F084F" w14:textId="378ACD74" w:rsidR="00AB1DE3" w:rsidRDefault="00AB1DE3">
          <w:pPr>
            <w:pStyle w:val="TOCHeading"/>
            <w:rPr>
              <w:rFonts w:ascii="Arial" w:hAnsi="Arial" w:cs="Arial"/>
              <w:b/>
              <w:bCs/>
              <w:color w:val="000000" w:themeColor="text1"/>
              <w:sz w:val="30"/>
              <w:szCs w:val="30"/>
            </w:rPr>
          </w:pPr>
          <w:r w:rsidRPr="00270990">
            <w:rPr>
              <w:rFonts w:ascii="Arial" w:hAnsi="Arial" w:cs="Arial"/>
              <w:b/>
              <w:bCs/>
              <w:color w:val="000000" w:themeColor="text1"/>
              <w:sz w:val="30"/>
              <w:szCs w:val="30"/>
            </w:rPr>
            <w:t>Table of Contents</w:t>
          </w:r>
        </w:p>
        <w:p w14:paraId="50A84AD6" w14:textId="77777777" w:rsidR="00270990" w:rsidRPr="00F44E08" w:rsidRDefault="00270990" w:rsidP="009F4C16">
          <w:pPr>
            <w:spacing w:line="360" w:lineRule="auto"/>
            <w:jc w:val="both"/>
            <w:rPr>
              <w:rFonts w:ascii="Arial" w:hAnsi="Arial" w:cs="Arial"/>
              <w:sz w:val="24"/>
              <w:szCs w:val="24"/>
              <w:lang w:val="en-US"/>
            </w:rPr>
          </w:pPr>
        </w:p>
        <w:p w14:paraId="641F215C" w14:textId="15DC60AE" w:rsidR="00930DC0" w:rsidRDefault="00AB1DE3">
          <w:pPr>
            <w:pStyle w:val="TOC1"/>
            <w:tabs>
              <w:tab w:val="right" w:leader="dot" w:pos="9016"/>
            </w:tabs>
            <w:rPr>
              <w:rFonts w:eastAsiaTheme="minorEastAsia"/>
              <w:noProof/>
              <w:sz w:val="24"/>
              <w:szCs w:val="24"/>
              <w:lang w:eastAsia="en-GB"/>
            </w:rPr>
          </w:pPr>
          <w:r w:rsidRPr="00F44E08">
            <w:rPr>
              <w:rFonts w:ascii="Arial" w:hAnsi="Arial" w:cs="Arial"/>
              <w:sz w:val="24"/>
              <w:szCs w:val="24"/>
            </w:rPr>
            <w:fldChar w:fldCharType="begin"/>
          </w:r>
          <w:r w:rsidRPr="00F44E08">
            <w:rPr>
              <w:rFonts w:ascii="Arial" w:hAnsi="Arial" w:cs="Arial"/>
              <w:sz w:val="24"/>
              <w:szCs w:val="24"/>
            </w:rPr>
            <w:instrText xml:space="preserve"> TOC \o "1-3" \h \z \u </w:instrText>
          </w:r>
          <w:r w:rsidRPr="00F44E08">
            <w:rPr>
              <w:rFonts w:ascii="Arial" w:hAnsi="Arial" w:cs="Arial"/>
              <w:sz w:val="24"/>
              <w:szCs w:val="24"/>
            </w:rPr>
            <w:fldChar w:fldCharType="separate"/>
          </w:r>
          <w:hyperlink w:anchor="_Toc212150907" w:history="1">
            <w:r w:rsidR="00930DC0" w:rsidRPr="009D7B93">
              <w:rPr>
                <w:rStyle w:val="Hyperlink"/>
                <w:rFonts w:ascii="Arial" w:hAnsi="Arial" w:cs="Arial"/>
                <w:b/>
                <w:bCs/>
                <w:noProof/>
              </w:rPr>
              <w:t>Introduction</w:t>
            </w:r>
            <w:r w:rsidR="00930DC0">
              <w:rPr>
                <w:noProof/>
                <w:webHidden/>
              </w:rPr>
              <w:tab/>
            </w:r>
            <w:r w:rsidR="00930DC0">
              <w:rPr>
                <w:noProof/>
                <w:webHidden/>
              </w:rPr>
              <w:fldChar w:fldCharType="begin"/>
            </w:r>
            <w:r w:rsidR="00930DC0">
              <w:rPr>
                <w:noProof/>
                <w:webHidden/>
              </w:rPr>
              <w:instrText xml:space="preserve"> PAGEREF _Toc212150907 \h </w:instrText>
            </w:r>
            <w:r w:rsidR="00930DC0">
              <w:rPr>
                <w:noProof/>
                <w:webHidden/>
              </w:rPr>
            </w:r>
            <w:r w:rsidR="00930DC0">
              <w:rPr>
                <w:noProof/>
                <w:webHidden/>
              </w:rPr>
              <w:fldChar w:fldCharType="separate"/>
            </w:r>
            <w:r w:rsidR="00930DC0">
              <w:rPr>
                <w:noProof/>
                <w:webHidden/>
              </w:rPr>
              <w:t>3</w:t>
            </w:r>
            <w:r w:rsidR="00930DC0">
              <w:rPr>
                <w:noProof/>
                <w:webHidden/>
              </w:rPr>
              <w:fldChar w:fldCharType="end"/>
            </w:r>
          </w:hyperlink>
        </w:p>
        <w:p w14:paraId="194FC31B" w14:textId="368B5F7B" w:rsidR="00930DC0" w:rsidRDefault="00930DC0">
          <w:pPr>
            <w:pStyle w:val="TOC1"/>
            <w:tabs>
              <w:tab w:val="right" w:leader="dot" w:pos="9016"/>
            </w:tabs>
            <w:rPr>
              <w:rFonts w:eastAsiaTheme="minorEastAsia"/>
              <w:noProof/>
              <w:sz w:val="24"/>
              <w:szCs w:val="24"/>
              <w:lang w:eastAsia="en-GB"/>
            </w:rPr>
          </w:pPr>
          <w:hyperlink w:anchor="_Toc212150908" w:history="1">
            <w:r w:rsidRPr="009D7B93">
              <w:rPr>
                <w:rStyle w:val="Hyperlink"/>
                <w:rFonts w:ascii="Arial" w:hAnsi="Arial" w:cs="Arial"/>
                <w:b/>
                <w:bCs/>
                <w:noProof/>
              </w:rPr>
              <w:t>1. Theoretical Framework</w:t>
            </w:r>
            <w:r>
              <w:rPr>
                <w:noProof/>
                <w:webHidden/>
              </w:rPr>
              <w:tab/>
            </w:r>
            <w:r>
              <w:rPr>
                <w:noProof/>
                <w:webHidden/>
              </w:rPr>
              <w:fldChar w:fldCharType="begin"/>
            </w:r>
            <w:r>
              <w:rPr>
                <w:noProof/>
                <w:webHidden/>
              </w:rPr>
              <w:instrText xml:space="preserve"> PAGEREF _Toc212150908 \h </w:instrText>
            </w:r>
            <w:r>
              <w:rPr>
                <w:noProof/>
                <w:webHidden/>
              </w:rPr>
            </w:r>
            <w:r>
              <w:rPr>
                <w:noProof/>
                <w:webHidden/>
              </w:rPr>
              <w:fldChar w:fldCharType="separate"/>
            </w:r>
            <w:r>
              <w:rPr>
                <w:noProof/>
                <w:webHidden/>
              </w:rPr>
              <w:t>4</w:t>
            </w:r>
            <w:r>
              <w:rPr>
                <w:noProof/>
                <w:webHidden/>
              </w:rPr>
              <w:fldChar w:fldCharType="end"/>
            </w:r>
          </w:hyperlink>
        </w:p>
        <w:p w14:paraId="23FC9FE1" w14:textId="330F4D3E" w:rsidR="00930DC0" w:rsidRDefault="00930DC0">
          <w:pPr>
            <w:pStyle w:val="TOC1"/>
            <w:tabs>
              <w:tab w:val="right" w:leader="dot" w:pos="9016"/>
            </w:tabs>
            <w:rPr>
              <w:rFonts w:eastAsiaTheme="minorEastAsia"/>
              <w:noProof/>
              <w:sz w:val="24"/>
              <w:szCs w:val="24"/>
              <w:lang w:eastAsia="en-GB"/>
            </w:rPr>
          </w:pPr>
          <w:hyperlink w:anchor="_Toc212150909" w:history="1">
            <w:r w:rsidRPr="009D7B93">
              <w:rPr>
                <w:rStyle w:val="Hyperlink"/>
                <w:rFonts w:ascii="Arial" w:hAnsi="Arial" w:cs="Arial"/>
                <w:b/>
                <w:bCs/>
                <w:noProof/>
              </w:rPr>
              <w:t>2. Task 1 – Macro Environment Analysis</w:t>
            </w:r>
            <w:r>
              <w:rPr>
                <w:noProof/>
                <w:webHidden/>
              </w:rPr>
              <w:tab/>
            </w:r>
            <w:r>
              <w:rPr>
                <w:noProof/>
                <w:webHidden/>
              </w:rPr>
              <w:fldChar w:fldCharType="begin"/>
            </w:r>
            <w:r>
              <w:rPr>
                <w:noProof/>
                <w:webHidden/>
              </w:rPr>
              <w:instrText xml:space="preserve"> PAGEREF _Toc212150909 \h </w:instrText>
            </w:r>
            <w:r>
              <w:rPr>
                <w:noProof/>
                <w:webHidden/>
              </w:rPr>
            </w:r>
            <w:r>
              <w:rPr>
                <w:noProof/>
                <w:webHidden/>
              </w:rPr>
              <w:fldChar w:fldCharType="separate"/>
            </w:r>
            <w:r>
              <w:rPr>
                <w:noProof/>
                <w:webHidden/>
              </w:rPr>
              <w:t>5</w:t>
            </w:r>
            <w:r>
              <w:rPr>
                <w:noProof/>
                <w:webHidden/>
              </w:rPr>
              <w:fldChar w:fldCharType="end"/>
            </w:r>
          </w:hyperlink>
        </w:p>
        <w:p w14:paraId="2D8E2FA4" w14:textId="0EB6C8DA" w:rsidR="00930DC0" w:rsidRDefault="00930DC0">
          <w:pPr>
            <w:pStyle w:val="TOC2"/>
            <w:tabs>
              <w:tab w:val="right" w:leader="dot" w:pos="9016"/>
            </w:tabs>
            <w:rPr>
              <w:rFonts w:eastAsiaTheme="minorEastAsia"/>
              <w:noProof/>
              <w:sz w:val="24"/>
              <w:szCs w:val="24"/>
              <w:lang w:eastAsia="en-GB"/>
            </w:rPr>
          </w:pPr>
          <w:hyperlink w:anchor="_Toc212150910" w:history="1">
            <w:r w:rsidRPr="009D7B93">
              <w:rPr>
                <w:rStyle w:val="Hyperlink"/>
                <w:rFonts w:ascii="Arial" w:hAnsi="Arial" w:cs="Arial"/>
                <w:b/>
                <w:bCs/>
                <w:noProof/>
              </w:rPr>
              <w:t>2.1 Factor 1: Technological Change</w:t>
            </w:r>
            <w:r>
              <w:rPr>
                <w:noProof/>
                <w:webHidden/>
              </w:rPr>
              <w:tab/>
            </w:r>
            <w:r>
              <w:rPr>
                <w:noProof/>
                <w:webHidden/>
              </w:rPr>
              <w:fldChar w:fldCharType="begin"/>
            </w:r>
            <w:r>
              <w:rPr>
                <w:noProof/>
                <w:webHidden/>
              </w:rPr>
              <w:instrText xml:space="preserve"> PAGEREF _Toc212150910 \h </w:instrText>
            </w:r>
            <w:r>
              <w:rPr>
                <w:noProof/>
                <w:webHidden/>
              </w:rPr>
            </w:r>
            <w:r>
              <w:rPr>
                <w:noProof/>
                <w:webHidden/>
              </w:rPr>
              <w:fldChar w:fldCharType="separate"/>
            </w:r>
            <w:r>
              <w:rPr>
                <w:noProof/>
                <w:webHidden/>
              </w:rPr>
              <w:t>5</w:t>
            </w:r>
            <w:r>
              <w:rPr>
                <w:noProof/>
                <w:webHidden/>
              </w:rPr>
              <w:fldChar w:fldCharType="end"/>
            </w:r>
          </w:hyperlink>
        </w:p>
        <w:p w14:paraId="42C66332" w14:textId="6F19B6A2" w:rsidR="00930DC0" w:rsidRDefault="00930DC0">
          <w:pPr>
            <w:pStyle w:val="TOC2"/>
            <w:tabs>
              <w:tab w:val="right" w:leader="dot" w:pos="9016"/>
            </w:tabs>
            <w:rPr>
              <w:rFonts w:eastAsiaTheme="minorEastAsia"/>
              <w:noProof/>
              <w:sz w:val="24"/>
              <w:szCs w:val="24"/>
              <w:lang w:eastAsia="en-GB"/>
            </w:rPr>
          </w:pPr>
          <w:hyperlink w:anchor="_Toc212150911" w:history="1">
            <w:r w:rsidRPr="009D7B93">
              <w:rPr>
                <w:rStyle w:val="Hyperlink"/>
                <w:rFonts w:ascii="Arial" w:hAnsi="Arial" w:cs="Arial"/>
                <w:b/>
                <w:bCs/>
                <w:noProof/>
              </w:rPr>
              <w:t>2.2 Factor 2: Political and Regulatory Change</w:t>
            </w:r>
            <w:r>
              <w:rPr>
                <w:noProof/>
                <w:webHidden/>
              </w:rPr>
              <w:tab/>
            </w:r>
            <w:r>
              <w:rPr>
                <w:noProof/>
                <w:webHidden/>
              </w:rPr>
              <w:fldChar w:fldCharType="begin"/>
            </w:r>
            <w:r>
              <w:rPr>
                <w:noProof/>
                <w:webHidden/>
              </w:rPr>
              <w:instrText xml:space="preserve"> PAGEREF _Toc212150911 \h </w:instrText>
            </w:r>
            <w:r>
              <w:rPr>
                <w:noProof/>
                <w:webHidden/>
              </w:rPr>
            </w:r>
            <w:r>
              <w:rPr>
                <w:noProof/>
                <w:webHidden/>
              </w:rPr>
              <w:fldChar w:fldCharType="separate"/>
            </w:r>
            <w:r>
              <w:rPr>
                <w:noProof/>
                <w:webHidden/>
              </w:rPr>
              <w:t>7</w:t>
            </w:r>
            <w:r>
              <w:rPr>
                <w:noProof/>
                <w:webHidden/>
              </w:rPr>
              <w:fldChar w:fldCharType="end"/>
            </w:r>
          </w:hyperlink>
        </w:p>
        <w:p w14:paraId="4FD84CFB" w14:textId="0141555F" w:rsidR="00930DC0" w:rsidRDefault="00930DC0">
          <w:pPr>
            <w:pStyle w:val="TOC1"/>
            <w:tabs>
              <w:tab w:val="right" w:leader="dot" w:pos="9016"/>
            </w:tabs>
            <w:rPr>
              <w:rFonts w:eastAsiaTheme="minorEastAsia"/>
              <w:noProof/>
              <w:sz w:val="24"/>
              <w:szCs w:val="24"/>
              <w:lang w:eastAsia="en-GB"/>
            </w:rPr>
          </w:pPr>
          <w:hyperlink w:anchor="_Toc212150912" w:history="1">
            <w:r w:rsidRPr="009D7B93">
              <w:rPr>
                <w:rStyle w:val="Hyperlink"/>
                <w:rFonts w:ascii="Arial" w:hAnsi="Arial" w:cs="Arial"/>
                <w:b/>
                <w:bCs/>
                <w:noProof/>
              </w:rPr>
              <w:t>3. Task 2 – Strategic Responses</w:t>
            </w:r>
            <w:r>
              <w:rPr>
                <w:noProof/>
                <w:webHidden/>
              </w:rPr>
              <w:tab/>
            </w:r>
            <w:r>
              <w:rPr>
                <w:noProof/>
                <w:webHidden/>
              </w:rPr>
              <w:fldChar w:fldCharType="begin"/>
            </w:r>
            <w:r>
              <w:rPr>
                <w:noProof/>
                <w:webHidden/>
              </w:rPr>
              <w:instrText xml:space="preserve"> PAGEREF _Toc212150912 \h </w:instrText>
            </w:r>
            <w:r>
              <w:rPr>
                <w:noProof/>
                <w:webHidden/>
              </w:rPr>
            </w:r>
            <w:r>
              <w:rPr>
                <w:noProof/>
                <w:webHidden/>
              </w:rPr>
              <w:fldChar w:fldCharType="separate"/>
            </w:r>
            <w:r>
              <w:rPr>
                <w:noProof/>
                <w:webHidden/>
              </w:rPr>
              <w:t>9</w:t>
            </w:r>
            <w:r>
              <w:rPr>
                <w:noProof/>
                <w:webHidden/>
              </w:rPr>
              <w:fldChar w:fldCharType="end"/>
            </w:r>
          </w:hyperlink>
        </w:p>
        <w:p w14:paraId="380E0E87" w14:textId="155A38E8" w:rsidR="00930DC0" w:rsidRDefault="00930DC0">
          <w:pPr>
            <w:pStyle w:val="TOC2"/>
            <w:tabs>
              <w:tab w:val="right" w:leader="dot" w:pos="9016"/>
            </w:tabs>
            <w:rPr>
              <w:rFonts w:eastAsiaTheme="minorEastAsia"/>
              <w:noProof/>
              <w:sz w:val="24"/>
              <w:szCs w:val="24"/>
              <w:lang w:eastAsia="en-GB"/>
            </w:rPr>
          </w:pPr>
          <w:hyperlink w:anchor="_Toc212150913" w:history="1">
            <w:r w:rsidRPr="009D7B93">
              <w:rPr>
                <w:rStyle w:val="Hyperlink"/>
                <w:rFonts w:ascii="Arial" w:hAnsi="Arial" w:cs="Arial"/>
                <w:b/>
                <w:bCs/>
                <w:noProof/>
              </w:rPr>
              <w:t>3.1 Responses to Technological Change</w:t>
            </w:r>
            <w:r>
              <w:rPr>
                <w:noProof/>
                <w:webHidden/>
              </w:rPr>
              <w:tab/>
            </w:r>
            <w:r>
              <w:rPr>
                <w:noProof/>
                <w:webHidden/>
              </w:rPr>
              <w:fldChar w:fldCharType="begin"/>
            </w:r>
            <w:r>
              <w:rPr>
                <w:noProof/>
                <w:webHidden/>
              </w:rPr>
              <w:instrText xml:space="preserve"> PAGEREF _Toc212150913 \h </w:instrText>
            </w:r>
            <w:r>
              <w:rPr>
                <w:noProof/>
                <w:webHidden/>
              </w:rPr>
            </w:r>
            <w:r>
              <w:rPr>
                <w:noProof/>
                <w:webHidden/>
              </w:rPr>
              <w:fldChar w:fldCharType="separate"/>
            </w:r>
            <w:r>
              <w:rPr>
                <w:noProof/>
                <w:webHidden/>
              </w:rPr>
              <w:t>10</w:t>
            </w:r>
            <w:r>
              <w:rPr>
                <w:noProof/>
                <w:webHidden/>
              </w:rPr>
              <w:fldChar w:fldCharType="end"/>
            </w:r>
          </w:hyperlink>
        </w:p>
        <w:p w14:paraId="0E50269D" w14:textId="30457FDF" w:rsidR="00930DC0" w:rsidRDefault="00930DC0">
          <w:pPr>
            <w:pStyle w:val="TOC2"/>
            <w:tabs>
              <w:tab w:val="right" w:leader="dot" w:pos="9016"/>
            </w:tabs>
            <w:rPr>
              <w:rFonts w:eastAsiaTheme="minorEastAsia"/>
              <w:noProof/>
              <w:sz w:val="24"/>
              <w:szCs w:val="24"/>
              <w:lang w:eastAsia="en-GB"/>
            </w:rPr>
          </w:pPr>
          <w:hyperlink w:anchor="_Toc212150914" w:history="1">
            <w:r w:rsidRPr="009D7B93">
              <w:rPr>
                <w:rStyle w:val="Hyperlink"/>
                <w:rFonts w:ascii="Arial" w:hAnsi="Arial" w:cs="Arial"/>
                <w:b/>
                <w:bCs/>
                <w:noProof/>
              </w:rPr>
              <w:t>3.2 Responses to Political and Regulatory Change</w:t>
            </w:r>
            <w:r>
              <w:rPr>
                <w:noProof/>
                <w:webHidden/>
              </w:rPr>
              <w:tab/>
            </w:r>
            <w:r>
              <w:rPr>
                <w:noProof/>
                <w:webHidden/>
              </w:rPr>
              <w:fldChar w:fldCharType="begin"/>
            </w:r>
            <w:r>
              <w:rPr>
                <w:noProof/>
                <w:webHidden/>
              </w:rPr>
              <w:instrText xml:space="preserve"> PAGEREF _Toc212150914 \h </w:instrText>
            </w:r>
            <w:r>
              <w:rPr>
                <w:noProof/>
                <w:webHidden/>
              </w:rPr>
            </w:r>
            <w:r>
              <w:rPr>
                <w:noProof/>
                <w:webHidden/>
              </w:rPr>
              <w:fldChar w:fldCharType="separate"/>
            </w:r>
            <w:r>
              <w:rPr>
                <w:noProof/>
                <w:webHidden/>
              </w:rPr>
              <w:t>12</w:t>
            </w:r>
            <w:r>
              <w:rPr>
                <w:noProof/>
                <w:webHidden/>
              </w:rPr>
              <w:fldChar w:fldCharType="end"/>
            </w:r>
          </w:hyperlink>
        </w:p>
        <w:p w14:paraId="33E61925" w14:textId="4D683EE3" w:rsidR="00930DC0" w:rsidRDefault="00930DC0">
          <w:pPr>
            <w:pStyle w:val="TOC2"/>
            <w:tabs>
              <w:tab w:val="right" w:leader="dot" w:pos="9016"/>
            </w:tabs>
            <w:rPr>
              <w:rFonts w:eastAsiaTheme="minorEastAsia"/>
              <w:noProof/>
              <w:sz w:val="24"/>
              <w:szCs w:val="24"/>
              <w:lang w:eastAsia="en-GB"/>
            </w:rPr>
          </w:pPr>
          <w:hyperlink w:anchor="_Toc212150915" w:history="1">
            <w:r w:rsidRPr="009D7B93">
              <w:rPr>
                <w:rStyle w:val="Hyperlink"/>
                <w:rFonts w:ascii="Arial" w:hAnsi="Arial" w:cs="Arial"/>
                <w:b/>
                <w:bCs/>
                <w:noProof/>
              </w:rPr>
              <w:t>3.3 Comparative Evaluation</w:t>
            </w:r>
            <w:r>
              <w:rPr>
                <w:noProof/>
                <w:webHidden/>
              </w:rPr>
              <w:tab/>
            </w:r>
            <w:r>
              <w:rPr>
                <w:noProof/>
                <w:webHidden/>
              </w:rPr>
              <w:fldChar w:fldCharType="begin"/>
            </w:r>
            <w:r>
              <w:rPr>
                <w:noProof/>
                <w:webHidden/>
              </w:rPr>
              <w:instrText xml:space="preserve"> PAGEREF _Toc212150915 \h </w:instrText>
            </w:r>
            <w:r>
              <w:rPr>
                <w:noProof/>
                <w:webHidden/>
              </w:rPr>
            </w:r>
            <w:r>
              <w:rPr>
                <w:noProof/>
                <w:webHidden/>
              </w:rPr>
              <w:fldChar w:fldCharType="separate"/>
            </w:r>
            <w:r>
              <w:rPr>
                <w:noProof/>
                <w:webHidden/>
              </w:rPr>
              <w:t>13</w:t>
            </w:r>
            <w:r>
              <w:rPr>
                <w:noProof/>
                <w:webHidden/>
              </w:rPr>
              <w:fldChar w:fldCharType="end"/>
            </w:r>
          </w:hyperlink>
        </w:p>
        <w:p w14:paraId="1D5F7E8E" w14:textId="6F52CEC3" w:rsidR="00930DC0" w:rsidRDefault="00930DC0">
          <w:pPr>
            <w:pStyle w:val="TOC1"/>
            <w:tabs>
              <w:tab w:val="right" w:leader="dot" w:pos="9016"/>
            </w:tabs>
            <w:rPr>
              <w:rFonts w:eastAsiaTheme="minorEastAsia"/>
              <w:noProof/>
              <w:sz w:val="24"/>
              <w:szCs w:val="24"/>
              <w:lang w:eastAsia="en-GB"/>
            </w:rPr>
          </w:pPr>
          <w:hyperlink w:anchor="_Toc212150916" w:history="1">
            <w:r w:rsidRPr="009D7B9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_Toc212150916 \h </w:instrText>
            </w:r>
            <w:r>
              <w:rPr>
                <w:noProof/>
                <w:webHidden/>
              </w:rPr>
            </w:r>
            <w:r>
              <w:rPr>
                <w:noProof/>
                <w:webHidden/>
              </w:rPr>
              <w:fldChar w:fldCharType="separate"/>
            </w:r>
            <w:r>
              <w:rPr>
                <w:noProof/>
                <w:webHidden/>
              </w:rPr>
              <w:t>14</w:t>
            </w:r>
            <w:r>
              <w:rPr>
                <w:noProof/>
                <w:webHidden/>
              </w:rPr>
              <w:fldChar w:fldCharType="end"/>
            </w:r>
          </w:hyperlink>
        </w:p>
        <w:p w14:paraId="7386C674" w14:textId="79CCAC8D" w:rsidR="00930DC0" w:rsidRDefault="00930DC0">
          <w:pPr>
            <w:pStyle w:val="TOC1"/>
            <w:tabs>
              <w:tab w:val="right" w:leader="dot" w:pos="9016"/>
            </w:tabs>
            <w:rPr>
              <w:rFonts w:eastAsiaTheme="minorEastAsia"/>
              <w:noProof/>
              <w:sz w:val="24"/>
              <w:szCs w:val="24"/>
              <w:lang w:eastAsia="en-GB"/>
            </w:rPr>
          </w:pPr>
          <w:hyperlink w:anchor="_Toc212150917" w:history="1">
            <w:r w:rsidRPr="009D7B93">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_Toc212150917 \h </w:instrText>
            </w:r>
            <w:r>
              <w:rPr>
                <w:noProof/>
                <w:webHidden/>
              </w:rPr>
            </w:r>
            <w:r>
              <w:rPr>
                <w:noProof/>
                <w:webHidden/>
              </w:rPr>
              <w:fldChar w:fldCharType="separate"/>
            </w:r>
            <w:r>
              <w:rPr>
                <w:noProof/>
                <w:webHidden/>
              </w:rPr>
              <w:t>16</w:t>
            </w:r>
            <w:r>
              <w:rPr>
                <w:noProof/>
                <w:webHidden/>
              </w:rPr>
              <w:fldChar w:fldCharType="end"/>
            </w:r>
          </w:hyperlink>
        </w:p>
        <w:p w14:paraId="3F0E8475" w14:textId="14784B2D" w:rsidR="00AB1DE3" w:rsidRPr="001A7A1F" w:rsidRDefault="00AB1DE3" w:rsidP="009F4C16">
          <w:pPr>
            <w:spacing w:line="360" w:lineRule="auto"/>
            <w:jc w:val="both"/>
          </w:pPr>
          <w:r w:rsidRPr="00F44E08">
            <w:rPr>
              <w:rFonts w:ascii="Arial" w:hAnsi="Arial" w:cs="Arial"/>
              <w:noProof/>
              <w:sz w:val="24"/>
              <w:szCs w:val="24"/>
            </w:rPr>
            <w:fldChar w:fldCharType="end"/>
          </w:r>
        </w:p>
      </w:sdtContent>
    </w:sdt>
    <w:p w14:paraId="6B1F462A" w14:textId="77777777" w:rsidR="0095016F" w:rsidRDefault="0095016F" w:rsidP="00AB1DE3">
      <w:pPr>
        <w:spacing w:before="120" w:after="120"/>
        <w:rPr>
          <w:rFonts w:ascii="Arial" w:hAnsi="Arial" w:cs="Arial"/>
          <w:b/>
          <w:sz w:val="30"/>
          <w:szCs w:val="30"/>
        </w:rPr>
      </w:pPr>
    </w:p>
    <w:p w14:paraId="04829531" w14:textId="483BD8FC" w:rsidR="0095016F" w:rsidRPr="00AB1DE3" w:rsidRDefault="0095016F" w:rsidP="00AB1DE3">
      <w:pPr>
        <w:pStyle w:val="Heading1"/>
        <w:rPr>
          <w:rFonts w:ascii="Arial" w:hAnsi="Arial" w:cs="Arial"/>
          <w:b/>
          <w:bCs/>
          <w:color w:val="000000" w:themeColor="text1"/>
          <w:sz w:val="30"/>
          <w:szCs w:val="30"/>
        </w:rPr>
      </w:pPr>
      <w:r w:rsidRPr="00AB1DE3">
        <w:rPr>
          <w:rFonts w:ascii="Arial" w:hAnsi="Arial" w:cs="Arial"/>
          <w:b/>
          <w:bCs/>
          <w:color w:val="000000" w:themeColor="text1"/>
          <w:sz w:val="30"/>
          <w:szCs w:val="30"/>
        </w:rPr>
        <w:br w:type="page"/>
      </w:r>
      <w:bookmarkStart w:id="0" w:name="_Toc212150907"/>
      <w:r w:rsidRPr="00AB1DE3">
        <w:rPr>
          <w:rFonts w:ascii="Arial" w:hAnsi="Arial" w:cs="Arial"/>
          <w:b/>
          <w:bCs/>
          <w:color w:val="000000" w:themeColor="text1"/>
          <w:sz w:val="30"/>
          <w:szCs w:val="30"/>
        </w:rPr>
        <w:lastRenderedPageBreak/>
        <w:t>Introduction</w:t>
      </w:r>
      <w:bookmarkEnd w:id="0"/>
      <w:r w:rsidRPr="00AB1DE3">
        <w:rPr>
          <w:rFonts w:ascii="Arial" w:hAnsi="Arial" w:cs="Arial"/>
          <w:b/>
          <w:bCs/>
          <w:color w:val="000000" w:themeColor="text1"/>
          <w:sz w:val="30"/>
          <w:szCs w:val="30"/>
        </w:rPr>
        <w:t xml:space="preserve"> </w:t>
      </w:r>
    </w:p>
    <w:p w14:paraId="4753A68F" w14:textId="77777777" w:rsidR="00AB1DE3" w:rsidRDefault="00AB1DE3" w:rsidP="00561F4A">
      <w:pPr>
        <w:pStyle w:val="NoSpacing"/>
        <w:spacing w:line="360" w:lineRule="auto"/>
        <w:jc w:val="both"/>
        <w:rPr>
          <w:rFonts w:ascii="Arial" w:hAnsi="Arial" w:cs="Arial"/>
          <w:sz w:val="24"/>
          <w:szCs w:val="24"/>
        </w:rPr>
      </w:pPr>
    </w:p>
    <w:p w14:paraId="2D2D70BB" w14:textId="62C1FEAA" w:rsidR="00561F4A" w:rsidRPr="00561F4A" w:rsidRDefault="00561F4A" w:rsidP="00561F4A">
      <w:pPr>
        <w:pStyle w:val="NoSpacing"/>
        <w:spacing w:line="360" w:lineRule="auto"/>
        <w:jc w:val="both"/>
        <w:rPr>
          <w:rFonts w:ascii="Arial" w:hAnsi="Arial" w:cs="Arial"/>
          <w:sz w:val="24"/>
          <w:szCs w:val="24"/>
        </w:rPr>
      </w:pPr>
      <w:r w:rsidRPr="00561F4A">
        <w:rPr>
          <w:rFonts w:ascii="Arial" w:hAnsi="Arial" w:cs="Arial"/>
          <w:sz w:val="24"/>
          <w:szCs w:val="24"/>
        </w:rPr>
        <w:t>The purpose of this assignment is to critically examine how changes in the macro marketing environment influence strategic decision-making in organisations. A particular focus will be placed on the contrasting strategies of pioneer and follower firms, with the analysis centred on the United Kingdom’s banking and financial technology (fintech) sector. This sector is particularly relevant as it is undergoing significant transformation driven by regulatory change, technological disruption, and evolving consumer behaviour.</w:t>
      </w:r>
    </w:p>
    <w:p w14:paraId="434A722D" w14:textId="77777777" w:rsidR="00561F4A" w:rsidRPr="00561F4A" w:rsidRDefault="00561F4A" w:rsidP="00561F4A">
      <w:pPr>
        <w:pStyle w:val="NoSpacing"/>
        <w:spacing w:line="360" w:lineRule="auto"/>
        <w:jc w:val="both"/>
        <w:rPr>
          <w:rFonts w:ascii="Arial" w:hAnsi="Arial" w:cs="Arial"/>
          <w:sz w:val="24"/>
          <w:szCs w:val="24"/>
        </w:rPr>
      </w:pPr>
    </w:p>
    <w:p w14:paraId="1A0B03B0" w14:textId="1F37F521" w:rsidR="00561F4A" w:rsidRPr="00561F4A" w:rsidRDefault="00561F4A" w:rsidP="00561F4A">
      <w:pPr>
        <w:pStyle w:val="NoSpacing"/>
        <w:spacing w:line="360" w:lineRule="auto"/>
        <w:jc w:val="both"/>
        <w:rPr>
          <w:rFonts w:ascii="Arial" w:hAnsi="Arial" w:cs="Arial"/>
          <w:sz w:val="24"/>
          <w:szCs w:val="24"/>
        </w:rPr>
      </w:pPr>
      <w:r w:rsidRPr="00561F4A">
        <w:rPr>
          <w:rFonts w:ascii="Arial" w:hAnsi="Arial" w:cs="Arial"/>
          <w:sz w:val="24"/>
          <w:szCs w:val="24"/>
        </w:rPr>
        <w:t xml:space="preserve">The macro marketing environment refers to the external forces that impact organisations but remain largely outside their control. These forces are commonly analysed through the </w:t>
      </w:r>
      <w:r w:rsidRPr="00561F4A">
        <w:rPr>
          <w:rFonts w:ascii="Arial" w:hAnsi="Arial" w:cs="Arial"/>
          <w:b/>
          <w:bCs/>
          <w:sz w:val="24"/>
          <w:szCs w:val="24"/>
        </w:rPr>
        <w:t>PESTLE framework</w:t>
      </w:r>
      <w:r w:rsidRPr="00561F4A">
        <w:rPr>
          <w:rFonts w:ascii="Arial" w:hAnsi="Arial" w:cs="Arial"/>
          <w:sz w:val="24"/>
          <w:szCs w:val="24"/>
        </w:rPr>
        <w:t>: Political, Economic, Social, Technological, Legal, and Environmental factors (Johnson et al., 2020). Understanding these external dynamics enables firms to anticipate both opportunities and threats, ensuring long-term competitiveness (Kotler et al., 201</w:t>
      </w:r>
      <w:r w:rsidR="004F14EA">
        <w:rPr>
          <w:rFonts w:ascii="Arial" w:hAnsi="Arial" w:cs="Arial"/>
          <w:sz w:val="24"/>
          <w:szCs w:val="24"/>
        </w:rPr>
        <w:t>6</w:t>
      </w:r>
      <w:r w:rsidRPr="00561F4A">
        <w:rPr>
          <w:rFonts w:ascii="Arial" w:hAnsi="Arial" w:cs="Arial"/>
          <w:sz w:val="24"/>
          <w:szCs w:val="24"/>
        </w:rPr>
        <w:t>).</w:t>
      </w:r>
    </w:p>
    <w:p w14:paraId="33993A86" w14:textId="77777777" w:rsidR="00561F4A" w:rsidRPr="00561F4A" w:rsidRDefault="00561F4A" w:rsidP="00561F4A">
      <w:pPr>
        <w:pStyle w:val="NoSpacing"/>
        <w:spacing w:line="360" w:lineRule="auto"/>
        <w:jc w:val="both"/>
        <w:rPr>
          <w:rFonts w:ascii="Arial" w:hAnsi="Arial" w:cs="Arial"/>
          <w:sz w:val="24"/>
          <w:szCs w:val="24"/>
        </w:rPr>
      </w:pPr>
    </w:p>
    <w:p w14:paraId="41A00A98" w14:textId="783F0F14" w:rsidR="00561F4A" w:rsidRDefault="00CB2DD4" w:rsidP="00561F4A">
      <w:pPr>
        <w:pStyle w:val="NoSpacing"/>
        <w:spacing w:line="360" w:lineRule="auto"/>
        <w:jc w:val="both"/>
        <w:rPr>
          <w:rFonts w:ascii="Arial" w:hAnsi="Arial" w:cs="Arial"/>
          <w:sz w:val="24"/>
          <w:szCs w:val="24"/>
        </w:rPr>
      </w:pPr>
      <w:r w:rsidRPr="00CB2DD4">
        <w:rPr>
          <w:rFonts w:ascii="Arial" w:hAnsi="Arial" w:cs="Arial"/>
          <w:sz w:val="24"/>
          <w:szCs w:val="24"/>
        </w:rPr>
        <w:t xml:space="preserve">In marketing strategy, companies can be divided into two groups: </w:t>
      </w:r>
      <w:r w:rsidRPr="00CB2DD4">
        <w:rPr>
          <w:rFonts w:ascii="Arial" w:hAnsi="Arial" w:cs="Arial"/>
          <w:b/>
          <w:bCs/>
          <w:sz w:val="24"/>
          <w:szCs w:val="24"/>
        </w:rPr>
        <w:t>pioneers</w:t>
      </w:r>
      <w:r w:rsidRPr="00CB2DD4">
        <w:rPr>
          <w:rFonts w:ascii="Arial" w:hAnsi="Arial" w:cs="Arial"/>
          <w:sz w:val="24"/>
          <w:szCs w:val="24"/>
        </w:rPr>
        <w:t xml:space="preserve"> and </w:t>
      </w:r>
      <w:r w:rsidRPr="00CB2DD4">
        <w:rPr>
          <w:rFonts w:ascii="Arial" w:hAnsi="Arial" w:cs="Arial"/>
          <w:b/>
          <w:bCs/>
          <w:sz w:val="24"/>
          <w:szCs w:val="24"/>
        </w:rPr>
        <w:t>followers</w:t>
      </w:r>
      <w:r w:rsidRPr="00CB2DD4">
        <w:rPr>
          <w:rFonts w:ascii="Arial" w:hAnsi="Arial" w:cs="Arial"/>
          <w:sz w:val="24"/>
          <w:szCs w:val="24"/>
        </w:rPr>
        <w:t>.  Pioneers, also known as first movers, are companies that come up with new ideas, open up new markets, and get a head start on the competition.  Followers, on the other hand, come in later and learn from the triumphs and failures of pioneers. They often use imitation or differentiation methods to get a piece of the market.  There are pros and cons to each role, especially when things outside of the company change quickly (Ghezzi, 2013).</w:t>
      </w:r>
    </w:p>
    <w:p w14:paraId="75A696A2" w14:textId="77777777" w:rsidR="00CB2DD4" w:rsidRPr="00561F4A" w:rsidRDefault="00CB2DD4" w:rsidP="00561F4A">
      <w:pPr>
        <w:pStyle w:val="NoSpacing"/>
        <w:spacing w:line="360" w:lineRule="auto"/>
        <w:jc w:val="both"/>
        <w:rPr>
          <w:rFonts w:ascii="Arial" w:hAnsi="Arial" w:cs="Arial"/>
          <w:sz w:val="24"/>
          <w:szCs w:val="24"/>
        </w:rPr>
      </w:pPr>
    </w:p>
    <w:p w14:paraId="45F2535E" w14:textId="77777777" w:rsidR="00CB2DD4" w:rsidRDefault="00BD2DEE" w:rsidP="00561F4A">
      <w:pPr>
        <w:pStyle w:val="NoSpacing"/>
        <w:spacing w:line="360" w:lineRule="auto"/>
        <w:jc w:val="both"/>
        <w:rPr>
          <w:rFonts w:ascii="Arial" w:hAnsi="Arial" w:cs="Arial"/>
          <w:sz w:val="24"/>
          <w:szCs w:val="24"/>
        </w:rPr>
      </w:pPr>
      <w:r>
        <w:rPr>
          <w:noProof/>
        </w:rPr>
        <w:drawing>
          <wp:anchor distT="0" distB="0" distL="114300" distR="114300" simplePos="0" relativeHeight="251658240" behindDoc="0" locked="0" layoutInCell="1" allowOverlap="1" wp14:anchorId="6B8A4943" wp14:editId="041ECD48">
            <wp:simplePos x="0" y="0"/>
            <wp:positionH relativeFrom="margin">
              <wp:posOffset>114300</wp:posOffset>
            </wp:positionH>
            <wp:positionV relativeFrom="paragraph">
              <wp:posOffset>119380</wp:posOffset>
            </wp:positionV>
            <wp:extent cx="2358390" cy="1571625"/>
            <wp:effectExtent l="133350" t="114300" r="137160" b="161925"/>
            <wp:wrapSquare wrapText="bothSides"/>
            <wp:docPr id="2126684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84421" name="Picture 2126684421"/>
                    <pic:cNvPicPr/>
                  </pic:nvPicPr>
                  <pic:blipFill>
                    <a:blip r:embed="rId9"/>
                    <a:stretch>
                      <a:fillRect/>
                    </a:stretch>
                  </pic:blipFill>
                  <pic:spPr>
                    <a:xfrm>
                      <a:off x="0" y="0"/>
                      <a:ext cx="2358390" cy="1571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B2DD4" w:rsidRPr="00CB2DD4">
        <w:rPr>
          <w:rFonts w:ascii="Arial" w:hAnsi="Arial" w:cs="Arial"/>
          <w:sz w:val="24"/>
          <w:szCs w:val="24"/>
        </w:rPr>
        <w:t xml:space="preserve">The UK banking and fintech sector is the subject of this paper. </w:t>
      </w:r>
      <w:r w:rsidR="00CB2DD4" w:rsidRPr="00CB2DD4">
        <w:rPr>
          <w:rFonts w:ascii="Arial" w:hAnsi="Arial" w:cs="Arial"/>
          <w:b/>
          <w:bCs/>
          <w:sz w:val="24"/>
          <w:szCs w:val="24"/>
        </w:rPr>
        <w:t>Monzo</w:t>
      </w:r>
      <w:r w:rsidR="00CB2DD4" w:rsidRPr="00CB2DD4">
        <w:rPr>
          <w:rFonts w:ascii="Arial" w:hAnsi="Arial" w:cs="Arial"/>
          <w:sz w:val="24"/>
          <w:szCs w:val="24"/>
        </w:rPr>
        <w:t xml:space="preserve"> is </w:t>
      </w:r>
      <w:proofErr w:type="spellStart"/>
      <w:r w:rsidR="00CB2DD4" w:rsidRPr="00CB2DD4">
        <w:rPr>
          <w:rFonts w:ascii="Arial" w:hAnsi="Arial" w:cs="Arial"/>
          <w:sz w:val="24"/>
          <w:szCs w:val="24"/>
        </w:rPr>
        <w:t>analyzed</w:t>
      </w:r>
      <w:proofErr w:type="spellEnd"/>
      <w:r w:rsidR="00CB2DD4" w:rsidRPr="00CB2DD4">
        <w:rPr>
          <w:rFonts w:ascii="Arial" w:hAnsi="Arial" w:cs="Arial"/>
          <w:sz w:val="24"/>
          <w:szCs w:val="24"/>
        </w:rPr>
        <w:t xml:space="preserve"> as a leader in digital-first banking, while </w:t>
      </w:r>
      <w:r w:rsidR="00CB2DD4" w:rsidRPr="00CB2DD4">
        <w:rPr>
          <w:rFonts w:ascii="Arial" w:hAnsi="Arial" w:cs="Arial"/>
          <w:b/>
          <w:bCs/>
          <w:sz w:val="24"/>
          <w:szCs w:val="24"/>
        </w:rPr>
        <w:t>Barclays</w:t>
      </w:r>
      <w:r w:rsidR="00CB2DD4" w:rsidRPr="00CB2DD4">
        <w:rPr>
          <w:rFonts w:ascii="Arial" w:hAnsi="Arial" w:cs="Arial"/>
          <w:sz w:val="24"/>
          <w:szCs w:val="24"/>
        </w:rPr>
        <w:t xml:space="preserve"> and </w:t>
      </w:r>
      <w:r w:rsidR="00CB2DD4" w:rsidRPr="00CB2DD4">
        <w:rPr>
          <w:rFonts w:ascii="Arial" w:hAnsi="Arial" w:cs="Arial"/>
          <w:b/>
          <w:bCs/>
          <w:sz w:val="24"/>
          <w:szCs w:val="24"/>
        </w:rPr>
        <w:t>HSBC</w:t>
      </w:r>
      <w:r w:rsidR="00CB2DD4" w:rsidRPr="00CB2DD4">
        <w:rPr>
          <w:rFonts w:ascii="Arial" w:hAnsi="Arial" w:cs="Arial"/>
          <w:sz w:val="24"/>
          <w:szCs w:val="24"/>
        </w:rPr>
        <w:t xml:space="preserve"> are viewed as followers that are modifying conventional banking structures.  A theoretical overview, a critical assessment of two macroenvironmental elements, a discussion of pioneers' and </w:t>
      </w:r>
      <w:r w:rsidR="00CB2DD4" w:rsidRPr="00CB2DD4">
        <w:rPr>
          <w:rFonts w:ascii="Arial" w:hAnsi="Arial" w:cs="Arial"/>
          <w:sz w:val="24"/>
          <w:szCs w:val="24"/>
        </w:rPr>
        <w:lastRenderedPageBreak/>
        <w:t>followers' strategic reactions, and a conclusion will comprise the format of the investigation.</w:t>
      </w:r>
    </w:p>
    <w:p w14:paraId="71F3ED72" w14:textId="2B5DBB97" w:rsidR="00BB16C9" w:rsidRDefault="00AB1DE3" w:rsidP="00561F4A">
      <w:pPr>
        <w:pStyle w:val="NoSpacing"/>
        <w:spacing w:line="360" w:lineRule="auto"/>
        <w:jc w:val="both"/>
        <w:rPr>
          <w:rFonts w:ascii="Arial" w:hAnsi="Arial" w:cs="Arial"/>
          <w:sz w:val="24"/>
          <w:szCs w:val="24"/>
        </w:rPr>
      </w:pPr>
      <w:r>
        <w:rPr>
          <w:rFonts w:ascii="Arial" w:hAnsi="Arial" w:cs="Arial"/>
          <w:sz w:val="24"/>
          <w:szCs w:val="24"/>
        </w:rPr>
        <w:tab/>
      </w:r>
    </w:p>
    <w:p w14:paraId="021D116E" w14:textId="0EC8370D" w:rsidR="00AB1DE3" w:rsidRPr="00AB1DE3" w:rsidRDefault="00D83400" w:rsidP="00AB1DE3">
      <w:pPr>
        <w:pStyle w:val="Heading1"/>
        <w:rPr>
          <w:rFonts w:ascii="Arial" w:hAnsi="Arial" w:cs="Arial"/>
          <w:b/>
          <w:bCs/>
          <w:color w:val="000000" w:themeColor="text1"/>
          <w:sz w:val="30"/>
          <w:szCs w:val="30"/>
        </w:rPr>
      </w:pPr>
      <w:bookmarkStart w:id="1" w:name="_Toc212150908"/>
      <w:r>
        <w:rPr>
          <w:rFonts w:ascii="Arial" w:hAnsi="Arial" w:cs="Arial"/>
          <w:b/>
          <w:bCs/>
          <w:color w:val="000000" w:themeColor="text1"/>
          <w:sz w:val="30"/>
          <w:szCs w:val="30"/>
        </w:rPr>
        <w:t>1</w:t>
      </w:r>
      <w:r w:rsidR="00841880">
        <w:rPr>
          <w:rFonts w:ascii="Arial" w:hAnsi="Arial" w:cs="Arial"/>
          <w:b/>
          <w:bCs/>
          <w:color w:val="000000" w:themeColor="text1"/>
          <w:sz w:val="30"/>
          <w:szCs w:val="30"/>
        </w:rPr>
        <w:t xml:space="preserve">. </w:t>
      </w:r>
      <w:r w:rsidR="00AB1DE3" w:rsidRPr="00AB1DE3">
        <w:rPr>
          <w:rFonts w:ascii="Arial" w:hAnsi="Arial" w:cs="Arial"/>
          <w:b/>
          <w:bCs/>
          <w:color w:val="000000" w:themeColor="text1"/>
          <w:sz w:val="30"/>
          <w:szCs w:val="30"/>
        </w:rPr>
        <w:t>Theoretical Framework</w:t>
      </w:r>
      <w:bookmarkEnd w:id="1"/>
    </w:p>
    <w:p w14:paraId="30324C08" w14:textId="77777777" w:rsidR="00AB1DE3" w:rsidRPr="00AB1DE3" w:rsidRDefault="00AB1DE3" w:rsidP="00AB1DE3">
      <w:pPr>
        <w:pStyle w:val="NoSpacing"/>
        <w:spacing w:line="360" w:lineRule="auto"/>
        <w:jc w:val="both"/>
        <w:rPr>
          <w:rFonts w:ascii="Arial" w:hAnsi="Arial" w:cs="Arial"/>
          <w:sz w:val="24"/>
          <w:szCs w:val="24"/>
        </w:rPr>
      </w:pPr>
    </w:p>
    <w:p w14:paraId="149B99AF" w14:textId="4B9EF3EA" w:rsidR="00AB1DE3" w:rsidRPr="00AB1DE3" w:rsidRDefault="00AB1DE3" w:rsidP="00AB1DE3">
      <w:pPr>
        <w:pStyle w:val="NoSpacing"/>
        <w:spacing w:line="360" w:lineRule="auto"/>
        <w:jc w:val="both"/>
        <w:rPr>
          <w:rFonts w:ascii="Arial" w:hAnsi="Arial" w:cs="Arial"/>
          <w:sz w:val="24"/>
          <w:szCs w:val="24"/>
        </w:rPr>
      </w:pPr>
      <w:r w:rsidRPr="00AB1DE3">
        <w:rPr>
          <w:rFonts w:ascii="Arial" w:hAnsi="Arial" w:cs="Arial"/>
          <w:sz w:val="24"/>
          <w:szCs w:val="24"/>
        </w:rPr>
        <w:t xml:space="preserve">The macro marketing environment is a critical consideration in strategic marketing, as it encompasses the external forces that shape an organisation’s ability to compete. A widely adopted tool for examining these forces is the </w:t>
      </w:r>
      <w:r w:rsidRPr="00AB1DE3">
        <w:rPr>
          <w:rFonts w:ascii="Arial" w:hAnsi="Arial" w:cs="Arial"/>
          <w:b/>
          <w:bCs/>
          <w:sz w:val="24"/>
          <w:szCs w:val="24"/>
        </w:rPr>
        <w:t>PESTLE framework</w:t>
      </w:r>
      <w:r w:rsidRPr="00AB1DE3">
        <w:rPr>
          <w:rFonts w:ascii="Arial" w:hAnsi="Arial" w:cs="Arial"/>
          <w:sz w:val="24"/>
          <w:szCs w:val="24"/>
        </w:rPr>
        <w:t>, which considers Political, Economic, Social, Technological, Legal, and Environmental factors (Johnson et al., 2020). Political and legal changes, such as new financial regulations, can directly affect organisational compliance costs, while technological advancements can disrupt entire industries by enabling new entrants and altering consumer expectations. For firms to sustain competitiveness, it is therefore essential to continually monitor and respond to these macro-environmental forces (Kotler et al., 201</w:t>
      </w:r>
      <w:r w:rsidR="00CB2DD4">
        <w:rPr>
          <w:rFonts w:ascii="Arial" w:hAnsi="Arial" w:cs="Arial"/>
          <w:sz w:val="24"/>
          <w:szCs w:val="24"/>
        </w:rPr>
        <w:t>6</w:t>
      </w:r>
      <w:r w:rsidRPr="00AB1DE3">
        <w:rPr>
          <w:rFonts w:ascii="Arial" w:hAnsi="Arial" w:cs="Arial"/>
          <w:sz w:val="24"/>
          <w:szCs w:val="24"/>
        </w:rPr>
        <w:t>).</w:t>
      </w:r>
    </w:p>
    <w:p w14:paraId="3063850C" w14:textId="77777777" w:rsidR="00AB1DE3" w:rsidRPr="00AB1DE3" w:rsidRDefault="00AB1DE3" w:rsidP="00AB1DE3">
      <w:pPr>
        <w:pStyle w:val="NoSpacing"/>
        <w:spacing w:line="360" w:lineRule="auto"/>
        <w:jc w:val="both"/>
        <w:rPr>
          <w:rFonts w:ascii="Arial" w:hAnsi="Arial" w:cs="Arial"/>
          <w:sz w:val="24"/>
          <w:szCs w:val="24"/>
        </w:rPr>
      </w:pPr>
    </w:p>
    <w:p w14:paraId="4EACCDB5" w14:textId="6B70783F" w:rsidR="00AB1DE3" w:rsidRDefault="00CB2DD4" w:rsidP="00AB1DE3">
      <w:pPr>
        <w:pStyle w:val="NoSpacing"/>
        <w:spacing w:line="360" w:lineRule="auto"/>
        <w:jc w:val="both"/>
        <w:rPr>
          <w:rFonts w:ascii="Arial" w:hAnsi="Arial" w:cs="Arial"/>
          <w:sz w:val="24"/>
          <w:szCs w:val="24"/>
        </w:rPr>
      </w:pPr>
      <w:r w:rsidRPr="00CB2DD4">
        <w:rPr>
          <w:rFonts w:ascii="Arial" w:hAnsi="Arial" w:cs="Arial"/>
          <w:sz w:val="24"/>
          <w:szCs w:val="24"/>
        </w:rPr>
        <w:t xml:space="preserve">Theories of following and pioneering tactics shed more light on how businesses react to changes in the macroenvironment.  </w:t>
      </w:r>
      <w:r w:rsidRPr="00CB2DD4">
        <w:rPr>
          <w:rFonts w:ascii="Arial" w:hAnsi="Arial" w:cs="Arial"/>
          <w:b/>
          <w:bCs/>
          <w:sz w:val="24"/>
          <w:szCs w:val="24"/>
        </w:rPr>
        <w:t>Pioneers</w:t>
      </w:r>
      <w:r w:rsidRPr="00CB2DD4">
        <w:rPr>
          <w:rFonts w:ascii="Arial" w:hAnsi="Arial" w:cs="Arial"/>
          <w:sz w:val="24"/>
          <w:szCs w:val="24"/>
        </w:rPr>
        <w:t xml:space="preserve">, sometimes referred to as first movers, aim to gain market leadership early on by launching cutting-edge goods, cultivating a devoted following, and acquiring clientele before competitors do.  According to Lieberman and Montgomery (1988), this strategy is linked to the </w:t>
      </w:r>
      <w:r w:rsidRPr="00CB2DD4">
        <w:rPr>
          <w:rFonts w:ascii="Arial" w:hAnsi="Arial" w:cs="Arial"/>
          <w:b/>
          <w:bCs/>
          <w:sz w:val="24"/>
          <w:szCs w:val="24"/>
        </w:rPr>
        <w:t>first-mover advantage</w:t>
      </w:r>
      <w:r w:rsidRPr="00CB2DD4">
        <w:rPr>
          <w:rFonts w:ascii="Arial" w:hAnsi="Arial" w:cs="Arial"/>
          <w:sz w:val="24"/>
          <w:szCs w:val="24"/>
        </w:rPr>
        <w:t>, which can lead to increased profitability through cost leadership and differentiation based on scale and experience.  However, because of the high costs of invention and the high level of market uncertainty, pioneering also entails enormous dangers.</w:t>
      </w:r>
    </w:p>
    <w:p w14:paraId="334B0473" w14:textId="77777777" w:rsidR="00CB2DD4" w:rsidRPr="00AB1DE3" w:rsidRDefault="00CB2DD4" w:rsidP="00AB1DE3">
      <w:pPr>
        <w:pStyle w:val="NoSpacing"/>
        <w:spacing w:line="360" w:lineRule="auto"/>
        <w:jc w:val="both"/>
        <w:rPr>
          <w:rFonts w:ascii="Arial" w:hAnsi="Arial" w:cs="Arial"/>
          <w:sz w:val="24"/>
          <w:szCs w:val="24"/>
        </w:rPr>
      </w:pPr>
    </w:p>
    <w:p w14:paraId="34293CF1" w14:textId="16F569E5" w:rsidR="00AB1DE3" w:rsidRPr="00AB1DE3" w:rsidRDefault="005963AC" w:rsidP="00AB1DE3">
      <w:pPr>
        <w:pStyle w:val="NoSpacing"/>
        <w:spacing w:line="360" w:lineRule="auto"/>
        <w:jc w:val="both"/>
        <w:rPr>
          <w:rFonts w:ascii="Arial" w:hAnsi="Arial" w:cs="Arial"/>
          <w:sz w:val="24"/>
          <w:szCs w:val="24"/>
        </w:rPr>
      </w:pPr>
      <w:r w:rsidRPr="005963AC">
        <w:rPr>
          <w:rFonts w:ascii="Arial" w:hAnsi="Arial" w:cs="Arial"/>
          <w:sz w:val="24"/>
          <w:szCs w:val="24"/>
        </w:rPr>
        <w:t xml:space="preserve">On the other hand, </w:t>
      </w:r>
      <w:r w:rsidRPr="005963AC">
        <w:rPr>
          <w:rFonts w:ascii="Arial" w:hAnsi="Arial" w:cs="Arial"/>
          <w:b/>
          <w:bCs/>
          <w:sz w:val="24"/>
          <w:szCs w:val="24"/>
        </w:rPr>
        <w:t>followers</w:t>
      </w:r>
      <w:r w:rsidRPr="005963AC">
        <w:rPr>
          <w:rFonts w:ascii="Arial" w:hAnsi="Arial" w:cs="Arial"/>
          <w:sz w:val="24"/>
          <w:szCs w:val="24"/>
        </w:rPr>
        <w:t xml:space="preserve"> can learn from the accomplishments and failures of pioneers.  By using a </w:t>
      </w:r>
      <w:r w:rsidRPr="005963AC">
        <w:rPr>
          <w:rFonts w:ascii="Arial" w:hAnsi="Arial" w:cs="Arial"/>
          <w:b/>
          <w:bCs/>
          <w:sz w:val="24"/>
          <w:szCs w:val="24"/>
        </w:rPr>
        <w:t>late-mover strategy</w:t>
      </w:r>
      <w:r w:rsidRPr="005963AC">
        <w:rPr>
          <w:rFonts w:ascii="Arial" w:hAnsi="Arial" w:cs="Arial"/>
          <w:sz w:val="24"/>
          <w:szCs w:val="24"/>
        </w:rPr>
        <w:t>, followers can copy or change new ideas with less risk, and they can also set themselves apart by making little modifications or lowering their prices (Ghezzi, 2013).  The follower position, on the other hand, can have drawbacks like less brand awareness or relying on the market-making efforts of pioneers.</w:t>
      </w:r>
    </w:p>
    <w:p w14:paraId="18FF3607" w14:textId="77777777" w:rsidR="00995CC1" w:rsidRDefault="00AB1DE3" w:rsidP="00AB1DE3">
      <w:pPr>
        <w:pStyle w:val="NoSpacing"/>
        <w:spacing w:line="360" w:lineRule="auto"/>
        <w:jc w:val="both"/>
        <w:rPr>
          <w:rFonts w:ascii="Arial" w:hAnsi="Arial" w:cs="Arial"/>
          <w:sz w:val="24"/>
          <w:szCs w:val="24"/>
        </w:rPr>
      </w:pPr>
      <w:r w:rsidRPr="00AB1DE3">
        <w:rPr>
          <w:rFonts w:ascii="Arial" w:hAnsi="Arial" w:cs="Arial"/>
          <w:sz w:val="24"/>
          <w:szCs w:val="24"/>
        </w:rPr>
        <w:lastRenderedPageBreak/>
        <w:t>Together, PESTLE analysis and the pioneer–follower framework provide a comprehensive theoretical basis for examining how organisations in the UK fintech sector, such as Monzo, Barclays, and HSBC, respond strategically to external macro-environmental forces.</w:t>
      </w:r>
    </w:p>
    <w:p w14:paraId="5301B55C" w14:textId="77777777" w:rsidR="00995CC1" w:rsidRDefault="00995CC1" w:rsidP="00AB1DE3">
      <w:pPr>
        <w:pStyle w:val="NoSpacing"/>
        <w:spacing w:line="360" w:lineRule="auto"/>
        <w:jc w:val="both"/>
        <w:rPr>
          <w:rFonts w:ascii="Arial" w:hAnsi="Arial" w:cs="Arial"/>
          <w:sz w:val="24"/>
          <w:szCs w:val="24"/>
        </w:rPr>
      </w:pPr>
    </w:p>
    <w:p w14:paraId="3FFD0746" w14:textId="13069A1D" w:rsidR="00995CC1" w:rsidRPr="00995CC1" w:rsidRDefault="00D83400" w:rsidP="00995CC1">
      <w:pPr>
        <w:pStyle w:val="Heading1"/>
        <w:rPr>
          <w:rFonts w:ascii="Arial" w:hAnsi="Arial" w:cs="Arial"/>
          <w:b/>
          <w:bCs/>
          <w:color w:val="000000" w:themeColor="text1"/>
          <w:sz w:val="30"/>
          <w:szCs w:val="30"/>
        </w:rPr>
      </w:pPr>
      <w:bookmarkStart w:id="2" w:name="_Toc212150909"/>
      <w:r>
        <w:rPr>
          <w:rFonts w:ascii="Arial" w:hAnsi="Arial" w:cs="Arial"/>
          <w:b/>
          <w:bCs/>
          <w:color w:val="000000" w:themeColor="text1"/>
          <w:sz w:val="30"/>
          <w:szCs w:val="30"/>
        </w:rPr>
        <w:t>2</w:t>
      </w:r>
      <w:r w:rsidR="00995CC1" w:rsidRPr="00995CC1">
        <w:rPr>
          <w:rFonts w:ascii="Arial" w:hAnsi="Arial" w:cs="Arial"/>
          <w:b/>
          <w:bCs/>
          <w:color w:val="000000" w:themeColor="text1"/>
          <w:sz w:val="30"/>
          <w:szCs w:val="30"/>
        </w:rPr>
        <w:t>. Task 1 – Macro Environment Analysis</w:t>
      </w:r>
      <w:bookmarkEnd w:id="2"/>
    </w:p>
    <w:p w14:paraId="7B335564" w14:textId="77777777" w:rsidR="00995CC1" w:rsidRDefault="00995CC1" w:rsidP="00995CC1">
      <w:pPr>
        <w:pStyle w:val="NoSpacing"/>
        <w:spacing w:line="360" w:lineRule="auto"/>
        <w:jc w:val="both"/>
        <w:rPr>
          <w:rFonts w:ascii="Arial" w:hAnsi="Arial" w:cs="Arial"/>
          <w:sz w:val="24"/>
          <w:szCs w:val="24"/>
        </w:rPr>
      </w:pPr>
    </w:p>
    <w:p w14:paraId="30BD971D" w14:textId="2EC200EF" w:rsidR="00160465" w:rsidRPr="00160465" w:rsidRDefault="00D83400" w:rsidP="00160465">
      <w:pPr>
        <w:pStyle w:val="Heading2"/>
        <w:rPr>
          <w:rFonts w:ascii="Arial" w:hAnsi="Arial" w:cs="Arial"/>
          <w:b/>
          <w:bCs/>
          <w:color w:val="000000" w:themeColor="text1"/>
          <w:sz w:val="26"/>
          <w:szCs w:val="26"/>
        </w:rPr>
      </w:pPr>
      <w:bookmarkStart w:id="3" w:name="_Toc212150910"/>
      <w:r>
        <w:rPr>
          <w:rFonts w:ascii="Arial" w:hAnsi="Arial" w:cs="Arial"/>
          <w:b/>
          <w:bCs/>
          <w:color w:val="000000" w:themeColor="text1"/>
          <w:sz w:val="26"/>
          <w:szCs w:val="26"/>
        </w:rPr>
        <w:t>2</w:t>
      </w:r>
      <w:r w:rsidR="00995CC1" w:rsidRPr="00995CC1">
        <w:rPr>
          <w:rFonts w:ascii="Arial" w:hAnsi="Arial" w:cs="Arial"/>
          <w:b/>
          <w:bCs/>
          <w:color w:val="000000" w:themeColor="text1"/>
          <w:sz w:val="26"/>
          <w:szCs w:val="26"/>
        </w:rPr>
        <w:t>.1 Factor 1: Technological Change</w:t>
      </w:r>
      <w:bookmarkEnd w:id="3"/>
    </w:p>
    <w:p w14:paraId="207CD11B" w14:textId="1FA07DB5" w:rsidR="006A061B" w:rsidRDefault="006A061B" w:rsidP="006A061B">
      <w:pPr>
        <w:pStyle w:val="NoSpacing"/>
        <w:spacing w:line="360" w:lineRule="auto"/>
        <w:jc w:val="both"/>
        <w:rPr>
          <w:rFonts w:ascii="Arial" w:hAnsi="Arial" w:cs="Arial"/>
          <w:sz w:val="24"/>
          <w:szCs w:val="24"/>
        </w:rPr>
      </w:pPr>
      <w:r w:rsidRPr="006A061B">
        <w:rPr>
          <w:rFonts w:ascii="Arial" w:hAnsi="Arial" w:cs="Arial"/>
          <w:sz w:val="24"/>
          <w:szCs w:val="24"/>
        </w:rPr>
        <w:t xml:space="preserve">One of the biggest things that changes the financial services business is new technology.  </w:t>
      </w:r>
      <w:r w:rsidRPr="006A061B">
        <w:rPr>
          <w:rFonts w:ascii="Arial" w:hAnsi="Arial" w:cs="Arial"/>
          <w:b/>
          <w:bCs/>
          <w:sz w:val="24"/>
          <w:szCs w:val="24"/>
        </w:rPr>
        <w:t>Digital banking technology</w:t>
      </w:r>
      <w:r w:rsidRPr="006A061B">
        <w:rPr>
          <w:rFonts w:ascii="Arial" w:hAnsi="Arial" w:cs="Arial"/>
          <w:sz w:val="24"/>
          <w:szCs w:val="24"/>
        </w:rPr>
        <w:t>, smartphone apps, artificial intelligence (AI), big data analytics, and open banking platforms have all grown very quickly. This has changed what customers expect and how businesses compete (PwC, 2022).  Technological change can be good or bad for banks, depending on where they are in their business strategy.</w:t>
      </w:r>
    </w:p>
    <w:p w14:paraId="79BC8BFA" w14:textId="77777777" w:rsidR="006A061B" w:rsidRPr="006A061B" w:rsidRDefault="006A061B" w:rsidP="006A061B">
      <w:pPr>
        <w:pStyle w:val="NoSpacing"/>
        <w:spacing w:line="360" w:lineRule="auto"/>
        <w:jc w:val="both"/>
        <w:rPr>
          <w:rFonts w:ascii="Arial" w:hAnsi="Arial" w:cs="Arial"/>
          <w:sz w:val="24"/>
          <w:szCs w:val="24"/>
        </w:rPr>
      </w:pPr>
    </w:p>
    <w:p w14:paraId="7ED8D0B2" w14:textId="77777777" w:rsidR="00707A64" w:rsidRDefault="00707A64" w:rsidP="00160465">
      <w:pPr>
        <w:spacing w:line="360" w:lineRule="auto"/>
        <w:jc w:val="both"/>
        <w:rPr>
          <w:rFonts w:ascii="Arial" w:hAnsi="Arial" w:cs="Arial"/>
          <w:sz w:val="24"/>
          <w:szCs w:val="24"/>
        </w:rPr>
      </w:pPr>
      <w:r w:rsidRPr="00707A64">
        <w:rPr>
          <w:rFonts w:ascii="Arial" w:hAnsi="Arial" w:cs="Arial"/>
          <w:sz w:val="24"/>
          <w:szCs w:val="24"/>
        </w:rPr>
        <w:t xml:space="preserve">For </w:t>
      </w:r>
      <w:r w:rsidRPr="00707A64">
        <w:rPr>
          <w:rFonts w:ascii="Arial" w:hAnsi="Arial" w:cs="Arial"/>
          <w:b/>
          <w:bCs/>
          <w:sz w:val="24"/>
          <w:szCs w:val="24"/>
        </w:rPr>
        <w:t>pioneers</w:t>
      </w:r>
      <w:r w:rsidRPr="00707A64">
        <w:rPr>
          <w:rFonts w:ascii="Arial" w:hAnsi="Arial" w:cs="Arial"/>
          <w:sz w:val="24"/>
          <w:szCs w:val="24"/>
        </w:rPr>
        <w:t xml:space="preserve"> such as Monzo, technological advancement has enabled the creation of a </w:t>
      </w:r>
      <w:r w:rsidRPr="00707A64">
        <w:rPr>
          <w:rFonts w:ascii="Arial" w:hAnsi="Arial" w:cs="Arial"/>
          <w:b/>
          <w:bCs/>
          <w:sz w:val="24"/>
          <w:szCs w:val="24"/>
        </w:rPr>
        <w:t>digital-first banking model</w:t>
      </w:r>
      <w:r w:rsidRPr="00707A64">
        <w:rPr>
          <w:rFonts w:ascii="Arial" w:hAnsi="Arial" w:cs="Arial"/>
          <w:sz w:val="24"/>
          <w:szCs w:val="24"/>
        </w:rPr>
        <w:t>, removing the need for physical branches and delivering cost efficiencies. Monzo leveraged mobile app technology to provide real-time transaction tracking, spending analytics, and instant notifications, features that were largely absent in traditional banking models (Accenture, 2018). These innovations allowed Monzo to quickly attract a younger, digitally savvy customer base that prioritises convenience and transparency. Furthermore, open banking regulations and technological infrastructure allowed Monzo to integrate with third-party providers, offering customers enhanced financial management tools (FCA, 2025). These opportunities strengthened Monzo’s ability to differentiate itself and build brand loyalty as a pioneer.</w:t>
      </w:r>
    </w:p>
    <w:p w14:paraId="079E8739" w14:textId="77777777" w:rsidR="00707A64" w:rsidRPr="00A54068" w:rsidRDefault="00707A64" w:rsidP="00707A64">
      <w:pPr>
        <w:pStyle w:val="NoSpacing"/>
        <w:spacing w:line="360" w:lineRule="auto"/>
        <w:jc w:val="both"/>
        <w:rPr>
          <w:rFonts w:ascii="Arial" w:hAnsi="Arial" w:cs="Arial"/>
          <w:i/>
          <w:iCs/>
          <w:sz w:val="24"/>
          <w:szCs w:val="24"/>
          <w:u w:val="single"/>
        </w:rPr>
      </w:pPr>
      <w:r w:rsidRPr="00A54068">
        <w:rPr>
          <w:rFonts w:ascii="Arial" w:hAnsi="Arial" w:cs="Arial"/>
          <w:i/>
          <w:iCs/>
          <w:sz w:val="24"/>
          <w:szCs w:val="24"/>
          <w:u w:val="single"/>
        </w:rPr>
        <w:t xml:space="preserve">Technological change has also significantly impacted Monzo’s marketing mix </w:t>
      </w:r>
      <w:r w:rsidRPr="00A54068">
        <w:rPr>
          <w:rFonts w:ascii="Arial" w:hAnsi="Arial" w:cs="Arial"/>
          <w:b/>
          <w:bCs/>
          <w:i/>
          <w:iCs/>
          <w:sz w:val="24"/>
          <w:szCs w:val="24"/>
          <w:u w:val="single"/>
        </w:rPr>
        <w:t>(7Ps)</w:t>
      </w:r>
      <w:r w:rsidRPr="00A54068">
        <w:rPr>
          <w:rFonts w:ascii="Arial" w:hAnsi="Arial" w:cs="Arial"/>
          <w:i/>
          <w:iCs/>
          <w:sz w:val="24"/>
          <w:szCs w:val="24"/>
          <w:u w:val="single"/>
        </w:rPr>
        <w:t>.</w:t>
      </w:r>
    </w:p>
    <w:p w14:paraId="67B659AA" w14:textId="77777777" w:rsidR="00707A64" w:rsidRPr="00707A64" w:rsidRDefault="00707A64" w:rsidP="00707A64">
      <w:pPr>
        <w:pStyle w:val="NoSpacing"/>
        <w:spacing w:line="360" w:lineRule="auto"/>
        <w:jc w:val="both"/>
        <w:rPr>
          <w:rFonts w:ascii="Arial" w:hAnsi="Arial" w:cs="Arial"/>
          <w:sz w:val="24"/>
          <w:szCs w:val="24"/>
        </w:rPr>
      </w:pPr>
    </w:p>
    <w:p w14:paraId="21D3FD6C" w14:textId="77777777" w:rsid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t>Product</w:t>
      </w:r>
      <w:r w:rsidRPr="00707A64">
        <w:rPr>
          <w:rFonts w:ascii="Arial" w:hAnsi="Arial" w:cs="Arial"/>
          <w:sz w:val="24"/>
          <w:szCs w:val="24"/>
        </w:rPr>
        <w:t>: Continuous innovation of digital features such as budgeting tools and instant notifications enhances customer experience.</w:t>
      </w:r>
    </w:p>
    <w:p w14:paraId="59EA1C2D" w14:textId="77777777" w:rsid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t>Price</w:t>
      </w:r>
      <w:r w:rsidRPr="00707A64">
        <w:rPr>
          <w:rFonts w:ascii="Arial" w:hAnsi="Arial" w:cs="Arial"/>
          <w:sz w:val="24"/>
          <w:szCs w:val="24"/>
        </w:rPr>
        <w:t>: Technology enables low operational costs, allowing competitive pricing with minimal or zero account fees.</w:t>
      </w:r>
    </w:p>
    <w:p w14:paraId="443C04F7" w14:textId="77777777" w:rsid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lastRenderedPageBreak/>
        <w:t>Place</w:t>
      </w:r>
      <w:r w:rsidRPr="00707A64">
        <w:rPr>
          <w:rFonts w:ascii="Arial" w:hAnsi="Arial" w:cs="Arial"/>
          <w:sz w:val="24"/>
          <w:szCs w:val="24"/>
        </w:rPr>
        <w:t>: The app-based model eliminates physical locations, offering 24/7 accessibility.</w:t>
      </w:r>
    </w:p>
    <w:p w14:paraId="00F9DAFB" w14:textId="77777777" w:rsid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t>Promotion</w:t>
      </w:r>
      <w:r w:rsidRPr="00707A64">
        <w:rPr>
          <w:rFonts w:ascii="Arial" w:hAnsi="Arial" w:cs="Arial"/>
          <w:sz w:val="24"/>
          <w:szCs w:val="24"/>
        </w:rPr>
        <w:t>: Monzo uses social media and digital word-of-mouth campaigns rather than traditional advertising.</w:t>
      </w:r>
    </w:p>
    <w:p w14:paraId="42B8BB04" w14:textId="77777777" w:rsid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t>People</w:t>
      </w:r>
      <w:r w:rsidRPr="00707A64">
        <w:rPr>
          <w:rFonts w:ascii="Arial" w:hAnsi="Arial" w:cs="Arial"/>
          <w:sz w:val="24"/>
          <w:szCs w:val="24"/>
        </w:rPr>
        <w:t>: Customer service is supported through chatbots and responsive app-based support.</w:t>
      </w:r>
    </w:p>
    <w:p w14:paraId="5C21343D" w14:textId="77777777" w:rsid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t>Process</w:t>
      </w:r>
      <w:r w:rsidRPr="00707A64">
        <w:rPr>
          <w:rFonts w:ascii="Arial" w:hAnsi="Arial" w:cs="Arial"/>
          <w:sz w:val="24"/>
          <w:szCs w:val="24"/>
        </w:rPr>
        <w:t>: Technology automates onboarding, loan approvals, and account management, improving efficiency.</w:t>
      </w:r>
    </w:p>
    <w:p w14:paraId="26CBA493" w14:textId="3A049051" w:rsidR="00707A64" w:rsidRPr="00707A64" w:rsidRDefault="00707A64" w:rsidP="00707A64">
      <w:pPr>
        <w:pStyle w:val="NoSpacing"/>
        <w:numPr>
          <w:ilvl w:val="0"/>
          <w:numId w:val="3"/>
        </w:numPr>
        <w:spacing w:line="360" w:lineRule="auto"/>
        <w:jc w:val="both"/>
        <w:rPr>
          <w:rFonts w:ascii="Arial" w:hAnsi="Arial" w:cs="Arial"/>
          <w:sz w:val="24"/>
          <w:szCs w:val="24"/>
        </w:rPr>
      </w:pPr>
      <w:r w:rsidRPr="00707A64">
        <w:rPr>
          <w:rFonts w:ascii="Arial" w:hAnsi="Arial" w:cs="Arial"/>
          <w:b/>
          <w:bCs/>
          <w:sz w:val="24"/>
          <w:szCs w:val="24"/>
        </w:rPr>
        <w:t>Physical Evidence</w:t>
      </w:r>
      <w:r w:rsidRPr="00707A64">
        <w:rPr>
          <w:rFonts w:ascii="Arial" w:hAnsi="Arial" w:cs="Arial"/>
          <w:sz w:val="24"/>
          <w:szCs w:val="24"/>
        </w:rPr>
        <w:t>: The mobile interface and brand design (e.g., coral card) reinforce a modern, tech-driven identity.</w:t>
      </w:r>
    </w:p>
    <w:p w14:paraId="5F55BC14" w14:textId="77777777" w:rsidR="00707A64" w:rsidRDefault="00707A64" w:rsidP="00160465">
      <w:pPr>
        <w:spacing w:line="360" w:lineRule="auto"/>
        <w:jc w:val="both"/>
        <w:rPr>
          <w:rFonts w:ascii="Arial" w:hAnsi="Arial" w:cs="Arial"/>
          <w:sz w:val="24"/>
          <w:szCs w:val="24"/>
        </w:rPr>
      </w:pPr>
    </w:p>
    <w:p w14:paraId="161E6D6D" w14:textId="77777777" w:rsidR="006A061B" w:rsidRDefault="006A061B" w:rsidP="006A061B">
      <w:pPr>
        <w:pStyle w:val="NoSpacing"/>
        <w:spacing w:line="360" w:lineRule="auto"/>
        <w:jc w:val="both"/>
        <w:rPr>
          <w:rFonts w:ascii="Arial" w:hAnsi="Arial" w:cs="Arial"/>
          <w:sz w:val="24"/>
          <w:szCs w:val="24"/>
        </w:rPr>
      </w:pPr>
      <w:r w:rsidRPr="006A061B">
        <w:rPr>
          <w:rFonts w:ascii="Arial" w:hAnsi="Arial" w:cs="Arial"/>
          <w:sz w:val="24"/>
          <w:szCs w:val="24"/>
        </w:rPr>
        <w:t>Nonetheless, pioneering entails technological hazards.  Substantial initial development expenses, cybersecurity risks, and the difficulty of extending technological infrastructure pose considerable concerns.  Monzo disclosed significant operating losses attributed to extensive investments in technology and user acquisition, prompting inquiries regarding long-term profitability (Monzo, 2022).  Moreover, the rapid pace of technology advancement necessitates that leading companies continuously innovate to avoid being surpassed by emerging competitors.</w:t>
      </w:r>
    </w:p>
    <w:p w14:paraId="2827F7DA" w14:textId="77777777" w:rsidR="006A061B" w:rsidRPr="006A061B" w:rsidRDefault="006A061B" w:rsidP="006A061B">
      <w:pPr>
        <w:pStyle w:val="NoSpacing"/>
        <w:spacing w:line="360" w:lineRule="auto"/>
        <w:jc w:val="both"/>
        <w:rPr>
          <w:rFonts w:ascii="Arial" w:hAnsi="Arial" w:cs="Arial"/>
          <w:sz w:val="24"/>
          <w:szCs w:val="24"/>
        </w:rPr>
      </w:pPr>
    </w:p>
    <w:p w14:paraId="7D23D64C" w14:textId="53203858" w:rsidR="00707A64" w:rsidRDefault="00707A64" w:rsidP="00160465">
      <w:pPr>
        <w:spacing w:line="360" w:lineRule="auto"/>
        <w:jc w:val="both"/>
        <w:rPr>
          <w:rFonts w:ascii="Arial" w:hAnsi="Arial" w:cs="Arial"/>
          <w:sz w:val="24"/>
          <w:szCs w:val="24"/>
        </w:rPr>
      </w:pPr>
      <w:r w:rsidRPr="00707A64">
        <w:rPr>
          <w:rFonts w:ascii="Arial" w:hAnsi="Arial" w:cs="Arial"/>
          <w:sz w:val="24"/>
          <w:szCs w:val="24"/>
        </w:rPr>
        <w:t xml:space="preserve">For </w:t>
      </w:r>
      <w:r w:rsidRPr="00707A64">
        <w:rPr>
          <w:rFonts w:ascii="Arial" w:hAnsi="Arial" w:cs="Arial"/>
          <w:b/>
          <w:bCs/>
          <w:sz w:val="24"/>
          <w:szCs w:val="24"/>
        </w:rPr>
        <w:t>followers</w:t>
      </w:r>
      <w:r w:rsidRPr="00707A64">
        <w:rPr>
          <w:rFonts w:ascii="Arial" w:hAnsi="Arial" w:cs="Arial"/>
          <w:sz w:val="24"/>
          <w:szCs w:val="24"/>
        </w:rPr>
        <w:t xml:space="preserve"> such as Barclays and HSBC, technological change initially posed a threat, as digital-first competitors disrupted traditional banking models. Customers began to perceive legacy banks as outdated, with slower processes and less user-friendly platforms (Deloitte, 2023). However, followers benefited from the late-mover </w:t>
      </w:r>
      <w:r w:rsidRPr="00707A64">
        <w:rPr>
          <w:rFonts w:ascii="Arial" w:hAnsi="Arial" w:cs="Arial"/>
          <w:b/>
          <w:bCs/>
          <w:sz w:val="24"/>
          <w:szCs w:val="24"/>
        </w:rPr>
        <w:t>advantage</w:t>
      </w:r>
      <w:r w:rsidRPr="00707A64">
        <w:rPr>
          <w:rFonts w:ascii="Arial" w:hAnsi="Arial" w:cs="Arial"/>
          <w:sz w:val="24"/>
          <w:szCs w:val="24"/>
        </w:rPr>
        <w:t xml:space="preserve"> by adopting proven technologies and leveraging their larger financial resources. Both Barclays and HSBC have since invested heavily in digital transformation, developing advanced mobile banking apps, AI-driven customer service, and blockchain-based payment systems. These moves allowed them to retain customer bases while modernising services.</w:t>
      </w:r>
    </w:p>
    <w:p w14:paraId="76908837" w14:textId="77777777" w:rsidR="00A54068" w:rsidRPr="00A54068" w:rsidRDefault="00A54068" w:rsidP="00A54068">
      <w:pPr>
        <w:pStyle w:val="NoSpacing"/>
        <w:spacing w:line="360" w:lineRule="auto"/>
        <w:jc w:val="both"/>
        <w:rPr>
          <w:rFonts w:ascii="Arial" w:hAnsi="Arial" w:cs="Arial"/>
          <w:i/>
          <w:iCs/>
          <w:sz w:val="24"/>
          <w:szCs w:val="24"/>
          <w:u w:val="single"/>
        </w:rPr>
      </w:pPr>
      <w:r w:rsidRPr="00A54068">
        <w:rPr>
          <w:rFonts w:ascii="Arial" w:hAnsi="Arial" w:cs="Arial"/>
          <w:i/>
          <w:iCs/>
          <w:sz w:val="24"/>
          <w:szCs w:val="24"/>
          <w:u w:val="single"/>
        </w:rPr>
        <w:t xml:space="preserve">For followers, technological innovation also reshaped their </w:t>
      </w:r>
      <w:r w:rsidRPr="00A54068">
        <w:rPr>
          <w:rFonts w:ascii="Arial" w:hAnsi="Arial" w:cs="Arial"/>
          <w:b/>
          <w:bCs/>
          <w:i/>
          <w:iCs/>
          <w:sz w:val="24"/>
          <w:szCs w:val="24"/>
          <w:u w:val="single"/>
        </w:rPr>
        <w:t>7Ps</w:t>
      </w:r>
      <w:r w:rsidRPr="00A54068">
        <w:rPr>
          <w:rFonts w:ascii="Arial" w:hAnsi="Arial" w:cs="Arial"/>
          <w:i/>
          <w:iCs/>
          <w:sz w:val="24"/>
          <w:szCs w:val="24"/>
          <w:u w:val="single"/>
        </w:rPr>
        <w:t>:</w:t>
      </w:r>
    </w:p>
    <w:p w14:paraId="21C69075" w14:textId="77777777" w:rsidR="00A54068" w:rsidRPr="00A54068" w:rsidRDefault="00A54068" w:rsidP="00A54068">
      <w:pPr>
        <w:pStyle w:val="NoSpacing"/>
        <w:spacing w:line="360" w:lineRule="auto"/>
        <w:jc w:val="both"/>
        <w:rPr>
          <w:rFonts w:ascii="Arial" w:hAnsi="Arial" w:cs="Arial"/>
          <w:sz w:val="24"/>
          <w:szCs w:val="24"/>
        </w:rPr>
      </w:pPr>
    </w:p>
    <w:p w14:paraId="0C987B02" w14:textId="77777777" w:rsid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t>Product</w:t>
      </w:r>
      <w:r w:rsidRPr="00A54068">
        <w:rPr>
          <w:rFonts w:ascii="Arial" w:hAnsi="Arial" w:cs="Arial"/>
          <w:sz w:val="24"/>
          <w:szCs w:val="24"/>
        </w:rPr>
        <w:t>: Enhanced mobile apps and digital investment tools to match fintech offerings.</w:t>
      </w:r>
    </w:p>
    <w:p w14:paraId="7863CF6E" w14:textId="77777777" w:rsid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lastRenderedPageBreak/>
        <w:t>Price</w:t>
      </w:r>
      <w:r w:rsidRPr="00A54068">
        <w:rPr>
          <w:rFonts w:ascii="Arial" w:hAnsi="Arial" w:cs="Arial"/>
          <w:sz w:val="24"/>
          <w:szCs w:val="24"/>
        </w:rPr>
        <w:t>: Competitive interest rates and reduced transaction fees to retain customers.</w:t>
      </w:r>
    </w:p>
    <w:p w14:paraId="6438EAD9" w14:textId="77777777" w:rsid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t>Place</w:t>
      </w:r>
      <w:r w:rsidRPr="00A54068">
        <w:rPr>
          <w:rFonts w:ascii="Arial" w:hAnsi="Arial" w:cs="Arial"/>
          <w:sz w:val="24"/>
          <w:szCs w:val="24"/>
        </w:rPr>
        <w:t>: Hybrid model combining online and in-branch services for accessibility.</w:t>
      </w:r>
    </w:p>
    <w:p w14:paraId="07DB7826" w14:textId="77777777" w:rsid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t>Promotion</w:t>
      </w:r>
      <w:r w:rsidRPr="00A54068">
        <w:rPr>
          <w:rFonts w:ascii="Arial" w:hAnsi="Arial" w:cs="Arial"/>
          <w:sz w:val="24"/>
          <w:szCs w:val="24"/>
        </w:rPr>
        <w:t>: Focused on trust, reliability, and innovation in digital campaigns.</w:t>
      </w:r>
    </w:p>
    <w:p w14:paraId="49D5C019" w14:textId="77777777" w:rsid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t>People</w:t>
      </w:r>
      <w:r w:rsidRPr="00A54068">
        <w:rPr>
          <w:rFonts w:ascii="Arial" w:hAnsi="Arial" w:cs="Arial"/>
          <w:sz w:val="24"/>
          <w:szCs w:val="24"/>
        </w:rPr>
        <w:t>: Training staff for digital interaction and customer service.</w:t>
      </w:r>
    </w:p>
    <w:p w14:paraId="17917451" w14:textId="77777777" w:rsid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t>Process</w:t>
      </w:r>
      <w:r w:rsidRPr="00A54068">
        <w:rPr>
          <w:rFonts w:ascii="Arial" w:hAnsi="Arial" w:cs="Arial"/>
          <w:sz w:val="24"/>
          <w:szCs w:val="24"/>
        </w:rPr>
        <w:t>: Gradual digitalisation of internal systems, though limited by legacy infrastructure.</w:t>
      </w:r>
    </w:p>
    <w:p w14:paraId="2DF88C4A" w14:textId="4AED959D" w:rsidR="00A54068" w:rsidRPr="00A54068" w:rsidRDefault="00A54068" w:rsidP="00A54068">
      <w:pPr>
        <w:pStyle w:val="NoSpacing"/>
        <w:numPr>
          <w:ilvl w:val="0"/>
          <w:numId w:val="4"/>
        </w:numPr>
        <w:spacing w:line="360" w:lineRule="auto"/>
        <w:jc w:val="both"/>
        <w:rPr>
          <w:rFonts w:ascii="Arial" w:hAnsi="Arial" w:cs="Arial"/>
          <w:sz w:val="24"/>
          <w:szCs w:val="24"/>
        </w:rPr>
      </w:pPr>
      <w:r w:rsidRPr="00A54068">
        <w:rPr>
          <w:rFonts w:ascii="Arial" w:hAnsi="Arial" w:cs="Arial"/>
          <w:b/>
          <w:bCs/>
          <w:sz w:val="24"/>
          <w:szCs w:val="24"/>
        </w:rPr>
        <w:t>Physical Evidence</w:t>
      </w:r>
      <w:r w:rsidRPr="00A54068">
        <w:rPr>
          <w:rFonts w:ascii="Arial" w:hAnsi="Arial" w:cs="Arial"/>
          <w:sz w:val="24"/>
          <w:szCs w:val="24"/>
        </w:rPr>
        <w:t>: Modernised branches and intuitive mobile interfaces reflect brand transformation.</w:t>
      </w:r>
    </w:p>
    <w:p w14:paraId="343AD83E" w14:textId="77777777" w:rsidR="00A54068" w:rsidRDefault="00A54068" w:rsidP="00160465">
      <w:pPr>
        <w:spacing w:line="360" w:lineRule="auto"/>
        <w:jc w:val="both"/>
        <w:rPr>
          <w:rFonts w:ascii="Arial" w:hAnsi="Arial" w:cs="Arial"/>
          <w:sz w:val="24"/>
          <w:szCs w:val="24"/>
        </w:rPr>
      </w:pPr>
    </w:p>
    <w:p w14:paraId="1E461EF0" w14:textId="3EB155F1" w:rsidR="00160465" w:rsidRPr="00160465" w:rsidRDefault="00160465" w:rsidP="00160465">
      <w:pPr>
        <w:spacing w:line="360" w:lineRule="auto"/>
        <w:jc w:val="both"/>
        <w:rPr>
          <w:rFonts w:ascii="Arial" w:hAnsi="Arial" w:cs="Arial"/>
          <w:sz w:val="24"/>
          <w:szCs w:val="24"/>
        </w:rPr>
      </w:pPr>
      <w:r w:rsidRPr="00160465">
        <w:rPr>
          <w:rFonts w:ascii="Arial" w:hAnsi="Arial" w:cs="Arial"/>
          <w:sz w:val="24"/>
          <w:szCs w:val="24"/>
        </w:rPr>
        <w:t>Nevertheless, challenges remain. Legacy systems and organisational inertia limit the speed at which followers can implement technological change. For instance, HSBC has struggled with integrating new technologies across its global operations due to complex IT infrastructures (EY, 202</w:t>
      </w:r>
      <w:r w:rsidR="0055448C">
        <w:rPr>
          <w:rFonts w:ascii="Arial" w:hAnsi="Arial" w:cs="Arial"/>
          <w:sz w:val="24"/>
          <w:szCs w:val="24"/>
        </w:rPr>
        <w:t>1</w:t>
      </w:r>
      <w:r w:rsidRPr="00160465">
        <w:rPr>
          <w:rFonts w:ascii="Arial" w:hAnsi="Arial" w:cs="Arial"/>
          <w:sz w:val="24"/>
          <w:szCs w:val="24"/>
        </w:rPr>
        <w:t>). Moreover, by following pioneers, these banks may struggle to differentiate themselves meaningfully, often relying on price competitiveness or brand trust rather than innovation.</w:t>
      </w:r>
    </w:p>
    <w:p w14:paraId="0866F224" w14:textId="3D218C08" w:rsidR="00160465" w:rsidRDefault="00A54068" w:rsidP="00267E4E">
      <w:pPr>
        <w:spacing w:line="360" w:lineRule="auto"/>
        <w:jc w:val="both"/>
        <w:rPr>
          <w:rFonts w:ascii="Arial" w:hAnsi="Arial" w:cs="Arial"/>
          <w:sz w:val="24"/>
          <w:szCs w:val="24"/>
        </w:rPr>
      </w:pPr>
      <w:r w:rsidRPr="00A54068">
        <w:rPr>
          <w:rFonts w:ascii="Arial" w:hAnsi="Arial" w:cs="Arial"/>
          <w:sz w:val="24"/>
          <w:szCs w:val="24"/>
        </w:rPr>
        <w:t>In summary, technological change creates opportunities for pioneers like Monzo to innovate and challenge incumbents through agile use of the 7Ps, while followers like Barclays and HSBC use scale to enhance their marketing mix strategically. The risk for pioneers lies in sustaining innovation profitably, whereas followers must balance modernisation with legacy constraints.</w:t>
      </w:r>
    </w:p>
    <w:p w14:paraId="3E73A567" w14:textId="77777777" w:rsidR="00A54068" w:rsidRDefault="00A54068" w:rsidP="00267E4E">
      <w:pPr>
        <w:spacing w:line="360" w:lineRule="auto"/>
        <w:jc w:val="both"/>
        <w:rPr>
          <w:rFonts w:ascii="Arial" w:hAnsi="Arial" w:cs="Arial"/>
          <w:sz w:val="24"/>
          <w:szCs w:val="24"/>
        </w:rPr>
      </w:pPr>
    </w:p>
    <w:p w14:paraId="3CA403EE" w14:textId="246518D0" w:rsidR="00160465" w:rsidRPr="00160465" w:rsidRDefault="00D83400" w:rsidP="00160465">
      <w:pPr>
        <w:pStyle w:val="Heading2"/>
        <w:rPr>
          <w:rFonts w:ascii="Arial" w:hAnsi="Arial" w:cs="Arial"/>
          <w:b/>
          <w:bCs/>
          <w:color w:val="000000" w:themeColor="text1"/>
          <w:sz w:val="26"/>
          <w:szCs w:val="26"/>
        </w:rPr>
      </w:pPr>
      <w:bookmarkStart w:id="4" w:name="_Toc212150911"/>
      <w:r>
        <w:rPr>
          <w:rFonts w:ascii="Arial" w:hAnsi="Arial" w:cs="Arial"/>
          <w:b/>
          <w:bCs/>
          <w:color w:val="000000" w:themeColor="text1"/>
          <w:sz w:val="26"/>
          <w:szCs w:val="26"/>
        </w:rPr>
        <w:t>2</w:t>
      </w:r>
      <w:r w:rsidR="00160465" w:rsidRPr="00160465">
        <w:rPr>
          <w:rFonts w:ascii="Arial" w:hAnsi="Arial" w:cs="Arial"/>
          <w:b/>
          <w:bCs/>
          <w:color w:val="000000" w:themeColor="text1"/>
          <w:sz w:val="26"/>
          <w:szCs w:val="26"/>
        </w:rPr>
        <w:t>.2 Factor 2: Political and Regulatory Change</w:t>
      </w:r>
      <w:bookmarkEnd w:id="4"/>
      <w:r w:rsidR="00160465" w:rsidRPr="00160465">
        <w:rPr>
          <w:rFonts w:ascii="Arial" w:hAnsi="Arial" w:cs="Arial"/>
          <w:b/>
          <w:bCs/>
          <w:color w:val="000000" w:themeColor="text1"/>
          <w:sz w:val="26"/>
          <w:szCs w:val="26"/>
        </w:rPr>
        <w:t xml:space="preserve"> </w:t>
      </w:r>
    </w:p>
    <w:p w14:paraId="5A7EF667" w14:textId="669E9245" w:rsidR="00EC2286" w:rsidRDefault="006A061B" w:rsidP="00160465">
      <w:pPr>
        <w:pStyle w:val="NoSpacing"/>
        <w:spacing w:line="360" w:lineRule="auto"/>
        <w:jc w:val="both"/>
        <w:rPr>
          <w:rFonts w:ascii="Arial" w:hAnsi="Arial" w:cs="Arial"/>
          <w:sz w:val="24"/>
          <w:szCs w:val="24"/>
        </w:rPr>
      </w:pPr>
      <w:r w:rsidRPr="006A061B">
        <w:rPr>
          <w:rFonts w:ascii="Arial" w:hAnsi="Arial" w:cs="Arial"/>
          <w:sz w:val="24"/>
          <w:szCs w:val="24"/>
        </w:rPr>
        <w:t xml:space="preserve">The financial services sector is one of the most stringently regulated industries, rendering political and regulatory alterations a pivotal macro-environmental element.  In the UK, regulatory frameworks include the </w:t>
      </w:r>
      <w:r w:rsidRPr="006A061B">
        <w:rPr>
          <w:rFonts w:ascii="Arial" w:hAnsi="Arial" w:cs="Arial"/>
          <w:b/>
          <w:bCs/>
          <w:sz w:val="24"/>
          <w:szCs w:val="24"/>
        </w:rPr>
        <w:t>Financial Conduct Authority (FCA)</w:t>
      </w:r>
      <w:r w:rsidRPr="006A061B">
        <w:rPr>
          <w:rFonts w:ascii="Arial" w:hAnsi="Arial" w:cs="Arial"/>
          <w:sz w:val="24"/>
          <w:szCs w:val="24"/>
        </w:rPr>
        <w:t xml:space="preserve"> regulations, </w:t>
      </w:r>
      <w:r w:rsidRPr="006A061B">
        <w:rPr>
          <w:rFonts w:ascii="Arial" w:hAnsi="Arial" w:cs="Arial"/>
          <w:b/>
          <w:bCs/>
          <w:sz w:val="24"/>
          <w:szCs w:val="24"/>
        </w:rPr>
        <w:t>Payment Services Directive 2 (PSD2)</w:t>
      </w:r>
      <w:r w:rsidRPr="006A061B">
        <w:rPr>
          <w:rFonts w:ascii="Arial" w:hAnsi="Arial" w:cs="Arial"/>
          <w:sz w:val="24"/>
          <w:szCs w:val="24"/>
        </w:rPr>
        <w:t>, and consumer protection legislation delineate the strategy alternatives accessible to both innovators and adherents.  Regulatory modifications aim to augment competition, improve consumer protection, and foster innovation (FCA, 2025).</w:t>
      </w:r>
    </w:p>
    <w:p w14:paraId="7B142DC1" w14:textId="77777777" w:rsidR="006A061B" w:rsidRPr="00160465" w:rsidRDefault="006A061B" w:rsidP="00160465">
      <w:pPr>
        <w:pStyle w:val="NoSpacing"/>
        <w:spacing w:line="360" w:lineRule="auto"/>
        <w:jc w:val="both"/>
        <w:rPr>
          <w:rFonts w:ascii="Arial" w:hAnsi="Arial" w:cs="Arial"/>
          <w:sz w:val="24"/>
          <w:szCs w:val="24"/>
        </w:rPr>
      </w:pPr>
    </w:p>
    <w:p w14:paraId="3C681402" w14:textId="77777777" w:rsidR="00B11A70" w:rsidRPr="00B11A70" w:rsidRDefault="00B11A70" w:rsidP="00B11A70">
      <w:pPr>
        <w:pStyle w:val="NoSpacing"/>
        <w:spacing w:line="360" w:lineRule="auto"/>
        <w:jc w:val="both"/>
        <w:rPr>
          <w:rFonts w:ascii="Arial" w:hAnsi="Arial" w:cs="Arial"/>
          <w:sz w:val="24"/>
          <w:szCs w:val="24"/>
        </w:rPr>
      </w:pPr>
      <w:r w:rsidRPr="00B11A70">
        <w:rPr>
          <w:rFonts w:ascii="Arial" w:hAnsi="Arial" w:cs="Arial"/>
          <w:sz w:val="24"/>
          <w:szCs w:val="24"/>
        </w:rPr>
        <w:lastRenderedPageBreak/>
        <w:t xml:space="preserve">For </w:t>
      </w:r>
      <w:r w:rsidRPr="00B11A70">
        <w:rPr>
          <w:rFonts w:ascii="Arial" w:hAnsi="Arial" w:cs="Arial"/>
          <w:b/>
          <w:bCs/>
          <w:sz w:val="24"/>
          <w:szCs w:val="24"/>
        </w:rPr>
        <w:t>pioneers like Monzo</w:t>
      </w:r>
      <w:r w:rsidRPr="00B11A70">
        <w:rPr>
          <w:rFonts w:ascii="Arial" w:hAnsi="Arial" w:cs="Arial"/>
          <w:sz w:val="24"/>
          <w:szCs w:val="24"/>
        </w:rPr>
        <w:t>, regulatory developments have created both enabling opportunities and compliance-related threats. PSD2, which mandates open banking, allowed Monzo to integrate with third-party providers and develop innovative financial services, offering customers more transparency and choice (European Commission, 2018). Similarly, the UK government’s supportive stance towards fintech innovation, demonstrated through initiatives such as the FCA’s “regulatory sandbox,” provided Monzo with a platform to test products in a controlled environment (</w:t>
      </w:r>
      <w:proofErr w:type="spellStart"/>
      <w:r w:rsidRPr="00B11A70">
        <w:rPr>
          <w:rFonts w:ascii="Arial" w:hAnsi="Arial" w:cs="Arial"/>
          <w:sz w:val="24"/>
          <w:szCs w:val="24"/>
        </w:rPr>
        <w:t>Zetzsche</w:t>
      </w:r>
      <w:proofErr w:type="spellEnd"/>
      <w:r w:rsidRPr="00B11A70">
        <w:rPr>
          <w:rFonts w:ascii="Arial" w:hAnsi="Arial" w:cs="Arial"/>
          <w:sz w:val="24"/>
          <w:szCs w:val="24"/>
        </w:rPr>
        <w:t xml:space="preserve"> et al., 2017). These developments significantly lowered entry barriers for new fintech firms and gave Monzo legitimacy as a licensed bank.</w:t>
      </w:r>
    </w:p>
    <w:p w14:paraId="19EC46B7" w14:textId="77777777" w:rsidR="00267E4E" w:rsidRDefault="00267E4E" w:rsidP="00160465">
      <w:pPr>
        <w:pStyle w:val="NoSpacing"/>
        <w:spacing w:line="360" w:lineRule="auto"/>
        <w:jc w:val="both"/>
        <w:rPr>
          <w:rFonts w:ascii="Arial" w:hAnsi="Arial" w:cs="Arial"/>
          <w:sz w:val="24"/>
          <w:szCs w:val="24"/>
        </w:rPr>
      </w:pPr>
    </w:p>
    <w:p w14:paraId="55C3BDD4" w14:textId="77777777" w:rsidR="00B11A70" w:rsidRPr="00B11A70" w:rsidRDefault="00B11A70" w:rsidP="00B11A70">
      <w:pPr>
        <w:pStyle w:val="NoSpacing"/>
        <w:spacing w:line="360" w:lineRule="auto"/>
        <w:jc w:val="both"/>
        <w:rPr>
          <w:rFonts w:ascii="Arial" w:hAnsi="Arial" w:cs="Arial"/>
          <w:sz w:val="24"/>
          <w:szCs w:val="24"/>
        </w:rPr>
      </w:pPr>
      <w:r w:rsidRPr="00B11A70">
        <w:rPr>
          <w:rFonts w:ascii="Arial" w:hAnsi="Arial" w:cs="Arial"/>
          <w:sz w:val="24"/>
          <w:szCs w:val="24"/>
        </w:rPr>
        <w:t xml:space="preserve">Regulatory change directly affects Monzo’s </w:t>
      </w:r>
      <w:r w:rsidRPr="00B11A70">
        <w:rPr>
          <w:rFonts w:ascii="Arial" w:hAnsi="Arial" w:cs="Arial"/>
          <w:b/>
          <w:bCs/>
          <w:sz w:val="24"/>
          <w:szCs w:val="24"/>
        </w:rPr>
        <w:t>7Ps marketing mix</w:t>
      </w:r>
      <w:r w:rsidRPr="00B11A70">
        <w:rPr>
          <w:rFonts w:ascii="Arial" w:hAnsi="Arial" w:cs="Arial"/>
          <w:sz w:val="24"/>
          <w:szCs w:val="24"/>
        </w:rPr>
        <w:t>:</w:t>
      </w:r>
    </w:p>
    <w:p w14:paraId="51565916"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Product:</w:t>
      </w:r>
      <w:r w:rsidRPr="00B11A70">
        <w:rPr>
          <w:rFonts w:ascii="Arial" w:hAnsi="Arial" w:cs="Arial"/>
          <w:sz w:val="24"/>
          <w:szCs w:val="24"/>
        </w:rPr>
        <w:t xml:space="preserve"> Compliance-driven features such as fraud protection and spending insights enhance trust.</w:t>
      </w:r>
    </w:p>
    <w:p w14:paraId="78A4907B"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Price:</w:t>
      </w:r>
      <w:r w:rsidRPr="00B11A70">
        <w:rPr>
          <w:rFonts w:ascii="Arial" w:hAnsi="Arial" w:cs="Arial"/>
          <w:sz w:val="24"/>
          <w:szCs w:val="24"/>
        </w:rPr>
        <w:t xml:space="preserve"> Regulation ensures fair interest rates and transparent fee structures.</w:t>
      </w:r>
    </w:p>
    <w:p w14:paraId="5C47C9AD"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Place:</w:t>
      </w:r>
      <w:r w:rsidRPr="00B11A70">
        <w:rPr>
          <w:rFonts w:ascii="Arial" w:hAnsi="Arial" w:cs="Arial"/>
          <w:sz w:val="24"/>
          <w:szCs w:val="24"/>
        </w:rPr>
        <w:t xml:space="preserve"> Digital-only delivery model ensures compliance with data protection standards (GDPR).</w:t>
      </w:r>
    </w:p>
    <w:p w14:paraId="4910C997"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Promotion:</w:t>
      </w:r>
      <w:r w:rsidRPr="00B11A70">
        <w:rPr>
          <w:rFonts w:ascii="Arial" w:hAnsi="Arial" w:cs="Arial"/>
          <w:sz w:val="24"/>
          <w:szCs w:val="24"/>
        </w:rPr>
        <w:t xml:space="preserve"> Compliance messaging (security, transparency) reinforces brand credibility.</w:t>
      </w:r>
    </w:p>
    <w:p w14:paraId="2412743C"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People:</w:t>
      </w:r>
      <w:r w:rsidRPr="00B11A70">
        <w:rPr>
          <w:rFonts w:ascii="Arial" w:hAnsi="Arial" w:cs="Arial"/>
          <w:sz w:val="24"/>
          <w:szCs w:val="24"/>
        </w:rPr>
        <w:t xml:space="preserve"> Continuous staff training in AML and KYC requirements.</w:t>
      </w:r>
    </w:p>
    <w:p w14:paraId="7301D51F"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Process:</w:t>
      </w:r>
      <w:r w:rsidRPr="00B11A70">
        <w:rPr>
          <w:rFonts w:ascii="Arial" w:hAnsi="Arial" w:cs="Arial"/>
          <w:sz w:val="24"/>
          <w:szCs w:val="24"/>
        </w:rPr>
        <w:t xml:space="preserve"> Incorporation of FCA guidelines into all service processes.</w:t>
      </w:r>
    </w:p>
    <w:p w14:paraId="2859F05D" w14:textId="77777777" w:rsidR="00B11A70" w:rsidRPr="00B11A70" w:rsidRDefault="00B11A70" w:rsidP="00B11A70">
      <w:pPr>
        <w:pStyle w:val="NoSpacing"/>
        <w:numPr>
          <w:ilvl w:val="0"/>
          <w:numId w:val="5"/>
        </w:numPr>
        <w:spacing w:line="360" w:lineRule="auto"/>
        <w:jc w:val="both"/>
        <w:rPr>
          <w:rFonts w:ascii="Arial" w:hAnsi="Arial" w:cs="Arial"/>
          <w:sz w:val="24"/>
          <w:szCs w:val="24"/>
        </w:rPr>
      </w:pPr>
      <w:r w:rsidRPr="00B11A70">
        <w:rPr>
          <w:rFonts w:ascii="Arial" w:hAnsi="Arial" w:cs="Arial"/>
          <w:b/>
          <w:bCs/>
          <w:sz w:val="24"/>
          <w:szCs w:val="24"/>
        </w:rPr>
        <w:t>Physical Evidence:</w:t>
      </w:r>
      <w:r w:rsidRPr="00B11A70">
        <w:rPr>
          <w:rFonts w:ascii="Arial" w:hAnsi="Arial" w:cs="Arial"/>
          <w:sz w:val="24"/>
          <w:szCs w:val="24"/>
        </w:rPr>
        <w:t xml:space="preserve"> Secure app interfaces reassure customers of regulatory compliance.</w:t>
      </w:r>
    </w:p>
    <w:p w14:paraId="02BE9343" w14:textId="77777777" w:rsidR="00B11A70" w:rsidRPr="00160465" w:rsidRDefault="00B11A70" w:rsidP="00160465">
      <w:pPr>
        <w:pStyle w:val="NoSpacing"/>
        <w:spacing w:line="360" w:lineRule="auto"/>
        <w:jc w:val="both"/>
        <w:rPr>
          <w:rFonts w:ascii="Arial" w:hAnsi="Arial" w:cs="Arial"/>
          <w:sz w:val="24"/>
          <w:szCs w:val="24"/>
        </w:rPr>
      </w:pPr>
    </w:p>
    <w:p w14:paraId="1AA882D3" w14:textId="77777777" w:rsidR="00B11A70" w:rsidRPr="00B11A70" w:rsidRDefault="00B11A70" w:rsidP="00B11A70">
      <w:pPr>
        <w:pStyle w:val="NoSpacing"/>
        <w:spacing w:line="360" w:lineRule="auto"/>
        <w:jc w:val="both"/>
        <w:rPr>
          <w:rFonts w:ascii="Arial" w:hAnsi="Arial" w:cs="Arial"/>
          <w:sz w:val="24"/>
          <w:szCs w:val="24"/>
        </w:rPr>
      </w:pPr>
      <w:r w:rsidRPr="00B11A70">
        <w:rPr>
          <w:rFonts w:ascii="Arial" w:hAnsi="Arial" w:cs="Arial"/>
          <w:sz w:val="24"/>
          <w:szCs w:val="24"/>
        </w:rPr>
        <w:t>However, compliance also increases costs and reputational risks. For example, Monzo faced scrutiny regarding AML processes, highlighting the tension between innovation and governance (Monzo, 2022).</w:t>
      </w:r>
    </w:p>
    <w:p w14:paraId="72B2149C" w14:textId="77777777" w:rsidR="00267E4E" w:rsidRPr="00160465" w:rsidRDefault="00267E4E" w:rsidP="00160465">
      <w:pPr>
        <w:pStyle w:val="NoSpacing"/>
        <w:spacing w:line="360" w:lineRule="auto"/>
        <w:jc w:val="both"/>
        <w:rPr>
          <w:rFonts w:ascii="Arial" w:hAnsi="Arial" w:cs="Arial"/>
          <w:sz w:val="24"/>
          <w:szCs w:val="24"/>
        </w:rPr>
      </w:pPr>
    </w:p>
    <w:p w14:paraId="51070E04" w14:textId="4B53BDA9" w:rsidR="00267E4E" w:rsidRDefault="006A061B" w:rsidP="00160465">
      <w:pPr>
        <w:pStyle w:val="NoSpacing"/>
        <w:spacing w:line="360" w:lineRule="auto"/>
        <w:jc w:val="both"/>
        <w:rPr>
          <w:rFonts w:ascii="Arial" w:hAnsi="Arial" w:cs="Arial"/>
          <w:sz w:val="24"/>
          <w:szCs w:val="24"/>
        </w:rPr>
      </w:pPr>
      <w:r w:rsidRPr="006A061B">
        <w:rPr>
          <w:rFonts w:ascii="Arial" w:hAnsi="Arial" w:cs="Arial"/>
          <w:sz w:val="24"/>
          <w:szCs w:val="24"/>
        </w:rPr>
        <w:t xml:space="preserve">Regulatory changes were hard for </w:t>
      </w:r>
      <w:r w:rsidRPr="006A061B">
        <w:rPr>
          <w:rFonts w:ascii="Arial" w:hAnsi="Arial" w:cs="Arial"/>
          <w:b/>
          <w:bCs/>
          <w:sz w:val="24"/>
          <w:szCs w:val="24"/>
        </w:rPr>
        <w:t>followers like Barclays and HSBC</w:t>
      </w:r>
      <w:r w:rsidRPr="006A061B">
        <w:rPr>
          <w:rFonts w:ascii="Arial" w:hAnsi="Arial" w:cs="Arial"/>
          <w:sz w:val="24"/>
          <w:szCs w:val="24"/>
        </w:rPr>
        <w:t xml:space="preserve"> at first because they made operational expenses go up by requiring more capital and compliance.  But followers generally have the upper hand because they have more expertise, bigger businesses, and established compliance systems, which make them more resistant to changes in rules.  For example, HSBC's strong risk management systems help it handle regulatory costs better than new companies (EY, 2021).  Also, followers benefit </w:t>
      </w:r>
      <w:r w:rsidRPr="006A061B">
        <w:rPr>
          <w:rFonts w:ascii="Arial" w:hAnsi="Arial" w:cs="Arial"/>
          <w:sz w:val="24"/>
          <w:szCs w:val="24"/>
        </w:rPr>
        <w:lastRenderedPageBreak/>
        <w:t>from clear rules because pioneers typically have to deal with uncertainty while they are trying to figure out new regulations.</w:t>
      </w:r>
    </w:p>
    <w:p w14:paraId="2026683A" w14:textId="77777777" w:rsidR="006A061B" w:rsidRDefault="006A061B" w:rsidP="00160465">
      <w:pPr>
        <w:pStyle w:val="NoSpacing"/>
        <w:spacing w:line="360" w:lineRule="auto"/>
        <w:jc w:val="both"/>
        <w:rPr>
          <w:rFonts w:ascii="Arial" w:hAnsi="Arial" w:cs="Arial"/>
          <w:sz w:val="24"/>
          <w:szCs w:val="24"/>
        </w:rPr>
      </w:pPr>
    </w:p>
    <w:p w14:paraId="34C2B815" w14:textId="77777777" w:rsidR="00B11A70" w:rsidRPr="00B11A70" w:rsidRDefault="00B11A70" w:rsidP="00B11A70">
      <w:pPr>
        <w:pStyle w:val="NoSpacing"/>
        <w:spacing w:line="360" w:lineRule="auto"/>
        <w:jc w:val="both"/>
        <w:rPr>
          <w:rFonts w:ascii="Arial" w:hAnsi="Arial" w:cs="Arial"/>
          <w:sz w:val="24"/>
          <w:szCs w:val="24"/>
        </w:rPr>
      </w:pPr>
      <w:r w:rsidRPr="00B11A70">
        <w:rPr>
          <w:rFonts w:ascii="Arial" w:hAnsi="Arial" w:cs="Arial"/>
          <w:sz w:val="24"/>
          <w:szCs w:val="24"/>
        </w:rPr>
        <w:t xml:space="preserve">Political and regulatory changes also reshape followers’ </w:t>
      </w:r>
      <w:r w:rsidRPr="00B11A70">
        <w:rPr>
          <w:rFonts w:ascii="Arial" w:hAnsi="Arial" w:cs="Arial"/>
          <w:b/>
          <w:bCs/>
          <w:sz w:val="24"/>
          <w:szCs w:val="24"/>
        </w:rPr>
        <w:t>7Ps</w:t>
      </w:r>
      <w:r w:rsidRPr="00B11A70">
        <w:rPr>
          <w:rFonts w:ascii="Arial" w:hAnsi="Arial" w:cs="Arial"/>
          <w:sz w:val="24"/>
          <w:szCs w:val="24"/>
        </w:rPr>
        <w:t>:</w:t>
      </w:r>
    </w:p>
    <w:p w14:paraId="2D1CCCE8"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Product:</w:t>
      </w:r>
      <w:r w:rsidRPr="00B11A70">
        <w:rPr>
          <w:rFonts w:ascii="Arial" w:hAnsi="Arial" w:cs="Arial"/>
          <w:sz w:val="24"/>
          <w:szCs w:val="24"/>
        </w:rPr>
        <w:t xml:space="preserve"> Expanded compliant product ranges, such as regulated investment and ESG offerings.</w:t>
      </w:r>
    </w:p>
    <w:p w14:paraId="44ED9A80"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Price:</w:t>
      </w:r>
      <w:r w:rsidRPr="00B11A70">
        <w:rPr>
          <w:rFonts w:ascii="Arial" w:hAnsi="Arial" w:cs="Arial"/>
          <w:sz w:val="24"/>
          <w:szCs w:val="24"/>
        </w:rPr>
        <w:t xml:space="preserve"> Ability to maintain competitive fees while meeting regulatory cost burdens.</w:t>
      </w:r>
    </w:p>
    <w:p w14:paraId="6A4CFF82"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Place:</w:t>
      </w:r>
      <w:r w:rsidRPr="00B11A70">
        <w:rPr>
          <w:rFonts w:ascii="Arial" w:hAnsi="Arial" w:cs="Arial"/>
          <w:sz w:val="24"/>
          <w:szCs w:val="24"/>
        </w:rPr>
        <w:t xml:space="preserve"> Integration of compliance technology across online and in-branch networks.</w:t>
      </w:r>
    </w:p>
    <w:p w14:paraId="26F3045B"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Promotion:</w:t>
      </w:r>
      <w:r w:rsidRPr="00B11A70">
        <w:rPr>
          <w:rFonts w:ascii="Arial" w:hAnsi="Arial" w:cs="Arial"/>
          <w:sz w:val="24"/>
          <w:szCs w:val="24"/>
        </w:rPr>
        <w:t xml:space="preserve"> Emphasis on security, stability, and ethical banking to build trust.</w:t>
      </w:r>
    </w:p>
    <w:p w14:paraId="53FAE0A3"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People:</w:t>
      </w:r>
      <w:r w:rsidRPr="00B11A70">
        <w:rPr>
          <w:rFonts w:ascii="Arial" w:hAnsi="Arial" w:cs="Arial"/>
          <w:sz w:val="24"/>
          <w:szCs w:val="24"/>
        </w:rPr>
        <w:t xml:space="preserve"> Dedicated compliance teams and well-trained customer support staff.</w:t>
      </w:r>
    </w:p>
    <w:p w14:paraId="5A88B54A"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Process:</w:t>
      </w:r>
      <w:r w:rsidRPr="00B11A70">
        <w:rPr>
          <w:rFonts w:ascii="Arial" w:hAnsi="Arial" w:cs="Arial"/>
          <w:sz w:val="24"/>
          <w:szCs w:val="24"/>
        </w:rPr>
        <w:t xml:space="preserve"> Automated KYC and AML systems to improve efficiency.</w:t>
      </w:r>
    </w:p>
    <w:p w14:paraId="499FBD30" w14:textId="77777777" w:rsidR="00B11A70" w:rsidRPr="00B11A70" w:rsidRDefault="00B11A70" w:rsidP="00B11A70">
      <w:pPr>
        <w:pStyle w:val="NoSpacing"/>
        <w:numPr>
          <w:ilvl w:val="0"/>
          <w:numId w:val="6"/>
        </w:numPr>
        <w:spacing w:line="360" w:lineRule="auto"/>
        <w:jc w:val="both"/>
        <w:rPr>
          <w:rFonts w:ascii="Arial" w:hAnsi="Arial" w:cs="Arial"/>
          <w:sz w:val="24"/>
          <w:szCs w:val="24"/>
        </w:rPr>
      </w:pPr>
      <w:r w:rsidRPr="00B11A70">
        <w:rPr>
          <w:rFonts w:ascii="Arial" w:hAnsi="Arial" w:cs="Arial"/>
          <w:b/>
          <w:bCs/>
          <w:sz w:val="24"/>
          <w:szCs w:val="24"/>
        </w:rPr>
        <w:t>Physical Evidence:</w:t>
      </w:r>
      <w:r w:rsidRPr="00B11A70">
        <w:rPr>
          <w:rFonts w:ascii="Arial" w:hAnsi="Arial" w:cs="Arial"/>
          <w:sz w:val="24"/>
          <w:szCs w:val="24"/>
        </w:rPr>
        <w:t xml:space="preserve"> Reinforced brand trust through secure digital and physical environments.</w:t>
      </w:r>
    </w:p>
    <w:p w14:paraId="10909DD5" w14:textId="77777777" w:rsidR="00B11A70" w:rsidRPr="00160465" w:rsidRDefault="00B11A70" w:rsidP="00160465">
      <w:pPr>
        <w:pStyle w:val="NoSpacing"/>
        <w:spacing w:line="360" w:lineRule="auto"/>
        <w:jc w:val="both"/>
        <w:rPr>
          <w:rFonts w:ascii="Arial" w:hAnsi="Arial" w:cs="Arial"/>
          <w:sz w:val="24"/>
          <w:szCs w:val="24"/>
        </w:rPr>
      </w:pPr>
    </w:p>
    <w:p w14:paraId="10E527DB" w14:textId="6B0A6094" w:rsidR="00B11A70" w:rsidRDefault="006A061B" w:rsidP="00B33303">
      <w:pPr>
        <w:pStyle w:val="NoSpacing"/>
        <w:spacing w:line="360" w:lineRule="auto"/>
        <w:jc w:val="both"/>
        <w:rPr>
          <w:rFonts w:ascii="Arial" w:hAnsi="Arial" w:cs="Arial"/>
          <w:sz w:val="24"/>
          <w:szCs w:val="24"/>
        </w:rPr>
      </w:pPr>
      <w:r w:rsidRPr="006A061B">
        <w:rPr>
          <w:rFonts w:ascii="Arial" w:hAnsi="Arial" w:cs="Arial"/>
          <w:sz w:val="24"/>
          <w:szCs w:val="24"/>
        </w:rPr>
        <w:t>In conclusion, political and legislative changes significantly impact the marketing mix of both innovators and adherents.  Innovators such as Monzo leverage compliance innovation to establish consumer trust and market legitimacy, whilst followers like Barclays and HSBC utilize regulatory experience to enhance credibility and efficiency.  The integration of the 7Ps with legislative and technical changes ensures ongoing competitiveness in the evolving UK fintech industry.</w:t>
      </w:r>
    </w:p>
    <w:p w14:paraId="7F48C754" w14:textId="77777777" w:rsidR="006A061B" w:rsidRDefault="006A061B" w:rsidP="00B33303">
      <w:pPr>
        <w:pStyle w:val="NoSpacing"/>
        <w:spacing w:line="360" w:lineRule="auto"/>
        <w:jc w:val="both"/>
      </w:pPr>
    </w:p>
    <w:p w14:paraId="1F75870A" w14:textId="1DB9CF14" w:rsidR="00B33303" w:rsidRPr="00B33303" w:rsidRDefault="00D83400" w:rsidP="00B33303">
      <w:pPr>
        <w:pStyle w:val="Heading1"/>
        <w:rPr>
          <w:rFonts w:ascii="Arial" w:hAnsi="Arial" w:cs="Arial"/>
          <w:b/>
          <w:bCs/>
          <w:color w:val="000000" w:themeColor="text1"/>
          <w:sz w:val="30"/>
          <w:szCs w:val="30"/>
        </w:rPr>
      </w:pPr>
      <w:bookmarkStart w:id="5" w:name="_Toc212150912"/>
      <w:r>
        <w:rPr>
          <w:rFonts w:ascii="Arial" w:hAnsi="Arial" w:cs="Arial"/>
          <w:b/>
          <w:bCs/>
          <w:color w:val="000000" w:themeColor="text1"/>
          <w:sz w:val="30"/>
          <w:szCs w:val="30"/>
        </w:rPr>
        <w:t>3</w:t>
      </w:r>
      <w:r w:rsidR="00B33303" w:rsidRPr="00B33303">
        <w:rPr>
          <w:rFonts w:ascii="Arial" w:hAnsi="Arial" w:cs="Arial"/>
          <w:b/>
          <w:bCs/>
          <w:color w:val="000000" w:themeColor="text1"/>
          <w:sz w:val="30"/>
          <w:szCs w:val="30"/>
        </w:rPr>
        <w:t>. Task 2 – Strategic Responses</w:t>
      </w:r>
      <w:bookmarkEnd w:id="5"/>
    </w:p>
    <w:p w14:paraId="7ACA4992" w14:textId="77777777" w:rsidR="00B33303" w:rsidRPr="00B33303" w:rsidRDefault="00B33303" w:rsidP="00B33303">
      <w:pPr>
        <w:pStyle w:val="NoSpacing"/>
        <w:spacing w:line="360" w:lineRule="auto"/>
        <w:jc w:val="both"/>
        <w:rPr>
          <w:rFonts w:ascii="Arial" w:hAnsi="Arial" w:cs="Arial"/>
          <w:sz w:val="24"/>
          <w:szCs w:val="24"/>
        </w:rPr>
      </w:pPr>
    </w:p>
    <w:p w14:paraId="00B133F8" w14:textId="29E5F996" w:rsidR="00B33303" w:rsidRDefault="00B33303" w:rsidP="00B33303">
      <w:pPr>
        <w:pStyle w:val="NoSpacing"/>
        <w:spacing w:line="360" w:lineRule="auto"/>
        <w:jc w:val="both"/>
        <w:rPr>
          <w:rFonts w:ascii="Arial" w:hAnsi="Arial" w:cs="Arial"/>
          <w:sz w:val="24"/>
          <w:szCs w:val="24"/>
        </w:rPr>
      </w:pPr>
      <w:r w:rsidRPr="00B33303">
        <w:rPr>
          <w:rFonts w:ascii="Arial" w:hAnsi="Arial" w:cs="Arial"/>
          <w:sz w:val="24"/>
          <w:szCs w:val="24"/>
        </w:rPr>
        <w:t>Building on the macro-environmental analysis, it is essential to evaluate how pioneers and followers strategically respond to technological and regulatory factors. Strategic responses vary depending on whether firms pursue innovation-led first-mover advantages or rely on imitation and adaptation as followers. The contrast between Monzo as a pioneer and Barclays/HSBC as followers illustrates the dynamics of product innovation, market creation, differentiation, cost leadership, and niche targeting within the UK fintech sector.</w:t>
      </w:r>
    </w:p>
    <w:p w14:paraId="56B5BB09" w14:textId="77777777" w:rsidR="00CA0534" w:rsidRDefault="00CA0534" w:rsidP="00B33303">
      <w:pPr>
        <w:pStyle w:val="NoSpacing"/>
        <w:spacing w:line="360" w:lineRule="auto"/>
        <w:jc w:val="both"/>
        <w:rPr>
          <w:rFonts w:ascii="Arial" w:hAnsi="Arial" w:cs="Arial"/>
          <w:sz w:val="24"/>
          <w:szCs w:val="24"/>
        </w:rPr>
      </w:pPr>
    </w:p>
    <w:p w14:paraId="05F4D598" w14:textId="733CF1DB" w:rsidR="00CA0534" w:rsidRPr="00CA0534" w:rsidRDefault="00D83400" w:rsidP="00CA0534">
      <w:pPr>
        <w:pStyle w:val="Heading2"/>
        <w:rPr>
          <w:rFonts w:ascii="Arial" w:hAnsi="Arial" w:cs="Arial"/>
          <w:b/>
          <w:bCs/>
          <w:color w:val="auto"/>
          <w:sz w:val="26"/>
          <w:szCs w:val="26"/>
        </w:rPr>
      </w:pPr>
      <w:bookmarkStart w:id="6" w:name="_Toc212150913"/>
      <w:r>
        <w:rPr>
          <w:rFonts w:ascii="Arial" w:hAnsi="Arial" w:cs="Arial"/>
          <w:b/>
          <w:bCs/>
          <w:color w:val="auto"/>
          <w:sz w:val="26"/>
          <w:szCs w:val="26"/>
        </w:rPr>
        <w:lastRenderedPageBreak/>
        <w:t>3</w:t>
      </w:r>
      <w:r w:rsidR="00CA0534" w:rsidRPr="00CA0534">
        <w:rPr>
          <w:rFonts w:ascii="Arial" w:hAnsi="Arial" w:cs="Arial"/>
          <w:b/>
          <w:bCs/>
          <w:color w:val="auto"/>
          <w:sz w:val="26"/>
          <w:szCs w:val="26"/>
        </w:rPr>
        <w:t>.1 Responses to Technological Change</w:t>
      </w:r>
      <w:bookmarkEnd w:id="6"/>
    </w:p>
    <w:p w14:paraId="1EDCB05D"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Building on the macro-environmental analysis, it is essential to evaluate how pioneers and followers strategically respond to technological and regulatory factors. Strategic responses vary depending on whether firms pursue innovation-led first-mover advantages or rely on imitation and adaptation as followers. The contrast between Monzo as a pioneer and Barclays/HSBC as followers illustrates the dynamics of product innovation, market creation, differentiation, cost leadership, and niche targeting within the UK fintech sector.</w:t>
      </w:r>
    </w:p>
    <w:p w14:paraId="64BC03C3" w14:textId="77777777" w:rsidR="008E5EE7" w:rsidRDefault="008E5EE7" w:rsidP="008E5EE7">
      <w:pPr>
        <w:pStyle w:val="NoSpacing"/>
        <w:spacing w:line="360" w:lineRule="auto"/>
        <w:jc w:val="both"/>
        <w:rPr>
          <w:rFonts w:ascii="Arial" w:hAnsi="Arial" w:cs="Arial"/>
          <w:sz w:val="24"/>
          <w:szCs w:val="24"/>
        </w:rPr>
      </w:pPr>
    </w:p>
    <w:p w14:paraId="1CB2D434" w14:textId="2A3C41FB" w:rsidR="00CA0534"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Marketing concepts such as Segmentation, Targeting, and Positioning (STP), Ansoff’s growth strategies, and the 7Ps of marketing are central to understanding how these firms adapt their marketing strategies in response to external environmental pressures.</w:t>
      </w:r>
    </w:p>
    <w:p w14:paraId="5D12F14F" w14:textId="77777777" w:rsidR="008E5EE7" w:rsidRPr="00CA0534" w:rsidRDefault="008E5EE7" w:rsidP="008E5EE7">
      <w:pPr>
        <w:pStyle w:val="NoSpacing"/>
        <w:spacing w:line="360" w:lineRule="auto"/>
        <w:jc w:val="both"/>
        <w:rPr>
          <w:rFonts w:ascii="Arial" w:hAnsi="Arial" w:cs="Arial"/>
          <w:sz w:val="24"/>
          <w:szCs w:val="24"/>
        </w:rPr>
      </w:pPr>
    </w:p>
    <w:p w14:paraId="13839A46" w14:textId="77777777" w:rsidR="00CA0534" w:rsidRPr="00CC0905" w:rsidRDefault="00CA0534" w:rsidP="00CA0534">
      <w:pPr>
        <w:pStyle w:val="NoSpacing"/>
        <w:spacing w:line="360" w:lineRule="auto"/>
        <w:jc w:val="both"/>
        <w:rPr>
          <w:rFonts w:ascii="Arial" w:hAnsi="Arial" w:cs="Arial"/>
          <w:b/>
          <w:bCs/>
          <w:sz w:val="24"/>
          <w:szCs w:val="24"/>
        </w:rPr>
      </w:pPr>
      <w:r w:rsidRPr="00CC0905">
        <w:rPr>
          <w:rFonts w:ascii="Arial" w:hAnsi="Arial" w:cs="Arial"/>
          <w:b/>
          <w:bCs/>
          <w:sz w:val="24"/>
          <w:szCs w:val="24"/>
        </w:rPr>
        <w:t>Pioneers – Monzo</w:t>
      </w:r>
    </w:p>
    <w:p w14:paraId="433541CD" w14:textId="078DE0AB" w:rsidR="00CA0534" w:rsidRDefault="008E5EE7" w:rsidP="00CA0534">
      <w:pPr>
        <w:pStyle w:val="NoSpacing"/>
        <w:spacing w:line="360" w:lineRule="auto"/>
        <w:jc w:val="both"/>
        <w:rPr>
          <w:rFonts w:ascii="Arial" w:hAnsi="Arial" w:cs="Arial"/>
          <w:sz w:val="24"/>
          <w:szCs w:val="24"/>
        </w:rPr>
      </w:pPr>
      <w:r w:rsidRPr="008E5EE7">
        <w:rPr>
          <w:rFonts w:ascii="Arial" w:hAnsi="Arial" w:cs="Arial"/>
          <w:sz w:val="24"/>
          <w:szCs w:val="24"/>
        </w:rPr>
        <w:t xml:space="preserve">Monzo has responded to technological change by positioning itself as a </w:t>
      </w:r>
      <w:r w:rsidRPr="008E5EE7">
        <w:rPr>
          <w:rFonts w:ascii="Arial" w:hAnsi="Arial" w:cs="Arial"/>
          <w:b/>
          <w:bCs/>
          <w:sz w:val="24"/>
          <w:szCs w:val="24"/>
        </w:rPr>
        <w:t>digital-first disruptor</w:t>
      </w:r>
      <w:r w:rsidRPr="008E5EE7">
        <w:rPr>
          <w:rFonts w:ascii="Arial" w:hAnsi="Arial" w:cs="Arial"/>
          <w:sz w:val="24"/>
          <w:szCs w:val="24"/>
        </w:rPr>
        <w:t xml:space="preserve">, leveraging </w:t>
      </w:r>
      <w:r w:rsidRPr="008E5EE7">
        <w:rPr>
          <w:rFonts w:ascii="Arial" w:hAnsi="Arial" w:cs="Arial"/>
          <w:b/>
          <w:bCs/>
          <w:sz w:val="24"/>
          <w:szCs w:val="24"/>
        </w:rPr>
        <w:t>product innovation</w:t>
      </w:r>
      <w:r w:rsidRPr="008E5EE7">
        <w:rPr>
          <w:rFonts w:ascii="Arial" w:hAnsi="Arial" w:cs="Arial"/>
          <w:sz w:val="24"/>
          <w:szCs w:val="24"/>
        </w:rPr>
        <w:t xml:space="preserve"> as a core marketing and competitive strategy. Its mobile banking app provides features such as real-time spending notifications, budgeting tools, and seamless integration with third-party applications via open banking APIs (Accenture, 2018). By creating a user-centric digital experience, Monzo differentiates itself from traditional banks and builds loyalty among millennials and Gen Z customers who demand convenience and transparency. This aligns with </w:t>
      </w:r>
      <w:r w:rsidRPr="008E5EE7">
        <w:rPr>
          <w:rFonts w:ascii="Arial" w:hAnsi="Arial" w:cs="Arial"/>
          <w:b/>
          <w:bCs/>
          <w:sz w:val="24"/>
          <w:szCs w:val="24"/>
        </w:rPr>
        <w:t>Porter’s differentiation strategy</w:t>
      </w:r>
      <w:r w:rsidRPr="008E5EE7">
        <w:rPr>
          <w:rFonts w:ascii="Arial" w:hAnsi="Arial" w:cs="Arial"/>
          <w:sz w:val="24"/>
          <w:szCs w:val="24"/>
        </w:rPr>
        <w:t xml:space="preserve"> and </w:t>
      </w:r>
      <w:r w:rsidRPr="008E5EE7">
        <w:rPr>
          <w:rFonts w:ascii="Arial" w:hAnsi="Arial" w:cs="Arial"/>
          <w:b/>
          <w:bCs/>
          <w:sz w:val="24"/>
          <w:szCs w:val="24"/>
        </w:rPr>
        <w:t>STP</w:t>
      </w:r>
      <w:r w:rsidRPr="008E5EE7">
        <w:rPr>
          <w:rFonts w:ascii="Arial" w:hAnsi="Arial" w:cs="Arial"/>
          <w:sz w:val="24"/>
          <w:szCs w:val="24"/>
        </w:rPr>
        <w:t xml:space="preserve"> principles, where Monzo targets tech-savvy segments and positions itself as a transparent, customer-oriented alternative to traditional banks (Porter, 1985).</w:t>
      </w:r>
    </w:p>
    <w:p w14:paraId="79771369" w14:textId="77777777" w:rsidR="008E5EE7" w:rsidRDefault="008E5EE7" w:rsidP="00CA0534">
      <w:pPr>
        <w:pStyle w:val="NoSpacing"/>
        <w:spacing w:line="360" w:lineRule="auto"/>
        <w:jc w:val="both"/>
        <w:rPr>
          <w:rFonts w:ascii="Arial" w:hAnsi="Arial" w:cs="Arial"/>
          <w:sz w:val="24"/>
          <w:szCs w:val="24"/>
        </w:rPr>
      </w:pPr>
    </w:p>
    <w:p w14:paraId="31060025"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Technological change has also influenced Monzo’s </w:t>
      </w:r>
      <w:r w:rsidRPr="008E5EE7">
        <w:rPr>
          <w:rFonts w:ascii="Arial" w:hAnsi="Arial" w:cs="Arial"/>
          <w:b/>
          <w:bCs/>
          <w:sz w:val="24"/>
          <w:szCs w:val="24"/>
        </w:rPr>
        <w:t>marketing mix (7Ps)</w:t>
      </w:r>
      <w:r w:rsidRPr="008E5EE7">
        <w:rPr>
          <w:rFonts w:ascii="Arial" w:hAnsi="Arial" w:cs="Arial"/>
          <w:sz w:val="24"/>
          <w:szCs w:val="24"/>
        </w:rPr>
        <w:t>.</w:t>
      </w:r>
    </w:p>
    <w:p w14:paraId="4E405732" w14:textId="77777777" w:rsidR="008E5EE7" w:rsidRPr="008E5EE7" w:rsidRDefault="008E5EE7" w:rsidP="008E5EE7">
      <w:pPr>
        <w:pStyle w:val="NoSpacing"/>
        <w:numPr>
          <w:ilvl w:val="0"/>
          <w:numId w:val="7"/>
        </w:numPr>
        <w:spacing w:line="360" w:lineRule="auto"/>
        <w:jc w:val="both"/>
        <w:rPr>
          <w:rFonts w:ascii="Arial" w:hAnsi="Arial" w:cs="Arial"/>
          <w:sz w:val="24"/>
          <w:szCs w:val="24"/>
        </w:rPr>
      </w:pPr>
      <w:r w:rsidRPr="008E5EE7">
        <w:rPr>
          <w:rFonts w:ascii="Arial" w:hAnsi="Arial" w:cs="Arial"/>
          <w:sz w:val="24"/>
          <w:szCs w:val="24"/>
        </w:rPr>
        <w:t xml:space="preserve">Its </w:t>
      </w:r>
      <w:r w:rsidRPr="008E5EE7">
        <w:rPr>
          <w:rFonts w:ascii="Arial" w:hAnsi="Arial" w:cs="Arial"/>
          <w:b/>
          <w:bCs/>
          <w:sz w:val="24"/>
          <w:szCs w:val="24"/>
        </w:rPr>
        <w:t>Product</w:t>
      </w:r>
      <w:r w:rsidRPr="008E5EE7">
        <w:rPr>
          <w:rFonts w:ascii="Arial" w:hAnsi="Arial" w:cs="Arial"/>
          <w:sz w:val="24"/>
          <w:szCs w:val="24"/>
        </w:rPr>
        <w:t xml:space="preserve"> strategy centres on continuous digital enhancement and innovation.</w:t>
      </w:r>
    </w:p>
    <w:p w14:paraId="155DE525" w14:textId="77777777" w:rsidR="008E5EE7" w:rsidRPr="008E5EE7" w:rsidRDefault="008E5EE7" w:rsidP="008E5EE7">
      <w:pPr>
        <w:pStyle w:val="NoSpacing"/>
        <w:numPr>
          <w:ilvl w:val="0"/>
          <w:numId w:val="7"/>
        </w:numPr>
        <w:spacing w:line="360" w:lineRule="auto"/>
        <w:jc w:val="both"/>
        <w:rPr>
          <w:rFonts w:ascii="Arial" w:hAnsi="Arial" w:cs="Arial"/>
          <w:sz w:val="24"/>
          <w:szCs w:val="24"/>
        </w:rPr>
      </w:pPr>
      <w:r w:rsidRPr="008E5EE7">
        <w:rPr>
          <w:rFonts w:ascii="Arial" w:hAnsi="Arial" w:cs="Arial"/>
          <w:b/>
          <w:bCs/>
          <w:sz w:val="24"/>
          <w:szCs w:val="24"/>
        </w:rPr>
        <w:t>Price</w:t>
      </w:r>
      <w:r w:rsidRPr="008E5EE7">
        <w:rPr>
          <w:rFonts w:ascii="Arial" w:hAnsi="Arial" w:cs="Arial"/>
          <w:sz w:val="24"/>
          <w:szCs w:val="24"/>
        </w:rPr>
        <w:t xml:space="preserve"> advantages arise from reduced overhead costs through its branchless model.</w:t>
      </w:r>
    </w:p>
    <w:p w14:paraId="4E2C76F6" w14:textId="77777777" w:rsidR="008E5EE7" w:rsidRPr="008E5EE7" w:rsidRDefault="008E5EE7" w:rsidP="008E5EE7">
      <w:pPr>
        <w:pStyle w:val="NoSpacing"/>
        <w:numPr>
          <w:ilvl w:val="0"/>
          <w:numId w:val="7"/>
        </w:numPr>
        <w:spacing w:line="360" w:lineRule="auto"/>
        <w:jc w:val="both"/>
        <w:rPr>
          <w:rFonts w:ascii="Arial" w:hAnsi="Arial" w:cs="Arial"/>
          <w:sz w:val="24"/>
          <w:szCs w:val="24"/>
        </w:rPr>
      </w:pPr>
      <w:r w:rsidRPr="008E5EE7">
        <w:rPr>
          <w:rFonts w:ascii="Arial" w:hAnsi="Arial" w:cs="Arial"/>
          <w:b/>
          <w:bCs/>
          <w:sz w:val="24"/>
          <w:szCs w:val="24"/>
        </w:rPr>
        <w:t>Promotion</w:t>
      </w:r>
      <w:r w:rsidRPr="008E5EE7">
        <w:rPr>
          <w:rFonts w:ascii="Arial" w:hAnsi="Arial" w:cs="Arial"/>
          <w:sz w:val="24"/>
          <w:szCs w:val="24"/>
        </w:rPr>
        <w:t xml:space="preserve"> relies on social media engagement and community-driven marketing rather than mass advertising.</w:t>
      </w:r>
    </w:p>
    <w:p w14:paraId="1ADC8FE4" w14:textId="77777777" w:rsidR="008E5EE7" w:rsidRPr="008E5EE7" w:rsidRDefault="008E5EE7" w:rsidP="008E5EE7">
      <w:pPr>
        <w:pStyle w:val="NoSpacing"/>
        <w:numPr>
          <w:ilvl w:val="0"/>
          <w:numId w:val="7"/>
        </w:numPr>
        <w:spacing w:line="360" w:lineRule="auto"/>
        <w:jc w:val="both"/>
        <w:rPr>
          <w:rFonts w:ascii="Arial" w:hAnsi="Arial" w:cs="Arial"/>
          <w:sz w:val="24"/>
          <w:szCs w:val="24"/>
        </w:rPr>
      </w:pPr>
      <w:r w:rsidRPr="008E5EE7">
        <w:rPr>
          <w:rFonts w:ascii="Arial" w:hAnsi="Arial" w:cs="Arial"/>
          <w:b/>
          <w:bCs/>
          <w:sz w:val="24"/>
          <w:szCs w:val="24"/>
        </w:rPr>
        <w:t>Place</w:t>
      </w:r>
      <w:r w:rsidRPr="008E5EE7">
        <w:rPr>
          <w:rFonts w:ascii="Arial" w:hAnsi="Arial" w:cs="Arial"/>
          <w:sz w:val="24"/>
          <w:szCs w:val="24"/>
        </w:rPr>
        <w:t xml:space="preserve"> reflects digital distribution, offering 24/7 access.</w:t>
      </w:r>
    </w:p>
    <w:p w14:paraId="1A88CD1C" w14:textId="77777777" w:rsidR="008E5EE7" w:rsidRPr="008E5EE7" w:rsidRDefault="008E5EE7" w:rsidP="008E5EE7">
      <w:pPr>
        <w:pStyle w:val="NoSpacing"/>
        <w:numPr>
          <w:ilvl w:val="0"/>
          <w:numId w:val="7"/>
        </w:numPr>
        <w:spacing w:line="360" w:lineRule="auto"/>
        <w:jc w:val="both"/>
        <w:rPr>
          <w:rFonts w:ascii="Arial" w:hAnsi="Arial" w:cs="Arial"/>
          <w:sz w:val="24"/>
          <w:szCs w:val="24"/>
        </w:rPr>
      </w:pPr>
      <w:r w:rsidRPr="008E5EE7">
        <w:rPr>
          <w:rFonts w:ascii="Arial" w:hAnsi="Arial" w:cs="Arial"/>
          <w:sz w:val="24"/>
          <w:szCs w:val="24"/>
        </w:rPr>
        <w:lastRenderedPageBreak/>
        <w:t xml:space="preserve">The </w:t>
      </w:r>
      <w:r w:rsidRPr="008E5EE7">
        <w:rPr>
          <w:rFonts w:ascii="Arial" w:hAnsi="Arial" w:cs="Arial"/>
          <w:b/>
          <w:bCs/>
          <w:sz w:val="24"/>
          <w:szCs w:val="24"/>
        </w:rPr>
        <w:t>People</w:t>
      </w:r>
      <w:r w:rsidRPr="008E5EE7">
        <w:rPr>
          <w:rFonts w:ascii="Arial" w:hAnsi="Arial" w:cs="Arial"/>
          <w:sz w:val="24"/>
          <w:szCs w:val="24"/>
        </w:rPr>
        <w:t xml:space="preserve">, </w:t>
      </w:r>
      <w:r w:rsidRPr="008E5EE7">
        <w:rPr>
          <w:rFonts w:ascii="Arial" w:hAnsi="Arial" w:cs="Arial"/>
          <w:b/>
          <w:bCs/>
          <w:sz w:val="24"/>
          <w:szCs w:val="24"/>
        </w:rPr>
        <w:t>Process</w:t>
      </w:r>
      <w:r w:rsidRPr="008E5EE7">
        <w:rPr>
          <w:rFonts w:ascii="Arial" w:hAnsi="Arial" w:cs="Arial"/>
          <w:sz w:val="24"/>
          <w:szCs w:val="24"/>
        </w:rPr>
        <w:t xml:space="preserve">, and </w:t>
      </w:r>
      <w:r w:rsidRPr="008E5EE7">
        <w:rPr>
          <w:rFonts w:ascii="Arial" w:hAnsi="Arial" w:cs="Arial"/>
          <w:b/>
          <w:bCs/>
          <w:sz w:val="24"/>
          <w:szCs w:val="24"/>
        </w:rPr>
        <w:t>Physical evidence</w:t>
      </w:r>
      <w:r w:rsidRPr="008E5EE7">
        <w:rPr>
          <w:rFonts w:ascii="Arial" w:hAnsi="Arial" w:cs="Arial"/>
          <w:sz w:val="24"/>
          <w:szCs w:val="24"/>
        </w:rPr>
        <w:t xml:space="preserve"> elements focus on responsive service, streamlined digital processes, and a distinctive app interface.</w:t>
      </w:r>
    </w:p>
    <w:p w14:paraId="2D677A1D" w14:textId="77777777" w:rsidR="008E5EE7" w:rsidRDefault="008E5EE7" w:rsidP="00CA0534">
      <w:pPr>
        <w:pStyle w:val="NoSpacing"/>
        <w:spacing w:line="360" w:lineRule="auto"/>
        <w:jc w:val="both"/>
        <w:rPr>
          <w:rFonts w:ascii="Arial" w:hAnsi="Arial" w:cs="Arial"/>
          <w:sz w:val="24"/>
          <w:szCs w:val="24"/>
        </w:rPr>
      </w:pPr>
    </w:p>
    <w:p w14:paraId="742411E4" w14:textId="77777777" w:rsidR="008E5EE7" w:rsidRPr="00CA0534" w:rsidRDefault="008E5EE7" w:rsidP="00CA0534">
      <w:pPr>
        <w:pStyle w:val="NoSpacing"/>
        <w:spacing w:line="360" w:lineRule="auto"/>
        <w:jc w:val="both"/>
        <w:rPr>
          <w:rFonts w:ascii="Arial" w:hAnsi="Arial" w:cs="Arial"/>
          <w:sz w:val="24"/>
          <w:szCs w:val="24"/>
        </w:rPr>
      </w:pPr>
    </w:p>
    <w:p w14:paraId="721531E5"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From an </w:t>
      </w:r>
      <w:r w:rsidRPr="008E5EE7">
        <w:rPr>
          <w:rFonts w:ascii="Arial" w:hAnsi="Arial" w:cs="Arial"/>
          <w:b/>
          <w:bCs/>
          <w:sz w:val="24"/>
          <w:szCs w:val="24"/>
        </w:rPr>
        <w:t>Ansoff Matrix</w:t>
      </w:r>
      <w:r w:rsidRPr="008E5EE7">
        <w:rPr>
          <w:rFonts w:ascii="Arial" w:hAnsi="Arial" w:cs="Arial"/>
          <w:sz w:val="24"/>
          <w:szCs w:val="24"/>
        </w:rPr>
        <w:t xml:space="preserve"> perspective, Monzo’s strategy combines </w:t>
      </w:r>
      <w:r w:rsidRPr="008E5EE7">
        <w:rPr>
          <w:rFonts w:ascii="Arial" w:hAnsi="Arial" w:cs="Arial"/>
          <w:b/>
          <w:bCs/>
          <w:sz w:val="24"/>
          <w:szCs w:val="24"/>
        </w:rPr>
        <w:t>product development</w:t>
      </w:r>
      <w:r w:rsidRPr="008E5EE7">
        <w:rPr>
          <w:rFonts w:ascii="Arial" w:hAnsi="Arial" w:cs="Arial"/>
          <w:sz w:val="24"/>
          <w:szCs w:val="24"/>
        </w:rPr>
        <w:t xml:space="preserve"> (innovative app features) and </w:t>
      </w:r>
      <w:r w:rsidRPr="008E5EE7">
        <w:rPr>
          <w:rFonts w:ascii="Arial" w:hAnsi="Arial" w:cs="Arial"/>
          <w:b/>
          <w:bCs/>
          <w:sz w:val="24"/>
          <w:szCs w:val="24"/>
        </w:rPr>
        <w:t>market penetration</w:t>
      </w:r>
      <w:r w:rsidRPr="008E5EE7">
        <w:rPr>
          <w:rFonts w:ascii="Arial" w:hAnsi="Arial" w:cs="Arial"/>
          <w:sz w:val="24"/>
          <w:szCs w:val="24"/>
        </w:rPr>
        <w:t xml:space="preserve"> (growing its customer base within the existing UK market). However, while innovation fosters rapid growth, it also exposes pioneers to scalability and profitability risks. Monzo’s ongoing operational losses highlight the tension between innovation and financial sustainability (Monzo, 2022). From the </w:t>
      </w:r>
      <w:r w:rsidRPr="008E5EE7">
        <w:rPr>
          <w:rFonts w:ascii="Arial" w:hAnsi="Arial" w:cs="Arial"/>
          <w:b/>
          <w:bCs/>
          <w:sz w:val="24"/>
          <w:szCs w:val="24"/>
        </w:rPr>
        <w:t>Resource-Based View (RBV)</w:t>
      </w:r>
      <w:r w:rsidRPr="008E5EE7">
        <w:rPr>
          <w:rFonts w:ascii="Arial" w:hAnsi="Arial" w:cs="Arial"/>
          <w:sz w:val="24"/>
          <w:szCs w:val="24"/>
        </w:rPr>
        <w:t>, its digital platform and community-oriented brand are valuable but not entirely inimitable resources (Barney, 1991). Thus, sustaining its differentiation advantage requires continuous innovation and strong brand management.</w:t>
      </w:r>
    </w:p>
    <w:p w14:paraId="0551EE27" w14:textId="77777777" w:rsidR="00CA0534" w:rsidRPr="00CA0534" w:rsidRDefault="00CA0534" w:rsidP="00CA0534">
      <w:pPr>
        <w:pStyle w:val="NoSpacing"/>
        <w:spacing w:line="360" w:lineRule="auto"/>
        <w:jc w:val="both"/>
        <w:rPr>
          <w:rFonts w:ascii="Arial" w:hAnsi="Arial" w:cs="Arial"/>
          <w:sz w:val="24"/>
          <w:szCs w:val="24"/>
        </w:rPr>
      </w:pPr>
    </w:p>
    <w:p w14:paraId="332A0D55" w14:textId="77777777" w:rsidR="00CA0534" w:rsidRPr="00CC0905" w:rsidRDefault="00CA0534" w:rsidP="00CA0534">
      <w:pPr>
        <w:pStyle w:val="NoSpacing"/>
        <w:spacing w:line="360" w:lineRule="auto"/>
        <w:jc w:val="both"/>
        <w:rPr>
          <w:rFonts w:ascii="Arial" w:hAnsi="Arial" w:cs="Arial"/>
          <w:b/>
          <w:bCs/>
          <w:sz w:val="24"/>
          <w:szCs w:val="24"/>
        </w:rPr>
      </w:pPr>
      <w:r w:rsidRPr="00CC0905">
        <w:rPr>
          <w:rFonts w:ascii="Arial" w:hAnsi="Arial" w:cs="Arial"/>
          <w:b/>
          <w:bCs/>
          <w:sz w:val="24"/>
          <w:szCs w:val="24"/>
        </w:rPr>
        <w:t>Followers – Barclays and HSBC</w:t>
      </w:r>
    </w:p>
    <w:p w14:paraId="7C7E7D49"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In contrast, followers such as Barclays and HSBC have adopted </w:t>
      </w:r>
      <w:r w:rsidRPr="008E5EE7">
        <w:rPr>
          <w:rFonts w:ascii="Arial" w:hAnsi="Arial" w:cs="Arial"/>
          <w:b/>
          <w:bCs/>
          <w:sz w:val="24"/>
          <w:szCs w:val="24"/>
        </w:rPr>
        <w:t>fast imitation and adaptive differentiation strategies</w:t>
      </w:r>
      <w:r w:rsidRPr="008E5EE7">
        <w:rPr>
          <w:rFonts w:ascii="Arial" w:hAnsi="Arial" w:cs="Arial"/>
          <w:sz w:val="24"/>
          <w:szCs w:val="24"/>
        </w:rPr>
        <w:t xml:space="preserve">. Both banks launched advanced mobile apps and invested in AI-driven customer support after observing fintech challengers. This approach aligns with </w:t>
      </w:r>
      <w:r w:rsidRPr="008E5EE7">
        <w:rPr>
          <w:rFonts w:ascii="Arial" w:hAnsi="Arial" w:cs="Arial"/>
          <w:b/>
          <w:bCs/>
          <w:sz w:val="24"/>
          <w:szCs w:val="24"/>
        </w:rPr>
        <w:t>late-mover advantage</w:t>
      </w:r>
      <w:r w:rsidRPr="008E5EE7">
        <w:rPr>
          <w:rFonts w:ascii="Arial" w:hAnsi="Arial" w:cs="Arial"/>
          <w:sz w:val="24"/>
          <w:szCs w:val="24"/>
        </w:rPr>
        <w:t xml:space="preserve"> logic, allowing them to minimise risk by adopting proven technologies while leveraging </w:t>
      </w:r>
      <w:r w:rsidRPr="008E5EE7">
        <w:rPr>
          <w:rFonts w:ascii="Arial" w:hAnsi="Arial" w:cs="Arial"/>
          <w:b/>
          <w:bCs/>
          <w:sz w:val="24"/>
          <w:szCs w:val="24"/>
        </w:rPr>
        <w:t>brand trust</w:t>
      </w:r>
      <w:r w:rsidRPr="008E5EE7">
        <w:rPr>
          <w:rFonts w:ascii="Arial" w:hAnsi="Arial" w:cs="Arial"/>
          <w:sz w:val="24"/>
          <w:szCs w:val="24"/>
        </w:rPr>
        <w:t xml:space="preserve"> and </w:t>
      </w:r>
      <w:r w:rsidRPr="008E5EE7">
        <w:rPr>
          <w:rFonts w:ascii="Arial" w:hAnsi="Arial" w:cs="Arial"/>
          <w:b/>
          <w:bCs/>
          <w:sz w:val="24"/>
          <w:szCs w:val="24"/>
        </w:rPr>
        <w:t>customer relationships</w:t>
      </w:r>
      <w:r w:rsidRPr="008E5EE7">
        <w:rPr>
          <w:rFonts w:ascii="Arial" w:hAnsi="Arial" w:cs="Arial"/>
          <w:sz w:val="24"/>
          <w:szCs w:val="24"/>
        </w:rPr>
        <w:t xml:space="preserve"> (Deloitte, 2023; EY, 2021).</w:t>
      </w:r>
    </w:p>
    <w:p w14:paraId="2B0A2F5F" w14:textId="77777777" w:rsidR="00CA0534" w:rsidRPr="00CA0534" w:rsidRDefault="00CA0534" w:rsidP="00CA0534">
      <w:pPr>
        <w:pStyle w:val="NoSpacing"/>
        <w:spacing w:line="360" w:lineRule="auto"/>
        <w:jc w:val="both"/>
        <w:rPr>
          <w:rFonts w:ascii="Arial" w:hAnsi="Arial" w:cs="Arial"/>
          <w:sz w:val="24"/>
          <w:szCs w:val="24"/>
        </w:rPr>
      </w:pPr>
    </w:p>
    <w:p w14:paraId="763EA76C"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From a marketing perspective, followers apply a </w:t>
      </w:r>
      <w:r w:rsidRPr="008E5EE7">
        <w:rPr>
          <w:rFonts w:ascii="Arial" w:hAnsi="Arial" w:cs="Arial"/>
          <w:b/>
          <w:bCs/>
          <w:sz w:val="24"/>
          <w:szCs w:val="24"/>
        </w:rPr>
        <w:t>hybrid strategy</w:t>
      </w:r>
      <w:r w:rsidRPr="008E5EE7">
        <w:rPr>
          <w:rFonts w:ascii="Arial" w:hAnsi="Arial" w:cs="Arial"/>
          <w:sz w:val="24"/>
          <w:szCs w:val="24"/>
        </w:rPr>
        <w:t xml:space="preserve"> of </w:t>
      </w:r>
      <w:r w:rsidRPr="008E5EE7">
        <w:rPr>
          <w:rFonts w:ascii="Arial" w:hAnsi="Arial" w:cs="Arial"/>
          <w:b/>
          <w:bCs/>
          <w:sz w:val="24"/>
          <w:szCs w:val="24"/>
        </w:rPr>
        <w:t>market development</w:t>
      </w:r>
      <w:r w:rsidRPr="008E5EE7">
        <w:rPr>
          <w:rFonts w:ascii="Arial" w:hAnsi="Arial" w:cs="Arial"/>
          <w:sz w:val="24"/>
          <w:szCs w:val="24"/>
        </w:rPr>
        <w:t xml:space="preserve"> and </w:t>
      </w:r>
      <w:r w:rsidRPr="008E5EE7">
        <w:rPr>
          <w:rFonts w:ascii="Arial" w:hAnsi="Arial" w:cs="Arial"/>
          <w:b/>
          <w:bCs/>
          <w:sz w:val="24"/>
          <w:szCs w:val="24"/>
        </w:rPr>
        <w:t>service innovation</w:t>
      </w:r>
      <w:r w:rsidRPr="008E5EE7">
        <w:rPr>
          <w:rFonts w:ascii="Arial" w:hAnsi="Arial" w:cs="Arial"/>
          <w:sz w:val="24"/>
          <w:szCs w:val="24"/>
        </w:rPr>
        <w:t xml:space="preserve">, consistent with Ansoff’s model. Their </w:t>
      </w:r>
      <w:r w:rsidRPr="008E5EE7">
        <w:rPr>
          <w:rFonts w:ascii="Arial" w:hAnsi="Arial" w:cs="Arial"/>
          <w:b/>
          <w:bCs/>
          <w:sz w:val="24"/>
          <w:szCs w:val="24"/>
        </w:rPr>
        <w:t>target markets</w:t>
      </w:r>
      <w:r w:rsidRPr="008E5EE7">
        <w:rPr>
          <w:rFonts w:ascii="Arial" w:hAnsi="Arial" w:cs="Arial"/>
          <w:sz w:val="24"/>
          <w:szCs w:val="24"/>
        </w:rPr>
        <w:t xml:space="preserve"> are broader, encompassing both digital-first users and traditional customers seeking reliability. Through </w:t>
      </w:r>
      <w:r w:rsidRPr="008E5EE7">
        <w:rPr>
          <w:rFonts w:ascii="Arial" w:hAnsi="Arial" w:cs="Arial"/>
          <w:b/>
          <w:bCs/>
          <w:sz w:val="24"/>
          <w:szCs w:val="24"/>
        </w:rPr>
        <w:t>positioning</w:t>
      </w:r>
      <w:r w:rsidRPr="008E5EE7">
        <w:rPr>
          <w:rFonts w:ascii="Arial" w:hAnsi="Arial" w:cs="Arial"/>
          <w:sz w:val="24"/>
          <w:szCs w:val="24"/>
        </w:rPr>
        <w:t>, they emphasise security, stability, and multi-channel service — qualities that appeal to customers in the “early majority” and “late majority” stages of adoption (Rogers, 2003).</w:t>
      </w:r>
    </w:p>
    <w:p w14:paraId="28D2AA50" w14:textId="77777777" w:rsidR="00211C29" w:rsidRDefault="00211C29" w:rsidP="00B33303">
      <w:pPr>
        <w:pStyle w:val="NoSpacing"/>
        <w:spacing w:line="360" w:lineRule="auto"/>
        <w:jc w:val="both"/>
        <w:rPr>
          <w:rFonts w:ascii="Arial" w:hAnsi="Arial" w:cs="Arial"/>
          <w:sz w:val="24"/>
          <w:szCs w:val="24"/>
        </w:rPr>
      </w:pPr>
    </w:p>
    <w:p w14:paraId="00FE6150"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The </w:t>
      </w:r>
      <w:r w:rsidRPr="008E5EE7">
        <w:rPr>
          <w:rFonts w:ascii="Arial" w:hAnsi="Arial" w:cs="Arial"/>
          <w:b/>
          <w:bCs/>
          <w:sz w:val="24"/>
          <w:szCs w:val="24"/>
        </w:rPr>
        <w:t>7Ps</w:t>
      </w:r>
      <w:r w:rsidRPr="008E5EE7">
        <w:rPr>
          <w:rFonts w:ascii="Arial" w:hAnsi="Arial" w:cs="Arial"/>
          <w:sz w:val="24"/>
          <w:szCs w:val="24"/>
        </w:rPr>
        <w:t xml:space="preserve"> also guide their transformation:</w:t>
      </w:r>
    </w:p>
    <w:p w14:paraId="39E7F39C"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t>Product:</w:t>
      </w:r>
      <w:r w:rsidRPr="008E5EE7">
        <w:rPr>
          <w:rFonts w:ascii="Arial" w:hAnsi="Arial" w:cs="Arial"/>
          <w:sz w:val="24"/>
          <w:szCs w:val="24"/>
        </w:rPr>
        <w:t xml:space="preserve"> Mobile apps, AI chatbots, and digital investment tools extend traditional offerings.</w:t>
      </w:r>
    </w:p>
    <w:p w14:paraId="12796E55"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t>Price:</w:t>
      </w:r>
      <w:r w:rsidRPr="008E5EE7">
        <w:rPr>
          <w:rFonts w:ascii="Arial" w:hAnsi="Arial" w:cs="Arial"/>
          <w:sz w:val="24"/>
          <w:szCs w:val="24"/>
        </w:rPr>
        <w:t xml:space="preserve"> Competitive interest rates and fee reductions enhance retention.</w:t>
      </w:r>
    </w:p>
    <w:p w14:paraId="578A7CD5"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t>Place:</w:t>
      </w:r>
      <w:r w:rsidRPr="008E5EE7">
        <w:rPr>
          <w:rFonts w:ascii="Arial" w:hAnsi="Arial" w:cs="Arial"/>
          <w:sz w:val="24"/>
          <w:szCs w:val="24"/>
        </w:rPr>
        <w:t xml:space="preserve"> Hybrid delivery (branch + online) ensures accessibility.</w:t>
      </w:r>
    </w:p>
    <w:p w14:paraId="76E3DBEE"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lastRenderedPageBreak/>
        <w:t>Promotion:</w:t>
      </w:r>
      <w:r w:rsidRPr="008E5EE7">
        <w:rPr>
          <w:rFonts w:ascii="Arial" w:hAnsi="Arial" w:cs="Arial"/>
          <w:sz w:val="24"/>
          <w:szCs w:val="24"/>
        </w:rPr>
        <w:t xml:space="preserve"> Brand campaigns reinforce heritage and trust while signalling innovation.</w:t>
      </w:r>
    </w:p>
    <w:p w14:paraId="1E793086"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t>People:</w:t>
      </w:r>
      <w:r w:rsidRPr="008E5EE7">
        <w:rPr>
          <w:rFonts w:ascii="Arial" w:hAnsi="Arial" w:cs="Arial"/>
          <w:sz w:val="24"/>
          <w:szCs w:val="24"/>
        </w:rPr>
        <w:t xml:space="preserve"> Training and digital literacy among employees improve service quality.</w:t>
      </w:r>
    </w:p>
    <w:p w14:paraId="2A475049"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t>Process:</w:t>
      </w:r>
      <w:r w:rsidRPr="008E5EE7">
        <w:rPr>
          <w:rFonts w:ascii="Arial" w:hAnsi="Arial" w:cs="Arial"/>
          <w:sz w:val="24"/>
          <w:szCs w:val="24"/>
        </w:rPr>
        <w:t xml:space="preserve"> Digitalisation of customer journeys improves efficiency.</w:t>
      </w:r>
    </w:p>
    <w:p w14:paraId="0CDFBE90" w14:textId="77777777" w:rsidR="008E5EE7" w:rsidRPr="008E5EE7" w:rsidRDefault="008E5EE7" w:rsidP="008E5EE7">
      <w:pPr>
        <w:pStyle w:val="NoSpacing"/>
        <w:numPr>
          <w:ilvl w:val="0"/>
          <w:numId w:val="8"/>
        </w:numPr>
        <w:spacing w:line="360" w:lineRule="auto"/>
        <w:jc w:val="both"/>
        <w:rPr>
          <w:rFonts w:ascii="Arial" w:hAnsi="Arial" w:cs="Arial"/>
          <w:sz w:val="24"/>
          <w:szCs w:val="24"/>
        </w:rPr>
      </w:pPr>
      <w:r w:rsidRPr="008E5EE7">
        <w:rPr>
          <w:rFonts w:ascii="Arial" w:hAnsi="Arial" w:cs="Arial"/>
          <w:b/>
          <w:bCs/>
          <w:sz w:val="24"/>
          <w:szCs w:val="24"/>
        </w:rPr>
        <w:t>Physical evidence:</w:t>
      </w:r>
      <w:r w:rsidRPr="008E5EE7">
        <w:rPr>
          <w:rFonts w:ascii="Arial" w:hAnsi="Arial" w:cs="Arial"/>
          <w:sz w:val="24"/>
          <w:szCs w:val="24"/>
        </w:rPr>
        <w:t xml:space="preserve"> Redesigned branches and sleek app interfaces reinforce modern identity.</w:t>
      </w:r>
    </w:p>
    <w:p w14:paraId="6FF950A0" w14:textId="77777777" w:rsidR="008E5EE7" w:rsidRDefault="008E5EE7" w:rsidP="00B33303">
      <w:pPr>
        <w:pStyle w:val="NoSpacing"/>
        <w:spacing w:line="360" w:lineRule="auto"/>
        <w:jc w:val="both"/>
        <w:rPr>
          <w:rFonts w:ascii="Arial" w:hAnsi="Arial" w:cs="Arial"/>
          <w:sz w:val="24"/>
          <w:szCs w:val="24"/>
        </w:rPr>
      </w:pPr>
    </w:p>
    <w:p w14:paraId="0E1AFB9C" w14:textId="4138D2D2" w:rsidR="008E5EE7" w:rsidRDefault="008E5EE7" w:rsidP="00B33303">
      <w:pPr>
        <w:pStyle w:val="NoSpacing"/>
        <w:spacing w:line="360" w:lineRule="auto"/>
        <w:jc w:val="both"/>
        <w:rPr>
          <w:rFonts w:ascii="Arial" w:hAnsi="Arial" w:cs="Arial"/>
          <w:sz w:val="24"/>
          <w:szCs w:val="24"/>
        </w:rPr>
      </w:pPr>
      <w:r w:rsidRPr="008E5EE7">
        <w:rPr>
          <w:rFonts w:ascii="Arial" w:hAnsi="Arial" w:cs="Arial"/>
          <w:sz w:val="24"/>
          <w:szCs w:val="24"/>
        </w:rPr>
        <w:t xml:space="preserve">However, legacy systems constrain their agility, and </w:t>
      </w:r>
      <w:proofErr w:type="gramStart"/>
      <w:r w:rsidRPr="008E5EE7">
        <w:rPr>
          <w:rFonts w:ascii="Arial" w:hAnsi="Arial" w:cs="Arial"/>
          <w:sz w:val="24"/>
          <w:szCs w:val="24"/>
        </w:rPr>
        <w:t>followers</w:t>
      </w:r>
      <w:proofErr w:type="gramEnd"/>
      <w:r w:rsidRPr="008E5EE7">
        <w:rPr>
          <w:rFonts w:ascii="Arial" w:hAnsi="Arial" w:cs="Arial"/>
          <w:sz w:val="24"/>
          <w:szCs w:val="24"/>
        </w:rPr>
        <w:t xml:space="preserve"> risk being perceived as reactive rather than innovative. To sustain competitiveness, they must enhance </w:t>
      </w:r>
      <w:r w:rsidRPr="008E5EE7">
        <w:rPr>
          <w:rFonts w:ascii="Arial" w:hAnsi="Arial" w:cs="Arial"/>
          <w:b/>
          <w:bCs/>
          <w:sz w:val="24"/>
          <w:szCs w:val="24"/>
        </w:rPr>
        <w:t>brand positioning</w:t>
      </w:r>
      <w:r w:rsidRPr="008E5EE7">
        <w:rPr>
          <w:rFonts w:ascii="Arial" w:hAnsi="Arial" w:cs="Arial"/>
          <w:sz w:val="24"/>
          <w:szCs w:val="24"/>
        </w:rPr>
        <w:t xml:space="preserve"> through customer experience and emotional engagement rather than solely technological parity.</w:t>
      </w:r>
    </w:p>
    <w:p w14:paraId="62A2CAD1" w14:textId="77777777" w:rsidR="008E5EE7" w:rsidRDefault="008E5EE7" w:rsidP="00B33303">
      <w:pPr>
        <w:pStyle w:val="NoSpacing"/>
        <w:spacing w:line="360" w:lineRule="auto"/>
        <w:jc w:val="both"/>
        <w:rPr>
          <w:rFonts w:ascii="Arial" w:hAnsi="Arial" w:cs="Arial"/>
          <w:sz w:val="24"/>
          <w:szCs w:val="24"/>
        </w:rPr>
      </w:pPr>
    </w:p>
    <w:p w14:paraId="0555FAD3" w14:textId="0FA0F055" w:rsidR="00FF2B11" w:rsidRPr="00FF2B11" w:rsidRDefault="00D83400" w:rsidP="00FF2B11">
      <w:pPr>
        <w:pStyle w:val="Heading2"/>
        <w:rPr>
          <w:rFonts w:ascii="Arial" w:hAnsi="Arial" w:cs="Arial"/>
          <w:b/>
          <w:bCs/>
          <w:sz w:val="26"/>
          <w:szCs w:val="26"/>
        </w:rPr>
      </w:pPr>
      <w:bookmarkStart w:id="7" w:name="_Toc212150914"/>
      <w:r>
        <w:rPr>
          <w:rFonts w:ascii="Arial" w:hAnsi="Arial" w:cs="Arial"/>
          <w:b/>
          <w:bCs/>
          <w:color w:val="auto"/>
          <w:sz w:val="26"/>
          <w:szCs w:val="26"/>
        </w:rPr>
        <w:t>3</w:t>
      </w:r>
      <w:r w:rsidR="00FF2B11" w:rsidRPr="00FF2B11">
        <w:rPr>
          <w:rFonts w:ascii="Arial" w:hAnsi="Arial" w:cs="Arial"/>
          <w:b/>
          <w:bCs/>
          <w:color w:val="auto"/>
          <w:sz w:val="26"/>
          <w:szCs w:val="26"/>
        </w:rPr>
        <w:t>.2 Responses to Political and Regulatory Change</w:t>
      </w:r>
      <w:bookmarkEnd w:id="7"/>
    </w:p>
    <w:p w14:paraId="4E8431D7" w14:textId="77777777" w:rsidR="00FF2B11" w:rsidRPr="00FF2B11" w:rsidRDefault="00FF2B11" w:rsidP="00FF2B11">
      <w:pPr>
        <w:pStyle w:val="NoSpacing"/>
        <w:spacing w:line="360" w:lineRule="auto"/>
        <w:jc w:val="both"/>
        <w:rPr>
          <w:rFonts w:ascii="Arial" w:hAnsi="Arial" w:cs="Arial"/>
          <w:sz w:val="24"/>
          <w:szCs w:val="24"/>
        </w:rPr>
      </w:pPr>
    </w:p>
    <w:p w14:paraId="4078DFFE" w14:textId="77777777" w:rsidR="00FF2B11" w:rsidRPr="00CC0905" w:rsidRDefault="00FF2B11" w:rsidP="00FF2B11">
      <w:pPr>
        <w:pStyle w:val="NoSpacing"/>
        <w:spacing w:line="360" w:lineRule="auto"/>
        <w:jc w:val="both"/>
        <w:rPr>
          <w:rFonts w:ascii="Arial" w:hAnsi="Arial" w:cs="Arial"/>
          <w:b/>
          <w:bCs/>
          <w:sz w:val="24"/>
          <w:szCs w:val="24"/>
        </w:rPr>
      </w:pPr>
      <w:r w:rsidRPr="00CC0905">
        <w:rPr>
          <w:rFonts w:ascii="Arial" w:hAnsi="Arial" w:cs="Arial"/>
          <w:b/>
          <w:bCs/>
          <w:sz w:val="24"/>
          <w:szCs w:val="24"/>
        </w:rPr>
        <w:t>Pioneers – Monzo</w:t>
      </w:r>
    </w:p>
    <w:p w14:paraId="09DF2274"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Political and regulatory shifts, particularly </w:t>
      </w:r>
      <w:r w:rsidRPr="008E5EE7">
        <w:rPr>
          <w:rFonts w:ascii="Arial" w:hAnsi="Arial" w:cs="Arial"/>
          <w:b/>
          <w:bCs/>
          <w:sz w:val="24"/>
          <w:szCs w:val="24"/>
        </w:rPr>
        <w:t>PSD2</w:t>
      </w:r>
      <w:r w:rsidRPr="008E5EE7">
        <w:rPr>
          <w:rFonts w:ascii="Arial" w:hAnsi="Arial" w:cs="Arial"/>
          <w:sz w:val="24"/>
          <w:szCs w:val="24"/>
        </w:rPr>
        <w:t xml:space="preserve"> and open banking regulations, provided Monzo with opportunities to create new markets. Monzo utilised the </w:t>
      </w:r>
      <w:r w:rsidRPr="008E5EE7">
        <w:rPr>
          <w:rFonts w:ascii="Arial" w:hAnsi="Arial" w:cs="Arial"/>
          <w:b/>
          <w:bCs/>
          <w:sz w:val="24"/>
          <w:szCs w:val="24"/>
        </w:rPr>
        <w:t>FCA’s regulatory sandbox</w:t>
      </w:r>
      <w:r w:rsidRPr="008E5EE7">
        <w:rPr>
          <w:rFonts w:ascii="Arial" w:hAnsi="Arial" w:cs="Arial"/>
          <w:sz w:val="24"/>
          <w:szCs w:val="24"/>
        </w:rPr>
        <w:t xml:space="preserve"> to trial products with reduced compliance risk, enabling market entry at relatively low cost (</w:t>
      </w:r>
      <w:proofErr w:type="spellStart"/>
      <w:r w:rsidRPr="008E5EE7">
        <w:rPr>
          <w:rFonts w:ascii="Arial" w:hAnsi="Arial" w:cs="Arial"/>
          <w:sz w:val="24"/>
          <w:szCs w:val="24"/>
        </w:rPr>
        <w:t>Zetzsche</w:t>
      </w:r>
      <w:proofErr w:type="spellEnd"/>
      <w:r w:rsidRPr="008E5EE7">
        <w:rPr>
          <w:rFonts w:ascii="Arial" w:hAnsi="Arial" w:cs="Arial"/>
          <w:sz w:val="24"/>
          <w:szCs w:val="24"/>
        </w:rPr>
        <w:t xml:space="preserve"> et al., 2017). This proactive engagement demonstrates Monzo’s use of </w:t>
      </w:r>
      <w:r w:rsidRPr="008E5EE7">
        <w:rPr>
          <w:rFonts w:ascii="Arial" w:hAnsi="Arial" w:cs="Arial"/>
          <w:b/>
          <w:bCs/>
          <w:sz w:val="24"/>
          <w:szCs w:val="24"/>
        </w:rPr>
        <w:t>strategic marketing adaptation</w:t>
      </w:r>
      <w:r w:rsidRPr="008E5EE7">
        <w:rPr>
          <w:rFonts w:ascii="Arial" w:hAnsi="Arial" w:cs="Arial"/>
          <w:sz w:val="24"/>
          <w:szCs w:val="24"/>
        </w:rPr>
        <w:t xml:space="preserve">, where regulation becomes a platform for differentiation. Monzo’s </w:t>
      </w:r>
      <w:r w:rsidRPr="008E5EE7">
        <w:rPr>
          <w:rFonts w:ascii="Arial" w:hAnsi="Arial" w:cs="Arial"/>
          <w:b/>
          <w:bCs/>
          <w:sz w:val="24"/>
          <w:szCs w:val="24"/>
        </w:rPr>
        <w:t>positioning</w:t>
      </w:r>
      <w:r w:rsidRPr="008E5EE7">
        <w:rPr>
          <w:rFonts w:ascii="Arial" w:hAnsi="Arial" w:cs="Arial"/>
          <w:sz w:val="24"/>
          <w:szCs w:val="24"/>
        </w:rPr>
        <w:t xml:space="preserve"> as a transparent, ethical, and customer-first bank aligns with growing consumer demand for trust and simplicity.</w:t>
      </w:r>
    </w:p>
    <w:p w14:paraId="49BC0D5A" w14:textId="77777777" w:rsidR="00FF2B11" w:rsidRDefault="00FF2B11" w:rsidP="00FF2B11">
      <w:pPr>
        <w:pStyle w:val="NoSpacing"/>
        <w:spacing w:line="360" w:lineRule="auto"/>
        <w:jc w:val="both"/>
        <w:rPr>
          <w:rFonts w:ascii="Arial" w:hAnsi="Arial" w:cs="Arial"/>
          <w:sz w:val="24"/>
          <w:szCs w:val="24"/>
        </w:rPr>
      </w:pPr>
    </w:p>
    <w:p w14:paraId="2CD52365"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Monzo’s marketing mix reflects this regulatory adaptation:</w:t>
      </w:r>
    </w:p>
    <w:p w14:paraId="07BBB09D" w14:textId="77777777" w:rsidR="008E5EE7" w:rsidRPr="008E5EE7" w:rsidRDefault="008E5EE7" w:rsidP="008E5EE7">
      <w:pPr>
        <w:pStyle w:val="NoSpacing"/>
        <w:numPr>
          <w:ilvl w:val="0"/>
          <w:numId w:val="9"/>
        </w:numPr>
        <w:spacing w:line="360" w:lineRule="auto"/>
        <w:jc w:val="both"/>
        <w:rPr>
          <w:rFonts w:ascii="Arial" w:hAnsi="Arial" w:cs="Arial"/>
          <w:sz w:val="24"/>
          <w:szCs w:val="24"/>
        </w:rPr>
      </w:pPr>
      <w:r w:rsidRPr="008E5EE7">
        <w:rPr>
          <w:rFonts w:ascii="Arial" w:hAnsi="Arial" w:cs="Arial"/>
          <w:b/>
          <w:bCs/>
          <w:sz w:val="24"/>
          <w:szCs w:val="24"/>
        </w:rPr>
        <w:t>Product:</w:t>
      </w:r>
      <w:r w:rsidRPr="008E5EE7">
        <w:rPr>
          <w:rFonts w:ascii="Arial" w:hAnsi="Arial" w:cs="Arial"/>
          <w:sz w:val="24"/>
          <w:szCs w:val="24"/>
        </w:rPr>
        <w:t xml:space="preserve"> Incorporating compliance and transparency as key features.</w:t>
      </w:r>
    </w:p>
    <w:p w14:paraId="46731F1F" w14:textId="77777777" w:rsidR="008E5EE7" w:rsidRPr="008E5EE7" w:rsidRDefault="008E5EE7" w:rsidP="008E5EE7">
      <w:pPr>
        <w:pStyle w:val="NoSpacing"/>
        <w:numPr>
          <w:ilvl w:val="0"/>
          <w:numId w:val="9"/>
        </w:numPr>
        <w:spacing w:line="360" w:lineRule="auto"/>
        <w:jc w:val="both"/>
        <w:rPr>
          <w:rFonts w:ascii="Arial" w:hAnsi="Arial" w:cs="Arial"/>
          <w:sz w:val="24"/>
          <w:szCs w:val="24"/>
        </w:rPr>
      </w:pPr>
      <w:r w:rsidRPr="008E5EE7">
        <w:rPr>
          <w:rFonts w:ascii="Arial" w:hAnsi="Arial" w:cs="Arial"/>
          <w:b/>
          <w:bCs/>
          <w:sz w:val="24"/>
          <w:szCs w:val="24"/>
        </w:rPr>
        <w:t>Price:</w:t>
      </w:r>
      <w:r w:rsidRPr="008E5EE7">
        <w:rPr>
          <w:rFonts w:ascii="Arial" w:hAnsi="Arial" w:cs="Arial"/>
          <w:sz w:val="24"/>
          <w:szCs w:val="24"/>
        </w:rPr>
        <w:t xml:space="preserve"> Maintaining transparency in fees supports trust-based branding.</w:t>
      </w:r>
    </w:p>
    <w:p w14:paraId="497DC8EB" w14:textId="77777777" w:rsidR="008E5EE7" w:rsidRPr="008E5EE7" w:rsidRDefault="008E5EE7" w:rsidP="008E5EE7">
      <w:pPr>
        <w:pStyle w:val="NoSpacing"/>
        <w:numPr>
          <w:ilvl w:val="0"/>
          <w:numId w:val="9"/>
        </w:numPr>
        <w:spacing w:line="360" w:lineRule="auto"/>
        <w:jc w:val="both"/>
        <w:rPr>
          <w:rFonts w:ascii="Arial" w:hAnsi="Arial" w:cs="Arial"/>
          <w:sz w:val="24"/>
          <w:szCs w:val="24"/>
        </w:rPr>
      </w:pPr>
      <w:r w:rsidRPr="008E5EE7">
        <w:rPr>
          <w:rFonts w:ascii="Arial" w:hAnsi="Arial" w:cs="Arial"/>
          <w:b/>
          <w:bCs/>
          <w:sz w:val="24"/>
          <w:szCs w:val="24"/>
        </w:rPr>
        <w:t>Promotion:</w:t>
      </w:r>
      <w:r w:rsidRPr="008E5EE7">
        <w:rPr>
          <w:rFonts w:ascii="Arial" w:hAnsi="Arial" w:cs="Arial"/>
          <w:sz w:val="24"/>
          <w:szCs w:val="24"/>
        </w:rPr>
        <w:t xml:space="preserve"> Communication highlights security and consumer empowerment.</w:t>
      </w:r>
    </w:p>
    <w:p w14:paraId="7991C558" w14:textId="77777777" w:rsidR="008E5EE7" w:rsidRPr="008E5EE7" w:rsidRDefault="008E5EE7" w:rsidP="008E5EE7">
      <w:pPr>
        <w:pStyle w:val="NoSpacing"/>
        <w:numPr>
          <w:ilvl w:val="0"/>
          <w:numId w:val="9"/>
        </w:numPr>
        <w:spacing w:line="360" w:lineRule="auto"/>
        <w:jc w:val="both"/>
        <w:rPr>
          <w:rFonts w:ascii="Arial" w:hAnsi="Arial" w:cs="Arial"/>
          <w:sz w:val="24"/>
          <w:szCs w:val="24"/>
        </w:rPr>
      </w:pPr>
      <w:r w:rsidRPr="008E5EE7">
        <w:rPr>
          <w:rFonts w:ascii="Arial" w:hAnsi="Arial" w:cs="Arial"/>
          <w:b/>
          <w:bCs/>
          <w:sz w:val="24"/>
          <w:szCs w:val="24"/>
        </w:rPr>
        <w:t>People:</w:t>
      </w:r>
      <w:r w:rsidRPr="008E5EE7">
        <w:rPr>
          <w:rFonts w:ascii="Arial" w:hAnsi="Arial" w:cs="Arial"/>
          <w:sz w:val="24"/>
          <w:szCs w:val="24"/>
        </w:rPr>
        <w:t xml:space="preserve"> Staff are trained to deliver compliant, ethical service.</w:t>
      </w:r>
    </w:p>
    <w:p w14:paraId="684CC956" w14:textId="77777777" w:rsidR="008E5EE7" w:rsidRPr="008E5EE7" w:rsidRDefault="008E5EE7" w:rsidP="008E5EE7">
      <w:pPr>
        <w:pStyle w:val="NoSpacing"/>
        <w:numPr>
          <w:ilvl w:val="0"/>
          <w:numId w:val="9"/>
        </w:numPr>
        <w:spacing w:line="360" w:lineRule="auto"/>
        <w:jc w:val="both"/>
        <w:rPr>
          <w:rFonts w:ascii="Arial" w:hAnsi="Arial" w:cs="Arial"/>
          <w:sz w:val="24"/>
          <w:szCs w:val="24"/>
        </w:rPr>
      </w:pPr>
      <w:r w:rsidRPr="008E5EE7">
        <w:rPr>
          <w:rFonts w:ascii="Arial" w:hAnsi="Arial" w:cs="Arial"/>
          <w:b/>
          <w:bCs/>
          <w:sz w:val="24"/>
          <w:szCs w:val="24"/>
        </w:rPr>
        <w:t>Process:</w:t>
      </w:r>
      <w:r w:rsidRPr="008E5EE7">
        <w:rPr>
          <w:rFonts w:ascii="Arial" w:hAnsi="Arial" w:cs="Arial"/>
          <w:sz w:val="24"/>
          <w:szCs w:val="24"/>
        </w:rPr>
        <w:t xml:space="preserve"> Integrating FCA guidelines within all operational workflows ensures consistency.</w:t>
      </w:r>
    </w:p>
    <w:p w14:paraId="048A5C29" w14:textId="77777777" w:rsidR="008E5EE7" w:rsidRPr="00FF2B11" w:rsidRDefault="008E5EE7" w:rsidP="00FF2B11">
      <w:pPr>
        <w:pStyle w:val="NoSpacing"/>
        <w:spacing w:line="360" w:lineRule="auto"/>
        <w:jc w:val="both"/>
        <w:rPr>
          <w:rFonts w:ascii="Arial" w:hAnsi="Arial" w:cs="Arial"/>
          <w:sz w:val="24"/>
          <w:szCs w:val="24"/>
        </w:rPr>
      </w:pPr>
    </w:p>
    <w:p w14:paraId="31EC2E5B" w14:textId="77777777" w:rsidR="008E5EE7" w:rsidRPr="008E5EE7" w:rsidRDefault="008E5EE7" w:rsidP="008E5EE7">
      <w:pPr>
        <w:pStyle w:val="NoSpacing"/>
        <w:spacing w:line="360" w:lineRule="auto"/>
        <w:jc w:val="both"/>
        <w:rPr>
          <w:rFonts w:ascii="Arial" w:hAnsi="Arial" w:cs="Arial"/>
          <w:sz w:val="24"/>
          <w:szCs w:val="24"/>
        </w:rPr>
      </w:pPr>
      <w:r w:rsidRPr="008E5EE7">
        <w:rPr>
          <w:rFonts w:ascii="Arial" w:hAnsi="Arial" w:cs="Arial"/>
          <w:sz w:val="24"/>
          <w:szCs w:val="24"/>
        </w:rPr>
        <w:t xml:space="preserve">From a marketing strategy view, Monzo’s approach aligns with </w:t>
      </w:r>
      <w:r w:rsidRPr="008E5EE7">
        <w:rPr>
          <w:rFonts w:ascii="Arial" w:hAnsi="Arial" w:cs="Arial"/>
          <w:b/>
          <w:bCs/>
          <w:sz w:val="24"/>
          <w:szCs w:val="24"/>
        </w:rPr>
        <w:t>relationship marketing</w:t>
      </w:r>
      <w:r w:rsidRPr="008E5EE7">
        <w:rPr>
          <w:rFonts w:ascii="Arial" w:hAnsi="Arial" w:cs="Arial"/>
          <w:sz w:val="24"/>
          <w:szCs w:val="24"/>
        </w:rPr>
        <w:t xml:space="preserve"> principles — building long-term trust and customer engagement rather than </w:t>
      </w:r>
      <w:r w:rsidRPr="008E5EE7">
        <w:rPr>
          <w:rFonts w:ascii="Arial" w:hAnsi="Arial" w:cs="Arial"/>
          <w:sz w:val="24"/>
          <w:szCs w:val="24"/>
        </w:rPr>
        <w:lastRenderedPageBreak/>
        <w:t>transactional marketing (Kotler and Keller, 2016). However, regulatory scrutiny over AML processes illustrates how compliance costs and reputational risks can undermine pioneers with limited resources (Monzo, 2022).</w:t>
      </w:r>
    </w:p>
    <w:p w14:paraId="48C4574E" w14:textId="77777777" w:rsidR="00FF2B11" w:rsidRPr="00FF2B11" w:rsidRDefault="00FF2B11" w:rsidP="00FF2B11">
      <w:pPr>
        <w:pStyle w:val="NoSpacing"/>
        <w:spacing w:line="360" w:lineRule="auto"/>
        <w:jc w:val="both"/>
        <w:rPr>
          <w:rFonts w:ascii="Arial" w:hAnsi="Arial" w:cs="Arial"/>
          <w:sz w:val="24"/>
          <w:szCs w:val="24"/>
        </w:rPr>
      </w:pPr>
    </w:p>
    <w:p w14:paraId="2F5625A0" w14:textId="77777777" w:rsidR="00FF2B11" w:rsidRPr="00CC0905" w:rsidRDefault="00FF2B11" w:rsidP="00FF2B11">
      <w:pPr>
        <w:pStyle w:val="NoSpacing"/>
        <w:spacing w:line="360" w:lineRule="auto"/>
        <w:jc w:val="both"/>
        <w:rPr>
          <w:rFonts w:ascii="Arial" w:hAnsi="Arial" w:cs="Arial"/>
          <w:b/>
          <w:bCs/>
          <w:sz w:val="24"/>
          <w:szCs w:val="24"/>
        </w:rPr>
      </w:pPr>
      <w:r w:rsidRPr="00CC0905">
        <w:rPr>
          <w:rFonts w:ascii="Arial" w:hAnsi="Arial" w:cs="Arial"/>
          <w:b/>
          <w:bCs/>
          <w:sz w:val="24"/>
          <w:szCs w:val="24"/>
        </w:rPr>
        <w:t>Followers – Barclays and HSBC</w:t>
      </w:r>
    </w:p>
    <w:p w14:paraId="4D23718D" w14:textId="3BA73FB8" w:rsidR="00FF2B11" w:rsidRDefault="008E5EE7" w:rsidP="00FF2B11">
      <w:pPr>
        <w:pStyle w:val="NoSpacing"/>
        <w:spacing w:line="360" w:lineRule="auto"/>
        <w:jc w:val="both"/>
        <w:rPr>
          <w:rFonts w:ascii="Arial" w:hAnsi="Arial" w:cs="Arial"/>
          <w:sz w:val="24"/>
          <w:szCs w:val="24"/>
        </w:rPr>
      </w:pPr>
      <w:r w:rsidRPr="008E5EE7">
        <w:rPr>
          <w:rFonts w:ascii="Arial" w:hAnsi="Arial" w:cs="Arial"/>
          <w:sz w:val="24"/>
          <w:szCs w:val="24"/>
        </w:rPr>
        <w:t xml:space="preserve">Followers like Barclays and HSBC have strategically responded to regulatory change by leveraging their </w:t>
      </w:r>
      <w:r w:rsidRPr="008E5EE7">
        <w:rPr>
          <w:rFonts w:ascii="Arial" w:hAnsi="Arial" w:cs="Arial"/>
          <w:b/>
          <w:bCs/>
          <w:sz w:val="24"/>
          <w:szCs w:val="24"/>
        </w:rPr>
        <w:t>institutional legitimacy</w:t>
      </w:r>
      <w:r w:rsidRPr="008E5EE7">
        <w:rPr>
          <w:rFonts w:ascii="Arial" w:hAnsi="Arial" w:cs="Arial"/>
          <w:sz w:val="24"/>
          <w:szCs w:val="24"/>
        </w:rPr>
        <w:t xml:space="preserve"> and </w:t>
      </w:r>
      <w:r w:rsidRPr="008E5EE7">
        <w:rPr>
          <w:rFonts w:ascii="Arial" w:hAnsi="Arial" w:cs="Arial"/>
          <w:b/>
          <w:bCs/>
          <w:sz w:val="24"/>
          <w:szCs w:val="24"/>
        </w:rPr>
        <w:t>relationship marketing capabilities</w:t>
      </w:r>
      <w:r w:rsidRPr="008E5EE7">
        <w:rPr>
          <w:rFonts w:ascii="Arial" w:hAnsi="Arial" w:cs="Arial"/>
          <w:sz w:val="24"/>
          <w:szCs w:val="24"/>
        </w:rPr>
        <w:t xml:space="preserve">. Decades of compliance experience provide them with a </w:t>
      </w:r>
      <w:r w:rsidRPr="0013780E">
        <w:rPr>
          <w:rFonts w:ascii="Arial" w:hAnsi="Arial" w:cs="Arial"/>
          <w:b/>
          <w:bCs/>
          <w:sz w:val="24"/>
          <w:szCs w:val="24"/>
        </w:rPr>
        <w:t>competitive advantage</w:t>
      </w:r>
      <w:r w:rsidRPr="008E5EE7">
        <w:rPr>
          <w:rFonts w:ascii="Arial" w:hAnsi="Arial" w:cs="Arial"/>
          <w:sz w:val="24"/>
          <w:szCs w:val="24"/>
        </w:rPr>
        <w:t xml:space="preserve"> under the RBV, as compliance expertise is both valuable and hard to imitate (Barney, 1991).</w:t>
      </w:r>
    </w:p>
    <w:p w14:paraId="0C07967A" w14:textId="77777777" w:rsidR="0013780E" w:rsidRDefault="0013780E" w:rsidP="00FF2B11">
      <w:pPr>
        <w:pStyle w:val="NoSpacing"/>
        <w:spacing w:line="360" w:lineRule="auto"/>
        <w:jc w:val="both"/>
        <w:rPr>
          <w:rFonts w:ascii="Arial" w:hAnsi="Arial" w:cs="Arial"/>
          <w:sz w:val="24"/>
          <w:szCs w:val="24"/>
        </w:rPr>
      </w:pPr>
    </w:p>
    <w:p w14:paraId="06EDDB6E" w14:textId="78A8601E" w:rsidR="0013780E" w:rsidRDefault="0013780E" w:rsidP="00FF2B11">
      <w:pPr>
        <w:pStyle w:val="NoSpacing"/>
        <w:spacing w:line="360" w:lineRule="auto"/>
        <w:jc w:val="both"/>
        <w:rPr>
          <w:rFonts w:ascii="Arial" w:hAnsi="Arial" w:cs="Arial"/>
          <w:sz w:val="24"/>
          <w:szCs w:val="24"/>
        </w:rPr>
      </w:pPr>
      <w:r w:rsidRPr="0013780E">
        <w:rPr>
          <w:rFonts w:ascii="Arial" w:hAnsi="Arial" w:cs="Arial"/>
          <w:sz w:val="24"/>
          <w:szCs w:val="24"/>
        </w:rPr>
        <w:t xml:space="preserve">Their </w:t>
      </w:r>
      <w:r w:rsidRPr="0013780E">
        <w:rPr>
          <w:rFonts w:ascii="Arial" w:hAnsi="Arial" w:cs="Arial"/>
          <w:b/>
          <w:bCs/>
          <w:sz w:val="24"/>
          <w:szCs w:val="24"/>
        </w:rPr>
        <w:t>marketing responses</w:t>
      </w:r>
      <w:r w:rsidRPr="0013780E">
        <w:rPr>
          <w:rFonts w:ascii="Arial" w:hAnsi="Arial" w:cs="Arial"/>
          <w:sz w:val="24"/>
          <w:szCs w:val="24"/>
        </w:rPr>
        <w:t xml:space="preserve"> integrate regulatory adaptation into brand strategy. Through </w:t>
      </w:r>
      <w:r w:rsidRPr="0013780E">
        <w:rPr>
          <w:rFonts w:ascii="Arial" w:hAnsi="Arial" w:cs="Arial"/>
          <w:b/>
          <w:bCs/>
          <w:sz w:val="24"/>
          <w:szCs w:val="24"/>
        </w:rPr>
        <w:t>positioning</w:t>
      </w:r>
      <w:r w:rsidRPr="0013780E">
        <w:rPr>
          <w:rFonts w:ascii="Arial" w:hAnsi="Arial" w:cs="Arial"/>
          <w:sz w:val="24"/>
          <w:szCs w:val="24"/>
        </w:rPr>
        <w:t xml:space="preserve">, both banks communicate safety, reliability, and ethical banking practices. Their </w:t>
      </w:r>
      <w:r w:rsidRPr="0013780E">
        <w:rPr>
          <w:rFonts w:ascii="Arial" w:hAnsi="Arial" w:cs="Arial"/>
          <w:b/>
          <w:bCs/>
          <w:sz w:val="24"/>
          <w:szCs w:val="24"/>
        </w:rPr>
        <w:t>segmentation</w:t>
      </w:r>
      <w:r w:rsidRPr="0013780E">
        <w:rPr>
          <w:rFonts w:ascii="Arial" w:hAnsi="Arial" w:cs="Arial"/>
          <w:sz w:val="24"/>
          <w:szCs w:val="24"/>
        </w:rPr>
        <w:t xml:space="preserve"> focuses on customers seeking trust and stability in uncertain financial climates. By reinforcing brand equity and compliance excellence, they attract and retain risk-averse segments.</w:t>
      </w:r>
    </w:p>
    <w:p w14:paraId="4B6C6A54" w14:textId="77777777" w:rsidR="008E5EE7" w:rsidRDefault="008E5EE7" w:rsidP="00FF2B11">
      <w:pPr>
        <w:pStyle w:val="NoSpacing"/>
        <w:spacing w:line="360" w:lineRule="auto"/>
        <w:jc w:val="both"/>
        <w:rPr>
          <w:rFonts w:ascii="Arial" w:hAnsi="Arial" w:cs="Arial"/>
          <w:sz w:val="24"/>
          <w:szCs w:val="24"/>
        </w:rPr>
      </w:pPr>
    </w:p>
    <w:p w14:paraId="532CE79D" w14:textId="77777777" w:rsidR="0013780E" w:rsidRPr="0013780E" w:rsidRDefault="0013780E" w:rsidP="0013780E">
      <w:pPr>
        <w:pStyle w:val="NoSpacing"/>
        <w:spacing w:line="360" w:lineRule="auto"/>
        <w:jc w:val="both"/>
        <w:rPr>
          <w:rFonts w:ascii="Arial" w:hAnsi="Arial" w:cs="Arial"/>
          <w:sz w:val="24"/>
          <w:szCs w:val="24"/>
        </w:rPr>
      </w:pPr>
      <w:r w:rsidRPr="0013780E">
        <w:rPr>
          <w:rFonts w:ascii="Arial" w:hAnsi="Arial" w:cs="Arial"/>
          <w:sz w:val="24"/>
          <w:szCs w:val="24"/>
        </w:rPr>
        <w:t>The 7Ps under regulatory change are reflected in:</w:t>
      </w:r>
    </w:p>
    <w:p w14:paraId="7CBE5EC1" w14:textId="77777777" w:rsidR="0013780E" w:rsidRPr="0013780E" w:rsidRDefault="0013780E" w:rsidP="0013780E">
      <w:pPr>
        <w:pStyle w:val="NoSpacing"/>
        <w:numPr>
          <w:ilvl w:val="0"/>
          <w:numId w:val="10"/>
        </w:numPr>
        <w:spacing w:line="360" w:lineRule="auto"/>
        <w:jc w:val="both"/>
        <w:rPr>
          <w:rFonts w:ascii="Arial" w:hAnsi="Arial" w:cs="Arial"/>
          <w:sz w:val="24"/>
          <w:szCs w:val="24"/>
        </w:rPr>
      </w:pPr>
      <w:r w:rsidRPr="0013780E">
        <w:rPr>
          <w:rFonts w:ascii="Arial" w:hAnsi="Arial" w:cs="Arial"/>
          <w:b/>
          <w:bCs/>
          <w:sz w:val="24"/>
          <w:szCs w:val="24"/>
        </w:rPr>
        <w:t>Product:</w:t>
      </w:r>
      <w:r w:rsidRPr="0013780E">
        <w:rPr>
          <w:rFonts w:ascii="Arial" w:hAnsi="Arial" w:cs="Arial"/>
          <w:sz w:val="24"/>
          <w:szCs w:val="24"/>
        </w:rPr>
        <w:t xml:space="preserve"> Secure, compliant financial products such as ESG investments.</w:t>
      </w:r>
    </w:p>
    <w:p w14:paraId="2E460175" w14:textId="77777777" w:rsidR="0013780E" w:rsidRPr="0013780E" w:rsidRDefault="0013780E" w:rsidP="0013780E">
      <w:pPr>
        <w:pStyle w:val="NoSpacing"/>
        <w:numPr>
          <w:ilvl w:val="0"/>
          <w:numId w:val="10"/>
        </w:numPr>
        <w:spacing w:line="360" w:lineRule="auto"/>
        <w:jc w:val="both"/>
        <w:rPr>
          <w:rFonts w:ascii="Arial" w:hAnsi="Arial" w:cs="Arial"/>
          <w:sz w:val="24"/>
          <w:szCs w:val="24"/>
        </w:rPr>
      </w:pPr>
      <w:r w:rsidRPr="0013780E">
        <w:rPr>
          <w:rFonts w:ascii="Arial" w:hAnsi="Arial" w:cs="Arial"/>
          <w:b/>
          <w:bCs/>
          <w:sz w:val="24"/>
          <w:szCs w:val="24"/>
        </w:rPr>
        <w:t>Price:</w:t>
      </w:r>
      <w:r w:rsidRPr="0013780E">
        <w:rPr>
          <w:rFonts w:ascii="Arial" w:hAnsi="Arial" w:cs="Arial"/>
          <w:sz w:val="24"/>
          <w:szCs w:val="24"/>
        </w:rPr>
        <w:t xml:space="preserve"> Transparent fee structures aligned with FCA standards.</w:t>
      </w:r>
    </w:p>
    <w:p w14:paraId="4EB2BC58" w14:textId="77777777" w:rsidR="0013780E" w:rsidRPr="0013780E" w:rsidRDefault="0013780E" w:rsidP="0013780E">
      <w:pPr>
        <w:pStyle w:val="NoSpacing"/>
        <w:numPr>
          <w:ilvl w:val="0"/>
          <w:numId w:val="10"/>
        </w:numPr>
        <w:spacing w:line="360" w:lineRule="auto"/>
        <w:jc w:val="both"/>
        <w:rPr>
          <w:rFonts w:ascii="Arial" w:hAnsi="Arial" w:cs="Arial"/>
          <w:sz w:val="24"/>
          <w:szCs w:val="24"/>
        </w:rPr>
      </w:pPr>
      <w:r w:rsidRPr="0013780E">
        <w:rPr>
          <w:rFonts w:ascii="Arial" w:hAnsi="Arial" w:cs="Arial"/>
          <w:b/>
          <w:bCs/>
          <w:sz w:val="24"/>
          <w:szCs w:val="24"/>
        </w:rPr>
        <w:t>Place:</w:t>
      </w:r>
      <w:r w:rsidRPr="0013780E">
        <w:rPr>
          <w:rFonts w:ascii="Arial" w:hAnsi="Arial" w:cs="Arial"/>
          <w:sz w:val="24"/>
          <w:szCs w:val="24"/>
        </w:rPr>
        <w:t xml:space="preserve"> Integration of compliance technology in digital and branch networks.</w:t>
      </w:r>
    </w:p>
    <w:p w14:paraId="39F069D0" w14:textId="77777777" w:rsidR="0013780E" w:rsidRPr="0013780E" w:rsidRDefault="0013780E" w:rsidP="0013780E">
      <w:pPr>
        <w:pStyle w:val="NoSpacing"/>
        <w:numPr>
          <w:ilvl w:val="0"/>
          <w:numId w:val="10"/>
        </w:numPr>
        <w:spacing w:line="360" w:lineRule="auto"/>
        <w:jc w:val="both"/>
        <w:rPr>
          <w:rFonts w:ascii="Arial" w:hAnsi="Arial" w:cs="Arial"/>
          <w:sz w:val="24"/>
          <w:szCs w:val="24"/>
        </w:rPr>
      </w:pPr>
      <w:r w:rsidRPr="0013780E">
        <w:rPr>
          <w:rFonts w:ascii="Arial" w:hAnsi="Arial" w:cs="Arial"/>
          <w:b/>
          <w:bCs/>
          <w:sz w:val="24"/>
          <w:szCs w:val="24"/>
        </w:rPr>
        <w:t>Promotion:</w:t>
      </w:r>
      <w:r w:rsidRPr="0013780E">
        <w:rPr>
          <w:rFonts w:ascii="Arial" w:hAnsi="Arial" w:cs="Arial"/>
          <w:sz w:val="24"/>
          <w:szCs w:val="24"/>
        </w:rPr>
        <w:t xml:space="preserve"> Brand messaging focused on integrity and customer safety.</w:t>
      </w:r>
    </w:p>
    <w:p w14:paraId="57183557" w14:textId="77777777" w:rsidR="0013780E" w:rsidRPr="0013780E" w:rsidRDefault="0013780E" w:rsidP="0013780E">
      <w:pPr>
        <w:pStyle w:val="NoSpacing"/>
        <w:numPr>
          <w:ilvl w:val="0"/>
          <w:numId w:val="10"/>
        </w:numPr>
        <w:spacing w:line="360" w:lineRule="auto"/>
        <w:jc w:val="both"/>
        <w:rPr>
          <w:rFonts w:ascii="Arial" w:hAnsi="Arial" w:cs="Arial"/>
          <w:sz w:val="24"/>
          <w:szCs w:val="24"/>
        </w:rPr>
      </w:pPr>
      <w:r w:rsidRPr="0013780E">
        <w:rPr>
          <w:rFonts w:ascii="Arial" w:hAnsi="Arial" w:cs="Arial"/>
          <w:b/>
          <w:bCs/>
          <w:sz w:val="24"/>
          <w:szCs w:val="24"/>
        </w:rPr>
        <w:t>People &amp; Process:</w:t>
      </w:r>
      <w:r w:rsidRPr="0013780E">
        <w:rPr>
          <w:rFonts w:ascii="Arial" w:hAnsi="Arial" w:cs="Arial"/>
          <w:sz w:val="24"/>
          <w:szCs w:val="24"/>
        </w:rPr>
        <w:t xml:space="preserve"> Advanced compliance teams and automated AML systems.</w:t>
      </w:r>
    </w:p>
    <w:p w14:paraId="56C33035" w14:textId="77777777" w:rsidR="0013780E" w:rsidRPr="0013780E" w:rsidRDefault="0013780E" w:rsidP="0013780E">
      <w:pPr>
        <w:pStyle w:val="NoSpacing"/>
        <w:numPr>
          <w:ilvl w:val="0"/>
          <w:numId w:val="10"/>
        </w:numPr>
        <w:spacing w:line="360" w:lineRule="auto"/>
        <w:jc w:val="both"/>
        <w:rPr>
          <w:rFonts w:ascii="Arial" w:hAnsi="Arial" w:cs="Arial"/>
          <w:sz w:val="24"/>
          <w:szCs w:val="24"/>
        </w:rPr>
      </w:pPr>
      <w:r w:rsidRPr="0013780E">
        <w:rPr>
          <w:rFonts w:ascii="Arial" w:hAnsi="Arial" w:cs="Arial"/>
          <w:b/>
          <w:bCs/>
          <w:sz w:val="24"/>
          <w:szCs w:val="24"/>
        </w:rPr>
        <w:t>Physical Evidence:</w:t>
      </w:r>
      <w:r w:rsidRPr="0013780E">
        <w:rPr>
          <w:rFonts w:ascii="Arial" w:hAnsi="Arial" w:cs="Arial"/>
          <w:sz w:val="24"/>
          <w:szCs w:val="24"/>
        </w:rPr>
        <w:t xml:space="preserve"> A consistent, secure customer interface across touchpoints.</w:t>
      </w:r>
    </w:p>
    <w:p w14:paraId="3EB3314D" w14:textId="77777777" w:rsidR="0013780E" w:rsidRPr="00FF2B11" w:rsidRDefault="0013780E" w:rsidP="00FF2B11">
      <w:pPr>
        <w:pStyle w:val="NoSpacing"/>
        <w:spacing w:line="360" w:lineRule="auto"/>
        <w:jc w:val="both"/>
        <w:rPr>
          <w:rFonts w:ascii="Arial" w:hAnsi="Arial" w:cs="Arial"/>
          <w:sz w:val="24"/>
          <w:szCs w:val="24"/>
        </w:rPr>
      </w:pPr>
    </w:p>
    <w:p w14:paraId="584EBA91" w14:textId="6BCE319B" w:rsidR="00FF2B11" w:rsidRDefault="0013780E" w:rsidP="00FF2B11">
      <w:pPr>
        <w:pStyle w:val="NoSpacing"/>
        <w:spacing w:line="360" w:lineRule="auto"/>
        <w:jc w:val="both"/>
        <w:rPr>
          <w:rFonts w:ascii="Arial" w:hAnsi="Arial" w:cs="Arial"/>
          <w:sz w:val="24"/>
          <w:szCs w:val="24"/>
        </w:rPr>
      </w:pPr>
      <w:r w:rsidRPr="0013780E">
        <w:rPr>
          <w:rFonts w:ascii="Arial" w:hAnsi="Arial" w:cs="Arial"/>
          <w:sz w:val="24"/>
          <w:szCs w:val="24"/>
        </w:rPr>
        <w:t xml:space="preserve">From an </w:t>
      </w:r>
      <w:r w:rsidRPr="0013780E">
        <w:rPr>
          <w:rFonts w:ascii="Arial" w:hAnsi="Arial" w:cs="Arial"/>
          <w:b/>
          <w:bCs/>
          <w:sz w:val="24"/>
          <w:szCs w:val="24"/>
        </w:rPr>
        <w:t>Ansoff perspective</w:t>
      </w:r>
      <w:r w:rsidRPr="0013780E">
        <w:rPr>
          <w:rFonts w:ascii="Arial" w:hAnsi="Arial" w:cs="Arial"/>
          <w:sz w:val="24"/>
          <w:szCs w:val="24"/>
        </w:rPr>
        <w:t xml:space="preserve">, these responses represent </w:t>
      </w:r>
      <w:r w:rsidRPr="0013780E">
        <w:rPr>
          <w:rFonts w:ascii="Arial" w:hAnsi="Arial" w:cs="Arial"/>
          <w:b/>
          <w:bCs/>
          <w:sz w:val="24"/>
          <w:szCs w:val="24"/>
        </w:rPr>
        <w:t>market penetration</w:t>
      </w:r>
      <w:r w:rsidRPr="0013780E">
        <w:rPr>
          <w:rFonts w:ascii="Arial" w:hAnsi="Arial" w:cs="Arial"/>
          <w:sz w:val="24"/>
          <w:szCs w:val="24"/>
        </w:rPr>
        <w:t xml:space="preserve"> and </w:t>
      </w:r>
      <w:r w:rsidRPr="0013780E">
        <w:rPr>
          <w:rFonts w:ascii="Arial" w:hAnsi="Arial" w:cs="Arial"/>
          <w:b/>
          <w:bCs/>
          <w:sz w:val="24"/>
          <w:szCs w:val="24"/>
        </w:rPr>
        <w:t>product development</w:t>
      </w:r>
      <w:r w:rsidRPr="0013780E">
        <w:rPr>
          <w:rFonts w:ascii="Arial" w:hAnsi="Arial" w:cs="Arial"/>
          <w:sz w:val="24"/>
          <w:szCs w:val="24"/>
        </w:rPr>
        <w:t>, enhancing existing offerings under new regulatory conditions. However, their size and regulatory scrutiny can limit agility, as risk management processes lengthen innovation cycles.</w:t>
      </w:r>
    </w:p>
    <w:p w14:paraId="418A714B" w14:textId="77777777" w:rsidR="0013780E" w:rsidRPr="00FF2B11" w:rsidRDefault="0013780E" w:rsidP="00FF2B11">
      <w:pPr>
        <w:pStyle w:val="NoSpacing"/>
        <w:spacing w:line="360" w:lineRule="auto"/>
        <w:jc w:val="both"/>
        <w:rPr>
          <w:rFonts w:ascii="Arial" w:hAnsi="Arial" w:cs="Arial"/>
          <w:sz w:val="24"/>
          <w:szCs w:val="24"/>
        </w:rPr>
      </w:pPr>
    </w:p>
    <w:p w14:paraId="5F582AA2" w14:textId="604277B4" w:rsidR="00FF2B11" w:rsidRPr="00FF2B11" w:rsidRDefault="00D83400" w:rsidP="00FF2B11">
      <w:pPr>
        <w:pStyle w:val="Heading2"/>
        <w:rPr>
          <w:rFonts w:ascii="Arial" w:hAnsi="Arial" w:cs="Arial"/>
          <w:b/>
          <w:bCs/>
          <w:color w:val="auto"/>
          <w:sz w:val="26"/>
          <w:szCs w:val="26"/>
        </w:rPr>
      </w:pPr>
      <w:bookmarkStart w:id="8" w:name="_Toc212150915"/>
      <w:r>
        <w:rPr>
          <w:rFonts w:ascii="Arial" w:hAnsi="Arial" w:cs="Arial"/>
          <w:b/>
          <w:bCs/>
          <w:color w:val="auto"/>
          <w:sz w:val="26"/>
          <w:szCs w:val="26"/>
        </w:rPr>
        <w:t>3</w:t>
      </w:r>
      <w:r w:rsidR="00FF2B11" w:rsidRPr="00FF2B11">
        <w:rPr>
          <w:rFonts w:ascii="Arial" w:hAnsi="Arial" w:cs="Arial"/>
          <w:b/>
          <w:bCs/>
          <w:color w:val="auto"/>
          <w:sz w:val="26"/>
          <w:szCs w:val="26"/>
        </w:rPr>
        <w:t>.3 Comparative Evaluation</w:t>
      </w:r>
      <w:bookmarkEnd w:id="8"/>
    </w:p>
    <w:p w14:paraId="54688083" w14:textId="77777777" w:rsidR="00FF2B11" w:rsidRPr="00FF2B11" w:rsidRDefault="00FF2B11" w:rsidP="00FF2B11">
      <w:pPr>
        <w:pStyle w:val="NoSpacing"/>
        <w:spacing w:line="360" w:lineRule="auto"/>
        <w:jc w:val="both"/>
        <w:rPr>
          <w:rFonts w:ascii="Arial" w:hAnsi="Arial" w:cs="Arial"/>
          <w:sz w:val="24"/>
          <w:szCs w:val="24"/>
        </w:rPr>
      </w:pPr>
    </w:p>
    <w:p w14:paraId="352E5755" w14:textId="5FD96C11" w:rsidR="00FF2B11" w:rsidRDefault="0013780E" w:rsidP="00FF2B11">
      <w:pPr>
        <w:pStyle w:val="NoSpacing"/>
        <w:spacing w:line="360" w:lineRule="auto"/>
        <w:jc w:val="both"/>
        <w:rPr>
          <w:rFonts w:ascii="Arial" w:hAnsi="Arial" w:cs="Arial"/>
          <w:sz w:val="24"/>
          <w:szCs w:val="24"/>
        </w:rPr>
      </w:pPr>
      <w:r w:rsidRPr="0013780E">
        <w:rPr>
          <w:rFonts w:ascii="Arial" w:hAnsi="Arial" w:cs="Arial"/>
          <w:sz w:val="24"/>
          <w:szCs w:val="24"/>
        </w:rPr>
        <w:lastRenderedPageBreak/>
        <w:t xml:space="preserve">The strategic responses of pioneers and followers highlight distinct strengths and weaknesses in marketing strategy. Pioneers like Monzo thrive on </w:t>
      </w:r>
      <w:r w:rsidRPr="0013780E">
        <w:rPr>
          <w:rFonts w:ascii="Arial" w:hAnsi="Arial" w:cs="Arial"/>
          <w:b/>
          <w:bCs/>
          <w:sz w:val="24"/>
          <w:szCs w:val="24"/>
        </w:rPr>
        <w:t>differentiation, innovation, and customer intimacy</w:t>
      </w:r>
      <w:r w:rsidRPr="0013780E">
        <w:rPr>
          <w:rFonts w:ascii="Arial" w:hAnsi="Arial" w:cs="Arial"/>
          <w:sz w:val="24"/>
          <w:szCs w:val="24"/>
        </w:rPr>
        <w:t xml:space="preserve">, aligning with the </w:t>
      </w:r>
      <w:r w:rsidRPr="0013780E">
        <w:rPr>
          <w:rFonts w:ascii="Arial" w:hAnsi="Arial" w:cs="Arial"/>
          <w:b/>
          <w:bCs/>
          <w:sz w:val="24"/>
          <w:szCs w:val="24"/>
        </w:rPr>
        <w:t>STP model</w:t>
      </w:r>
      <w:r w:rsidRPr="0013780E">
        <w:rPr>
          <w:rFonts w:ascii="Arial" w:hAnsi="Arial" w:cs="Arial"/>
          <w:sz w:val="24"/>
          <w:szCs w:val="24"/>
        </w:rPr>
        <w:t xml:space="preserve"> and </w:t>
      </w:r>
      <w:r w:rsidRPr="0013780E">
        <w:rPr>
          <w:rFonts w:ascii="Arial" w:hAnsi="Arial" w:cs="Arial"/>
          <w:b/>
          <w:bCs/>
          <w:sz w:val="24"/>
          <w:szCs w:val="24"/>
        </w:rPr>
        <w:t>relationship marketing</w:t>
      </w:r>
      <w:r w:rsidRPr="0013780E">
        <w:rPr>
          <w:rFonts w:ascii="Arial" w:hAnsi="Arial" w:cs="Arial"/>
          <w:sz w:val="24"/>
          <w:szCs w:val="24"/>
        </w:rPr>
        <w:t xml:space="preserve"> philosophy. Their emphasis on user experience, transparency, and digital engagement builds brand loyalty among younger, tech-oriented segments. However, they face challenges of profitability, scalability, and regulatory compliance.</w:t>
      </w:r>
    </w:p>
    <w:p w14:paraId="146BF76B" w14:textId="77777777" w:rsidR="0013780E" w:rsidRPr="00FF2B11" w:rsidRDefault="0013780E" w:rsidP="00FF2B11">
      <w:pPr>
        <w:pStyle w:val="NoSpacing"/>
        <w:spacing w:line="360" w:lineRule="auto"/>
        <w:jc w:val="both"/>
        <w:rPr>
          <w:rFonts w:ascii="Arial" w:hAnsi="Arial" w:cs="Arial"/>
          <w:sz w:val="24"/>
          <w:szCs w:val="24"/>
        </w:rPr>
      </w:pPr>
    </w:p>
    <w:p w14:paraId="1DF0ED10" w14:textId="1BA0495B" w:rsidR="00FF2B11" w:rsidRDefault="0013780E" w:rsidP="00FF2B11">
      <w:pPr>
        <w:pStyle w:val="NoSpacing"/>
        <w:spacing w:line="360" w:lineRule="auto"/>
        <w:jc w:val="both"/>
        <w:rPr>
          <w:rFonts w:ascii="Arial" w:hAnsi="Arial" w:cs="Arial"/>
          <w:sz w:val="24"/>
          <w:szCs w:val="24"/>
        </w:rPr>
      </w:pPr>
      <w:r w:rsidRPr="0013780E">
        <w:rPr>
          <w:rFonts w:ascii="Arial" w:hAnsi="Arial" w:cs="Arial"/>
          <w:sz w:val="24"/>
          <w:szCs w:val="24"/>
        </w:rPr>
        <w:t xml:space="preserve">Followers like Barclays and HSBC excel in </w:t>
      </w:r>
      <w:r w:rsidRPr="0013780E">
        <w:rPr>
          <w:rFonts w:ascii="Arial" w:hAnsi="Arial" w:cs="Arial"/>
          <w:b/>
          <w:bCs/>
          <w:sz w:val="24"/>
          <w:szCs w:val="24"/>
        </w:rPr>
        <w:t>cost leadership, trust-based positioning</w:t>
      </w:r>
      <w:r w:rsidRPr="0013780E">
        <w:rPr>
          <w:rFonts w:ascii="Arial" w:hAnsi="Arial" w:cs="Arial"/>
          <w:sz w:val="24"/>
          <w:szCs w:val="24"/>
        </w:rPr>
        <w:t xml:space="preserve">, and service quality, supported by robust </w:t>
      </w:r>
      <w:r w:rsidRPr="0013780E">
        <w:rPr>
          <w:rFonts w:ascii="Arial" w:hAnsi="Arial" w:cs="Arial"/>
          <w:b/>
          <w:bCs/>
          <w:sz w:val="24"/>
          <w:szCs w:val="24"/>
        </w:rPr>
        <w:t>relationship marketing</w:t>
      </w:r>
      <w:r w:rsidRPr="0013780E">
        <w:rPr>
          <w:rFonts w:ascii="Arial" w:hAnsi="Arial" w:cs="Arial"/>
          <w:sz w:val="24"/>
          <w:szCs w:val="24"/>
        </w:rPr>
        <w:t xml:space="preserve"> and compliance-driven branding. Their hybrid use of digital and physical channels supports wider market coverage, but legacy systems limit their agility and innovation speed.</w:t>
      </w:r>
    </w:p>
    <w:p w14:paraId="5CCD0192" w14:textId="77777777" w:rsidR="0013780E" w:rsidRDefault="0013780E" w:rsidP="00FF2B11">
      <w:pPr>
        <w:pStyle w:val="NoSpacing"/>
        <w:spacing w:line="360" w:lineRule="auto"/>
        <w:jc w:val="both"/>
        <w:rPr>
          <w:rFonts w:ascii="Arial" w:hAnsi="Arial" w:cs="Arial"/>
          <w:sz w:val="24"/>
          <w:szCs w:val="24"/>
        </w:rPr>
      </w:pPr>
    </w:p>
    <w:p w14:paraId="3584F25B" w14:textId="77777777" w:rsidR="0013780E" w:rsidRPr="0013780E" w:rsidRDefault="0013780E" w:rsidP="0013780E">
      <w:pPr>
        <w:pStyle w:val="NoSpacing"/>
        <w:spacing w:line="360" w:lineRule="auto"/>
        <w:jc w:val="both"/>
        <w:rPr>
          <w:rFonts w:ascii="Arial" w:hAnsi="Arial" w:cs="Arial"/>
          <w:sz w:val="24"/>
          <w:szCs w:val="24"/>
        </w:rPr>
      </w:pPr>
      <w:r w:rsidRPr="0013780E">
        <w:rPr>
          <w:rFonts w:ascii="Arial" w:hAnsi="Arial" w:cs="Arial"/>
          <w:sz w:val="24"/>
          <w:szCs w:val="24"/>
        </w:rPr>
        <w:t>From a theoretical standpoint:</w:t>
      </w:r>
    </w:p>
    <w:p w14:paraId="485267F2" w14:textId="77777777" w:rsidR="0013780E" w:rsidRPr="0013780E" w:rsidRDefault="0013780E" w:rsidP="0013780E">
      <w:pPr>
        <w:pStyle w:val="NoSpacing"/>
        <w:numPr>
          <w:ilvl w:val="0"/>
          <w:numId w:val="11"/>
        </w:numPr>
        <w:spacing w:line="360" w:lineRule="auto"/>
        <w:jc w:val="both"/>
        <w:rPr>
          <w:rFonts w:ascii="Arial" w:hAnsi="Arial" w:cs="Arial"/>
          <w:sz w:val="24"/>
          <w:szCs w:val="24"/>
        </w:rPr>
      </w:pPr>
      <w:r w:rsidRPr="0013780E">
        <w:rPr>
          <w:rFonts w:ascii="Arial" w:hAnsi="Arial" w:cs="Arial"/>
          <w:b/>
          <w:bCs/>
          <w:sz w:val="24"/>
          <w:szCs w:val="24"/>
        </w:rPr>
        <w:t>Porter’s competitive strategies</w:t>
      </w:r>
      <w:r w:rsidRPr="0013780E">
        <w:rPr>
          <w:rFonts w:ascii="Arial" w:hAnsi="Arial" w:cs="Arial"/>
          <w:sz w:val="24"/>
          <w:szCs w:val="24"/>
        </w:rPr>
        <w:t xml:space="preserve"> clarify pioneers’ differentiation versus followers’ cost efficiency.</w:t>
      </w:r>
    </w:p>
    <w:p w14:paraId="1C6A956B" w14:textId="77777777" w:rsidR="0013780E" w:rsidRPr="0013780E" w:rsidRDefault="0013780E" w:rsidP="0013780E">
      <w:pPr>
        <w:pStyle w:val="NoSpacing"/>
        <w:numPr>
          <w:ilvl w:val="0"/>
          <w:numId w:val="11"/>
        </w:numPr>
        <w:spacing w:line="360" w:lineRule="auto"/>
        <w:jc w:val="both"/>
        <w:rPr>
          <w:rFonts w:ascii="Arial" w:hAnsi="Arial" w:cs="Arial"/>
          <w:sz w:val="24"/>
          <w:szCs w:val="24"/>
        </w:rPr>
      </w:pPr>
      <w:r w:rsidRPr="0013780E">
        <w:rPr>
          <w:rFonts w:ascii="Arial" w:hAnsi="Arial" w:cs="Arial"/>
          <w:b/>
          <w:bCs/>
          <w:sz w:val="24"/>
          <w:szCs w:val="24"/>
        </w:rPr>
        <w:t>Ansoff’s Matrix</w:t>
      </w:r>
      <w:r w:rsidRPr="0013780E">
        <w:rPr>
          <w:rFonts w:ascii="Arial" w:hAnsi="Arial" w:cs="Arial"/>
          <w:sz w:val="24"/>
          <w:szCs w:val="24"/>
        </w:rPr>
        <w:t xml:space="preserve"> highlights their different growth paths — innovation-led (Monzo) versus incremental (Barclays/HSBC).</w:t>
      </w:r>
    </w:p>
    <w:p w14:paraId="3FF2EFEE" w14:textId="77777777" w:rsidR="0013780E" w:rsidRPr="0013780E" w:rsidRDefault="0013780E" w:rsidP="0013780E">
      <w:pPr>
        <w:pStyle w:val="NoSpacing"/>
        <w:numPr>
          <w:ilvl w:val="0"/>
          <w:numId w:val="11"/>
        </w:numPr>
        <w:spacing w:line="360" w:lineRule="auto"/>
        <w:jc w:val="both"/>
        <w:rPr>
          <w:rFonts w:ascii="Arial" w:hAnsi="Arial" w:cs="Arial"/>
          <w:sz w:val="24"/>
          <w:szCs w:val="24"/>
        </w:rPr>
      </w:pPr>
      <w:r w:rsidRPr="0013780E">
        <w:rPr>
          <w:rFonts w:ascii="Arial" w:hAnsi="Arial" w:cs="Arial"/>
          <w:b/>
          <w:bCs/>
          <w:sz w:val="24"/>
          <w:szCs w:val="24"/>
        </w:rPr>
        <w:t>RBV</w:t>
      </w:r>
      <w:r w:rsidRPr="0013780E">
        <w:rPr>
          <w:rFonts w:ascii="Arial" w:hAnsi="Arial" w:cs="Arial"/>
          <w:sz w:val="24"/>
          <w:szCs w:val="24"/>
        </w:rPr>
        <w:t xml:space="preserve"> explains the varying sustainability of their internal resources.</w:t>
      </w:r>
    </w:p>
    <w:p w14:paraId="65EB50EE" w14:textId="77777777" w:rsidR="0013780E" w:rsidRPr="0013780E" w:rsidRDefault="0013780E" w:rsidP="0013780E">
      <w:pPr>
        <w:pStyle w:val="NoSpacing"/>
        <w:numPr>
          <w:ilvl w:val="0"/>
          <w:numId w:val="11"/>
        </w:numPr>
        <w:spacing w:line="360" w:lineRule="auto"/>
        <w:jc w:val="both"/>
        <w:rPr>
          <w:rFonts w:ascii="Arial" w:hAnsi="Arial" w:cs="Arial"/>
          <w:sz w:val="24"/>
          <w:szCs w:val="24"/>
        </w:rPr>
      </w:pPr>
      <w:r w:rsidRPr="0013780E">
        <w:rPr>
          <w:rFonts w:ascii="Arial" w:hAnsi="Arial" w:cs="Arial"/>
          <w:b/>
          <w:bCs/>
          <w:sz w:val="24"/>
          <w:szCs w:val="24"/>
        </w:rPr>
        <w:t>Diffusion of Innovation</w:t>
      </w:r>
      <w:r w:rsidRPr="0013780E">
        <w:rPr>
          <w:rFonts w:ascii="Arial" w:hAnsi="Arial" w:cs="Arial"/>
          <w:sz w:val="24"/>
          <w:szCs w:val="24"/>
        </w:rPr>
        <w:t xml:space="preserve"> shows why pioneers lead adoption while followers capture mainstream users.</w:t>
      </w:r>
    </w:p>
    <w:p w14:paraId="0F8CA1A4" w14:textId="77777777" w:rsidR="0013780E" w:rsidRPr="0013780E" w:rsidRDefault="0013780E" w:rsidP="0013780E">
      <w:pPr>
        <w:pStyle w:val="NoSpacing"/>
        <w:numPr>
          <w:ilvl w:val="0"/>
          <w:numId w:val="11"/>
        </w:numPr>
        <w:spacing w:line="360" w:lineRule="auto"/>
        <w:jc w:val="both"/>
        <w:rPr>
          <w:rFonts w:ascii="Arial" w:hAnsi="Arial" w:cs="Arial"/>
          <w:sz w:val="24"/>
          <w:szCs w:val="24"/>
        </w:rPr>
      </w:pPr>
      <w:r w:rsidRPr="0013780E">
        <w:rPr>
          <w:rFonts w:ascii="Arial" w:hAnsi="Arial" w:cs="Arial"/>
          <w:sz w:val="24"/>
          <w:szCs w:val="24"/>
        </w:rPr>
        <w:t xml:space="preserve">The </w:t>
      </w:r>
      <w:r w:rsidRPr="0013780E">
        <w:rPr>
          <w:rFonts w:ascii="Arial" w:hAnsi="Arial" w:cs="Arial"/>
          <w:b/>
          <w:bCs/>
          <w:sz w:val="24"/>
          <w:szCs w:val="24"/>
        </w:rPr>
        <w:t>7Ps</w:t>
      </w:r>
      <w:r w:rsidRPr="0013780E">
        <w:rPr>
          <w:rFonts w:ascii="Arial" w:hAnsi="Arial" w:cs="Arial"/>
          <w:sz w:val="24"/>
          <w:szCs w:val="24"/>
        </w:rPr>
        <w:t xml:space="preserve"> framework underlines how each adapts its marketing mix to align with technological and regulatory shifts.</w:t>
      </w:r>
    </w:p>
    <w:p w14:paraId="13BEE88D" w14:textId="77777777" w:rsidR="0013780E" w:rsidRPr="00FF2B11" w:rsidRDefault="0013780E" w:rsidP="00FF2B11">
      <w:pPr>
        <w:pStyle w:val="NoSpacing"/>
        <w:spacing w:line="360" w:lineRule="auto"/>
        <w:jc w:val="both"/>
        <w:rPr>
          <w:rFonts w:ascii="Arial" w:hAnsi="Arial" w:cs="Arial"/>
          <w:sz w:val="24"/>
          <w:szCs w:val="24"/>
        </w:rPr>
      </w:pPr>
    </w:p>
    <w:p w14:paraId="2C41C1F4" w14:textId="71BA739F" w:rsidR="0013780E" w:rsidRPr="004F50DF" w:rsidRDefault="0013780E" w:rsidP="004F50DF">
      <w:pPr>
        <w:pStyle w:val="NoSpacing"/>
        <w:spacing w:line="360" w:lineRule="auto"/>
        <w:jc w:val="both"/>
        <w:rPr>
          <w:rFonts w:ascii="Arial" w:hAnsi="Arial" w:cs="Arial"/>
          <w:sz w:val="24"/>
          <w:szCs w:val="24"/>
        </w:rPr>
      </w:pPr>
      <w:r w:rsidRPr="0013780E">
        <w:rPr>
          <w:rFonts w:ascii="Arial" w:hAnsi="Arial" w:cs="Arial"/>
          <w:sz w:val="24"/>
          <w:szCs w:val="24"/>
        </w:rPr>
        <w:t xml:space="preserve">In practice, sustainable competitiveness may depend on a </w:t>
      </w:r>
      <w:r w:rsidRPr="0013780E">
        <w:rPr>
          <w:rFonts w:ascii="Arial" w:hAnsi="Arial" w:cs="Arial"/>
          <w:b/>
          <w:bCs/>
          <w:sz w:val="24"/>
          <w:szCs w:val="24"/>
        </w:rPr>
        <w:t>hybrid marketing strategy</w:t>
      </w:r>
      <w:r w:rsidRPr="0013780E">
        <w:rPr>
          <w:rFonts w:ascii="Arial" w:hAnsi="Arial" w:cs="Arial"/>
          <w:sz w:val="24"/>
          <w:szCs w:val="24"/>
        </w:rPr>
        <w:t xml:space="preserve">. Pioneers like Monzo must strengthen compliance and operational processes to complement their innovation-driven marketing mix, while followers must increase agility and customer-centric innovation. The interplay of macro-environmental forces suggests that in the fintech sector, firms that combine </w:t>
      </w:r>
      <w:r w:rsidRPr="0013780E">
        <w:rPr>
          <w:rFonts w:ascii="Arial" w:hAnsi="Arial" w:cs="Arial"/>
          <w:b/>
          <w:bCs/>
          <w:sz w:val="24"/>
          <w:szCs w:val="24"/>
        </w:rPr>
        <w:t>strategic innovation with adaptive marketing</w:t>
      </w:r>
      <w:r w:rsidRPr="0013780E">
        <w:rPr>
          <w:rFonts w:ascii="Arial" w:hAnsi="Arial" w:cs="Arial"/>
          <w:sz w:val="24"/>
          <w:szCs w:val="24"/>
        </w:rPr>
        <w:t xml:space="preserve"> are most likely to maintain long-term advantage.</w:t>
      </w:r>
    </w:p>
    <w:p w14:paraId="06B58D7D" w14:textId="6CF87C94" w:rsidR="004F50DF" w:rsidRPr="004F50DF" w:rsidRDefault="004F50DF" w:rsidP="004F50DF">
      <w:pPr>
        <w:pStyle w:val="Heading1"/>
        <w:rPr>
          <w:rFonts w:ascii="Arial" w:hAnsi="Arial" w:cs="Arial"/>
          <w:b/>
          <w:bCs/>
          <w:color w:val="auto"/>
          <w:sz w:val="30"/>
          <w:szCs w:val="30"/>
        </w:rPr>
      </w:pPr>
      <w:bookmarkStart w:id="9" w:name="_Toc212150916"/>
      <w:r w:rsidRPr="004F50DF">
        <w:rPr>
          <w:rFonts w:ascii="Arial" w:hAnsi="Arial" w:cs="Arial"/>
          <w:b/>
          <w:bCs/>
          <w:color w:val="auto"/>
          <w:sz w:val="30"/>
          <w:szCs w:val="30"/>
        </w:rPr>
        <w:t>Conclusion</w:t>
      </w:r>
      <w:bookmarkEnd w:id="9"/>
    </w:p>
    <w:p w14:paraId="7E019A9C" w14:textId="77777777" w:rsidR="004F50DF" w:rsidRPr="004F50DF" w:rsidRDefault="004F50DF" w:rsidP="004F50DF">
      <w:pPr>
        <w:pStyle w:val="NoSpacing"/>
        <w:spacing w:line="360" w:lineRule="auto"/>
        <w:jc w:val="both"/>
        <w:rPr>
          <w:rFonts w:ascii="Arial" w:hAnsi="Arial" w:cs="Arial"/>
          <w:sz w:val="24"/>
          <w:szCs w:val="24"/>
        </w:rPr>
      </w:pPr>
    </w:p>
    <w:p w14:paraId="62F8F13A" w14:textId="0105C13E" w:rsidR="004F50DF" w:rsidRDefault="009828FA" w:rsidP="004F50DF">
      <w:pPr>
        <w:pStyle w:val="NoSpacing"/>
        <w:spacing w:line="360" w:lineRule="auto"/>
        <w:jc w:val="both"/>
        <w:rPr>
          <w:rFonts w:ascii="Arial" w:hAnsi="Arial" w:cs="Arial"/>
          <w:sz w:val="24"/>
          <w:szCs w:val="24"/>
        </w:rPr>
      </w:pPr>
      <w:r w:rsidRPr="009828FA">
        <w:rPr>
          <w:rFonts w:ascii="Arial" w:hAnsi="Arial" w:cs="Arial"/>
          <w:sz w:val="24"/>
          <w:szCs w:val="24"/>
        </w:rPr>
        <w:t xml:space="preserve">This paper has rigorously </w:t>
      </w:r>
      <w:proofErr w:type="spellStart"/>
      <w:r w:rsidRPr="009828FA">
        <w:rPr>
          <w:rFonts w:ascii="Arial" w:hAnsi="Arial" w:cs="Arial"/>
          <w:sz w:val="24"/>
          <w:szCs w:val="24"/>
        </w:rPr>
        <w:t>analyzed</w:t>
      </w:r>
      <w:proofErr w:type="spellEnd"/>
      <w:r w:rsidRPr="009828FA">
        <w:rPr>
          <w:rFonts w:ascii="Arial" w:hAnsi="Arial" w:cs="Arial"/>
          <w:sz w:val="24"/>
          <w:szCs w:val="24"/>
        </w:rPr>
        <w:t xml:space="preserve"> how macro-environmental factors, specifically technical and political/regulatory changes, influence strategic marketing decisions in </w:t>
      </w:r>
      <w:r w:rsidRPr="009828FA">
        <w:rPr>
          <w:rFonts w:ascii="Arial" w:hAnsi="Arial" w:cs="Arial"/>
          <w:sz w:val="24"/>
          <w:szCs w:val="24"/>
        </w:rPr>
        <w:lastRenderedPageBreak/>
        <w:t>the UK financial technology (fintech) sector.  The investigation revealed that the macro marketing environment, assessed via the PESTLE framework, is crucial in identifying both opportunities and risks for companies.  Technological innovations and changing regulatory frameworks have profoundly altered the manner in which banks provide services, engage with clients, and sustain competitiveness.</w:t>
      </w:r>
    </w:p>
    <w:p w14:paraId="42271C04" w14:textId="77777777" w:rsidR="009828FA" w:rsidRPr="004F50DF" w:rsidRDefault="009828FA" w:rsidP="004F50DF">
      <w:pPr>
        <w:pStyle w:val="NoSpacing"/>
        <w:spacing w:line="360" w:lineRule="auto"/>
        <w:jc w:val="both"/>
        <w:rPr>
          <w:rFonts w:ascii="Arial" w:hAnsi="Arial" w:cs="Arial"/>
          <w:sz w:val="24"/>
          <w:szCs w:val="24"/>
        </w:rPr>
      </w:pPr>
    </w:p>
    <w:p w14:paraId="034B391B" w14:textId="77777777" w:rsidR="004F50DF" w:rsidRPr="004F50DF" w:rsidRDefault="004F50DF" w:rsidP="004F50DF">
      <w:pPr>
        <w:pStyle w:val="NoSpacing"/>
        <w:spacing w:line="360" w:lineRule="auto"/>
        <w:jc w:val="both"/>
        <w:rPr>
          <w:rFonts w:ascii="Arial" w:hAnsi="Arial" w:cs="Arial"/>
          <w:sz w:val="24"/>
          <w:szCs w:val="24"/>
        </w:rPr>
      </w:pPr>
      <w:r w:rsidRPr="004F50DF">
        <w:rPr>
          <w:rFonts w:ascii="Arial" w:hAnsi="Arial" w:cs="Arial"/>
          <w:sz w:val="24"/>
          <w:szCs w:val="24"/>
        </w:rPr>
        <w:t xml:space="preserve">Pioneer organisations such as </w:t>
      </w:r>
      <w:r w:rsidRPr="004F50DF">
        <w:rPr>
          <w:rFonts w:ascii="Arial" w:hAnsi="Arial" w:cs="Arial"/>
          <w:b/>
          <w:bCs/>
          <w:sz w:val="24"/>
          <w:szCs w:val="24"/>
        </w:rPr>
        <w:t>Monzo</w:t>
      </w:r>
      <w:r w:rsidRPr="004F50DF">
        <w:rPr>
          <w:rFonts w:ascii="Arial" w:hAnsi="Arial" w:cs="Arial"/>
          <w:sz w:val="24"/>
          <w:szCs w:val="24"/>
        </w:rPr>
        <w:t xml:space="preserve"> have capitalised on these environmental shifts by embracing innovation, developing user-centric digital products, and creating new market segments. Their strategies illustrate the benefits of early adoption and differentiation but also highlight challenges related to scalability, compliance, and long-term profitability. Conversely, follower firms like </w:t>
      </w:r>
      <w:r w:rsidRPr="004F50DF">
        <w:rPr>
          <w:rFonts w:ascii="Arial" w:hAnsi="Arial" w:cs="Arial"/>
          <w:b/>
          <w:bCs/>
          <w:sz w:val="24"/>
          <w:szCs w:val="24"/>
        </w:rPr>
        <w:t>Barclays</w:t>
      </w:r>
      <w:r w:rsidRPr="004F50DF">
        <w:rPr>
          <w:rFonts w:ascii="Arial" w:hAnsi="Arial" w:cs="Arial"/>
          <w:sz w:val="24"/>
          <w:szCs w:val="24"/>
        </w:rPr>
        <w:t xml:space="preserve"> and </w:t>
      </w:r>
      <w:r w:rsidRPr="004F50DF">
        <w:rPr>
          <w:rFonts w:ascii="Arial" w:hAnsi="Arial" w:cs="Arial"/>
          <w:b/>
          <w:bCs/>
          <w:sz w:val="24"/>
          <w:szCs w:val="24"/>
        </w:rPr>
        <w:t>HSBC</w:t>
      </w:r>
      <w:r w:rsidRPr="004F50DF">
        <w:rPr>
          <w:rFonts w:ascii="Arial" w:hAnsi="Arial" w:cs="Arial"/>
          <w:sz w:val="24"/>
          <w:szCs w:val="24"/>
        </w:rPr>
        <w:t xml:space="preserve"> have strategically responded through imitation, digital transformation, and cost leadership. Their scale and compliance expertise allow them to absorb regulatory pressures effectively, though they risk being perceived as less agile or innovative.</w:t>
      </w:r>
    </w:p>
    <w:p w14:paraId="77DA7E06" w14:textId="77777777" w:rsidR="004F50DF" w:rsidRPr="004F50DF" w:rsidRDefault="004F50DF" w:rsidP="004F50DF">
      <w:pPr>
        <w:pStyle w:val="NoSpacing"/>
        <w:spacing w:line="360" w:lineRule="auto"/>
        <w:jc w:val="both"/>
        <w:rPr>
          <w:rFonts w:ascii="Arial" w:hAnsi="Arial" w:cs="Arial"/>
          <w:sz w:val="24"/>
          <w:szCs w:val="24"/>
        </w:rPr>
      </w:pPr>
    </w:p>
    <w:p w14:paraId="2AF6FADB" w14:textId="3315E720" w:rsidR="00565506" w:rsidRPr="00565506" w:rsidRDefault="00565506" w:rsidP="00565506">
      <w:pPr>
        <w:pStyle w:val="NoSpacing"/>
        <w:spacing w:line="360" w:lineRule="auto"/>
        <w:jc w:val="both"/>
        <w:rPr>
          <w:rFonts w:ascii="Arial" w:hAnsi="Arial" w:cs="Arial"/>
          <w:sz w:val="24"/>
          <w:szCs w:val="24"/>
        </w:rPr>
      </w:pPr>
      <w:r w:rsidRPr="00565506">
        <w:rPr>
          <w:rFonts w:ascii="Arial" w:hAnsi="Arial" w:cs="Arial"/>
          <w:sz w:val="24"/>
          <w:szCs w:val="24"/>
        </w:rPr>
        <w:t>In general, both pioneer and follower methods work well when they are in line with outside factors in the environment. The success of each method depends on how much money, how well the company is doing in the market, and how flexible it is. In the fast-changing world of fintech, staying competitive over the long-term means finding a balance between new ideas and being able to keep running. In the end, businesses that stay adaptable, keep up with technology, and pay attention to changes in the law and consumer preferences will have a long-term strategic edge in the digital banking age.</w:t>
      </w:r>
    </w:p>
    <w:p w14:paraId="2A583B00" w14:textId="77777777" w:rsidR="00B33303" w:rsidRPr="004F50DF" w:rsidRDefault="00B33303" w:rsidP="004F50DF">
      <w:pPr>
        <w:pStyle w:val="NoSpacing"/>
        <w:spacing w:line="360" w:lineRule="auto"/>
        <w:jc w:val="both"/>
        <w:rPr>
          <w:rFonts w:ascii="Arial" w:hAnsi="Arial" w:cs="Arial"/>
          <w:sz w:val="24"/>
          <w:szCs w:val="24"/>
        </w:rPr>
      </w:pPr>
    </w:p>
    <w:p w14:paraId="00E5CEFE" w14:textId="48D8634C" w:rsidR="00561F4A" w:rsidRPr="004F50DF" w:rsidRDefault="00BB16C9" w:rsidP="004F50DF">
      <w:pPr>
        <w:pStyle w:val="NoSpacing"/>
        <w:spacing w:line="360" w:lineRule="auto"/>
        <w:jc w:val="both"/>
        <w:rPr>
          <w:rFonts w:ascii="Arial" w:hAnsi="Arial" w:cs="Arial"/>
          <w:sz w:val="24"/>
          <w:szCs w:val="24"/>
        </w:rPr>
      </w:pPr>
      <w:r w:rsidRPr="004F50DF">
        <w:rPr>
          <w:rFonts w:ascii="Arial" w:hAnsi="Arial" w:cs="Arial"/>
          <w:sz w:val="24"/>
          <w:szCs w:val="24"/>
        </w:rPr>
        <w:br w:type="page"/>
      </w:r>
    </w:p>
    <w:p w14:paraId="53CB1A33" w14:textId="7B1C5724" w:rsidR="00561F4A" w:rsidRPr="00AB1DE3" w:rsidRDefault="005939B1" w:rsidP="00AB1DE3">
      <w:pPr>
        <w:pStyle w:val="Heading1"/>
        <w:rPr>
          <w:rFonts w:ascii="Arial" w:hAnsi="Arial" w:cs="Arial"/>
          <w:b/>
          <w:bCs/>
          <w:color w:val="000000" w:themeColor="text1"/>
          <w:sz w:val="30"/>
          <w:szCs w:val="30"/>
        </w:rPr>
      </w:pPr>
      <w:r>
        <w:rPr>
          <w:rFonts w:ascii="Arial" w:hAnsi="Arial" w:cs="Arial"/>
          <w:b/>
          <w:bCs/>
          <w:color w:val="000000" w:themeColor="text1"/>
          <w:sz w:val="30"/>
          <w:szCs w:val="30"/>
        </w:rPr>
        <w:lastRenderedPageBreak/>
        <w:t xml:space="preserve"> </w:t>
      </w:r>
      <w:bookmarkStart w:id="10" w:name="_Toc212150917"/>
      <w:r w:rsidR="00AB1DE3" w:rsidRPr="00AB1DE3">
        <w:rPr>
          <w:rFonts w:ascii="Arial" w:hAnsi="Arial" w:cs="Arial"/>
          <w:b/>
          <w:bCs/>
          <w:color w:val="000000" w:themeColor="text1"/>
          <w:sz w:val="30"/>
          <w:szCs w:val="30"/>
        </w:rPr>
        <w:t>Reference</w:t>
      </w:r>
      <w:bookmarkEnd w:id="10"/>
      <w:r w:rsidR="00AB1DE3" w:rsidRPr="00AB1DE3">
        <w:rPr>
          <w:rFonts w:ascii="Arial" w:hAnsi="Arial" w:cs="Arial"/>
          <w:b/>
          <w:bCs/>
          <w:color w:val="000000" w:themeColor="text1"/>
          <w:sz w:val="30"/>
          <w:szCs w:val="30"/>
        </w:rPr>
        <w:t xml:space="preserve"> </w:t>
      </w:r>
    </w:p>
    <w:p w14:paraId="2C301E80" w14:textId="77777777" w:rsidR="0013780E" w:rsidRDefault="0013780E" w:rsidP="009C297D">
      <w:pPr>
        <w:pStyle w:val="NoSpacing"/>
        <w:spacing w:line="360" w:lineRule="auto"/>
        <w:ind w:left="360"/>
        <w:jc w:val="both"/>
        <w:rPr>
          <w:rFonts w:ascii="Arial" w:hAnsi="Arial" w:cs="Arial"/>
          <w:sz w:val="24"/>
          <w:szCs w:val="24"/>
        </w:rPr>
      </w:pPr>
    </w:p>
    <w:p w14:paraId="22766EF5" w14:textId="18F28DA1" w:rsidR="00561F4A" w:rsidRDefault="00561F4A" w:rsidP="009C297D">
      <w:pPr>
        <w:pStyle w:val="NoSpacing"/>
        <w:spacing w:line="360" w:lineRule="auto"/>
        <w:ind w:left="360"/>
        <w:jc w:val="both"/>
        <w:rPr>
          <w:rFonts w:ascii="Arial" w:hAnsi="Arial" w:cs="Arial"/>
          <w:sz w:val="24"/>
          <w:szCs w:val="24"/>
        </w:rPr>
      </w:pPr>
      <w:r w:rsidRPr="00561F4A">
        <w:rPr>
          <w:rFonts w:ascii="Arial" w:hAnsi="Arial" w:cs="Arial"/>
          <w:sz w:val="24"/>
          <w:szCs w:val="24"/>
        </w:rPr>
        <w:t>Kotler, P. and Keller, K.L. (2016). </w:t>
      </w:r>
      <w:r w:rsidRPr="00561F4A">
        <w:rPr>
          <w:rFonts w:ascii="Arial" w:hAnsi="Arial" w:cs="Arial"/>
          <w:i/>
          <w:iCs/>
          <w:sz w:val="24"/>
          <w:szCs w:val="24"/>
        </w:rPr>
        <w:t>Marketing Management (15th ed.). Pearson Education. - References - Scientific Research Publishing</w:t>
      </w:r>
      <w:r w:rsidRPr="00561F4A">
        <w:rPr>
          <w:rFonts w:ascii="Arial" w:hAnsi="Arial" w:cs="Arial"/>
          <w:sz w:val="24"/>
          <w:szCs w:val="24"/>
        </w:rPr>
        <w:t xml:space="preserve">. [online] www.scirp.org. Available at: </w:t>
      </w:r>
      <w:hyperlink r:id="rId10" w:history="1">
        <w:r w:rsidR="00AB1DE3" w:rsidRPr="00520E31">
          <w:rPr>
            <w:rStyle w:val="Hyperlink"/>
            <w:rFonts w:ascii="Arial" w:hAnsi="Arial" w:cs="Arial"/>
            <w:sz w:val="24"/>
            <w:szCs w:val="24"/>
          </w:rPr>
          <w:t>https://www.scirp.org/reference/referencespapers?referenceid=3155681</w:t>
        </w:r>
      </w:hyperlink>
      <w:r w:rsidRPr="00561F4A">
        <w:rPr>
          <w:rFonts w:ascii="Arial" w:hAnsi="Arial" w:cs="Arial"/>
          <w:sz w:val="24"/>
          <w:szCs w:val="24"/>
        </w:rPr>
        <w:t>.</w:t>
      </w:r>
    </w:p>
    <w:p w14:paraId="4CC6E039" w14:textId="77777777" w:rsidR="0013780E" w:rsidRDefault="0013780E" w:rsidP="009C297D">
      <w:pPr>
        <w:ind w:left="360"/>
        <w:rPr>
          <w:rFonts w:ascii="Arial" w:hAnsi="Arial" w:cs="Arial"/>
          <w:sz w:val="24"/>
          <w:szCs w:val="24"/>
        </w:rPr>
      </w:pPr>
    </w:p>
    <w:p w14:paraId="374A48F9" w14:textId="4D0ED324" w:rsidR="00AB1DE3" w:rsidRPr="009C297D" w:rsidRDefault="00AB1DE3" w:rsidP="009C297D">
      <w:pPr>
        <w:ind w:left="360"/>
        <w:rPr>
          <w:rFonts w:ascii="Arial" w:hAnsi="Arial" w:cs="Arial"/>
          <w:sz w:val="24"/>
          <w:szCs w:val="24"/>
        </w:rPr>
      </w:pPr>
      <w:r w:rsidRPr="009C297D">
        <w:rPr>
          <w:rFonts w:ascii="Arial" w:hAnsi="Arial" w:cs="Arial"/>
          <w:sz w:val="24"/>
          <w:szCs w:val="24"/>
        </w:rPr>
        <w:t>Johnson, G. (2020). Exploring Strategy, Text and Cases, 12th Edition. 12th ed. Pearson UK.</w:t>
      </w:r>
    </w:p>
    <w:p w14:paraId="5A2B21B2" w14:textId="77777777" w:rsidR="0013780E" w:rsidRDefault="0013780E" w:rsidP="009C297D">
      <w:pPr>
        <w:pStyle w:val="NoSpacing"/>
        <w:spacing w:line="360" w:lineRule="auto"/>
        <w:ind w:left="360"/>
        <w:jc w:val="both"/>
        <w:rPr>
          <w:rFonts w:ascii="Arial" w:hAnsi="Arial" w:cs="Arial"/>
          <w:sz w:val="24"/>
          <w:szCs w:val="24"/>
        </w:rPr>
      </w:pPr>
    </w:p>
    <w:p w14:paraId="64A32590" w14:textId="6FD13BF1" w:rsidR="00AB1DE3" w:rsidRDefault="00AB1DE3" w:rsidP="009C297D">
      <w:pPr>
        <w:pStyle w:val="NoSpacing"/>
        <w:spacing w:line="360" w:lineRule="auto"/>
        <w:ind w:left="360"/>
        <w:jc w:val="both"/>
        <w:rPr>
          <w:rFonts w:ascii="Arial" w:hAnsi="Arial" w:cs="Arial"/>
          <w:sz w:val="24"/>
          <w:szCs w:val="24"/>
        </w:rPr>
      </w:pPr>
      <w:r w:rsidRPr="00AB1DE3">
        <w:rPr>
          <w:rFonts w:ascii="Arial" w:hAnsi="Arial" w:cs="Arial"/>
          <w:sz w:val="24"/>
          <w:szCs w:val="24"/>
        </w:rPr>
        <w:t>Ghezzi, A. (2013). Revisiting business strategy under discontinuity. </w:t>
      </w:r>
      <w:r w:rsidRPr="00915F55">
        <w:rPr>
          <w:rFonts w:ascii="Arial" w:hAnsi="Arial" w:cs="Arial"/>
          <w:sz w:val="24"/>
          <w:szCs w:val="24"/>
        </w:rPr>
        <w:t>Management Decision</w:t>
      </w:r>
      <w:r w:rsidRPr="00AB1DE3">
        <w:rPr>
          <w:rFonts w:ascii="Arial" w:hAnsi="Arial" w:cs="Arial"/>
          <w:sz w:val="24"/>
          <w:szCs w:val="24"/>
        </w:rPr>
        <w:t xml:space="preserve">, 51(7), pp.1326–1358. </w:t>
      </w:r>
      <w:hyperlink r:id="rId11" w:history="1">
        <w:r w:rsidR="00EA7F46" w:rsidRPr="007B234B">
          <w:rPr>
            <w:rStyle w:val="Hyperlink"/>
            <w:rFonts w:ascii="Arial" w:hAnsi="Arial" w:cs="Arial"/>
            <w:sz w:val="24"/>
            <w:szCs w:val="24"/>
          </w:rPr>
          <w:t>https://www.emerald.com/md/article-abstract/51/7/1326/284356/Revisiting-business-strategy-under-discontinuity?redirectedFrom=fulltext</w:t>
        </w:r>
      </w:hyperlink>
      <w:r w:rsidR="00EA7F46">
        <w:rPr>
          <w:rFonts w:ascii="Arial" w:hAnsi="Arial" w:cs="Arial"/>
          <w:sz w:val="24"/>
          <w:szCs w:val="24"/>
        </w:rPr>
        <w:t xml:space="preserve"> </w:t>
      </w:r>
    </w:p>
    <w:p w14:paraId="6B245AD8" w14:textId="77777777" w:rsidR="009C297D" w:rsidRDefault="009C297D" w:rsidP="009C297D">
      <w:pPr>
        <w:pStyle w:val="NoSpacing"/>
        <w:spacing w:line="360" w:lineRule="auto"/>
        <w:ind w:left="360"/>
        <w:jc w:val="both"/>
        <w:rPr>
          <w:rFonts w:ascii="Arial" w:hAnsi="Arial" w:cs="Arial"/>
          <w:sz w:val="24"/>
          <w:szCs w:val="24"/>
        </w:rPr>
      </w:pPr>
    </w:p>
    <w:p w14:paraId="34D19A9D" w14:textId="42EB9365" w:rsidR="00915F55" w:rsidRDefault="00915F55" w:rsidP="009C297D">
      <w:pPr>
        <w:pStyle w:val="NoSpacing"/>
        <w:spacing w:line="360" w:lineRule="auto"/>
        <w:ind w:left="360"/>
        <w:jc w:val="both"/>
        <w:rPr>
          <w:rFonts w:ascii="Arial" w:hAnsi="Arial" w:cs="Arial"/>
          <w:sz w:val="24"/>
          <w:szCs w:val="24"/>
        </w:rPr>
      </w:pPr>
      <w:r w:rsidRPr="00915F55">
        <w:rPr>
          <w:rFonts w:ascii="Arial" w:hAnsi="Arial" w:cs="Arial"/>
          <w:sz w:val="24"/>
          <w:szCs w:val="24"/>
        </w:rPr>
        <w:t xml:space="preserve">Accenture (2018). Accenture | New insights. Tangible outcomes. New Applied Now. [online] Accenture.com. Available at: </w:t>
      </w:r>
      <w:hyperlink r:id="rId12" w:history="1">
        <w:r w:rsidR="00EA7F46" w:rsidRPr="007B234B">
          <w:rPr>
            <w:rStyle w:val="Hyperlink"/>
            <w:rFonts w:ascii="Arial" w:hAnsi="Arial" w:cs="Arial"/>
            <w:sz w:val="24"/>
            <w:szCs w:val="24"/>
          </w:rPr>
          <w:t>https://www.accenture.com/gb-en</w:t>
        </w:r>
      </w:hyperlink>
      <w:r w:rsidR="00EA7F46">
        <w:rPr>
          <w:rFonts w:ascii="Arial" w:hAnsi="Arial" w:cs="Arial"/>
          <w:sz w:val="24"/>
          <w:szCs w:val="24"/>
        </w:rPr>
        <w:t xml:space="preserve"> </w:t>
      </w:r>
    </w:p>
    <w:p w14:paraId="709D1C91" w14:textId="77777777" w:rsidR="009C297D" w:rsidRPr="00915F55" w:rsidRDefault="009C297D" w:rsidP="009C297D">
      <w:pPr>
        <w:pStyle w:val="NoSpacing"/>
        <w:spacing w:line="360" w:lineRule="auto"/>
        <w:ind w:left="360"/>
        <w:jc w:val="both"/>
        <w:rPr>
          <w:rFonts w:ascii="Arial" w:hAnsi="Arial" w:cs="Arial"/>
          <w:sz w:val="24"/>
          <w:szCs w:val="24"/>
        </w:rPr>
      </w:pPr>
    </w:p>
    <w:p w14:paraId="5ECA72C8" w14:textId="5D54F3E7" w:rsidR="00915F55" w:rsidRDefault="00915F55" w:rsidP="009C297D">
      <w:pPr>
        <w:pStyle w:val="NoSpacing"/>
        <w:spacing w:line="360" w:lineRule="auto"/>
        <w:ind w:left="360"/>
        <w:jc w:val="both"/>
        <w:rPr>
          <w:rFonts w:ascii="Arial" w:hAnsi="Arial" w:cs="Arial"/>
          <w:sz w:val="24"/>
          <w:szCs w:val="24"/>
        </w:rPr>
      </w:pPr>
      <w:r w:rsidRPr="00915F55">
        <w:rPr>
          <w:rFonts w:ascii="Arial" w:hAnsi="Arial" w:cs="Arial"/>
          <w:sz w:val="24"/>
          <w:szCs w:val="24"/>
        </w:rPr>
        <w:t xml:space="preserve">PWC (2022). PwC: Building relationships, creating value. [online] PwC. Available at: </w:t>
      </w:r>
      <w:hyperlink r:id="rId13" w:history="1">
        <w:r w:rsidR="00EA7F46" w:rsidRPr="00EA7F46">
          <w:rPr>
            <w:rStyle w:val="Hyperlink"/>
            <w:rFonts w:ascii="Arial" w:hAnsi="Arial" w:cs="Arial"/>
            <w:sz w:val="24"/>
            <w:szCs w:val="24"/>
          </w:rPr>
          <w:t>https://www.pwc.com/gx/en.html</w:t>
        </w:r>
      </w:hyperlink>
      <w:r w:rsidR="00EA7F46">
        <w:t xml:space="preserve"> </w:t>
      </w:r>
      <w:r w:rsidR="00EA7F46">
        <w:rPr>
          <w:rFonts w:ascii="Arial" w:hAnsi="Arial" w:cs="Arial"/>
          <w:sz w:val="24"/>
          <w:szCs w:val="24"/>
        </w:rPr>
        <w:t xml:space="preserve"> </w:t>
      </w:r>
    </w:p>
    <w:p w14:paraId="525BCA9D" w14:textId="77777777" w:rsidR="009C297D" w:rsidRPr="00915F55" w:rsidRDefault="009C297D" w:rsidP="009C297D">
      <w:pPr>
        <w:pStyle w:val="NoSpacing"/>
        <w:spacing w:line="360" w:lineRule="auto"/>
        <w:ind w:left="360"/>
        <w:jc w:val="both"/>
        <w:rPr>
          <w:rFonts w:ascii="Arial" w:hAnsi="Arial" w:cs="Arial"/>
          <w:sz w:val="24"/>
          <w:szCs w:val="24"/>
        </w:rPr>
      </w:pPr>
    </w:p>
    <w:p w14:paraId="4A5E731D" w14:textId="0B3797EC" w:rsidR="00915F55" w:rsidRPr="00915F55" w:rsidRDefault="00915F55" w:rsidP="009C297D">
      <w:pPr>
        <w:pStyle w:val="NoSpacing"/>
        <w:spacing w:line="360" w:lineRule="auto"/>
        <w:ind w:left="360"/>
        <w:jc w:val="both"/>
        <w:rPr>
          <w:rFonts w:ascii="Arial" w:hAnsi="Arial" w:cs="Arial"/>
          <w:sz w:val="24"/>
          <w:szCs w:val="24"/>
        </w:rPr>
      </w:pPr>
      <w:r w:rsidRPr="00915F55">
        <w:rPr>
          <w:rFonts w:ascii="Arial" w:hAnsi="Arial" w:cs="Arial"/>
          <w:sz w:val="24"/>
          <w:szCs w:val="24"/>
        </w:rPr>
        <w:t xml:space="preserve">FCA (2025). Financial Conduct Authority. [online] FCA. Available at: </w:t>
      </w:r>
      <w:hyperlink r:id="rId14" w:history="1">
        <w:r w:rsidR="00EA7F46" w:rsidRPr="00EA7F46">
          <w:rPr>
            <w:rStyle w:val="Hyperlink"/>
            <w:rFonts w:ascii="Arial" w:hAnsi="Arial" w:cs="Arial"/>
            <w:sz w:val="24"/>
            <w:szCs w:val="24"/>
          </w:rPr>
          <w:t>https://www.fca.org.uk/</w:t>
        </w:r>
      </w:hyperlink>
      <w:r w:rsidR="00EA7F46">
        <w:t xml:space="preserve"> </w:t>
      </w:r>
    </w:p>
    <w:p w14:paraId="0206DAFB" w14:textId="77777777" w:rsidR="009C297D" w:rsidRDefault="009C297D" w:rsidP="009C297D">
      <w:pPr>
        <w:pStyle w:val="NoSpacing"/>
        <w:spacing w:line="360" w:lineRule="auto"/>
        <w:ind w:left="360"/>
        <w:jc w:val="both"/>
        <w:rPr>
          <w:rFonts w:ascii="Arial" w:hAnsi="Arial" w:cs="Arial"/>
          <w:sz w:val="24"/>
          <w:szCs w:val="24"/>
        </w:rPr>
      </w:pPr>
    </w:p>
    <w:p w14:paraId="69237190" w14:textId="4550C6E8" w:rsidR="00915F55" w:rsidRPr="00915F55" w:rsidRDefault="00915F55" w:rsidP="009C297D">
      <w:pPr>
        <w:pStyle w:val="NoSpacing"/>
        <w:spacing w:line="360" w:lineRule="auto"/>
        <w:ind w:left="360"/>
        <w:jc w:val="both"/>
        <w:rPr>
          <w:rFonts w:ascii="Arial" w:hAnsi="Arial" w:cs="Arial"/>
          <w:sz w:val="24"/>
          <w:szCs w:val="24"/>
        </w:rPr>
      </w:pPr>
      <w:r w:rsidRPr="00915F55">
        <w:rPr>
          <w:rFonts w:ascii="Arial" w:hAnsi="Arial" w:cs="Arial"/>
          <w:sz w:val="24"/>
          <w:szCs w:val="24"/>
        </w:rPr>
        <w:t xml:space="preserve">Monzo Limited (2022). Annual Report and Group Financial Statements. [online] Available at: </w:t>
      </w:r>
      <w:r w:rsidR="00EA7F46">
        <w:rPr>
          <w:rFonts w:ascii="Arial" w:hAnsi="Arial" w:cs="Arial"/>
          <w:sz w:val="24"/>
          <w:szCs w:val="24"/>
        </w:rPr>
        <w:t xml:space="preserve"> </w:t>
      </w:r>
      <w:hyperlink r:id="rId15" w:history="1">
        <w:r w:rsidR="00EA7F46" w:rsidRPr="007B234B">
          <w:rPr>
            <w:rStyle w:val="Hyperlink"/>
            <w:rFonts w:ascii="Arial" w:hAnsi="Arial" w:cs="Arial"/>
            <w:sz w:val="24"/>
            <w:szCs w:val="24"/>
          </w:rPr>
          <w:t>https://monzo.com/static/docs/monzo-annual-report-2022.pdf</w:t>
        </w:r>
      </w:hyperlink>
      <w:r w:rsidRPr="00915F55">
        <w:rPr>
          <w:rFonts w:ascii="Arial" w:hAnsi="Arial" w:cs="Arial"/>
          <w:sz w:val="24"/>
          <w:szCs w:val="24"/>
        </w:rPr>
        <w:t>.</w:t>
      </w:r>
      <w:r w:rsidR="0013780E">
        <w:rPr>
          <w:rFonts w:ascii="Arial" w:hAnsi="Arial" w:cs="Arial"/>
          <w:sz w:val="24"/>
          <w:szCs w:val="24"/>
        </w:rPr>
        <w:t xml:space="preserve"> </w:t>
      </w:r>
    </w:p>
    <w:p w14:paraId="30116277" w14:textId="77777777" w:rsidR="009C297D" w:rsidRDefault="009C297D" w:rsidP="009C297D">
      <w:pPr>
        <w:pStyle w:val="NoSpacing"/>
        <w:spacing w:line="360" w:lineRule="auto"/>
        <w:ind w:left="360"/>
        <w:jc w:val="both"/>
        <w:rPr>
          <w:rFonts w:ascii="Arial" w:hAnsi="Arial" w:cs="Arial"/>
          <w:sz w:val="24"/>
          <w:szCs w:val="24"/>
        </w:rPr>
      </w:pPr>
    </w:p>
    <w:p w14:paraId="570D389A" w14:textId="09980137" w:rsidR="0013780E" w:rsidRPr="00915F55" w:rsidRDefault="00915F55" w:rsidP="0013780E">
      <w:pPr>
        <w:pStyle w:val="NoSpacing"/>
        <w:spacing w:line="360" w:lineRule="auto"/>
        <w:ind w:left="360"/>
        <w:jc w:val="both"/>
        <w:rPr>
          <w:rFonts w:ascii="Arial" w:hAnsi="Arial" w:cs="Arial"/>
          <w:sz w:val="24"/>
          <w:szCs w:val="24"/>
        </w:rPr>
      </w:pPr>
      <w:r w:rsidRPr="00915F55">
        <w:rPr>
          <w:rFonts w:ascii="Arial" w:hAnsi="Arial" w:cs="Arial"/>
          <w:sz w:val="24"/>
          <w:szCs w:val="24"/>
        </w:rPr>
        <w:t xml:space="preserve">Deloitte (2023). Deloitte UK | Audit, Consulting, Financial, Risk Management, Tax Services. [online] www.deloitte.com. Available at: </w:t>
      </w:r>
      <w:r w:rsidR="00EA7F46">
        <w:rPr>
          <w:rFonts w:ascii="Arial" w:hAnsi="Arial" w:cs="Arial"/>
          <w:sz w:val="24"/>
          <w:szCs w:val="24"/>
        </w:rPr>
        <w:t xml:space="preserve">  </w:t>
      </w:r>
      <w:hyperlink r:id="rId16" w:history="1">
        <w:r w:rsidR="00EA7F46" w:rsidRPr="007B234B">
          <w:rPr>
            <w:rStyle w:val="Hyperlink"/>
            <w:rFonts w:ascii="Arial" w:hAnsi="Arial" w:cs="Arial"/>
            <w:sz w:val="24"/>
            <w:szCs w:val="24"/>
          </w:rPr>
          <w:t>https://www.deloitte.com/uk/en.html</w:t>
        </w:r>
      </w:hyperlink>
      <w:r w:rsidR="0013780E">
        <w:rPr>
          <w:rFonts w:ascii="Arial" w:hAnsi="Arial" w:cs="Arial"/>
          <w:sz w:val="24"/>
          <w:szCs w:val="24"/>
        </w:rPr>
        <w:t xml:space="preserve">. </w:t>
      </w:r>
    </w:p>
    <w:p w14:paraId="2F77BF87" w14:textId="77777777" w:rsidR="009C297D" w:rsidRDefault="009C297D" w:rsidP="009C297D">
      <w:pPr>
        <w:pStyle w:val="NoSpacing"/>
        <w:spacing w:line="360" w:lineRule="auto"/>
        <w:ind w:left="360"/>
        <w:jc w:val="both"/>
        <w:rPr>
          <w:rFonts w:ascii="Arial" w:hAnsi="Arial" w:cs="Arial"/>
          <w:sz w:val="24"/>
          <w:szCs w:val="24"/>
        </w:rPr>
      </w:pPr>
    </w:p>
    <w:p w14:paraId="47203EAA" w14:textId="79F60AFA" w:rsidR="00915F55" w:rsidRPr="00915F55" w:rsidRDefault="00915F55" w:rsidP="009C297D">
      <w:pPr>
        <w:pStyle w:val="NoSpacing"/>
        <w:spacing w:line="360" w:lineRule="auto"/>
        <w:ind w:left="360"/>
        <w:jc w:val="both"/>
        <w:rPr>
          <w:rFonts w:ascii="Arial" w:hAnsi="Arial" w:cs="Arial"/>
          <w:sz w:val="24"/>
          <w:szCs w:val="24"/>
        </w:rPr>
      </w:pPr>
      <w:r w:rsidRPr="00915F55">
        <w:rPr>
          <w:rFonts w:ascii="Arial" w:hAnsi="Arial" w:cs="Arial"/>
          <w:sz w:val="24"/>
          <w:szCs w:val="24"/>
        </w:rPr>
        <w:t xml:space="preserve">EY (2021). Home | Building a better working world | EY – UK. [online] Ey.com. Available at: </w:t>
      </w:r>
      <w:r w:rsidR="00EA7F46">
        <w:rPr>
          <w:rFonts w:ascii="Arial" w:hAnsi="Arial" w:cs="Arial"/>
          <w:sz w:val="24"/>
          <w:szCs w:val="24"/>
        </w:rPr>
        <w:t xml:space="preserve"> </w:t>
      </w:r>
      <w:hyperlink r:id="rId17" w:history="1">
        <w:r w:rsidR="00EA7F46" w:rsidRPr="007B234B">
          <w:rPr>
            <w:rStyle w:val="Hyperlink"/>
            <w:rFonts w:ascii="Arial" w:hAnsi="Arial" w:cs="Arial"/>
            <w:sz w:val="24"/>
            <w:szCs w:val="24"/>
          </w:rPr>
          <w:t>https://www.ey.com/en_uk</w:t>
        </w:r>
      </w:hyperlink>
      <w:r w:rsidRPr="00915F55">
        <w:rPr>
          <w:rFonts w:ascii="Arial" w:hAnsi="Arial" w:cs="Arial"/>
          <w:sz w:val="24"/>
          <w:szCs w:val="24"/>
        </w:rPr>
        <w:t>.</w:t>
      </w:r>
    </w:p>
    <w:p w14:paraId="6DBC78DB" w14:textId="77777777" w:rsidR="009C297D" w:rsidRDefault="009C297D" w:rsidP="009C297D">
      <w:pPr>
        <w:pStyle w:val="NoSpacing"/>
        <w:spacing w:line="360" w:lineRule="auto"/>
        <w:ind w:left="360"/>
        <w:jc w:val="both"/>
        <w:rPr>
          <w:rFonts w:ascii="Arial" w:hAnsi="Arial" w:cs="Arial"/>
          <w:sz w:val="24"/>
          <w:szCs w:val="24"/>
        </w:rPr>
      </w:pPr>
    </w:p>
    <w:p w14:paraId="52C2D70F" w14:textId="3885528B" w:rsidR="00915F55" w:rsidRPr="001A7A1F" w:rsidRDefault="00915F55" w:rsidP="009C297D">
      <w:pPr>
        <w:pStyle w:val="NoSpacing"/>
        <w:spacing w:line="360" w:lineRule="auto"/>
        <w:ind w:left="360"/>
        <w:jc w:val="both"/>
        <w:rPr>
          <w:rFonts w:ascii="Arial" w:hAnsi="Arial" w:cs="Arial"/>
          <w:sz w:val="20"/>
          <w:szCs w:val="20"/>
        </w:rPr>
      </w:pPr>
      <w:r w:rsidRPr="00915F55">
        <w:rPr>
          <w:rFonts w:ascii="Arial" w:hAnsi="Arial" w:cs="Arial"/>
          <w:sz w:val="24"/>
          <w:szCs w:val="24"/>
        </w:rPr>
        <w:lastRenderedPageBreak/>
        <w:t xml:space="preserve">European Central Bank (2018). The revised Payment Services Directive (PSD2). [online] European Central Bank. Available at: </w:t>
      </w:r>
      <w:hyperlink r:id="rId18" w:history="1">
        <w:r w:rsidRPr="001A7A1F">
          <w:rPr>
            <w:rStyle w:val="Hyperlink"/>
            <w:rFonts w:ascii="Arial" w:hAnsi="Arial" w:cs="Arial"/>
            <w:sz w:val="20"/>
            <w:szCs w:val="20"/>
          </w:rPr>
          <w:t>https://www.ecb.europa.eu/press/intro/mip-online/2018/html/1803_revisedpsd.en.html</w:t>
        </w:r>
      </w:hyperlink>
      <w:r w:rsidRPr="001A7A1F">
        <w:rPr>
          <w:rFonts w:ascii="Arial" w:hAnsi="Arial" w:cs="Arial"/>
          <w:sz w:val="20"/>
          <w:szCs w:val="20"/>
        </w:rPr>
        <w:t>.</w:t>
      </w:r>
    </w:p>
    <w:p w14:paraId="1DBD6BB6" w14:textId="77777777" w:rsidR="009C297D" w:rsidRDefault="009C297D" w:rsidP="009C297D">
      <w:pPr>
        <w:pStyle w:val="NoSpacing"/>
        <w:spacing w:line="360" w:lineRule="auto"/>
        <w:ind w:left="360"/>
        <w:jc w:val="both"/>
        <w:rPr>
          <w:rFonts w:ascii="Arial" w:hAnsi="Arial" w:cs="Arial"/>
          <w:sz w:val="24"/>
          <w:szCs w:val="24"/>
        </w:rPr>
      </w:pPr>
    </w:p>
    <w:p w14:paraId="462C44A5" w14:textId="0CB7BF03" w:rsidR="00915F55" w:rsidRDefault="00915F55" w:rsidP="009C297D">
      <w:pPr>
        <w:pStyle w:val="NoSpacing"/>
        <w:spacing w:line="360" w:lineRule="auto"/>
        <w:ind w:left="360"/>
        <w:jc w:val="both"/>
        <w:rPr>
          <w:rFonts w:ascii="Arial" w:hAnsi="Arial" w:cs="Arial"/>
          <w:sz w:val="24"/>
          <w:szCs w:val="24"/>
        </w:rPr>
      </w:pPr>
      <w:proofErr w:type="spellStart"/>
      <w:r w:rsidRPr="00915F55">
        <w:rPr>
          <w:rFonts w:ascii="Arial" w:hAnsi="Arial" w:cs="Arial"/>
          <w:sz w:val="24"/>
          <w:szCs w:val="24"/>
        </w:rPr>
        <w:t>Zetzsche</w:t>
      </w:r>
      <w:proofErr w:type="spellEnd"/>
      <w:r w:rsidRPr="00915F55">
        <w:rPr>
          <w:rFonts w:ascii="Arial" w:hAnsi="Arial" w:cs="Arial"/>
          <w:sz w:val="24"/>
          <w:szCs w:val="24"/>
        </w:rPr>
        <w:t xml:space="preserve">, D., Buckley, R., Barberis, J. and Arner, D. (2017). Regulating a Revolution: From Regulatory Sandboxes to Smart Regulation. Fordham Journal of Corporate &amp; Financial Law, [online] 23(1), p.31. Available at: </w:t>
      </w:r>
      <w:r w:rsidR="00EA7F46">
        <w:rPr>
          <w:rFonts w:ascii="Arial" w:hAnsi="Arial" w:cs="Arial"/>
          <w:sz w:val="24"/>
          <w:szCs w:val="24"/>
        </w:rPr>
        <w:t xml:space="preserve"> </w:t>
      </w:r>
      <w:hyperlink r:id="rId19" w:history="1">
        <w:r w:rsidR="00EA7F46" w:rsidRPr="007B234B">
          <w:rPr>
            <w:rStyle w:val="Hyperlink"/>
            <w:rFonts w:ascii="Arial" w:hAnsi="Arial" w:cs="Arial"/>
            <w:sz w:val="24"/>
            <w:szCs w:val="24"/>
          </w:rPr>
          <w:t>https://ir.lawnet.fordham.edu/jcfl/vol23/iss1/2/</w:t>
        </w:r>
      </w:hyperlink>
      <w:r w:rsidRPr="00915F55">
        <w:rPr>
          <w:rFonts w:ascii="Arial" w:hAnsi="Arial" w:cs="Arial"/>
          <w:sz w:val="24"/>
          <w:szCs w:val="24"/>
        </w:rPr>
        <w:t>.</w:t>
      </w:r>
      <w:r w:rsidR="0013780E">
        <w:rPr>
          <w:rFonts w:ascii="Arial" w:hAnsi="Arial" w:cs="Arial"/>
          <w:sz w:val="24"/>
          <w:szCs w:val="24"/>
        </w:rPr>
        <w:t xml:space="preserve"> </w:t>
      </w:r>
    </w:p>
    <w:p w14:paraId="6E0C5440" w14:textId="77777777" w:rsidR="009C297D" w:rsidRDefault="009C297D" w:rsidP="009C297D">
      <w:pPr>
        <w:pStyle w:val="NoSpacing"/>
        <w:spacing w:line="360" w:lineRule="auto"/>
        <w:ind w:left="360"/>
        <w:jc w:val="both"/>
        <w:rPr>
          <w:rFonts w:ascii="Arial" w:hAnsi="Arial" w:cs="Arial"/>
          <w:sz w:val="24"/>
          <w:szCs w:val="24"/>
        </w:rPr>
      </w:pPr>
    </w:p>
    <w:p w14:paraId="183060E5" w14:textId="06D9D6A6" w:rsidR="004F50DF" w:rsidRPr="004F50DF" w:rsidRDefault="004F50DF" w:rsidP="009C297D">
      <w:pPr>
        <w:pStyle w:val="NoSpacing"/>
        <w:spacing w:line="360" w:lineRule="auto"/>
        <w:ind w:left="360"/>
        <w:jc w:val="both"/>
        <w:rPr>
          <w:rFonts w:ascii="Arial" w:hAnsi="Arial" w:cs="Arial"/>
          <w:sz w:val="24"/>
          <w:szCs w:val="24"/>
        </w:rPr>
      </w:pPr>
      <w:r w:rsidRPr="004F50DF">
        <w:rPr>
          <w:rFonts w:ascii="Arial" w:hAnsi="Arial" w:cs="Arial"/>
          <w:sz w:val="24"/>
          <w:szCs w:val="24"/>
        </w:rPr>
        <w:t>Porter, M. E. (1985). Competitive Advantage: Creating and Sustaining Superior Performance. New York.</w:t>
      </w:r>
    </w:p>
    <w:p w14:paraId="792D115E" w14:textId="77777777" w:rsidR="009C297D" w:rsidRDefault="009C297D" w:rsidP="009C297D">
      <w:pPr>
        <w:pStyle w:val="NoSpacing"/>
        <w:spacing w:line="360" w:lineRule="auto"/>
        <w:ind w:left="360"/>
        <w:jc w:val="both"/>
        <w:rPr>
          <w:rFonts w:ascii="Arial" w:hAnsi="Arial" w:cs="Arial"/>
          <w:sz w:val="24"/>
          <w:szCs w:val="24"/>
        </w:rPr>
      </w:pPr>
    </w:p>
    <w:p w14:paraId="0DA586FF" w14:textId="1B794E5E" w:rsidR="004F50DF" w:rsidRPr="004F50DF" w:rsidRDefault="004F50DF" w:rsidP="009C297D">
      <w:pPr>
        <w:pStyle w:val="NoSpacing"/>
        <w:spacing w:line="360" w:lineRule="auto"/>
        <w:ind w:left="360"/>
        <w:jc w:val="both"/>
        <w:rPr>
          <w:rFonts w:ascii="Arial" w:hAnsi="Arial" w:cs="Arial"/>
          <w:sz w:val="24"/>
          <w:szCs w:val="24"/>
        </w:rPr>
      </w:pPr>
      <w:r w:rsidRPr="004F50DF">
        <w:rPr>
          <w:rFonts w:ascii="Arial" w:hAnsi="Arial" w:cs="Arial"/>
          <w:sz w:val="24"/>
          <w:szCs w:val="24"/>
        </w:rPr>
        <w:t xml:space="preserve">Barney, J. (1991). Firm resources and sustained competitive advantage. Journal of Management, 17(1), 99–120. - Uwtsd.ac.uk. (2025). Available at: </w:t>
      </w:r>
      <w:r w:rsidR="00EA7F46">
        <w:rPr>
          <w:rFonts w:ascii="Arial" w:hAnsi="Arial" w:cs="Arial"/>
          <w:sz w:val="24"/>
          <w:szCs w:val="24"/>
        </w:rPr>
        <w:t xml:space="preserve"> </w:t>
      </w:r>
      <w:hyperlink r:id="rId20" w:history="1">
        <w:r w:rsidR="00EA7F46" w:rsidRPr="007B234B">
          <w:rPr>
            <w:rStyle w:val="Hyperlink"/>
            <w:rFonts w:ascii="Arial" w:hAnsi="Arial" w:cs="Arial"/>
            <w:sz w:val="24"/>
            <w:szCs w:val="24"/>
          </w:rPr>
          <w:t>https://librarysearch.uwtsd.ac.uk/discovery/fulldisplay?docid=cdi_proquest_journals_215258436&amp;context=PC&amp;vid=44WHELF_UWTSD:44WHELF_UWTSD_VU1&amp;lang=en&amp;search_scope=MyInst_and_CI&amp;adaptor=Primo%20Central&amp;tab=Everything&amp;query=any%20%5BAccessed%205%20Oct.%202025%5D</w:t>
        </w:r>
      </w:hyperlink>
      <w:r w:rsidR="00EA7F46" w:rsidRPr="00EA7F46">
        <w:rPr>
          <w:rFonts w:ascii="Arial" w:hAnsi="Arial" w:cs="Arial"/>
          <w:sz w:val="24"/>
          <w:szCs w:val="24"/>
        </w:rPr>
        <w:t>.</w:t>
      </w:r>
      <w:r w:rsidR="00EA7F46">
        <w:rPr>
          <w:rFonts w:ascii="Arial" w:hAnsi="Arial" w:cs="Arial"/>
          <w:sz w:val="24"/>
          <w:szCs w:val="24"/>
        </w:rPr>
        <w:t xml:space="preserve"> </w:t>
      </w:r>
      <w:r w:rsidR="0013780E">
        <w:rPr>
          <w:rFonts w:ascii="Arial" w:hAnsi="Arial" w:cs="Arial"/>
          <w:sz w:val="24"/>
          <w:szCs w:val="24"/>
        </w:rPr>
        <w:t xml:space="preserve"> </w:t>
      </w:r>
    </w:p>
    <w:p w14:paraId="76777964" w14:textId="77777777" w:rsidR="009C297D" w:rsidRDefault="009C297D" w:rsidP="009C297D">
      <w:pPr>
        <w:pStyle w:val="NoSpacing"/>
        <w:spacing w:line="360" w:lineRule="auto"/>
        <w:ind w:left="360"/>
        <w:jc w:val="both"/>
        <w:rPr>
          <w:rFonts w:ascii="Arial" w:hAnsi="Arial" w:cs="Arial"/>
          <w:sz w:val="24"/>
          <w:szCs w:val="24"/>
        </w:rPr>
      </w:pPr>
    </w:p>
    <w:p w14:paraId="26BE7D78" w14:textId="29207912" w:rsidR="004F50DF" w:rsidRPr="004F14EA" w:rsidRDefault="004F50DF" w:rsidP="009C297D">
      <w:pPr>
        <w:pStyle w:val="NoSpacing"/>
        <w:spacing w:line="360" w:lineRule="auto"/>
        <w:ind w:left="360"/>
        <w:jc w:val="both"/>
        <w:rPr>
          <w:rFonts w:ascii="Arial" w:hAnsi="Arial" w:cs="Arial"/>
          <w:sz w:val="24"/>
          <w:szCs w:val="24"/>
        </w:rPr>
      </w:pPr>
      <w:r w:rsidRPr="004F50DF">
        <w:rPr>
          <w:rFonts w:ascii="Arial" w:hAnsi="Arial" w:cs="Arial"/>
          <w:sz w:val="24"/>
          <w:szCs w:val="24"/>
        </w:rPr>
        <w:t>Rogers, E. M. (2003). Diffusion of Innovations. 5th ed. New York: Free Press.</w:t>
      </w:r>
      <w:r w:rsidR="00EA7F46">
        <w:rPr>
          <w:rFonts w:ascii="Arial" w:hAnsi="Arial" w:cs="Arial"/>
          <w:sz w:val="24"/>
          <w:szCs w:val="24"/>
        </w:rPr>
        <w:t xml:space="preserve"> </w:t>
      </w:r>
      <w:hyperlink r:id="rId21" w:history="1">
        <w:r w:rsidR="00EA7F46" w:rsidRPr="007B234B">
          <w:rPr>
            <w:rStyle w:val="Hyperlink"/>
            <w:rFonts w:ascii="Arial" w:hAnsi="Arial" w:cs="Arial"/>
            <w:sz w:val="24"/>
            <w:szCs w:val="24"/>
          </w:rPr>
          <w:t>https://books.google.co.uk/books/about/Diffusion_of_Innovations.html?id=9U1K5LjUOwEC&amp;redir_esc=y</w:t>
        </w:r>
      </w:hyperlink>
      <w:r w:rsidR="00EA7F46">
        <w:rPr>
          <w:rFonts w:ascii="Arial" w:hAnsi="Arial" w:cs="Arial"/>
          <w:sz w:val="24"/>
          <w:szCs w:val="24"/>
        </w:rPr>
        <w:t xml:space="preserve"> </w:t>
      </w:r>
      <w:r w:rsidR="0013780E">
        <w:rPr>
          <w:rFonts w:ascii="Arial" w:hAnsi="Arial" w:cs="Arial"/>
          <w:sz w:val="24"/>
          <w:szCs w:val="24"/>
        </w:rPr>
        <w:t xml:space="preserve"> </w:t>
      </w:r>
    </w:p>
    <w:sectPr w:rsidR="004F50DF" w:rsidRPr="004F14EA" w:rsidSect="00B33303">
      <w:footerReference w:type="default" r:id="rId22"/>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E82FD" w14:textId="77777777" w:rsidR="007C7768" w:rsidRDefault="007C7768" w:rsidP="00930DC0">
      <w:pPr>
        <w:spacing w:after="0" w:line="240" w:lineRule="auto"/>
      </w:pPr>
      <w:r>
        <w:separator/>
      </w:r>
    </w:p>
  </w:endnote>
  <w:endnote w:type="continuationSeparator" w:id="0">
    <w:p w14:paraId="18087A1B" w14:textId="77777777" w:rsidR="007C7768" w:rsidRDefault="007C7768" w:rsidP="00930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063331"/>
      <w:docPartObj>
        <w:docPartGallery w:val="Page Numbers (Bottom of Page)"/>
        <w:docPartUnique/>
      </w:docPartObj>
    </w:sdtPr>
    <w:sdtEndPr>
      <w:rPr>
        <w:noProof/>
      </w:rPr>
    </w:sdtEndPr>
    <w:sdtContent>
      <w:p w14:paraId="661DEF7A" w14:textId="0B4BAACA" w:rsidR="00930DC0" w:rsidRDefault="00930D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5B7CA4" w14:textId="77777777" w:rsidR="00930DC0" w:rsidRDefault="00930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93B47" w14:textId="77777777" w:rsidR="007C7768" w:rsidRDefault="007C7768" w:rsidP="00930DC0">
      <w:pPr>
        <w:spacing w:after="0" w:line="240" w:lineRule="auto"/>
      </w:pPr>
      <w:r>
        <w:separator/>
      </w:r>
    </w:p>
  </w:footnote>
  <w:footnote w:type="continuationSeparator" w:id="0">
    <w:p w14:paraId="3330424E" w14:textId="77777777" w:rsidR="007C7768" w:rsidRDefault="007C7768" w:rsidP="00930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20D34"/>
    <w:multiLevelType w:val="multilevel"/>
    <w:tmpl w:val="8BE2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261E2"/>
    <w:multiLevelType w:val="hybridMultilevel"/>
    <w:tmpl w:val="B2D2B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B650C"/>
    <w:multiLevelType w:val="hybridMultilevel"/>
    <w:tmpl w:val="03367EAA"/>
    <w:lvl w:ilvl="0" w:tplc="E02EE95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892ADE"/>
    <w:multiLevelType w:val="multilevel"/>
    <w:tmpl w:val="7C8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23442"/>
    <w:multiLevelType w:val="multilevel"/>
    <w:tmpl w:val="3100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B49BB"/>
    <w:multiLevelType w:val="multilevel"/>
    <w:tmpl w:val="BA6E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E91756"/>
    <w:multiLevelType w:val="multilevel"/>
    <w:tmpl w:val="0BF4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D952AE"/>
    <w:multiLevelType w:val="multilevel"/>
    <w:tmpl w:val="6E00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0D2817"/>
    <w:multiLevelType w:val="hybridMultilevel"/>
    <w:tmpl w:val="7D5A8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AD108F"/>
    <w:multiLevelType w:val="hybridMultilevel"/>
    <w:tmpl w:val="06B6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4542F3"/>
    <w:multiLevelType w:val="multilevel"/>
    <w:tmpl w:val="3FFE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137038">
    <w:abstractNumId w:val="8"/>
  </w:num>
  <w:num w:numId="2" w16cid:durableId="159007131">
    <w:abstractNumId w:val="2"/>
  </w:num>
  <w:num w:numId="3" w16cid:durableId="295331548">
    <w:abstractNumId w:val="9"/>
  </w:num>
  <w:num w:numId="4" w16cid:durableId="305359132">
    <w:abstractNumId w:val="1"/>
  </w:num>
  <w:num w:numId="5" w16cid:durableId="557520469">
    <w:abstractNumId w:val="5"/>
  </w:num>
  <w:num w:numId="6" w16cid:durableId="1667130715">
    <w:abstractNumId w:val="10"/>
  </w:num>
  <w:num w:numId="7" w16cid:durableId="151409400">
    <w:abstractNumId w:val="4"/>
  </w:num>
  <w:num w:numId="8" w16cid:durableId="1458724166">
    <w:abstractNumId w:val="0"/>
  </w:num>
  <w:num w:numId="9" w16cid:durableId="2036347184">
    <w:abstractNumId w:val="6"/>
  </w:num>
  <w:num w:numId="10" w16cid:durableId="466096076">
    <w:abstractNumId w:val="3"/>
  </w:num>
  <w:num w:numId="11" w16cid:durableId="759452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16F"/>
    <w:rsid w:val="0001356D"/>
    <w:rsid w:val="000616E2"/>
    <w:rsid w:val="000D39B1"/>
    <w:rsid w:val="0013780E"/>
    <w:rsid w:val="00160465"/>
    <w:rsid w:val="001A7A1F"/>
    <w:rsid w:val="00211C29"/>
    <w:rsid w:val="00235180"/>
    <w:rsid w:val="00267E4E"/>
    <w:rsid w:val="00270990"/>
    <w:rsid w:val="00305191"/>
    <w:rsid w:val="004005E4"/>
    <w:rsid w:val="004A7218"/>
    <w:rsid w:val="004F14EA"/>
    <w:rsid w:val="004F50DF"/>
    <w:rsid w:val="0055448C"/>
    <w:rsid w:val="00561F4A"/>
    <w:rsid w:val="00565506"/>
    <w:rsid w:val="005939B1"/>
    <w:rsid w:val="00594BA8"/>
    <w:rsid w:val="005963AC"/>
    <w:rsid w:val="005A57F6"/>
    <w:rsid w:val="005D74EC"/>
    <w:rsid w:val="006A061B"/>
    <w:rsid w:val="006E2648"/>
    <w:rsid w:val="006E61E4"/>
    <w:rsid w:val="00707A64"/>
    <w:rsid w:val="007178BE"/>
    <w:rsid w:val="007C7768"/>
    <w:rsid w:val="00841880"/>
    <w:rsid w:val="008E5EE7"/>
    <w:rsid w:val="00915F55"/>
    <w:rsid w:val="00930DC0"/>
    <w:rsid w:val="0095016F"/>
    <w:rsid w:val="009828FA"/>
    <w:rsid w:val="00995CC1"/>
    <w:rsid w:val="009C297D"/>
    <w:rsid w:val="009C33EC"/>
    <w:rsid w:val="009F4C16"/>
    <w:rsid w:val="00A54068"/>
    <w:rsid w:val="00A8793C"/>
    <w:rsid w:val="00AB1DE3"/>
    <w:rsid w:val="00AF6021"/>
    <w:rsid w:val="00B11A70"/>
    <w:rsid w:val="00B33303"/>
    <w:rsid w:val="00B9209B"/>
    <w:rsid w:val="00BB16C9"/>
    <w:rsid w:val="00BD2DEE"/>
    <w:rsid w:val="00BE4536"/>
    <w:rsid w:val="00C31E79"/>
    <w:rsid w:val="00C9322F"/>
    <w:rsid w:val="00CA0534"/>
    <w:rsid w:val="00CB2DD4"/>
    <w:rsid w:val="00CC0905"/>
    <w:rsid w:val="00CE4BAC"/>
    <w:rsid w:val="00D83400"/>
    <w:rsid w:val="00DF42D7"/>
    <w:rsid w:val="00E25881"/>
    <w:rsid w:val="00EA70A6"/>
    <w:rsid w:val="00EA7F46"/>
    <w:rsid w:val="00EC2286"/>
    <w:rsid w:val="00F44E08"/>
    <w:rsid w:val="00FB2582"/>
    <w:rsid w:val="00FF2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1A05"/>
  <w15:chartTrackingRefBased/>
  <w15:docId w15:val="{65BA62FC-6BBC-4FBA-9AAC-C8ECC8261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1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01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01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01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01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0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1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01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01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01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01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0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16F"/>
    <w:rPr>
      <w:rFonts w:eastAsiaTheme="majorEastAsia" w:cstheme="majorBidi"/>
      <w:color w:val="272727" w:themeColor="text1" w:themeTint="D8"/>
    </w:rPr>
  </w:style>
  <w:style w:type="paragraph" w:styleId="Title">
    <w:name w:val="Title"/>
    <w:basedOn w:val="Normal"/>
    <w:next w:val="Normal"/>
    <w:link w:val="TitleChar"/>
    <w:uiPriority w:val="10"/>
    <w:qFormat/>
    <w:rsid w:val="00950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16F"/>
    <w:pPr>
      <w:spacing w:before="160"/>
      <w:jc w:val="center"/>
    </w:pPr>
    <w:rPr>
      <w:i/>
      <w:iCs/>
      <w:color w:val="404040" w:themeColor="text1" w:themeTint="BF"/>
    </w:rPr>
  </w:style>
  <w:style w:type="character" w:customStyle="1" w:styleId="QuoteChar">
    <w:name w:val="Quote Char"/>
    <w:basedOn w:val="DefaultParagraphFont"/>
    <w:link w:val="Quote"/>
    <w:uiPriority w:val="29"/>
    <w:rsid w:val="0095016F"/>
    <w:rPr>
      <w:i/>
      <w:iCs/>
      <w:color w:val="404040" w:themeColor="text1" w:themeTint="BF"/>
    </w:rPr>
  </w:style>
  <w:style w:type="paragraph" w:styleId="ListParagraph">
    <w:name w:val="List Paragraph"/>
    <w:basedOn w:val="Normal"/>
    <w:uiPriority w:val="34"/>
    <w:qFormat/>
    <w:rsid w:val="0095016F"/>
    <w:pPr>
      <w:ind w:left="720"/>
      <w:contextualSpacing/>
    </w:pPr>
  </w:style>
  <w:style w:type="character" w:styleId="IntenseEmphasis">
    <w:name w:val="Intense Emphasis"/>
    <w:basedOn w:val="DefaultParagraphFont"/>
    <w:uiPriority w:val="21"/>
    <w:qFormat/>
    <w:rsid w:val="0095016F"/>
    <w:rPr>
      <w:i/>
      <w:iCs/>
      <w:color w:val="2F5496" w:themeColor="accent1" w:themeShade="BF"/>
    </w:rPr>
  </w:style>
  <w:style w:type="paragraph" w:styleId="IntenseQuote">
    <w:name w:val="Intense Quote"/>
    <w:basedOn w:val="Normal"/>
    <w:next w:val="Normal"/>
    <w:link w:val="IntenseQuoteChar"/>
    <w:uiPriority w:val="30"/>
    <w:qFormat/>
    <w:rsid w:val="009501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016F"/>
    <w:rPr>
      <w:i/>
      <w:iCs/>
      <w:color w:val="2F5496" w:themeColor="accent1" w:themeShade="BF"/>
    </w:rPr>
  </w:style>
  <w:style w:type="character" w:styleId="IntenseReference">
    <w:name w:val="Intense Reference"/>
    <w:basedOn w:val="DefaultParagraphFont"/>
    <w:uiPriority w:val="32"/>
    <w:qFormat/>
    <w:rsid w:val="0095016F"/>
    <w:rPr>
      <w:b/>
      <w:bCs/>
      <w:smallCaps/>
      <w:color w:val="2F5496" w:themeColor="accent1" w:themeShade="BF"/>
      <w:spacing w:val="5"/>
    </w:rPr>
  </w:style>
  <w:style w:type="paragraph" w:styleId="NoSpacing">
    <w:name w:val="No Spacing"/>
    <w:uiPriority w:val="1"/>
    <w:qFormat/>
    <w:rsid w:val="0095016F"/>
    <w:pPr>
      <w:spacing w:after="0" w:line="240" w:lineRule="auto"/>
    </w:pPr>
  </w:style>
  <w:style w:type="character" w:styleId="Hyperlink">
    <w:name w:val="Hyperlink"/>
    <w:basedOn w:val="DefaultParagraphFont"/>
    <w:uiPriority w:val="99"/>
    <w:unhideWhenUsed/>
    <w:rsid w:val="00AB1DE3"/>
    <w:rPr>
      <w:color w:val="0563C1" w:themeColor="hyperlink"/>
      <w:u w:val="single"/>
    </w:rPr>
  </w:style>
  <w:style w:type="character" w:styleId="UnresolvedMention">
    <w:name w:val="Unresolved Mention"/>
    <w:basedOn w:val="DefaultParagraphFont"/>
    <w:uiPriority w:val="99"/>
    <w:semiHidden/>
    <w:unhideWhenUsed/>
    <w:rsid w:val="00AB1DE3"/>
    <w:rPr>
      <w:color w:val="605E5C"/>
      <w:shd w:val="clear" w:color="auto" w:fill="E1DFDD"/>
    </w:rPr>
  </w:style>
  <w:style w:type="paragraph" w:styleId="TOCHeading">
    <w:name w:val="TOC Heading"/>
    <w:basedOn w:val="Heading1"/>
    <w:next w:val="Normal"/>
    <w:uiPriority w:val="39"/>
    <w:unhideWhenUsed/>
    <w:qFormat/>
    <w:rsid w:val="00AB1DE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B1DE3"/>
    <w:pPr>
      <w:spacing w:after="100"/>
    </w:pPr>
  </w:style>
  <w:style w:type="paragraph" w:styleId="TOC2">
    <w:name w:val="toc 2"/>
    <w:basedOn w:val="Normal"/>
    <w:next w:val="Normal"/>
    <w:autoRedefine/>
    <w:uiPriority w:val="39"/>
    <w:unhideWhenUsed/>
    <w:rsid w:val="006E61E4"/>
    <w:pPr>
      <w:spacing w:after="100"/>
      <w:ind w:left="220"/>
    </w:pPr>
  </w:style>
  <w:style w:type="character" w:styleId="CommentReference">
    <w:name w:val="annotation reference"/>
    <w:basedOn w:val="DefaultParagraphFont"/>
    <w:uiPriority w:val="99"/>
    <w:semiHidden/>
    <w:unhideWhenUsed/>
    <w:rsid w:val="006E2648"/>
    <w:rPr>
      <w:sz w:val="16"/>
      <w:szCs w:val="16"/>
    </w:rPr>
  </w:style>
  <w:style w:type="paragraph" w:styleId="CommentText">
    <w:name w:val="annotation text"/>
    <w:basedOn w:val="Normal"/>
    <w:link w:val="CommentTextChar"/>
    <w:uiPriority w:val="99"/>
    <w:unhideWhenUsed/>
    <w:rsid w:val="006E2648"/>
    <w:pPr>
      <w:spacing w:line="240" w:lineRule="auto"/>
    </w:pPr>
    <w:rPr>
      <w:sz w:val="20"/>
      <w:szCs w:val="20"/>
    </w:rPr>
  </w:style>
  <w:style w:type="character" w:customStyle="1" w:styleId="CommentTextChar">
    <w:name w:val="Comment Text Char"/>
    <w:basedOn w:val="DefaultParagraphFont"/>
    <w:link w:val="CommentText"/>
    <w:uiPriority w:val="99"/>
    <w:rsid w:val="006E2648"/>
    <w:rPr>
      <w:sz w:val="20"/>
      <w:szCs w:val="20"/>
    </w:rPr>
  </w:style>
  <w:style w:type="paragraph" w:styleId="CommentSubject">
    <w:name w:val="annotation subject"/>
    <w:basedOn w:val="CommentText"/>
    <w:next w:val="CommentText"/>
    <w:link w:val="CommentSubjectChar"/>
    <w:uiPriority w:val="99"/>
    <w:semiHidden/>
    <w:unhideWhenUsed/>
    <w:rsid w:val="006E2648"/>
    <w:rPr>
      <w:b/>
      <w:bCs/>
    </w:rPr>
  </w:style>
  <w:style w:type="character" w:customStyle="1" w:styleId="CommentSubjectChar">
    <w:name w:val="Comment Subject Char"/>
    <w:basedOn w:val="CommentTextChar"/>
    <w:link w:val="CommentSubject"/>
    <w:uiPriority w:val="99"/>
    <w:semiHidden/>
    <w:rsid w:val="006E2648"/>
    <w:rPr>
      <w:b/>
      <w:bCs/>
      <w:sz w:val="20"/>
      <w:szCs w:val="20"/>
    </w:rPr>
  </w:style>
  <w:style w:type="paragraph" w:styleId="Header">
    <w:name w:val="header"/>
    <w:basedOn w:val="Normal"/>
    <w:link w:val="HeaderChar"/>
    <w:uiPriority w:val="99"/>
    <w:unhideWhenUsed/>
    <w:rsid w:val="00930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C0"/>
  </w:style>
  <w:style w:type="paragraph" w:styleId="Footer">
    <w:name w:val="footer"/>
    <w:basedOn w:val="Normal"/>
    <w:link w:val="FooterChar"/>
    <w:uiPriority w:val="99"/>
    <w:unhideWhenUsed/>
    <w:rsid w:val="00930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C0"/>
  </w:style>
  <w:style w:type="character" w:styleId="FollowedHyperlink">
    <w:name w:val="FollowedHyperlink"/>
    <w:basedOn w:val="DefaultParagraphFont"/>
    <w:uiPriority w:val="99"/>
    <w:semiHidden/>
    <w:unhideWhenUsed/>
    <w:rsid w:val="00EA7F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wc.com/gx/en.html" TargetMode="External"/><Relationship Id="rId18" Type="http://schemas.openxmlformats.org/officeDocument/2006/relationships/hyperlink" Target="https://www.ecb.europa.eu/press/intro/mip-online/2018/html/1803_revisedpsd.en.html" TargetMode="External"/><Relationship Id="rId3" Type="http://schemas.openxmlformats.org/officeDocument/2006/relationships/styles" Target="styles.xml"/><Relationship Id="rId21" Type="http://schemas.openxmlformats.org/officeDocument/2006/relationships/hyperlink" Target="https://books.google.co.uk/books/about/Diffusion_of_Innovations.html?id=9U1K5LjUOwEC&amp;redir_esc=y" TargetMode="External"/><Relationship Id="rId7" Type="http://schemas.openxmlformats.org/officeDocument/2006/relationships/endnotes" Target="endnotes.xml"/><Relationship Id="rId12" Type="http://schemas.openxmlformats.org/officeDocument/2006/relationships/hyperlink" Target="https://www.accenture.com/gb-en" TargetMode="External"/><Relationship Id="rId17" Type="http://schemas.openxmlformats.org/officeDocument/2006/relationships/hyperlink" Target="https://www.ey.com/en_uk" TargetMode="External"/><Relationship Id="rId2" Type="http://schemas.openxmlformats.org/officeDocument/2006/relationships/numbering" Target="numbering.xml"/><Relationship Id="rId16" Type="http://schemas.openxmlformats.org/officeDocument/2006/relationships/hyperlink" Target="https://www.deloitte.com/uk/en.html" TargetMode="External"/><Relationship Id="rId20" Type="http://schemas.openxmlformats.org/officeDocument/2006/relationships/hyperlink" Target="https://librarysearch.uwtsd.ac.uk/discovery/fulldisplay?docid=cdi_proquest_journals_215258436&amp;context=PC&amp;vid=44WHELF_UWTSD:44WHELF_UWTSD_VU1&amp;lang=en&amp;search_scope=MyInst_and_CI&amp;adaptor=Primo%20Central&amp;tab=Everything&amp;query=any%20%5BAccessed%205%20Oct.%202025%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md/article-abstract/51/7/1326/284356/Revisiting-business-strategy-under-discontinuity?redirectedFrom=fulltex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onzo.com/static/docs/monzo-annual-report-2022.pdf" TargetMode="External"/><Relationship Id="rId23" Type="http://schemas.openxmlformats.org/officeDocument/2006/relationships/fontTable" Target="fontTable.xml"/><Relationship Id="rId10" Type="http://schemas.openxmlformats.org/officeDocument/2006/relationships/hyperlink" Target="https://www.scirp.org/reference/referencespapers?referenceid=3155681" TargetMode="External"/><Relationship Id="rId19" Type="http://schemas.openxmlformats.org/officeDocument/2006/relationships/hyperlink" Target="https://ir.lawnet.fordham.edu/jcfl/vol23/iss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ca.org.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2ED21-A50A-4395-AB01-8DF2C5472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17</Pages>
  <Words>4441</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Chauhan</dc:creator>
  <cp:keywords/>
  <dc:description/>
  <cp:lastModifiedBy>Abhishek Chauhan</cp:lastModifiedBy>
  <cp:revision>53</cp:revision>
  <cp:lastPrinted>2025-10-22T14:42:00Z</cp:lastPrinted>
  <dcterms:created xsi:type="dcterms:W3CDTF">2025-09-20T13:00:00Z</dcterms:created>
  <dcterms:modified xsi:type="dcterms:W3CDTF">2025-10-23T21:37:00Z</dcterms:modified>
</cp:coreProperties>
</file>