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E405" w14:textId="77777777" w:rsidR="00EB12BC" w:rsidRPr="00C03A91" w:rsidRDefault="00EB12BC" w:rsidP="00C03A91">
      <w:pPr>
        <w:rPr>
          <w:rFonts w:cs="Arial"/>
          <w:szCs w:val="24"/>
        </w:rPr>
      </w:pPr>
      <w:r w:rsidRPr="00C03A91">
        <w:rPr>
          <w:rFonts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rPr>
          <w:rFonts w:cs="Arial"/>
          <w:szCs w:val="24"/>
        </w:rPr>
      </w:pPr>
    </w:p>
    <w:p w14:paraId="0E6E9383" w14:textId="77777777" w:rsidR="00EB12BC" w:rsidRPr="00C03A91" w:rsidRDefault="00EB12BC" w:rsidP="00C03A91">
      <w:pPr>
        <w:rPr>
          <w:rFonts w:cs="Arial"/>
          <w:szCs w:val="24"/>
        </w:rPr>
      </w:pPr>
    </w:p>
    <w:p w14:paraId="431DBF4A" w14:textId="77777777" w:rsidR="00EB12BC" w:rsidRPr="00C03A91" w:rsidRDefault="00EB12BC" w:rsidP="00C03A91">
      <w:pPr>
        <w:rPr>
          <w:rFonts w:cs="Arial"/>
          <w:szCs w:val="24"/>
        </w:rPr>
      </w:pPr>
    </w:p>
    <w:p w14:paraId="67404449" w14:textId="77777777" w:rsidR="00EB12BC" w:rsidRPr="00C03A91" w:rsidRDefault="00EB12BC" w:rsidP="00C03A91">
      <w:pPr>
        <w:tabs>
          <w:tab w:val="left" w:pos="6540"/>
        </w:tabs>
        <w:rPr>
          <w:rFonts w:cs="Arial"/>
          <w:sz w:val="28"/>
          <w:szCs w:val="28"/>
        </w:rPr>
      </w:pPr>
    </w:p>
    <w:p w14:paraId="27888C86" w14:textId="465C1AC7" w:rsidR="00EB12BC" w:rsidRPr="00076AC0" w:rsidRDefault="00EB12BC" w:rsidP="00C03A91">
      <w:pPr>
        <w:tabs>
          <w:tab w:val="left" w:pos="6540"/>
        </w:tabs>
        <w:rPr>
          <w:rFonts w:cs="Arial"/>
          <w:sz w:val="28"/>
          <w:szCs w:val="28"/>
          <w:lang w:val="nl-NL"/>
        </w:rPr>
      </w:pPr>
      <w:r w:rsidRPr="00076AC0">
        <w:rPr>
          <w:rFonts w:cs="Arial"/>
          <w:b/>
          <w:bCs/>
          <w:sz w:val="28"/>
          <w:szCs w:val="28"/>
          <w:lang w:val="nl-NL"/>
        </w:rPr>
        <w:t xml:space="preserve">Student </w:t>
      </w:r>
      <w:r w:rsidR="00891DAB">
        <w:rPr>
          <w:rFonts w:cs="Arial"/>
          <w:b/>
          <w:bCs/>
          <w:sz w:val="28"/>
          <w:szCs w:val="28"/>
          <w:lang w:val="nl-NL"/>
        </w:rPr>
        <w:t xml:space="preserve">Name: </w:t>
      </w:r>
      <w:proofErr w:type="spellStart"/>
      <w:r w:rsidR="004B6D25">
        <w:rPr>
          <w:rFonts w:cs="Arial"/>
          <w:sz w:val="28"/>
          <w:szCs w:val="28"/>
          <w:lang w:val="nl-NL"/>
        </w:rPr>
        <w:t>Mercy</w:t>
      </w:r>
      <w:proofErr w:type="spellEnd"/>
      <w:r w:rsidR="004B6D25">
        <w:rPr>
          <w:rFonts w:cs="Arial"/>
          <w:sz w:val="28"/>
          <w:szCs w:val="28"/>
          <w:lang w:val="nl-NL"/>
        </w:rPr>
        <w:t xml:space="preserve"> </w:t>
      </w:r>
      <w:proofErr w:type="spellStart"/>
      <w:r w:rsidR="004B6D25">
        <w:rPr>
          <w:rFonts w:cs="Arial"/>
          <w:sz w:val="28"/>
          <w:szCs w:val="28"/>
          <w:lang w:val="nl-NL"/>
        </w:rPr>
        <w:t>Reoja</w:t>
      </w:r>
      <w:proofErr w:type="spellEnd"/>
      <w:r w:rsidR="004B6D25">
        <w:rPr>
          <w:rFonts w:cs="Arial"/>
          <w:sz w:val="28"/>
          <w:szCs w:val="28"/>
          <w:lang w:val="nl-NL"/>
        </w:rPr>
        <w:t xml:space="preserve"> </w:t>
      </w:r>
      <w:proofErr w:type="spellStart"/>
      <w:r w:rsidR="004B6D25">
        <w:rPr>
          <w:rFonts w:cs="Arial"/>
          <w:sz w:val="28"/>
          <w:szCs w:val="28"/>
          <w:lang w:val="nl-NL"/>
        </w:rPr>
        <w:t>Fiel</w:t>
      </w:r>
      <w:proofErr w:type="spellEnd"/>
    </w:p>
    <w:p w14:paraId="3C83A8A7" w14:textId="4DEE102E" w:rsidR="00EB12BC" w:rsidRPr="00076AC0" w:rsidRDefault="00EB12BC" w:rsidP="00C03A91">
      <w:pPr>
        <w:tabs>
          <w:tab w:val="left" w:pos="6540"/>
        </w:tabs>
        <w:rPr>
          <w:rFonts w:cs="Arial"/>
          <w:sz w:val="28"/>
          <w:szCs w:val="28"/>
          <w:lang w:val="nl-NL"/>
        </w:rPr>
      </w:pPr>
      <w:r w:rsidRPr="00076AC0">
        <w:rPr>
          <w:rFonts w:cs="Arial"/>
          <w:b/>
          <w:bCs/>
          <w:sz w:val="28"/>
          <w:szCs w:val="28"/>
          <w:lang w:val="nl-NL"/>
        </w:rPr>
        <w:t>Student ID</w:t>
      </w:r>
      <w:r w:rsidRPr="00076AC0">
        <w:rPr>
          <w:rFonts w:cs="Arial"/>
          <w:sz w:val="28"/>
          <w:szCs w:val="28"/>
          <w:lang w:val="nl-NL"/>
        </w:rPr>
        <w:t>:</w:t>
      </w:r>
      <w:r w:rsidR="00891DAB">
        <w:rPr>
          <w:rFonts w:cs="Arial"/>
          <w:sz w:val="28"/>
          <w:szCs w:val="28"/>
          <w:lang w:val="nl-NL"/>
        </w:rPr>
        <w:t xml:space="preserve"> 2427852</w:t>
      </w:r>
    </w:p>
    <w:p w14:paraId="21E9DC72" w14:textId="77777777" w:rsidR="00EB12BC" w:rsidRPr="00076AC0" w:rsidRDefault="00EB12BC" w:rsidP="00C03A91">
      <w:pPr>
        <w:tabs>
          <w:tab w:val="left" w:pos="6540"/>
        </w:tabs>
        <w:rPr>
          <w:rFonts w:cs="Arial"/>
          <w:sz w:val="28"/>
          <w:szCs w:val="28"/>
          <w:lang w:val="nl-NL"/>
        </w:rPr>
      </w:pPr>
    </w:p>
    <w:p w14:paraId="23BAC9B9" w14:textId="3180A472" w:rsidR="00EB12BC" w:rsidRPr="00076AC0" w:rsidRDefault="00EB12BC" w:rsidP="00C03A91">
      <w:pPr>
        <w:tabs>
          <w:tab w:val="left" w:pos="6540"/>
        </w:tabs>
        <w:rPr>
          <w:rFonts w:cs="Arial"/>
          <w:sz w:val="28"/>
          <w:szCs w:val="28"/>
          <w:lang w:val="nl-NL"/>
        </w:rPr>
      </w:pPr>
      <w:r w:rsidRPr="00076AC0">
        <w:rPr>
          <w:rFonts w:cs="Arial"/>
          <w:b/>
          <w:bCs/>
          <w:sz w:val="28"/>
          <w:szCs w:val="28"/>
          <w:lang w:val="nl-NL"/>
        </w:rPr>
        <w:t xml:space="preserve">Module </w:t>
      </w:r>
      <w:proofErr w:type="gramStart"/>
      <w:r w:rsidRPr="00076AC0">
        <w:rPr>
          <w:rFonts w:cs="Arial"/>
          <w:b/>
          <w:bCs/>
          <w:sz w:val="28"/>
          <w:szCs w:val="28"/>
          <w:lang w:val="nl-NL"/>
        </w:rPr>
        <w:t>name</w:t>
      </w:r>
      <w:r w:rsidRPr="00076AC0">
        <w:rPr>
          <w:rFonts w:cs="Arial"/>
          <w:sz w:val="28"/>
          <w:szCs w:val="28"/>
          <w:lang w:val="nl-NL"/>
        </w:rPr>
        <w:t xml:space="preserve">: </w:t>
      </w:r>
      <w:r w:rsidR="00B81DBD">
        <w:rPr>
          <w:rFonts w:cs="Arial"/>
          <w:sz w:val="28"/>
          <w:szCs w:val="28"/>
          <w:lang w:val="nl-NL"/>
        </w:rPr>
        <w:t xml:space="preserve"> </w:t>
      </w:r>
      <w:proofErr w:type="spellStart"/>
      <w:r w:rsidR="00B81DBD" w:rsidRPr="00B81DBD">
        <w:rPr>
          <w:rFonts w:cs="Arial"/>
          <w:sz w:val="28"/>
          <w:szCs w:val="28"/>
          <w:lang w:val="nl-NL"/>
        </w:rPr>
        <w:t>Introduction</w:t>
      </w:r>
      <w:proofErr w:type="spellEnd"/>
      <w:proofErr w:type="gramEnd"/>
      <w:r w:rsidR="00B81DBD" w:rsidRPr="00B81DBD">
        <w:rPr>
          <w:rFonts w:cs="Arial"/>
          <w:sz w:val="28"/>
          <w:szCs w:val="28"/>
          <w:lang w:val="nl-NL"/>
        </w:rPr>
        <w:t xml:space="preserve"> </w:t>
      </w:r>
      <w:proofErr w:type="spellStart"/>
      <w:r w:rsidR="00B81DBD" w:rsidRPr="00B81DBD">
        <w:rPr>
          <w:rFonts w:cs="Arial"/>
          <w:sz w:val="28"/>
          <w:szCs w:val="28"/>
          <w:lang w:val="nl-NL"/>
        </w:rPr>
        <w:t>to</w:t>
      </w:r>
      <w:proofErr w:type="spellEnd"/>
      <w:r w:rsidR="00B81DBD" w:rsidRPr="00B81DBD">
        <w:rPr>
          <w:rFonts w:cs="Arial"/>
          <w:sz w:val="28"/>
          <w:szCs w:val="28"/>
          <w:lang w:val="nl-NL"/>
        </w:rPr>
        <w:t xml:space="preserve"> </w:t>
      </w:r>
      <w:proofErr w:type="spellStart"/>
      <w:r w:rsidR="00B81DBD" w:rsidRPr="00B81DBD">
        <w:rPr>
          <w:rFonts w:cs="Arial"/>
          <w:sz w:val="28"/>
          <w:szCs w:val="28"/>
          <w:lang w:val="nl-NL"/>
        </w:rPr>
        <w:t>Physiology</w:t>
      </w:r>
      <w:proofErr w:type="spellEnd"/>
    </w:p>
    <w:p w14:paraId="4FD97C8C" w14:textId="1CFF62BD" w:rsidR="00EB12BC" w:rsidRPr="00C03A91" w:rsidRDefault="00EB12BC" w:rsidP="00C03A91">
      <w:pPr>
        <w:tabs>
          <w:tab w:val="left" w:pos="6540"/>
        </w:tabs>
        <w:rPr>
          <w:rFonts w:cs="Arial"/>
          <w:sz w:val="28"/>
          <w:szCs w:val="28"/>
        </w:rPr>
      </w:pPr>
      <w:r w:rsidRPr="00C03A91">
        <w:rPr>
          <w:rFonts w:cs="Arial"/>
          <w:b/>
          <w:bCs/>
          <w:sz w:val="28"/>
          <w:szCs w:val="28"/>
        </w:rPr>
        <w:t>Module code</w:t>
      </w:r>
      <w:r w:rsidRPr="00C03A91">
        <w:rPr>
          <w:rFonts w:cs="Arial"/>
          <w:sz w:val="28"/>
          <w:szCs w:val="28"/>
        </w:rPr>
        <w:t>:</w:t>
      </w:r>
      <w:r w:rsidR="00B81DBD">
        <w:rPr>
          <w:rFonts w:cs="Arial"/>
          <w:sz w:val="28"/>
          <w:szCs w:val="28"/>
        </w:rPr>
        <w:t xml:space="preserve"> </w:t>
      </w:r>
      <w:r w:rsidR="00B81DBD" w:rsidRPr="00B81DBD">
        <w:rPr>
          <w:rFonts w:cs="Arial"/>
          <w:sz w:val="28"/>
          <w:szCs w:val="28"/>
        </w:rPr>
        <w:t>BMHP5023</w:t>
      </w:r>
    </w:p>
    <w:p w14:paraId="658BE57E" w14:textId="5302E4A6" w:rsidR="00EB12BC" w:rsidRPr="00C03A91" w:rsidRDefault="00EB12BC" w:rsidP="00C03A91">
      <w:pPr>
        <w:tabs>
          <w:tab w:val="left" w:pos="6540"/>
        </w:tabs>
        <w:rPr>
          <w:rFonts w:cs="Arial"/>
          <w:sz w:val="28"/>
          <w:szCs w:val="28"/>
        </w:rPr>
      </w:pPr>
      <w:r w:rsidRPr="00C03A91">
        <w:rPr>
          <w:rFonts w:cs="Arial"/>
          <w:b/>
          <w:bCs/>
          <w:sz w:val="28"/>
          <w:szCs w:val="28"/>
        </w:rPr>
        <w:t>Lecturer name</w:t>
      </w:r>
      <w:r w:rsidRPr="00C03A91">
        <w:rPr>
          <w:rFonts w:cs="Arial"/>
          <w:sz w:val="28"/>
          <w:szCs w:val="28"/>
        </w:rPr>
        <w:t>:</w:t>
      </w:r>
      <w:r w:rsidR="00891DAB">
        <w:rPr>
          <w:rFonts w:cs="Arial"/>
          <w:sz w:val="28"/>
          <w:szCs w:val="28"/>
        </w:rPr>
        <w:t xml:space="preserve"> Shaila Hussain</w:t>
      </w:r>
    </w:p>
    <w:p w14:paraId="5AFF31F9" w14:textId="77777777" w:rsidR="001B7A40" w:rsidRPr="00C03A91" w:rsidRDefault="001B7A40" w:rsidP="00C03A91">
      <w:pPr>
        <w:tabs>
          <w:tab w:val="left" w:pos="6540"/>
        </w:tabs>
        <w:rPr>
          <w:rFonts w:cs="Arial"/>
          <w:b/>
          <w:bCs/>
          <w:sz w:val="28"/>
          <w:szCs w:val="28"/>
        </w:rPr>
      </w:pPr>
    </w:p>
    <w:p w14:paraId="53B923F4" w14:textId="4707F5B5" w:rsidR="001B7A40" w:rsidRPr="00B81DBD" w:rsidRDefault="001B7A40" w:rsidP="00B81DBD">
      <w:pPr>
        <w:rPr>
          <w:sz w:val="28"/>
          <w:szCs w:val="24"/>
        </w:rPr>
      </w:pPr>
      <w:r w:rsidRPr="00B81DBD">
        <w:rPr>
          <w:b/>
          <w:bCs/>
          <w:sz w:val="28"/>
          <w:szCs w:val="24"/>
        </w:rPr>
        <w:t xml:space="preserve">Assessment: </w:t>
      </w:r>
      <w:r w:rsidR="00B81DBD" w:rsidRPr="00B81DBD">
        <w:rPr>
          <w:sz w:val="28"/>
          <w:szCs w:val="24"/>
        </w:rPr>
        <w:t>Component 1: Written Assignment (Case Study Report)</w:t>
      </w:r>
    </w:p>
    <w:p w14:paraId="36E012A0" w14:textId="4D376276" w:rsidR="000C4EDA" w:rsidRPr="00C03A91" w:rsidRDefault="000C4EDA" w:rsidP="00C03A91">
      <w:pPr>
        <w:tabs>
          <w:tab w:val="left" w:pos="6540"/>
        </w:tabs>
        <w:rPr>
          <w:rFonts w:cs="Arial"/>
          <w:sz w:val="28"/>
          <w:szCs w:val="28"/>
        </w:rPr>
      </w:pPr>
    </w:p>
    <w:p w14:paraId="60C916A4" w14:textId="1D768040" w:rsidR="000C4EDA" w:rsidRPr="00C03A91" w:rsidRDefault="000C4EDA" w:rsidP="00C03A91">
      <w:pPr>
        <w:rPr>
          <w:rFonts w:cs="Arial"/>
          <w:sz w:val="28"/>
          <w:szCs w:val="28"/>
        </w:rPr>
      </w:pPr>
      <w:r w:rsidRPr="00C03A91">
        <w:rPr>
          <w:rFonts w:cs="Arial"/>
          <w:sz w:val="28"/>
          <w:szCs w:val="28"/>
        </w:rPr>
        <w:br w:type="page"/>
      </w:r>
    </w:p>
    <w:sdt>
      <w:sdtPr>
        <w:rPr>
          <w:rFonts w:ascii="Times New Roman" w:eastAsiaTheme="minorHAnsi" w:hAnsi="Times New Roman" w:cstheme="minorBidi"/>
          <w:color w:val="auto"/>
          <w:sz w:val="24"/>
          <w:szCs w:val="22"/>
          <w:lang w:val="en-GB"/>
        </w:rPr>
        <w:id w:val="-167095826"/>
        <w:docPartObj>
          <w:docPartGallery w:val="Table of Contents"/>
          <w:docPartUnique/>
        </w:docPartObj>
      </w:sdtPr>
      <w:sdtEndPr>
        <w:rPr>
          <w:rFonts w:ascii="Arial" w:hAnsi="Arial"/>
          <w:b/>
          <w:bCs/>
          <w:noProof/>
          <w:sz w:val="22"/>
        </w:rPr>
      </w:sdtEndPr>
      <w:sdtContent>
        <w:p w14:paraId="0C67C2D7" w14:textId="5B1EA123" w:rsidR="001B76A8" w:rsidRPr="003A19FA" w:rsidRDefault="001B76A8" w:rsidP="003A19FA">
          <w:pPr>
            <w:pStyle w:val="TOCHeading"/>
            <w:spacing w:line="360" w:lineRule="auto"/>
            <w:rPr>
              <w:rFonts w:ascii="Arial" w:hAnsi="Arial" w:cs="Arial"/>
            </w:rPr>
          </w:pPr>
          <w:r w:rsidRPr="003A19FA">
            <w:rPr>
              <w:rFonts w:ascii="Arial" w:hAnsi="Arial" w:cs="Arial"/>
            </w:rPr>
            <w:t>Contents</w:t>
          </w:r>
        </w:p>
        <w:p w14:paraId="23D8BBB8" w14:textId="476CA2AA" w:rsidR="00076D04" w:rsidRDefault="001B76A8">
          <w:pPr>
            <w:pStyle w:val="TOC1"/>
            <w:rPr>
              <w:rFonts w:asciiTheme="minorHAnsi" w:eastAsiaTheme="minorEastAsia" w:hAnsiTheme="minorHAnsi"/>
              <w:noProof/>
              <w:lang w:val="en-US"/>
            </w:rPr>
          </w:pPr>
          <w:r w:rsidRPr="003A19FA">
            <w:rPr>
              <w:rFonts w:cs="Arial"/>
            </w:rPr>
            <w:fldChar w:fldCharType="begin"/>
          </w:r>
          <w:r w:rsidRPr="003A19FA">
            <w:rPr>
              <w:rFonts w:cs="Arial"/>
            </w:rPr>
            <w:instrText xml:space="preserve"> TOC \o "1-3" \h \z \u </w:instrText>
          </w:r>
          <w:r w:rsidRPr="003A19FA">
            <w:rPr>
              <w:rFonts w:cs="Arial"/>
            </w:rPr>
            <w:fldChar w:fldCharType="separate"/>
          </w:r>
          <w:hyperlink w:anchor="_Toc225503007" w:history="1">
            <w:r w:rsidR="00076D04" w:rsidRPr="00F7654A">
              <w:rPr>
                <w:rStyle w:val="Hyperlink"/>
                <w:noProof/>
              </w:rPr>
              <w:t>1.0 Introduction</w:t>
            </w:r>
            <w:r w:rsidR="00076D04">
              <w:rPr>
                <w:noProof/>
                <w:webHidden/>
              </w:rPr>
              <w:tab/>
            </w:r>
            <w:r w:rsidR="00076D04">
              <w:rPr>
                <w:noProof/>
                <w:webHidden/>
              </w:rPr>
              <w:fldChar w:fldCharType="begin"/>
            </w:r>
            <w:r w:rsidR="00076D04">
              <w:rPr>
                <w:noProof/>
                <w:webHidden/>
              </w:rPr>
              <w:instrText xml:space="preserve"> PAGEREF _Toc225503007 \h </w:instrText>
            </w:r>
            <w:r w:rsidR="00076D04">
              <w:rPr>
                <w:noProof/>
                <w:webHidden/>
              </w:rPr>
            </w:r>
            <w:r w:rsidR="00076D04">
              <w:rPr>
                <w:noProof/>
                <w:webHidden/>
              </w:rPr>
              <w:fldChar w:fldCharType="separate"/>
            </w:r>
            <w:r w:rsidR="00076D04">
              <w:rPr>
                <w:noProof/>
                <w:webHidden/>
              </w:rPr>
              <w:t>3</w:t>
            </w:r>
            <w:r w:rsidR="00076D04">
              <w:rPr>
                <w:noProof/>
                <w:webHidden/>
              </w:rPr>
              <w:fldChar w:fldCharType="end"/>
            </w:r>
          </w:hyperlink>
        </w:p>
        <w:p w14:paraId="4CA648BA" w14:textId="665DA1B4" w:rsidR="00076D04" w:rsidRDefault="00076D04">
          <w:pPr>
            <w:pStyle w:val="TOC1"/>
            <w:rPr>
              <w:rFonts w:asciiTheme="minorHAnsi" w:eastAsiaTheme="minorEastAsia" w:hAnsiTheme="minorHAnsi"/>
              <w:noProof/>
              <w:lang w:val="en-US"/>
            </w:rPr>
          </w:pPr>
          <w:hyperlink w:anchor="_Toc225503008" w:history="1">
            <w:r w:rsidRPr="00F7654A">
              <w:rPr>
                <w:rStyle w:val="Hyperlink"/>
                <w:noProof/>
              </w:rPr>
              <w:t>2.0 Blood Sugar Regulation</w:t>
            </w:r>
            <w:r>
              <w:rPr>
                <w:noProof/>
                <w:webHidden/>
              </w:rPr>
              <w:tab/>
            </w:r>
            <w:r>
              <w:rPr>
                <w:noProof/>
                <w:webHidden/>
              </w:rPr>
              <w:fldChar w:fldCharType="begin"/>
            </w:r>
            <w:r>
              <w:rPr>
                <w:noProof/>
                <w:webHidden/>
              </w:rPr>
              <w:instrText xml:space="preserve"> PAGEREF _Toc225503008 \h </w:instrText>
            </w:r>
            <w:r>
              <w:rPr>
                <w:noProof/>
                <w:webHidden/>
              </w:rPr>
            </w:r>
            <w:r>
              <w:rPr>
                <w:noProof/>
                <w:webHidden/>
              </w:rPr>
              <w:fldChar w:fldCharType="separate"/>
            </w:r>
            <w:r>
              <w:rPr>
                <w:noProof/>
                <w:webHidden/>
              </w:rPr>
              <w:t>4</w:t>
            </w:r>
            <w:r>
              <w:rPr>
                <w:noProof/>
                <w:webHidden/>
              </w:rPr>
              <w:fldChar w:fldCharType="end"/>
            </w:r>
          </w:hyperlink>
        </w:p>
        <w:p w14:paraId="2240DAF8" w14:textId="6F038B9B" w:rsidR="00076D04" w:rsidRDefault="00076D04">
          <w:pPr>
            <w:pStyle w:val="TOC1"/>
            <w:rPr>
              <w:rFonts w:asciiTheme="minorHAnsi" w:eastAsiaTheme="minorEastAsia" w:hAnsiTheme="minorHAnsi"/>
              <w:noProof/>
              <w:lang w:val="en-US"/>
            </w:rPr>
          </w:pPr>
          <w:hyperlink w:anchor="_Toc225503009" w:history="1">
            <w:r w:rsidRPr="00F7654A">
              <w:rPr>
                <w:rStyle w:val="Hyperlink"/>
                <w:noProof/>
              </w:rPr>
              <w:t>3.0 Cellular Metabolism</w:t>
            </w:r>
            <w:r>
              <w:rPr>
                <w:noProof/>
                <w:webHidden/>
              </w:rPr>
              <w:tab/>
            </w:r>
            <w:r>
              <w:rPr>
                <w:noProof/>
                <w:webHidden/>
              </w:rPr>
              <w:fldChar w:fldCharType="begin"/>
            </w:r>
            <w:r>
              <w:rPr>
                <w:noProof/>
                <w:webHidden/>
              </w:rPr>
              <w:instrText xml:space="preserve"> PAGEREF _Toc225503009 \h </w:instrText>
            </w:r>
            <w:r>
              <w:rPr>
                <w:noProof/>
                <w:webHidden/>
              </w:rPr>
            </w:r>
            <w:r>
              <w:rPr>
                <w:noProof/>
                <w:webHidden/>
              </w:rPr>
              <w:fldChar w:fldCharType="separate"/>
            </w:r>
            <w:r>
              <w:rPr>
                <w:noProof/>
                <w:webHidden/>
              </w:rPr>
              <w:t>5</w:t>
            </w:r>
            <w:r>
              <w:rPr>
                <w:noProof/>
                <w:webHidden/>
              </w:rPr>
              <w:fldChar w:fldCharType="end"/>
            </w:r>
          </w:hyperlink>
        </w:p>
        <w:p w14:paraId="2D1D15F1" w14:textId="32B71977" w:rsidR="00076D04" w:rsidRDefault="00076D04">
          <w:pPr>
            <w:pStyle w:val="TOC1"/>
            <w:rPr>
              <w:rFonts w:asciiTheme="minorHAnsi" w:eastAsiaTheme="minorEastAsia" w:hAnsiTheme="minorHAnsi"/>
              <w:noProof/>
              <w:lang w:val="en-US"/>
            </w:rPr>
          </w:pPr>
          <w:hyperlink w:anchor="_Toc225503010" w:history="1">
            <w:r w:rsidRPr="00F7654A">
              <w:rPr>
                <w:rStyle w:val="Hyperlink"/>
                <w:noProof/>
              </w:rPr>
              <w:t>4.0 Recording and tracking blood sugar levels for type 2 diabetes</w:t>
            </w:r>
            <w:r>
              <w:rPr>
                <w:noProof/>
                <w:webHidden/>
              </w:rPr>
              <w:tab/>
            </w:r>
            <w:r>
              <w:rPr>
                <w:noProof/>
                <w:webHidden/>
              </w:rPr>
              <w:fldChar w:fldCharType="begin"/>
            </w:r>
            <w:r>
              <w:rPr>
                <w:noProof/>
                <w:webHidden/>
              </w:rPr>
              <w:instrText xml:space="preserve"> PAGEREF _Toc225503010 \h </w:instrText>
            </w:r>
            <w:r>
              <w:rPr>
                <w:noProof/>
                <w:webHidden/>
              </w:rPr>
            </w:r>
            <w:r>
              <w:rPr>
                <w:noProof/>
                <w:webHidden/>
              </w:rPr>
              <w:fldChar w:fldCharType="separate"/>
            </w:r>
            <w:r>
              <w:rPr>
                <w:noProof/>
                <w:webHidden/>
              </w:rPr>
              <w:t>6</w:t>
            </w:r>
            <w:r>
              <w:rPr>
                <w:noProof/>
                <w:webHidden/>
              </w:rPr>
              <w:fldChar w:fldCharType="end"/>
            </w:r>
          </w:hyperlink>
        </w:p>
        <w:p w14:paraId="4FDF7AB8" w14:textId="35BE3478" w:rsidR="00076D04" w:rsidRDefault="00076D04">
          <w:pPr>
            <w:pStyle w:val="TOC1"/>
            <w:rPr>
              <w:rFonts w:asciiTheme="minorHAnsi" w:eastAsiaTheme="minorEastAsia" w:hAnsiTheme="minorHAnsi"/>
              <w:noProof/>
              <w:lang w:val="en-US"/>
            </w:rPr>
          </w:pPr>
          <w:hyperlink w:anchor="_Toc225503011" w:history="1">
            <w:r w:rsidRPr="00F7654A">
              <w:rPr>
                <w:rStyle w:val="Hyperlink"/>
                <w:noProof/>
              </w:rPr>
              <w:t>5.0 Recommendations</w:t>
            </w:r>
            <w:r>
              <w:rPr>
                <w:noProof/>
                <w:webHidden/>
              </w:rPr>
              <w:tab/>
            </w:r>
            <w:r>
              <w:rPr>
                <w:noProof/>
                <w:webHidden/>
              </w:rPr>
              <w:fldChar w:fldCharType="begin"/>
            </w:r>
            <w:r>
              <w:rPr>
                <w:noProof/>
                <w:webHidden/>
              </w:rPr>
              <w:instrText xml:space="preserve"> PAGEREF _Toc225503011 \h </w:instrText>
            </w:r>
            <w:r>
              <w:rPr>
                <w:noProof/>
                <w:webHidden/>
              </w:rPr>
            </w:r>
            <w:r>
              <w:rPr>
                <w:noProof/>
                <w:webHidden/>
              </w:rPr>
              <w:fldChar w:fldCharType="separate"/>
            </w:r>
            <w:r>
              <w:rPr>
                <w:noProof/>
                <w:webHidden/>
              </w:rPr>
              <w:t>8</w:t>
            </w:r>
            <w:r>
              <w:rPr>
                <w:noProof/>
                <w:webHidden/>
              </w:rPr>
              <w:fldChar w:fldCharType="end"/>
            </w:r>
          </w:hyperlink>
        </w:p>
        <w:p w14:paraId="4B73B936" w14:textId="7260B990" w:rsidR="00076D04" w:rsidRDefault="00076D04">
          <w:pPr>
            <w:pStyle w:val="TOC1"/>
            <w:rPr>
              <w:rFonts w:asciiTheme="minorHAnsi" w:eastAsiaTheme="minorEastAsia" w:hAnsiTheme="minorHAnsi"/>
              <w:noProof/>
              <w:lang w:val="en-US"/>
            </w:rPr>
          </w:pPr>
          <w:hyperlink w:anchor="_Toc225503012" w:history="1">
            <w:r w:rsidRPr="00F7654A">
              <w:rPr>
                <w:rStyle w:val="Hyperlink"/>
                <w:noProof/>
              </w:rPr>
              <w:t>6.0 Conclusion</w:t>
            </w:r>
            <w:r>
              <w:rPr>
                <w:noProof/>
                <w:webHidden/>
              </w:rPr>
              <w:tab/>
            </w:r>
            <w:r>
              <w:rPr>
                <w:noProof/>
                <w:webHidden/>
              </w:rPr>
              <w:fldChar w:fldCharType="begin"/>
            </w:r>
            <w:r>
              <w:rPr>
                <w:noProof/>
                <w:webHidden/>
              </w:rPr>
              <w:instrText xml:space="preserve"> PAGEREF _Toc225503012 \h </w:instrText>
            </w:r>
            <w:r>
              <w:rPr>
                <w:noProof/>
                <w:webHidden/>
              </w:rPr>
            </w:r>
            <w:r>
              <w:rPr>
                <w:noProof/>
                <w:webHidden/>
              </w:rPr>
              <w:fldChar w:fldCharType="separate"/>
            </w:r>
            <w:r>
              <w:rPr>
                <w:noProof/>
                <w:webHidden/>
              </w:rPr>
              <w:t>10</w:t>
            </w:r>
            <w:r>
              <w:rPr>
                <w:noProof/>
                <w:webHidden/>
              </w:rPr>
              <w:fldChar w:fldCharType="end"/>
            </w:r>
          </w:hyperlink>
        </w:p>
        <w:p w14:paraId="31953AB0" w14:textId="36F6E9C0" w:rsidR="00076D04" w:rsidRDefault="00076D04">
          <w:pPr>
            <w:pStyle w:val="TOC1"/>
            <w:rPr>
              <w:rFonts w:asciiTheme="minorHAnsi" w:eastAsiaTheme="minorEastAsia" w:hAnsiTheme="minorHAnsi"/>
              <w:noProof/>
              <w:lang w:val="en-US"/>
            </w:rPr>
          </w:pPr>
          <w:hyperlink w:anchor="_Toc225503013" w:history="1">
            <w:r w:rsidRPr="00F7654A">
              <w:rPr>
                <w:rStyle w:val="Hyperlink"/>
                <w:noProof/>
              </w:rPr>
              <w:t>References</w:t>
            </w:r>
            <w:r>
              <w:rPr>
                <w:noProof/>
                <w:webHidden/>
              </w:rPr>
              <w:tab/>
            </w:r>
            <w:r>
              <w:rPr>
                <w:noProof/>
                <w:webHidden/>
              </w:rPr>
              <w:fldChar w:fldCharType="begin"/>
            </w:r>
            <w:r>
              <w:rPr>
                <w:noProof/>
                <w:webHidden/>
              </w:rPr>
              <w:instrText xml:space="preserve"> PAGEREF _Toc225503013 \h </w:instrText>
            </w:r>
            <w:r>
              <w:rPr>
                <w:noProof/>
                <w:webHidden/>
              </w:rPr>
            </w:r>
            <w:r>
              <w:rPr>
                <w:noProof/>
                <w:webHidden/>
              </w:rPr>
              <w:fldChar w:fldCharType="separate"/>
            </w:r>
            <w:r>
              <w:rPr>
                <w:noProof/>
                <w:webHidden/>
              </w:rPr>
              <w:t>11</w:t>
            </w:r>
            <w:r>
              <w:rPr>
                <w:noProof/>
                <w:webHidden/>
              </w:rPr>
              <w:fldChar w:fldCharType="end"/>
            </w:r>
          </w:hyperlink>
        </w:p>
        <w:p w14:paraId="44F94542" w14:textId="08ACD2B6" w:rsidR="00076D04" w:rsidRDefault="00076D04">
          <w:pPr>
            <w:pStyle w:val="TOC1"/>
            <w:rPr>
              <w:rFonts w:asciiTheme="minorHAnsi" w:eastAsiaTheme="minorEastAsia" w:hAnsiTheme="minorHAnsi"/>
              <w:noProof/>
              <w:lang w:val="en-US"/>
            </w:rPr>
          </w:pPr>
          <w:hyperlink w:anchor="_Toc225503014" w:history="1">
            <w:r w:rsidRPr="00F7654A">
              <w:rPr>
                <w:rStyle w:val="Hyperlink"/>
                <w:noProof/>
              </w:rPr>
              <w:t>Appendix</w:t>
            </w:r>
            <w:r>
              <w:rPr>
                <w:noProof/>
                <w:webHidden/>
              </w:rPr>
              <w:tab/>
            </w:r>
            <w:r>
              <w:rPr>
                <w:noProof/>
                <w:webHidden/>
              </w:rPr>
              <w:fldChar w:fldCharType="begin"/>
            </w:r>
            <w:r>
              <w:rPr>
                <w:noProof/>
                <w:webHidden/>
              </w:rPr>
              <w:instrText xml:space="preserve"> PAGEREF _Toc225503014 \h </w:instrText>
            </w:r>
            <w:r>
              <w:rPr>
                <w:noProof/>
                <w:webHidden/>
              </w:rPr>
            </w:r>
            <w:r>
              <w:rPr>
                <w:noProof/>
                <w:webHidden/>
              </w:rPr>
              <w:fldChar w:fldCharType="separate"/>
            </w:r>
            <w:r>
              <w:rPr>
                <w:noProof/>
                <w:webHidden/>
              </w:rPr>
              <w:t>13</w:t>
            </w:r>
            <w:r>
              <w:rPr>
                <w:noProof/>
                <w:webHidden/>
              </w:rPr>
              <w:fldChar w:fldCharType="end"/>
            </w:r>
          </w:hyperlink>
        </w:p>
        <w:p w14:paraId="29E2CE38" w14:textId="633CAD8D" w:rsidR="00076D04" w:rsidRDefault="00076D04">
          <w:pPr>
            <w:pStyle w:val="TOC2"/>
            <w:tabs>
              <w:tab w:val="right" w:leader="dot" w:pos="9016"/>
            </w:tabs>
            <w:rPr>
              <w:rFonts w:asciiTheme="minorHAnsi" w:eastAsiaTheme="minorEastAsia" w:hAnsiTheme="minorHAnsi"/>
              <w:noProof/>
              <w:lang w:val="en-US"/>
            </w:rPr>
          </w:pPr>
          <w:hyperlink w:anchor="_Toc225503015" w:history="1">
            <w:r w:rsidRPr="00F7654A">
              <w:rPr>
                <w:rStyle w:val="Hyperlink"/>
                <w:noProof/>
              </w:rPr>
              <w:t xml:space="preserve">Appendix 1. </w:t>
            </w:r>
            <w:r w:rsidRPr="00F7654A">
              <w:rPr>
                <w:rStyle w:val="Hyperlink"/>
                <w:noProof/>
                <w:lang w:val="en-US"/>
              </w:rPr>
              <w:t>Glucose Monitoring</w:t>
            </w:r>
            <w:r>
              <w:rPr>
                <w:noProof/>
                <w:webHidden/>
              </w:rPr>
              <w:tab/>
            </w:r>
            <w:r>
              <w:rPr>
                <w:noProof/>
                <w:webHidden/>
              </w:rPr>
              <w:fldChar w:fldCharType="begin"/>
            </w:r>
            <w:r>
              <w:rPr>
                <w:noProof/>
                <w:webHidden/>
              </w:rPr>
              <w:instrText xml:space="preserve"> PAGEREF _Toc225503015 \h </w:instrText>
            </w:r>
            <w:r>
              <w:rPr>
                <w:noProof/>
                <w:webHidden/>
              </w:rPr>
            </w:r>
            <w:r>
              <w:rPr>
                <w:noProof/>
                <w:webHidden/>
              </w:rPr>
              <w:fldChar w:fldCharType="separate"/>
            </w:r>
            <w:r>
              <w:rPr>
                <w:noProof/>
                <w:webHidden/>
              </w:rPr>
              <w:t>13</w:t>
            </w:r>
            <w:r>
              <w:rPr>
                <w:noProof/>
                <w:webHidden/>
              </w:rPr>
              <w:fldChar w:fldCharType="end"/>
            </w:r>
          </w:hyperlink>
        </w:p>
        <w:p w14:paraId="7D0DFAA1" w14:textId="188893B9" w:rsidR="00076D04" w:rsidRDefault="00076D04">
          <w:pPr>
            <w:pStyle w:val="TOC2"/>
            <w:tabs>
              <w:tab w:val="right" w:leader="dot" w:pos="9016"/>
            </w:tabs>
            <w:rPr>
              <w:rFonts w:asciiTheme="minorHAnsi" w:eastAsiaTheme="minorEastAsia" w:hAnsiTheme="minorHAnsi"/>
              <w:noProof/>
              <w:lang w:val="en-US"/>
            </w:rPr>
          </w:pPr>
          <w:hyperlink w:anchor="_Toc225503016" w:history="1">
            <w:r w:rsidRPr="00F7654A">
              <w:rPr>
                <w:rStyle w:val="Hyperlink"/>
                <w:noProof/>
              </w:rPr>
              <w:t xml:space="preserve">Appendix 2. Guidelines for </w:t>
            </w:r>
            <w:r w:rsidRPr="00F7654A">
              <w:rPr>
                <w:rStyle w:val="Hyperlink"/>
                <w:noProof/>
                <w:lang w:val="en-US"/>
              </w:rPr>
              <w:t>Self-Blood Glucose Monitoring</w:t>
            </w:r>
            <w:r>
              <w:rPr>
                <w:noProof/>
                <w:webHidden/>
              </w:rPr>
              <w:tab/>
            </w:r>
            <w:r>
              <w:rPr>
                <w:noProof/>
                <w:webHidden/>
              </w:rPr>
              <w:fldChar w:fldCharType="begin"/>
            </w:r>
            <w:r>
              <w:rPr>
                <w:noProof/>
                <w:webHidden/>
              </w:rPr>
              <w:instrText xml:space="preserve"> PAGEREF _Toc225503016 \h </w:instrText>
            </w:r>
            <w:r>
              <w:rPr>
                <w:noProof/>
                <w:webHidden/>
              </w:rPr>
            </w:r>
            <w:r>
              <w:rPr>
                <w:noProof/>
                <w:webHidden/>
              </w:rPr>
              <w:fldChar w:fldCharType="separate"/>
            </w:r>
            <w:r>
              <w:rPr>
                <w:noProof/>
                <w:webHidden/>
              </w:rPr>
              <w:t>14</w:t>
            </w:r>
            <w:r>
              <w:rPr>
                <w:noProof/>
                <w:webHidden/>
              </w:rPr>
              <w:fldChar w:fldCharType="end"/>
            </w:r>
          </w:hyperlink>
        </w:p>
        <w:p w14:paraId="1C54ECD9" w14:textId="090E3D89" w:rsidR="00076D04" w:rsidRDefault="00076D04">
          <w:pPr>
            <w:pStyle w:val="TOC2"/>
            <w:tabs>
              <w:tab w:val="right" w:leader="dot" w:pos="9016"/>
            </w:tabs>
            <w:rPr>
              <w:rFonts w:asciiTheme="minorHAnsi" w:eastAsiaTheme="minorEastAsia" w:hAnsiTheme="minorHAnsi"/>
              <w:noProof/>
              <w:lang w:val="en-US"/>
            </w:rPr>
          </w:pPr>
          <w:hyperlink w:anchor="_Toc225503017" w:history="1">
            <w:r w:rsidRPr="00F7654A">
              <w:rPr>
                <w:rStyle w:val="Hyperlink"/>
                <w:noProof/>
              </w:rPr>
              <w:t>Appendix 3. Principles and recommendations of diet and nutrition for adult diabetics</w:t>
            </w:r>
            <w:r>
              <w:rPr>
                <w:noProof/>
                <w:webHidden/>
              </w:rPr>
              <w:tab/>
            </w:r>
            <w:r>
              <w:rPr>
                <w:noProof/>
                <w:webHidden/>
              </w:rPr>
              <w:fldChar w:fldCharType="begin"/>
            </w:r>
            <w:r>
              <w:rPr>
                <w:noProof/>
                <w:webHidden/>
              </w:rPr>
              <w:instrText xml:space="preserve"> PAGEREF _Toc225503017 \h </w:instrText>
            </w:r>
            <w:r>
              <w:rPr>
                <w:noProof/>
                <w:webHidden/>
              </w:rPr>
            </w:r>
            <w:r>
              <w:rPr>
                <w:noProof/>
                <w:webHidden/>
              </w:rPr>
              <w:fldChar w:fldCharType="separate"/>
            </w:r>
            <w:r>
              <w:rPr>
                <w:noProof/>
                <w:webHidden/>
              </w:rPr>
              <w:t>15</w:t>
            </w:r>
            <w:r>
              <w:rPr>
                <w:noProof/>
                <w:webHidden/>
              </w:rPr>
              <w:fldChar w:fldCharType="end"/>
            </w:r>
          </w:hyperlink>
        </w:p>
        <w:p w14:paraId="03AA7193" w14:textId="010F0C24" w:rsidR="001B76A8" w:rsidRDefault="001B76A8" w:rsidP="003A19FA">
          <w:r w:rsidRPr="003A19FA">
            <w:rPr>
              <w:rFonts w:cs="Arial"/>
              <w:b/>
              <w:bCs/>
              <w:noProof/>
            </w:rPr>
            <w:fldChar w:fldCharType="end"/>
          </w:r>
        </w:p>
      </w:sdtContent>
    </w:sdt>
    <w:p w14:paraId="2353D3FE" w14:textId="77777777" w:rsidR="001B76A8" w:rsidRDefault="001B76A8">
      <w:pPr>
        <w:rPr>
          <w:rFonts w:eastAsiaTheme="majorEastAsia" w:cs="Arial"/>
          <w:b/>
          <w:sz w:val="32"/>
          <w:szCs w:val="32"/>
        </w:rPr>
      </w:pPr>
      <w:r>
        <w:rPr>
          <w:rFonts w:cs="Arial"/>
        </w:rPr>
        <w:br w:type="page"/>
      </w:r>
    </w:p>
    <w:p w14:paraId="442A8432" w14:textId="159CAE0D" w:rsidR="000C4EDA" w:rsidRPr="001B76A8" w:rsidRDefault="000C4EDA" w:rsidP="001B76A8">
      <w:pPr>
        <w:pStyle w:val="Heading1"/>
      </w:pPr>
      <w:bookmarkStart w:id="0" w:name="_Toc225503007"/>
      <w:r w:rsidRPr="001B76A8">
        <w:lastRenderedPageBreak/>
        <w:t>1.</w:t>
      </w:r>
      <w:r w:rsidR="00B81DBD">
        <w:t>0</w:t>
      </w:r>
      <w:r w:rsidRPr="001B76A8">
        <w:t xml:space="preserve"> Introduction</w:t>
      </w:r>
      <w:bookmarkEnd w:id="0"/>
      <w:r w:rsidR="00C03A91" w:rsidRPr="001B76A8">
        <w:t xml:space="preserve"> </w:t>
      </w:r>
    </w:p>
    <w:p w14:paraId="2BF5D322" w14:textId="77777777" w:rsidR="00133E15" w:rsidRDefault="00133E15" w:rsidP="00133E15">
      <w:pPr>
        <w:keepNext/>
        <w:tabs>
          <w:tab w:val="left" w:pos="6540"/>
        </w:tabs>
        <w:jc w:val="center"/>
      </w:pPr>
      <w:r>
        <w:rPr>
          <w:noProof/>
        </w:rPr>
        <w:drawing>
          <wp:inline distT="0" distB="0" distL="0" distR="0" wp14:anchorId="4DB0A994" wp14:editId="1501E5C1">
            <wp:extent cx="3841324" cy="2509670"/>
            <wp:effectExtent l="0" t="0" r="6985" b="5080"/>
            <wp:docPr id="729464850" name="Picture 2" descr="What is Type 1 Diabetes? – T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ype 1 Diabetes? – T1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1592" cy="2522912"/>
                    </a:xfrm>
                    <a:prstGeom prst="rect">
                      <a:avLst/>
                    </a:prstGeom>
                    <a:noFill/>
                    <a:ln>
                      <a:noFill/>
                    </a:ln>
                  </pic:spPr>
                </pic:pic>
              </a:graphicData>
            </a:graphic>
          </wp:inline>
        </w:drawing>
      </w:r>
    </w:p>
    <w:p w14:paraId="66F6C3CD" w14:textId="4DBCEC8A" w:rsidR="00133E15" w:rsidRPr="00133E15" w:rsidRDefault="00133E15" w:rsidP="00133E15">
      <w:pPr>
        <w:pStyle w:val="Caption"/>
        <w:jc w:val="center"/>
        <w:rPr>
          <w:rFonts w:cs="Arial"/>
          <w:sz w:val="16"/>
          <w:szCs w:val="16"/>
        </w:rPr>
      </w:pPr>
      <w:r w:rsidRPr="00133E15">
        <w:rPr>
          <w:rFonts w:cs="Arial"/>
          <w:sz w:val="16"/>
          <w:szCs w:val="16"/>
        </w:rPr>
        <w:t xml:space="preserve">Figure </w:t>
      </w:r>
      <w:r w:rsidRPr="00133E15">
        <w:rPr>
          <w:rFonts w:cs="Arial"/>
          <w:sz w:val="16"/>
          <w:szCs w:val="16"/>
        </w:rPr>
        <w:fldChar w:fldCharType="begin"/>
      </w:r>
      <w:r w:rsidRPr="00133E15">
        <w:rPr>
          <w:rFonts w:cs="Arial"/>
          <w:sz w:val="16"/>
          <w:szCs w:val="16"/>
        </w:rPr>
        <w:instrText xml:space="preserve"> SEQ Figure \* ARABIC </w:instrText>
      </w:r>
      <w:r w:rsidRPr="00133E15">
        <w:rPr>
          <w:rFonts w:cs="Arial"/>
          <w:sz w:val="16"/>
          <w:szCs w:val="16"/>
        </w:rPr>
        <w:fldChar w:fldCharType="separate"/>
      </w:r>
      <w:r w:rsidR="00451ED6">
        <w:rPr>
          <w:rFonts w:cs="Arial"/>
          <w:noProof/>
          <w:sz w:val="16"/>
          <w:szCs w:val="16"/>
        </w:rPr>
        <w:t>1</w:t>
      </w:r>
      <w:r w:rsidRPr="00133E15">
        <w:rPr>
          <w:rFonts w:cs="Arial"/>
          <w:sz w:val="16"/>
          <w:szCs w:val="16"/>
        </w:rPr>
        <w:fldChar w:fldCharType="end"/>
      </w:r>
      <w:r w:rsidRPr="00133E15">
        <w:rPr>
          <w:rFonts w:cs="Arial"/>
          <w:sz w:val="16"/>
          <w:szCs w:val="16"/>
        </w:rPr>
        <w:t>: Diabetes Mellitus</w:t>
      </w:r>
    </w:p>
    <w:p w14:paraId="038190BE" w14:textId="212FD83D" w:rsidR="00133E15" w:rsidRPr="00133E15" w:rsidRDefault="00133E15" w:rsidP="00133E15">
      <w:pPr>
        <w:jc w:val="center"/>
        <w:rPr>
          <w:rFonts w:cs="Arial"/>
          <w:i/>
          <w:iCs/>
          <w:sz w:val="16"/>
          <w:szCs w:val="16"/>
        </w:rPr>
      </w:pPr>
      <w:r w:rsidRPr="00133E15">
        <w:rPr>
          <w:rFonts w:cs="Arial"/>
          <w:i/>
          <w:iCs/>
          <w:sz w:val="16"/>
          <w:szCs w:val="16"/>
        </w:rPr>
        <w:t xml:space="preserve">Source: </w:t>
      </w:r>
      <w:r w:rsidRPr="00E85609">
        <w:rPr>
          <w:rFonts w:cs="Arial"/>
          <w:i/>
          <w:iCs/>
          <w:sz w:val="16"/>
          <w:szCs w:val="16"/>
          <w:lang w:val="en-US"/>
        </w:rPr>
        <w:t>(Diabetes UK, 2017</w:t>
      </w:r>
      <w:r w:rsidRPr="00133E15">
        <w:rPr>
          <w:rFonts w:cs="Arial"/>
          <w:i/>
          <w:iCs/>
          <w:sz w:val="16"/>
          <w:szCs w:val="16"/>
          <w:lang w:val="en-US"/>
        </w:rPr>
        <w:t xml:space="preserve">; </w:t>
      </w:r>
      <w:r w:rsidRPr="00E85609">
        <w:rPr>
          <w:rFonts w:cs="Arial"/>
          <w:i/>
          <w:iCs/>
          <w:sz w:val="16"/>
          <w:szCs w:val="16"/>
          <w:lang w:val="en-US"/>
        </w:rPr>
        <w:t>NICE, 2022</w:t>
      </w:r>
      <w:r w:rsidRPr="00133E15">
        <w:rPr>
          <w:rFonts w:cs="Arial"/>
          <w:i/>
          <w:iCs/>
          <w:sz w:val="16"/>
          <w:szCs w:val="16"/>
          <w:lang w:val="en-US"/>
        </w:rPr>
        <w:t>)</w:t>
      </w:r>
    </w:p>
    <w:p w14:paraId="43BDAF7C" w14:textId="39B2A9DB" w:rsidR="00133E15" w:rsidRPr="00133E15" w:rsidRDefault="00E85609" w:rsidP="00B81DBD">
      <w:r w:rsidRPr="00E85609">
        <w:rPr>
          <w:lang w:val="en-US"/>
        </w:rPr>
        <w:t xml:space="preserve">Diabetes mellitus is a long-term metabolic disorder resulting in inadequate management of blood glucose due to a malfunction of insulin secretion or action, or both (Diabetes UK, 2017). It is typically divided into Type 1 diabetes, an autoimmune condition </w:t>
      </w:r>
      <w:r w:rsidR="00E93884">
        <w:rPr>
          <w:lang w:val="en-US"/>
        </w:rPr>
        <w:t>which</w:t>
      </w:r>
      <w:r w:rsidRPr="00E85609">
        <w:rPr>
          <w:lang w:val="en-US"/>
        </w:rPr>
        <w:t xml:space="preserve"> results in absolute insulin deficiency, and Type 2 diabetes, which is largely associated with insulin resistance and relative insulin insufficiency, and the objective of this report (NICE, 2022). To maintain glucose balance, diabetes is an endocrine disorder that is defined by the interference of the pancreas, including the islets of Langerhans, where the beta-cells secrete insulin and alpha-cells secrete glucagon (Hall, 2021). Diabetes type 2 is likely to be associated with obesity, sedentary lifestyles, poor dieting, genetic predisposition, ageing, and certain ethnicities such as South Asians (WHO, 2024). This report will explain the regulation of blood glucose, how the cell works, the importance of monitoring, and how Type 2 diabetes can be managed </w:t>
      </w:r>
      <w:proofErr w:type="gramStart"/>
      <w:r w:rsidRPr="00E85609">
        <w:rPr>
          <w:lang w:val="en-US"/>
        </w:rPr>
        <w:t>evidence-based</w:t>
      </w:r>
      <w:proofErr w:type="gramEnd"/>
      <w:r w:rsidR="00CB02D0" w:rsidRPr="001B76A8">
        <w:t>.</w:t>
      </w:r>
    </w:p>
    <w:p w14:paraId="0D4A52E6" w14:textId="77777777" w:rsidR="00B81DBD" w:rsidRDefault="00B81DBD">
      <w:pPr>
        <w:spacing w:line="259" w:lineRule="auto"/>
        <w:jc w:val="left"/>
        <w:rPr>
          <w:rFonts w:eastAsiaTheme="majorEastAsia" w:cs="Arial"/>
          <w:b/>
          <w:color w:val="44546A" w:themeColor="text2"/>
          <w:sz w:val="32"/>
          <w:szCs w:val="32"/>
        </w:rPr>
      </w:pPr>
      <w:r>
        <w:br w:type="page"/>
      </w:r>
    </w:p>
    <w:p w14:paraId="2D95E97C" w14:textId="51701198" w:rsidR="00C03A91" w:rsidRPr="00C03A91" w:rsidRDefault="00C03A91" w:rsidP="001B76A8">
      <w:pPr>
        <w:pStyle w:val="Heading1"/>
      </w:pPr>
      <w:bookmarkStart w:id="1" w:name="_Toc225503008"/>
      <w:r w:rsidRPr="00C03A91">
        <w:lastRenderedPageBreak/>
        <w:t>2.</w:t>
      </w:r>
      <w:r w:rsidR="00076D04">
        <w:t>0</w:t>
      </w:r>
      <w:r w:rsidRPr="00C03A91">
        <w:t xml:space="preserve"> </w:t>
      </w:r>
      <w:r w:rsidR="00FD7392">
        <w:t>Blood Sugar Regulation</w:t>
      </w:r>
      <w:bookmarkEnd w:id="1"/>
    </w:p>
    <w:p w14:paraId="6ACD5FAF" w14:textId="77D88A13" w:rsidR="00E85609" w:rsidRDefault="00E85609" w:rsidP="00B81DBD">
      <w:pPr>
        <w:rPr>
          <w:lang w:val="en-US"/>
        </w:rPr>
      </w:pPr>
      <w:r w:rsidRPr="00E85609">
        <w:rPr>
          <w:lang w:val="en-US"/>
        </w:rPr>
        <w:t xml:space="preserve">The maintenance of blood </w:t>
      </w:r>
      <w:r w:rsidR="00E93884">
        <w:rPr>
          <w:lang w:val="en-US"/>
        </w:rPr>
        <w:t>sugar</w:t>
      </w:r>
      <w:r w:rsidRPr="00E85609">
        <w:rPr>
          <w:lang w:val="en-US"/>
        </w:rPr>
        <w:t xml:space="preserve"> and a stable internal system where the cells work is orchestrated by the endocrine control. The pancreas is among the key endocrine tissues, with its beta cells secreting insulin and alpha cells secreting glucagon (Hall, 2021). These </w:t>
      </w:r>
      <w:r w:rsidR="00E93884" w:rsidRPr="00E93884">
        <w:t>endocrine</w:t>
      </w:r>
      <w:r w:rsidR="00E93884">
        <w:t>s</w:t>
      </w:r>
      <w:r w:rsidR="00E93884" w:rsidRPr="00E93884">
        <w:rPr>
          <w:lang w:val="en-US"/>
        </w:rPr>
        <w:t xml:space="preserve"> </w:t>
      </w:r>
      <w:r w:rsidRPr="00E85609">
        <w:rPr>
          <w:lang w:val="en-US"/>
        </w:rPr>
        <w:t xml:space="preserve">are antagonistic to each other in such a way as to keep the blood </w:t>
      </w:r>
      <w:r w:rsidR="00E52D04">
        <w:rPr>
          <w:lang w:val="en-US"/>
        </w:rPr>
        <w:t>sugar</w:t>
      </w:r>
      <w:r w:rsidRPr="00E85609">
        <w:rPr>
          <w:lang w:val="en-US"/>
        </w:rPr>
        <w:t xml:space="preserve"> </w:t>
      </w:r>
      <w:r w:rsidR="00E52D04">
        <w:rPr>
          <w:lang w:val="en-US"/>
        </w:rPr>
        <w:t>inside in</w:t>
      </w:r>
      <w:r w:rsidRPr="00E85609">
        <w:rPr>
          <w:lang w:val="en-US"/>
        </w:rPr>
        <w:t xml:space="preserve"> a very </w:t>
      </w:r>
      <w:r w:rsidR="00E52D04">
        <w:rPr>
          <w:lang w:val="en-US"/>
        </w:rPr>
        <w:t>i</w:t>
      </w:r>
      <w:r w:rsidR="00E52D04" w:rsidRPr="00E52D04">
        <w:rPr>
          <w:lang w:val="en-US"/>
        </w:rPr>
        <w:t xml:space="preserve">nsufficient </w:t>
      </w:r>
      <w:r w:rsidRPr="00E85609">
        <w:rPr>
          <w:lang w:val="en-US"/>
        </w:rPr>
        <w:t xml:space="preserve">physiological </w:t>
      </w:r>
      <w:r w:rsidR="00E52D04">
        <w:rPr>
          <w:lang w:val="en-US"/>
        </w:rPr>
        <w:t>scale</w:t>
      </w:r>
      <w:r w:rsidRPr="00E85609">
        <w:rPr>
          <w:lang w:val="en-US"/>
        </w:rPr>
        <w:t xml:space="preserve">. The secretion of insulin is triggered by the </w:t>
      </w:r>
      <w:r w:rsidR="00E52D04">
        <w:rPr>
          <w:lang w:val="en-US"/>
        </w:rPr>
        <w:t>increase</w:t>
      </w:r>
      <w:r w:rsidRPr="00E85609">
        <w:rPr>
          <w:lang w:val="en-US"/>
        </w:rPr>
        <w:t xml:space="preserve"> in blood </w:t>
      </w:r>
      <w:r w:rsidR="00E52D04">
        <w:rPr>
          <w:lang w:val="en-US"/>
        </w:rPr>
        <w:t>sugar</w:t>
      </w:r>
      <w:r w:rsidRPr="00E85609">
        <w:rPr>
          <w:lang w:val="en-US"/>
        </w:rPr>
        <w:t xml:space="preserve"> after consuming food. Insulin reduces glucose level by stimulating glucose uptake into muscle and fat tissues </w:t>
      </w:r>
      <w:r w:rsidR="00E52D04">
        <w:rPr>
          <w:lang w:val="en-US"/>
        </w:rPr>
        <w:t>through</w:t>
      </w:r>
      <w:r w:rsidRPr="00E85609">
        <w:rPr>
          <w:lang w:val="en-US"/>
        </w:rPr>
        <w:t xml:space="preserve"> the glucose transporters and increasing glycogen synthesis in the liver, where excess glucose is stored to be </w:t>
      </w:r>
      <w:proofErr w:type="spellStart"/>
      <w:r w:rsidRPr="00E85609">
        <w:rPr>
          <w:lang w:val="en-US"/>
        </w:rPr>
        <w:t>utilised</w:t>
      </w:r>
      <w:proofErr w:type="spellEnd"/>
      <w:r w:rsidRPr="00E85609">
        <w:rPr>
          <w:lang w:val="en-US"/>
        </w:rPr>
        <w:t xml:space="preserve"> in the future (American Diabetes Association, 2023). </w:t>
      </w:r>
    </w:p>
    <w:p w14:paraId="174B4957" w14:textId="77777777" w:rsidR="00133E15" w:rsidRDefault="00133E15" w:rsidP="00133E15">
      <w:pPr>
        <w:keepNext/>
        <w:jc w:val="center"/>
      </w:pPr>
      <w:r>
        <w:rPr>
          <w:noProof/>
        </w:rPr>
        <w:drawing>
          <wp:inline distT="0" distB="0" distL="0" distR="0" wp14:anchorId="6AE22142" wp14:editId="7E58FD57">
            <wp:extent cx="4572000" cy="2865120"/>
            <wp:effectExtent l="0" t="0" r="0" b="0"/>
            <wp:docPr id="1987531288" name="Picture 3" descr="4. Regulation of Blood Glucose | ATra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Regulation of Blood Glucose | ATrain Edu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865120"/>
                    </a:xfrm>
                    <a:prstGeom prst="rect">
                      <a:avLst/>
                    </a:prstGeom>
                    <a:noFill/>
                    <a:ln>
                      <a:noFill/>
                    </a:ln>
                  </pic:spPr>
                </pic:pic>
              </a:graphicData>
            </a:graphic>
          </wp:inline>
        </w:drawing>
      </w:r>
    </w:p>
    <w:p w14:paraId="6BDF061B" w14:textId="0CF23B27" w:rsidR="00133E15" w:rsidRPr="00133E15" w:rsidRDefault="00133E15" w:rsidP="00133E15">
      <w:pPr>
        <w:pStyle w:val="Caption"/>
        <w:jc w:val="center"/>
        <w:rPr>
          <w:rFonts w:cs="Arial"/>
          <w:sz w:val="16"/>
          <w:szCs w:val="16"/>
        </w:rPr>
      </w:pPr>
      <w:r w:rsidRPr="00133E15">
        <w:rPr>
          <w:rFonts w:cs="Arial"/>
          <w:sz w:val="16"/>
          <w:szCs w:val="16"/>
        </w:rPr>
        <w:t xml:space="preserve">Figure </w:t>
      </w:r>
      <w:r w:rsidRPr="00133E15">
        <w:rPr>
          <w:rFonts w:cs="Arial"/>
          <w:sz w:val="16"/>
          <w:szCs w:val="16"/>
        </w:rPr>
        <w:fldChar w:fldCharType="begin"/>
      </w:r>
      <w:r w:rsidRPr="00133E15">
        <w:rPr>
          <w:rFonts w:cs="Arial"/>
          <w:sz w:val="16"/>
          <w:szCs w:val="16"/>
        </w:rPr>
        <w:instrText xml:space="preserve"> SEQ Figure \* ARABIC </w:instrText>
      </w:r>
      <w:r w:rsidRPr="00133E15">
        <w:rPr>
          <w:rFonts w:cs="Arial"/>
          <w:sz w:val="16"/>
          <w:szCs w:val="16"/>
        </w:rPr>
        <w:fldChar w:fldCharType="separate"/>
      </w:r>
      <w:r w:rsidR="00451ED6">
        <w:rPr>
          <w:rFonts w:cs="Arial"/>
          <w:noProof/>
          <w:sz w:val="16"/>
          <w:szCs w:val="16"/>
        </w:rPr>
        <w:t>2</w:t>
      </w:r>
      <w:r w:rsidRPr="00133E15">
        <w:rPr>
          <w:rFonts w:cs="Arial"/>
          <w:sz w:val="16"/>
          <w:szCs w:val="16"/>
        </w:rPr>
        <w:fldChar w:fldCharType="end"/>
      </w:r>
      <w:r w:rsidRPr="00133E15">
        <w:rPr>
          <w:rFonts w:cs="Arial"/>
          <w:sz w:val="16"/>
          <w:szCs w:val="16"/>
        </w:rPr>
        <w:t>: Blood Sugar Regulation</w:t>
      </w:r>
    </w:p>
    <w:p w14:paraId="39A0551D" w14:textId="7EE90F86" w:rsidR="00133E15" w:rsidRPr="00133E15" w:rsidRDefault="00133E15" w:rsidP="00133E15">
      <w:pPr>
        <w:jc w:val="center"/>
        <w:rPr>
          <w:rFonts w:cs="Arial"/>
          <w:i/>
          <w:iCs/>
          <w:sz w:val="16"/>
          <w:szCs w:val="16"/>
        </w:rPr>
      </w:pPr>
      <w:r w:rsidRPr="00133E15">
        <w:rPr>
          <w:rFonts w:cs="Arial"/>
          <w:i/>
          <w:iCs/>
          <w:sz w:val="16"/>
          <w:szCs w:val="16"/>
        </w:rPr>
        <w:t>Source:</w:t>
      </w:r>
      <w:r w:rsidRPr="00133E15">
        <w:rPr>
          <w:rFonts w:cs="Arial"/>
          <w:i/>
          <w:iCs/>
          <w:sz w:val="16"/>
          <w:szCs w:val="16"/>
          <w:lang w:val="en-US"/>
        </w:rPr>
        <w:t xml:space="preserve"> (</w:t>
      </w:r>
      <w:proofErr w:type="spellStart"/>
      <w:r w:rsidRPr="00133E15">
        <w:rPr>
          <w:rFonts w:cs="Arial"/>
          <w:i/>
          <w:iCs/>
          <w:sz w:val="16"/>
          <w:szCs w:val="16"/>
          <w:lang w:val="en-US"/>
        </w:rPr>
        <w:t>Röder</w:t>
      </w:r>
      <w:proofErr w:type="spellEnd"/>
      <w:r w:rsidRPr="00133E15">
        <w:rPr>
          <w:rFonts w:cs="Arial"/>
          <w:i/>
          <w:iCs/>
          <w:sz w:val="16"/>
          <w:szCs w:val="16"/>
          <w:lang w:val="en-US"/>
        </w:rPr>
        <w:t xml:space="preserve"> et al., 2016)</w:t>
      </w:r>
    </w:p>
    <w:p w14:paraId="232993BC" w14:textId="560E3180" w:rsidR="00E85609" w:rsidRDefault="00E52D04" w:rsidP="00B81DBD">
      <w:pPr>
        <w:rPr>
          <w:lang w:val="en-US"/>
        </w:rPr>
      </w:pPr>
      <w:r>
        <w:rPr>
          <w:lang w:val="en-US"/>
        </w:rPr>
        <w:t>Conversely</w:t>
      </w:r>
      <w:r w:rsidR="00E85609" w:rsidRPr="00E85609">
        <w:rPr>
          <w:lang w:val="en-US"/>
        </w:rPr>
        <w:t xml:space="preserve">, when a person is fasting or in a low-glucose environment, glucagon is secreted to </w:t>
      </w:r>
      <w:r>
        <w:rPr>
          <w:lang w:val="en-US"/>
        </w:rPr>
        <w:t>rise</w:t>
      </w:r>
      <w:r w:rsidR="00E85609" w:rsidRPr="00E85609">
        <w:rPr>
          <w:lang w:val="en-US"/>
        </w:rPr>
        <w:t xml:space="preserve"> the amount of </w:t>
      </w:r>
      <w:r>
        <w:rPr>
          <w:lang w:val="en-US"/>
        </w:rPr>
        <w:t>sugar</w:t>
      </w:r>
      <w:r w:rsidR="00E85609" w:rsidRPr="00E85609">
        <w:rPr>
          <w:lang w:val="en-US"/>
        </w:rPr>
        <w:t xml:space="preserve"> in the blood. It triggers the degradation of glycogen (glycogenolysis) and the release of glucose (out of the liver) into the bloodstream to ensure that the body organs (including the brain) are constantly supplied with energy (</w:t>
      </w:r>
      <w:proofErr w:type="spellStart"/>
      <w:r w:rsidR="00E85609" w:rsidRPr="00E85609">
        <w:rPr>
          <w:lang w:val="en-US"/>
        </w:rPr>
        <w:t>Röder</w:t>
      </w:r>
      <w:proofErr w:type="spellEnd"/>
      <w:r w:rsidR="00E85609" w:rsidRPr="00E85609">
        <w:rPr>
          <w:lang w:val="en-US"/>
        </w:rPr>
        <w:t xml:space="preserve"> et al., 2016). It is a reciprocal relationship between insulin and glucagon, which enables homeostasis so that the body </w:t>
      </w:r>
      <w:proofErr w:type="gramStart"/>
      <w:r w:rsidR="00E85609" w:rsidRPr="00E85609">
        <w:rPr>
          <w:lang w:val="en-US"/>
        </w:rPr>
        <w:t>is able to</w:t>
      </w:r>
      <w:proofErr w:type="gramEnd"/>
      <w:r w:rsidR="00E85609" w:rsidRPr="00E85609">
        <w:rPr>
          <w:lang w:val="en-US"/>
        </w:rPr>
        <w:t xml:space="preserve"> respond to the differing demands of the metabolic needs. An example is that after a meal, the insulin activity is dominant, and during the night, glucagon activity increases to prevent </w:t>
      </w:r>
      <w:proofErr w:type="spellStart"/>
      <w:r w:rsidR="00E85609" w:rsidRPr="00E85609">
        <w:rPr>
          <w:lang w:val="en-US"/>
        </w:rPr>
        <w:t>hypoglycaemia</w:t>
      </w:r>
      <w:proofErr w:type="spellEnd"/>
      <w:r w:rsidR="00E85609" w:rsidRPr="00E85609">
        <w:rPr>
          <w:lang w:val="en-US"/>
        </w:rPr>
        <w:t xml:space="preserve">. </w:t>
      </w:r>
    </w:p>
    <w:p w14:paraId="789D3B92" w14:textId="79C29C85" w:rsidR="0031697F" w:rsidRPr="00E85609" w:rsidRDefault="00E85609" w:rsidP="00B81DBD">
      <w:pPr>
        <w:rPr>
          <w:lang w:val="en-US"/>
        </w:rPr>
      </w:pPr>
      <w:r w:rsidRPr="00E85609">
        <w:rPr>
          <w:lang w:val="en-US"/>
        </w:rPr>
        <w:t xml:space="preserve">Type 2 diabetes influences this regulatory system. The peripheral tissues (particularly muscle and adipose tissue) react to insulin by diminishing when there is insulin resistance that suppresses the uptake of glucose. In addition, it is dysfunctional, which leads to the </w:t>
      </w:r>
      <w:r w:rsidRPr="00E85609">
        <w:rPr>
          <w:lang w:val="en-US"/>
        </w:rPr>
        <w:lastRenderedPageBreak/>
        <w:t>inadequacy of insulin release by the beta-cells of the pancreas (</w:t>
      </w:r>
      <w:proofErr w:type="spellStart"/>
      <w:r w:rsidRPr="00E85609">
        <w:rPr>
          <w:lang w:val="en-US"/>
        </w:rPr>
        <w:t>Mayorov</w:t>
      </w:r>
      <w:proofErr w:type="spellEnd"/>
      <w:r w:rsidRPr="00E85609">
        <w:rPr>
          <w:lang w:val="en-US"/>
        </w:rPr>
        <w:t xml:space="preserve">, 2017). This causes accumulation of glucose in the bloodstream that will cause incessant </w:t>
      </w:r>
      <w:proofErr w:type="spellStart"/>
      <w:r w:rsidRPr="00E85609">
        <w:rPr>
          <w:lang w:val="en-US"/>
        </w:rPr>
        <w:t>hyperglycaemia</w:t>
      </w:r>
      <w:proofErr w:type="spellEnd"/>
      <w:r w:rsidRPr="00E85609">
        <w:rPr>
          <w:lang w:val="en-US"/>
        </w:rPr>
        <w:t>. This maladaptation of normal endocrine functions increases the risk of developing complications during the longer term, including cardiovascular disease, neuropathy, and nephropathy. Therefore, the most effective blood glucose treatment relies on a complex of the functional activity of pancreatic hormones, as well as the pathophysiology of Type 2 diabetes, which is founded on the ineffectiveness of this mechanism</w:t>
      </w:r>
      <w:r w:rsidR="00CB02D0" w:rsidRPr="00E85609">
        <w:rPr>
          <w:lang w:val="en-US"/>
        </w:rPr>
        <w:t>.</w:t>
      </w:r>
    </w:p>
    <w:p w14:paraId="381CCE5B" w14:textId="535FDFD1" w:rsidR="000C4EDA" w:rsidRPr="00C03A91" w:rsidRDefault="00076AC0" w:rsidP="00C03A91">
      <w:pPr>
        <w:pStyle w:val="Heading1"/>
      </w:pPr>
      <w:bookmarkStart w:id="2" w:name="_Toc225503009"/>
      <w:r>
        <w:t>3</w:t>
      </w:r>
      <w:r w:rsidR="000C4EDA" w:rsidRPr="00C03A91">
        <w:t>.</w:t>
      </w:r>
      <w:r w:rsidR="00076D04">
        <w:t>0</w:t>
      </w:r>
      <w:r w:rsidR="000C4EDA" w:rsidRPr="00C03A91">
        <w:t xml:space="preserve"> </w:t>
      </w:r>
      <w:r w:rsidR="007A7297">
        <w:t>Cellular Metabolism</w:t>
      </w:r>
      <w:bookmarkEnd w:id="2"/>
      <w:r w:rsidR="000C4EDA" w:rsidRPr="00C03A91">
        <w:t xml:space="preserve"> </w:t>
      </w:r>
    </w:p>
    <w:p w14:paraId="242EDE21" w14:textId="51B385B9" w:rsidR="00BB7331" w:rsidRDefault="00BB7331" w:rsidP="00E7271D">
      <w:pPr>
        <w:rPr>
          <w:lang w:val="en-US"/>
        </w:rPr>
      </w:pPr>
      <w:r w:rsidRPr="00BB7331">
        <w:rPr>
          <w:lang w:val="en-US"/>
        </w:rPr>
        <w:t xml:space="preserve">Cellular metabolism is the </w:t>
      </w:r>
      <w:r w:rsidR="00CE3396">
        <w:rPr>
          <w:lang w:val="en-US"/>
        </w:rPr>
        <w:t>operation</w:t>
      </w:r>
      <w:r w:rsidRPr="00BB7331">
        <w:rPr>
          <w:lang w:val="en-US"/>
        </w:rPr>
        <w:t xml:space="preserve"> by which cells decompose glucose to obtain energy that can be </w:t>
      </w:r>
      <w:proofErr w:type="spellStart"/>
      <w:r w:rsidRPr="00BB7331">
        <w:rPr>
          <w:lang w:val="en-US"/>
        </w:rPr>
        <w:t>utilised</w:t>
      </w:r>
      <w:proofErr w:type="spellEnd"/>
      <w:r w:rsidRPr="00BB7331">
        <w:rPr>
          <w:lang w:val="en-US"/>
        </w:rPr>
        <w:t xml:space="preserve">. Digestion of carbohydrates </w:t>
      </w:r>
      <w:r w:rsidR="00CE3396">
        <w:rPr>
          <w:lang w:val="en-US"/>
        </w:rPr>
        <w:t>produce</w:t>
      </w:r>
      <w:r w:rsidRPr="00BB7331">
        <w:rPr>
          <w:lang w:val="en-US"/>
        </w:rPr>
        <w:t xml:space="preserve"> the absorption of </w:t>
      </w:r>
      <w:r w:rsidR="00CE3396">
        <w:rPr>
          <w:lang w:val="en-US"/>
        </w:rPr>
        <w:t>sugar</w:t>
      </w:r>
      <w:r w:rsidRPr="00BB7331">
        <w:rPr>
          <w:lang w:val="en-US"/>
        </w:rPr>
        <w:t xml:space="preserve"> into the bloodstream (DeBerardinis and Thompson, 2016). It is then the insulin that mediates the </w:t>
      </w:r>
      <w:r w:rsidR="008E1823">
        <w:rPr>
          <w:lang w:val="en-US"/>
        </w:rPr>
        <w:t>consumption</w:t>
      </w:r>
      <w:r w:rsidRPr="00BB7331">
        <w:rPr>
          <w:lang w:val="en-US"/>
        </w:rPr>
        <w:t xml:space="preserve"> of glucose into insulin-sensitive tissues, specifically the skeletal muscle and adipose tissue, due to which the glucose can be moved out of the blood to the cells so that it can be </w:t>
      </w:r>
      <w:proofErr w:type="spellStart"/>
      <w:r w:rsidRPr="00BB7331">
        <w:rPr>
          <w:lang w:val="en-US"/>
        </w:rPr>
        <w:t>utilised</w:t>
      </w:r>
      <w:proofErr w:type="spellEnd"/>
      <w:r w:rsidRPr="00BB7331">
        <w:rPr>
          <w:lang w:val="en-US"/>
        </w:rPr>
        <w:t xml:space="preserve"> or stored as energy. Lack of effective insulin activity means that the glucose will not be used by the body </w:t>
      </w:r>
      <w:proofErr w:type="gramStart"/>
      <w:r w:rsidRPr="00BB7331">
        <w:rPr>
          <w:lang w:val="en-US"/>
        </w:rPr>
        <w:t>tissues, but</w:t>
      </w:r>
      <w:proofErr w:type="gramEnd"/>
      <w:r w:rsidRPr="00BB7331">
        <w:rPr>
          <w:lang w:val="en-US"/>
        </w:rPr>
        <w:t xml:space="preserve"> instead will be deposited in the bloodstream (NHS, 2025). </w:t>
      </w:r>
    </w:p>
    <w:p w14:paraId="04419476" w14:textId="01D1788B" w:rsidR="00BB7331" w:rsidRDefault="00BB7331" w:rsidP="001B76A8">
      <w:pPr>
        <w:tabs>
          <w:tab w:val="left" w:pos="6540"/>
        </w:tabs>
        <w:rPr>
          <w:rFonts w:cs="Arial"/>
          <w:lang w:val="en-US"/>
        </w:rPr>
      </w:pPr>
      <w:r w:rsidRPr="00BB7331">
        <w:rPr>
          <w:rFonts w:cs="Arial"/>
          <w:lang w:val="en-US"/>
        </w:rPr>
        <w:t xml:space="preserve">Upon the entry of glucose into the cell, it is </w:t>
      </w:r>
      <w:proofErr w:type="spellStart"/>
      <w:r w:rsidRPr="00BB7331">
        <w:rPr>
          <w:rFonts w:cs="Arial"/>
          <w:lang w:val="en-US"/>
        </w:rPr>
        <w:t>metabolised</w:t>
      </w:r>
      <w:proofErr w:type="spellEnd"/>
      <w:r w:rsidRPr="00BB7331">
        <w:rPr>
          <w:rFonts w:cs="Arial"/>
          <w:lang w:val="en-US"/>
        </w:rPr>
        <w:t xml:space="preserve"> mainly via aerobic respiration, occurring in the mitochondria to a significant degree. It is a process that requires the presence of oxygen, which is supplied to tissues by red blood cells, as oxygen is the </w:t>
      </w:r>
      <w:r w:rsidR="008E1823">
        <w:rPr>
          <w:rFonts w:cs="Arial"/>
          <w:lang w:val="en-US"/>
        </w:rPr>
        <w:t>ultimate</w:t>
      </w:r>
      <w:r w:rsidRPr="00BB7331">
        <w:rPr>
          <w:rFonts w:cs="Arial"/>
          <w:lang w:val="en-US"/>
        </w:rPr>
        <w:t xml:space="preserve"> electron acceptor in an oxidative phosphorylation process. Glycolysis, the citric acid cycle, and the electron transport chain release the chemical energy of glucose and convert it to the </w:t>
      </w:r>
      <w:r w:rsidR="008E1823">
        <w:rPr>
          <w:rFonts w:cs="Arial"/>
          <w:lang w:val="en-US"/>
        </w:rPr>
        <w:t>initial</w:t>
      </w:r>
      <w:r w:rsidRPr="00BB7331">
        <w:rPr>
          <w:rFonts w:cs="Arial"/>
          <w:lang w:val="en-US"/>
        </w:rPr>
        <w:t xml:space="preserve"> energy of the cell, adenosine triphosphate (ATP) (</w:t>
      </w:r>
      <w:proofErr w:type="spellStart"/>
      <w:r w:rsidRPr="00BB7331">
        <w:rPr>
          <w:rFonts w:cs="Arial"/>
          <w:lang w:val="en-US"/>
        </w:rPr>
        <w:t>Antonioli</w:t>
      </w:r>
      <w:proofErr w:type="spellEnd"/>
      <w:r w:rsidRPr="00BB7331">
        <w:rPr>
          <w:rFonts w:cs="Arial"/>
          <w:lang w:val="en-US"/>
        </w:rPr>
        <w:t xml:space="preserve"> et al., 2015). ATP is a crucial component in the normal body processes such as muscular contraction, nerve conduction, active transfers and protein synthesis. This is illustrated by the muscle cells, which need ATP to contract during walking, and the neurons, which need ATP to produce membrane potentials and transmit impulses. </w:t>
      </w:r>
    </w:p>
    <w:p w14:paraId="7757D825" w14:textId="77777777" w:rsidR="00451ED6" w:rsidRDefault="00133E15" w:rsidP="00451ED6">
      <w:pPr>
        <w:keepNext/>
        <w:tabs>
          <w:tab w:val="left" w:pos="6540"/>
        </w:tabs>
        <w:jc w:val="center"/>
      </w:pPr>
      <w:r>
        <w:rPr>
          <w:noProof/>
        </w:rPr>
        <w:lastRenderedPageBreak/>
        <w:drawing>
          <wp:inline distT="0" distB="0" distL="0" distR="0" wp14:anchorId="12F78371" wp14:editId="3FDB7F1C">
            <wp:extent cx="4390390" cy="2775489"/>
            <wp:effectExtent l="0" t="0" r="0" b="6350"/>
            <wp:docPr id="1657279393" name="Picture 4" descr="Cell Metabolism | The Energetic Machinery of Life | Chem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ell Metabolism | The Energetic Machinery of Life | ChemTal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2354" cy="2783052"/>
                    </a:xfrm>
                    <a:prstGeom prst="rect">
                      <a:avLst/>
                    </a:prstGeom>
                    <a:noFill/>
                    <a:ln>
                      <a:noFill/>
                    </a:ln>
                  </pic:spPr>
                </pic:pic>
              </a:graphicData>
            </a:graphic>
          </wp:inline>
        </w:drawing>
      </w:r>
    </w:p>
    <w:p w14:paraId="56A7A175" w14:textId="3BDD7A4C" w:rsidR="00133E15" w:rsidRPr="00451ED6" w:rsidRDefault="00451ED6" w:rsidP="00451ED6">
      <w:pPr>
        <w:pStyle w:val="Caption"/>
        <w:jc w:val="center"/>
        <w:rPr>
          <w:rFonts w:cs="Arial"/>
          <w:sz w:val="16"/>
          <w:szCs w:val="16"/>
        </w:rPr>
      </w:pPr>
      <w:r w:rsidRPr="00451ED6">
        <w:rPr>
          <w:rFonts w:cs="Arial"/>
          <w:sz w:val="16"/>
          <w:szCs w:val="16"/>
        </w:rPr>
        <w:t xml:space="preserve">Figure </w:t>
      </w:r>
      <w:r w:rsidRPr="00451ED6">
        <w:rPr>
          <w:rFonts w:cs="Arial"/>
          <w:sz w:val="16"/>
          <w:szCs w:val="16"/>
        </w:rPr>
        <w:fldChar w:fldCharType="begin"/>
      </w:r>
      <w:r w:rsidRPr="00451ED6">
        <w:rPr>
          <w:rFonts w:cs="Arial"/>
          <w:sz w:val="16"/>
          <w:szCs w:val="16"/>
        </w:rPr>
        <w:instrText xml:space="preserve"> SEQ Figure \* ARABIC </w:instrText>
      </w:r>
      <w:r w:rsidRPr="00451ED6">
        <w:rPr>
          <w:rFonts w:cs="Arial"/>
          <w:sz w:val="16"/>
          <w:szCs w:val="16"/>
        </w:rPr>
        <w:fldChar w:fldCharType="separate"/>
      </w:r>
      <w:r w:rsidRPr="00451ED6">
        <w:rPr>
          <w:rFonts w:cs="Arial"/>
          <w:noProof/>
          <w:sz w:val="16"/>
          <w:szCs w:val="16"/>
        </w:rPr>
        <w:t>3</w:t>
      </w:r>
      <w:r w:rsidRPr="00451ED6">
        <w:rPr>
          <w:rFonts w:cs="Arial"/>
          <w:sz w:val="16"/>
          <w:szCs w:val="16"/>
        </w:rPr>
        <w:fldChar w:fldCharType="end"/>
      </w:r>
      <w:r w:rsidRPr="00451ED6">
        <w:rPr>
          <w:rFonts w:cs="Arial"/>
          <w:sz w:val="16"/>
          <w:szCs w:val="16"/>
        </w:rPr>
        <w:t>: Cell Metabolism</w:t>
      </w:r>
    </w:p>
    <w:p w14:paraId="1749F0EF" w14:textId="6D5DB7B9" w:rsidR="00451ED6" w:rsidRPr="00451ED6" w:rsidRDefault="00451ED6" w:rsidP="00451ED6">
      <w:pPr>
        <w:jc w:val="center"/>
        <w:rPr>
          <w:rFonts w:cs="Arial"/>
          <w:i/>
          <w:iCs/>
          <w:sz w:val="16"/>
          <w:szCs w:val="16"/>
        </w:rPr>
      </w:pPr>
      <w:r w:rsidRPr="00451ED6">
        <w:rPr>
          <w:rFonts w:cs="Arial"/>
          <w:i/>
          <w:iCs/>
          <w:sz w:val="16"/>
          <w:szCs w:val="16"/>
        </w:rPr>
        <w:t>Source:</w:t>
      </w:r>
      <w:r w:rsidRPr="00451ED6">
        <w:rPr>
          <w:rFonts w:cs="Arial"/>
          <w:i/>
          <w:iCs/>
          <w:sz w:val="16"/>
          <w:szCs w:val="16"/>
          <w:lang w:val="en-US"/>
        </w:rPr>
        <w:t xml:space="preserve"> </w:t>
      </w:r>
      <w:r w:rsidRPr="00BB7331">
        <w:rPr>
          <w:rFonts w:cs="Arial"/>
          <w:i/>
          <w:iCs/>
          <w:sz w:val="16"/>
          <w:szCs w:val="16"/>
          <w:lang w:val="en-US"/>
        </w:rPr>
        <w:t>(DeBerardinis and Thompson, 2016)</w:t>
      </w:r>
    </w:p>
    <w:p w14:paraId="3F8483EE" w14:textId="09F12C6A" w:rsidR="00F44C8F" w:rsidRPr="001B76A8" w:rsidRDefault="00BB7331" w:rsidP="001B76A8">
      <w:pPr>
        <w:tabs>
          <w:tab w:val="left" w:pos="6540"/>
        </w:tabs>
        <w:rPr>
          <w:rFonts w:cs="Arial"/>
          <w:lang w:val="en-US"/>
        </w:rPr>
      </w:pPr>
      <w:r w:rsidRPr="00BB7331">
        <w:rPr>
          <w:rFonts w:cs="Arial"/>
          <w:lang w:val="en-US"/>
        </w:rPr>
        <w:t xml:space="preserve">In healthy metabolism, the liver also has a significant role in balancing fuel because it stores the excess glucose, which is glycogen and releases it when the body requires it. This response to insulin, combined with oxygen delivery and mitochondrial formation of ATP, enables the cells to meet short-term energy needs without reducing the overall metabolic homeostasis in tissues. In Type 2 diabetes, it is an inefficient process. Insulin resistance lowers the concentrations of glucose uptake into the cells and, therefore, in the case of </w:t>
      </w:r>
      <w:proofErr w:type="spellStart"/>
      <w:r w:rsidRPr="00BB7331">
        <w:rPr>
          <w:rFonts w:cs="Arial"/>
          <w:lang w:val="en-US"/>
        </w:rPr>
        <w:t>hyperglycaemia</w:t>
      </w:r>
      <w:proofErr w:type="spellEnd"/>
      <w:r w:rsidRPr="00BB7331">
        <w:rPr>
          <w:rFonts w:cs="Arial"/>
          <w:lang w:val="en-US"/>
        </w:rPr>
        <w:t xml:space="preserve">, the tissues may not efficiently </w:t>
      </w:r>
      <w:proofErr w:type="spellStart"/>
      <w:r w:rsidRPr="00BB7331">
        <w:rPr>
          <w:rFonts w:cs="Arial"/>
          <w:lang w:val="en-US"/>
        </w:rPr>
        <w:t>utilise</w:t>
      </w:r>
      <w:proofErr w:type="spellEnd"/>
      <w:r w:rsidRPr="00BB7331">
        <w:rPr>
          <w:rFonts w:cs="Arial"/>
          <w:lang w:val="en-US"/>
        </w:rPr>
        <w:t xml:space="preserve"> glucose (Wu et al., 2022). This creates an imbalance in energy and results in fatigue, poor healing and performance of the cells. Therefore, diabetes not only affects the functionality of the body because of the increased percentage of sugar, but also the fact that the body cannot process glucose at the cellular level efficiently</w:t>
      </w:r>
      <w:r w:rsidR="0031697F" w:rsidRPr="0031697F">
        <w:rPr>
          <w:rFonts w:cs="Arial"/>
          <w:lang w:val="en-US"/>
        </w:rPr>
        <w:t xml:space="preserve">. </w:t>
      </w:r>
    </w:p>
    <w:p w14:paraId="00AEA37C" w14:textId="201A2879" w:rsidR="000C4EDA" w:rsidRPr="00C03A91" w:rsidRDefault="00076AC0" w:rsidP="00C03A91">
      <w:pPr>
        <w:pStyle w:val="Heading1"/>
      </w:pPr>
      <w:bookmarkStart w:id="3" w:name="_Toc225503010"/>
      <w:r>
        <w:t>4</w:t>
      </w:r>
      <w:r w:rsidR="000C4EDA" w:rsidRPr="00C03A91">
        <w:t>.</w:t>
      </w:r>
      <w:r w:rsidR="00076D04">
        <w:t>0</w:t>
      </w:r>
      <w:r w:rsidR="000C4EDA" w:rsidRPr="00C03A91">
        <w:t xml:space="preserve"> </w:t>
      </w:r>
      <w:r w:rsidR="007A7297">
        <w:t>Recording and tracking blood sugar levels for type 2 diabetes</w:t>
      </w:r>
      <w:bookmarkEnd w:id="3"/>
    </w:p>
    <w:p w14:paraId="36E7B108" w14:textId="70EF6E18" w:rsidR="0031697F" w:rsidRPr="0031697F" w:rsidRDefault="00BB7331" w:rsidP="001B76A8">
      <w:pPr>
        <w:rPr>
          <w:rFonts w:cs="Arial"/>
          <w:lang w:val="en-US"/>
        </w:rPr>
      </w:pPr>
      <w:r w:rsidRPr="00BB7331">
        <w:rPr>
          <w:rFonts w:cs="Arial"/>
          <w:lang w:val="en-US"/>
        </w:rPr>
        <w:t xml:space="preserve">Recording and tracking of blood sugar levels is a required </w:t>
      </w:r>
      <w:r w:rsidR="008E1823" w:rsidRPr="008E1823">
        <w:rPr>
          <w:rFonts w:cs="Arial"/>
        </w:rPr>
        <w:t>feature</w:t>
      </w:r>
      <w:r w:rsidR="008E1823" w:rsidRPr="008E1823">
        <w:rPr>
          <w:rFonts w:cs="Arial"/>
          <w:lang w:val="en-US"/>
        </w:rPr>
        <w:t xml:space="preserve"> </w:t>
      </w:r>
      <w:r w:rsidRPr="00BB7331">
        <w:rPr>
          <w:rFonts w:cs="Arial"/>
          <w:lang w:val="en-US"/>
        </w:rPr>
        <w:t xml:space="preserve">of treating Type 2 diabetes and is reflected in normal data collection in the health and social care domain. Self-monitoring of blood glucose (SMBG) is usually done </w:t>
      </w:r>
      <w:r w:rsidR="008E1823">
        <w:rPr>
          <w:rFonts w:cs="Arial"/>
          <w:lang w:val="en-US"/>
        </w:rPr>
        <w:t>via</w:t>
      </w:r>
      <w:r w:rsidRPr="00BB7331">
        <w:rPr>
          <w:rFonts w:cs="Arial"/>
          <w:lang w:val="en-US"/>
        </w:rPr>
        <w:t xml:space="preserve"> the </w:t>
      </w:r>
      <w:proofErr w:type="spellStart"/>
      <w:r w:rsidRPr="00BB7331">
        <w:rPr>
          <w:rFonts w:cs="Arial"/>
          <w:lang w:val="en-US"/>
        </w:rPr>
        <w:t>utilisation</w:t>
      </w:r>
      <w:proofErr w:type="spellEnd"/>
      <w:r w:rsidRPr="00BB7331">
        <w:rPr>
          <w:rFonts w:cs="Arial"/>
          <w:lang w:val="en-US"/>
        </w:rPr>
        <w:t xml:space="preserve"> of a glucometer that allows people to scan capillary blood glucose at different times of the day, e.g. before and after a meal or during symptoms (American Diabetes Association, 2023). Regular tracking provides a time-based record of </w:t>
      </w:r>
      <w:proofErr w:type="spellStart"/>
      <w:r w:rsidRPr="00BB7331">
        <w:rPr>
          <w:rFonts w:cs="Arial"/>
          <w:lang w:val="en-US"/>
        </w:rPr>
        <w:t>glycaemic</w:t>
      </w:r>
      <w:proofErr w:type="spellEnd"/>
      <w:r w:rsidRPr="00BB7331">
        <w:rPr>
          <w:rFonts w:cs="Arial"/>
          <w:lang w:val="en-US"/>
        </w:rPr>
        <w:t xml:space="preserve"> patterns, as they assist individuals and health professionals to assess time management. Monitoring is also important because it can identify instances of </w:t>
      </w:r>
      <w:proofErr w:type="spellStart"/>
      <w:r w:rsidRPr="00BB7331">
        <w:rPr>
          <w:rFonts w:cs="Arial"/>
          <w:lang w:val="en-US"/>
        </w:rPr>
        <w:t>hyperglycaemia</w:t>
      </w:r>
      <w:proofErr w:type="spellEnd"/>
      <w:r w:rsidRPr="00BB7331">
        <w:rPr>
          <w:rFonts w:cs="Arial"/>
          <w:lang w:val="en-US"/>
        </w:rPr>
        <w:t xml:space="preserve"> and potential trends of </w:t>
      </w:r>
      <w:proofErr w:type="spellStart"/>
      <w:r w:rsidRPr="00BB7331">
        <w:rPr>
          <w:rFonts w:cs="Arial"/>
          <w:lang w:val="en-US"/>
        </w:rPr>
        <w:t>hypoglycaemia</w:t>
      </w:r>
      <w:proofErr w:type="spellEnd"/>
      <w:r w:rsidRPr="00BB7331">
        <w:rPr>
          <w:rFonts w:cs="Arial"/>
          <w:lang w:val="en-US"/>
        </w:rPr>
        <w:t>; otherwise, they would not be reported (</w:t>
      </w:r>
      <w:proofErr w:type="spellStart"/>
      <w:r w:rsidRPr="00BB7331">
        <w:rPr>
          <w:rFonts w:cs="Arial"/>
          <w:lang w:val="en-US"/>
        </w:rPr>
        <w:t>Janapala</w:t>
      </w:r>
      <w:proofErr w:type="spellEnd"/>
      <w:r w:rsidRPr="00BB7331">
        <w:rPr>
          <w:rFonts w:cs="Arial"/>
          <w:lang w:val="en-US"/>
        </w:rPr>
        <w:t xml:space="preserve"> et al., 2019). As an example, high postprandial readings could indicate bad dietary </w:t>
      </w:r>
      <w:proofErr w:type="spellStart"/>
      <w:r w:rsidRPr="00BB7331">
        <w:rPr>
          <w:rFonts w:cs="Arial"/>
          <w:lang w:val="en-US"/>
        </w:rPr>
        <w:t>practises</w:t>
      </w:r>
      <w:proofErr w:type="spellEnd"/>
      <w:r w:rsidRPr="00BB7331">
        <w:rPr>
          <w:rFonts w:cs="Arial"/>
          <w:lang w:val="en-US"/>
        </w:rPr>
        <w:t xml:space="preserve"> or ineffective drugs, and low readings could indicate that an individual consumes a </w:t>
      </w:r>
      <w:r w:rsidRPr="00BB7331">
        <w:rPr>
          <w:rFonts w:cs="Arial"/>
          <w:lang w:val="en-US"/>
        </w:rPr>
        <w:lastRenderedPageBreak/>
        <w:t xml:space="preserve">lot of medication or abstains from eating (NICE, 2022). The information enables the evidence-based change of medication, dietary intake, and physical activity to incorporate </w:t>
      </w:r>
      <w:proofErr w:type="spellStart"/>
      <w:r w:rsidRPr="00BB7331">
        <w:rPr>
          <w:rFonts w:cs="Arial"/>
          <w:lang w:val="en-US"/>
        </w:rPr>
        <w:t>individualised</w:t>
      </w:r>
      <w:proofErr w:type="spellEnd"/>
      <w:r w:rsidRPr="00BB7331">
        <w:rPr>
          <w:rFonts w:cs="Arial"/>
          <w:lang w:val="en-US"/>
        </w:rPr>
        <w:t xml:space="preserve"> and safe management</w:t>
      </w:r>
      <w:r w:rsidR="0031697F" w:rsidRPr="0031697F">
        <w:rPr>
          <w:rFonts w:cs="Arial"/>
          <w:lang w:val="en-US"/>
        </w:rPr>
        <w:t>.</w:t>
      </w:r>
    </w:p>
    <w:p w14:paraId="189B8F71" w14:textId="7E5ACDE6" w:rsidR="001B7A40" w:rsidRPr="001B76A8" w:rsidRDefault="00C42315" w:rsidP="001B76A8">
      <w:pPr>
        <w:rPr>
          <w:rFonts w:cs="Arial"/>
          <w:lang w:val="en-US"/>
        </w:rPr>
      </w:pPr>
      <w:r w:rsidRPr="00C42315">
        <w:rPr>
          <w:rFonts w:cs="Arial"/>
          <w:lang w:val="en-US"/>
        </w:rPr>
        <w:t xml:space="preserve">Furthermore, regular check-ups will improve </w:t>
      </w:r>
      <w:proofErr w:type="spellStart"/>
      <w:r w:rsidRPr="00C42315">
        <w:rPr>
          <w:rFonts w:cs="Arial"/>
          <w:lang w:val="en-US"/>
        </w:rPr>
        <w:t>glycaemic</w:t>
      </w:r>
      <w:proofErr w:type="spellEnd"/>
      <w:r w:rsidRPr="00C42315">
        <w:rPr>
          <w:rFonts w:cs="Arial"/>
          <w:lang w:val="en-US"/>
        </w:rPr>
        <w:t xml:space="preserve"> control based on self-knowledge and readiness to become an active participant in its management. It may also contribute to clinical decision making relating to health care review to allow a professional to evaluate the effectiveness of treatment and change the care plans depending on the outcomes (Diabetes UK, 2017). Examples of the indicators of dynamics in the recorded information can assist in adjusting the dosage of medication, such as Metformin or insulin. Without frequent glucose level monitoring, the inability to regulate the situation may go unnoticed, and </w:t>
      </w:r>
      <w:proofErr w:type="spellStart"/>
      <w:r w:rsidRPr="00C42315">
        <w:rPr>
          <w:rFonts w:cs="Arial"/>
          <w:lang w:val="en-US"/>
        </w:rPr>
        <w:t>hyperglycaemia</w:t>
      </w:r>
      <w:proofErr w:type="spellEnd"/>
      <w:r w:rsidRPr="00C42315">
        <w:rPr>
          <w:rFonts w:cs="Arial"/>
          <w:lang w:val="en-US"/>
        </w:rPr>
        <w:t xml:space="preserve"> may continue. This has a long-term significant effect on long-term risks of complications, including neuropathy, nephropathy, retinopathy, and cardiovascular disease (</w:t>
      </w:r>
      <w:proofErr w:type="spellStart"/>
      <w:r w:rsidRPr="00C42315">
        <w:rPr>
          <w:rFonts w:cs="Arial"/>
          <w:lang w:val="en-US"/>
        </w:rPr>
        <w:t>Ripsin</w:t>
      </w:r>
      <w:proofErr w:type="spellEnd"/>
      <w:r w:rsidRPr="00C42315">
        <w:rPr>
          <w:rFonts w:cs="Arial"/>
          <w:lang w:val="en-US"/>
        </w:rPr>
        <w:t xml:space="preserve"> et al., 2019). Therefore, routine check-up is needed not only to ensure immediate safety but also to prevent severe complications and improve the future health status of individuals with Type 2 diabetes</w:t>
      </w:r>
      <w:r w:rsidR="0031697F" w:rsidRPr="0031697F">
        <w:rPr>
          <w:rFonts w:cs="Arial"/>
          <w:lang w:val="en-US"/>
        </w:rPr>
        <w:t>.</w:t>
      </w:r>
    </w:p>
    <w:p w14:paraId="2D65CC6A" w14:textId="77777777" w:rsidR="00076D04" w:rsidRDefault="00076D04">
      <w:pPr>
        <w:spacing w:line="259" w:lineRule="auto"/>
        <w:jc w:val="left"/>
        <w:rPr>
          <w:rFonts w:eastAsiaTheme="majorEastAsia" w:cs="Arial"/>
          <w:b/>
          <w:color w:val="44546A" w:themeColor="text2"/>
          <w:sz w:val="28"/>
          <w:szCs w:val="32"/>
        </w:rPr>
      </w:pPr>
      <w:r>
        <w:br w:type="page"/>
      </w:r>
    </w:p>
    <w:p w14:paraId="012D50EF" w14:textId="1B9B3C52" w:rsidR="001B7A40" w:rsidRPr="00C03A91" w:rsidRDefault="001B7A40" w:rsidP="00C03A91">
      <w:pPr>
        <w:pStyle w:val="Heading1"/>
      </w:pPr>
      <w:bookmarkStart w:id="4" w:name="_Toc225503011"/>
      <w:r w:rsidRPr="00C03A91">
        <w:lastRenderedPageBreak/>
        <w:t>5.</w:t>
      </w:r>
      <w:r w:rsidR="00076D04">
        <w:t>0</w:t>
      </w:r>
      <w:r w:rsidRPr="00C03A91">
        <w:t xml:space="preserve"> Recommend</w:t>
      </w:r>
      <w:r w:rsidR="007A7297">
        <w:t>ations</w:t>
      </w:r>
      <w:bookmarkEnd w:id="4"/>
    </w:p>
    <w:p w14:paraId="4BF8AE13" w14:textId="6DFF4293" w:rsidR="00CB02D0" w:rsidRPr="00CB02D0" w:rsidRDefault="00CB02D0" w:rsidP="001B76A8">
      <w:pPr>
        <w:rPr>
          <w:rFonts w:cs="Arial"/>
          <w:lang w:val="en-US"/>
        </w:rPr>
      </w:pPr>
      <w:r w:rsidRPr="00CB02D0">
        <w:rPr>
          <w:rFonts w:cs="Arial"/>
          <w:b/>
          <w:bCs/>
          <w:lang w:val="en-US"/>
        </w:rPr>
        <w:t>Diet management:</w:t>
      </w:r>
      <w:r w:rsidRPr="00CB02D0">
        <w:rPr>
          <w:rFonts w:cs="Arial"/>
          <w:lang w:val="en-US"/>
        </w:rPr>
        <w:t xml:space="preserve"> </w:t>
      </w:r>
      <w:r w:rsidR="00C42315" w:rsidRPr="00C42315">
        <w:rPr>
          <w:rFonts w:cs="Arial"/>
          <w:lang w:val="en-US"/>
        </w:rPr>
        <w:t xml:space="preserve">A more </w:t>
      </w:r>
      <w:proofErr w:type="spellStart"/>
      <w:r w:rsidR="00C42315" w:rsidRPr="00C42315">
        <w:rPr>
          <w:rFonts w:cs="Arial"/>
          <w:lang w:val="en-US"/>
        </w:rPr>
        <w:t>fibre</w:t>
      </w:r>
      <w:proofErr w:type="spellEnd"/>
      <w:r w:rsidR="00C42315" w:rsidRPr="00C42315">
        <w:rPr>
          <w:rFonts w:cs="Arial"/>
          <w:lang w:val="en-US"/>
        </w:rPr>
        <w:t xml:space="preserve">-based, low-calorie diet with less free sugar and refined carbohydrates and higher glucose post-meal spikes would be better at lowering the rapid elevations in glucose following meals and healthier weight management, thereby improving </w:t>
      </w:r>
      <w:proofErr w:type="spellStart"/>
      <w:r w:rsidR="00C42315" w:rsidRPr="00C42315">
        <w:rPr>
          <w:rFonts w:cs="Arial"/>
          <w:lang w:val="en-US"/>
        </w:rPr>
        <w:t>glycaemic</w:t>
      </w:r>
      <w:proofErr w:type="spellEnd"/>
      <w:r w:rsidR="00C42315" w:rsidRPr="00C42315">
        <w:rPr>
          <w:rFonts w:cs="Arial"/>
          <w:lang w:val="en-US"/>
        </w:rPr>
        <w:t xml:space="preserve"> control in Type 2 diabetes (Mann and Chisholm, 2015). The </w:t>
      </w:r>
      <w:proofErr w:type="gramStart"/>
      <w:r w:rsidR="00C42315" w:rsidRPr="00C42315">
        <w:rPr>
          <w:rFonts w:cs="Arial"/>
          <w:lang w:val="en-US"/>
        </w:rPr>
        <w:t>particular recommendation</w:t>
      </w:r>
      <w:proofErr w:type="gramEnd"/>
      <w:r w:rsidR="00C42315" w:rsidRPr="00C42315">
        <w:rPr>
          <w:rFonts w:cs="Arial"/>
          <w:lang w:val="en-US"/>
        </w:rPr>
        <w:t xml:space="preserve"> to prevent the high level of sugar and salt in highly processed foods, proposed by the NHS, identifies eating well as one of the first methods of treatment (NHS, 2025; Diabetes UK, 2017).</w:t>
      </w:r>
    </w:p>
    <w:p w14:paraId="1E3AF4B2" w14:textId="58F0501A" w:rsidR="00CB02D0" w:rsidRPr="00CB02D0" w:rsidRDefault="00CB02D0" w:rsidP="001B76A8">
      <w:pPr>
        <w:rPr>
          <w:rFonts w:cs="Arial"/>
          <w:lang w:val="en-US"/>
        </w:rPr>
      </w:pPr>
      <w:r w:rsidRPr="00CB02D0">
        <w:rPr>
          <w:rFonts w:cs="Arial"/>
          <w:b/>
          <w:bCs/>
          <w:lang w:val="en-US"/>
        </w:rPr>
        <w:t>Physical activity:</w:t>
      </w:r>
      <w:r w:rsidRPr="00CB02D0">
        <w:rPr>
          <w:rFonts w:cs="Arial"/>
          <w:lang w:val="en-US"/>
        </w:rPr>
        <w:t xml:space="preserve"> </w:t>
      </w:r>
      <w:r w:rsidR="00C42315" w:rsidRPr="00C42315">
        <w:rPr>
          <w:rFonts w:cs="Arial"/>
          <w:lang w:val="en-US"/>
        </w:rPr>
        <w:t xml:space="preserve">Exercise also increases insulin sensitivity, or the capacity of body cells to </w:t>
      </w:r>
      <w:r w:rsidR="008E1823">
        <w:rPr>
          <w:rFonts w:cs="Arial"/>
          <w:lang w:val="en-US"/>
        </w:rPr>
        <w:t>acknowledged</w:t>
      </w:r>
      <w:r w:rsidR="00C42315" w:rsidRPr="00C42315">
        <w:rPr>
          <w:rFonts w:cs="Arial"/>
          <w:lang w:val="en-US"/>
        </w:rPr>
        <w:t xml:space="preserve"> better to insulin and to take in glucose in the blood more effectively (Hayes and </w:t>
      </w:r>
      <w:proofErr w:type="spellStart"/>
      <w:r w:rsidR="00C42315" w:rsidRPr="00C42315">
        <w:rPr>
          <w:rFonts w:cs="Arial"/>
          <w:lang w:val="en-US"/>
        </w:rPr>
        <w:t>Kriska</w:t>
      </w:r>
      <w:proofErr w:type="spellEnd"/>
      <w:r w:rsidR="00C42315" w:rsidRPr="00C42315">
        <w:rPr>
          <w:rFonts w:cs="Arial"/>
          <w:lang w:val="en-US"/>
        </w:rPr>
        <w:t>, 2018). This decreases the circulating glucose and assists in sustaining metabolism with the passage of time, which is why exercise is a mandatory concept of lifestyle change, along with diet and medication</w:t>
      </w:r>
      <w:r w:rsidRPr="00CB02D0">
        <w:rPr>
          <w:rFonts w:cs="Arial"/>
          <w:lang w:val="en-US"/>
        </w:rPr>
        <w:t>.</w:t>
      </w:r>
    </w:p>
    <w:p w14:paraId="56CA0E1B" w14:textId="78205CF6" w:rsidR="00CB02D0" w:rsidRPr="00CB02D0" w:rsidRDefault="00CB02D0" w:rsidP="001B76A8">
      <w:pPr>
        <w:rPr>
          <w:rFonts w:cs="Arial"/>
          <w:lang w:val="en-US"/>
        </w:rPr>
      </w:pPr>
      <w:r w:rsidRPr="00CB02D0">
        <w:rPr>
          <w:rFonts w:cs="Arial"/>
          <w:b/>
          <w:bCs/>
          <w:lang w:val="en-US"/>
        </w:rPr>
        <w:t>Weight management:</w:t>
      </w:r>
      <w:r w:rsidRPr="00CB02D0">
        <w:rPr>
          <w:rFonts w:cs="Arial"/>
          <w:lang w:val="en-US"/>
        </w:rPr>
        <w:t xml:space="preserve"> </w:t>
      </w:r>
      <w:r w:rsidR="00C42315" w:rsidRPr="00C42315">
        <w:rPr>
          <w:rFonts w:cs="Arial"/>
          <w:lang w:val="en-US"/>
        </w:rPr>
        <w:t xml:space="preserve">Weight loss is advised because insulin resistance is closely intertwined with obesity. Weight loss can also improve the body and, in some people, greatly reduce the amount of blood glucose and even remit Type 2 diabetes (Van Gaal and </w:t>
      </w:r>
      <w:proofErr w:type="spellStart"/>
      <w:r w:rsidR="00C42315" w:rsidRPr="00C42315">
        <w:rPr>
          <w:rFonts w:cs="Arial"/>
          <w:lang w:val="en-US"/>
        </w:rPr>
        <w:t>Scheen</w:t>
      </w:r>
      <w:proofErr w:type="spellEnd"/>
      <w:r w:rsidR="00C42315" w:rsidRPr="00C42315">
        <w:rPr>
          <w:rFonts w:cs="Arial"/>
          <w:lang w:val="en-US"/>
        </w:rPr>
        <w:t>, 2015).</w:t>
      </w:r>
    </w:p>
    <w:p w14:paraId="208BF98D" w14:textId="6C9675EF" w:rsidR="00CB02D0" w:rsidRPr="00CB02D0" w:rsidRDefault="00CB02D0" w:rsidP="001B76A8">
      <w:pPr>
        <w:rPr>
          <w:rFonts w:cs="Arial"/>
          <w:lang w:val="en-US"/>
        </w:rPr>
      </w:pPr>
      <w:r w:rsidRPr="00CB02D0">
        <w:rPr>
          <w:rFonts w:cs="Arial"/>
          <w:b/>
          <w:bCs/>
          <w:lang w:val="en-US"/>
        </w:rPr>
        <w:t>Medication adherence:</w:t>
      </w:r>
      <w:r w:rsidRPr="00CB02D0">
        <w:rPr>
          <w:rFonts w:cs="Arial"/>
          <w:lang w:val="en-US"/>
        </w:rPr>
        <w:t xml:space="preserve"> </w:t>
      </w:r>
      <w:r w:rsidR="00C42315" w:rsidRPr="00C42315">
        <w:rPr>
          <w:rFonts w:cs="Arial"/>
          <w:lang w:val="en-US"/>
        </w:rPr>
        <w:t>Prescription medication should be taken regularly. As NHS information states, metformin is generally the first medication administered in Type 2 diabetes; it helps decrease the concentration of glucose and is frequently combined with other treatments in case of failure to reach a target (NHS, 2025)</w:t>
      </w:r>
      <w:r w:rsidR="00C42315">
        <w:rPr>
          <w:rFonts w:cs="Arial"/>
          <w:lang w:val="en-US"/>
        </w:rPr>
        <w:t>.</w:t>
      </w:r>
    </w:p>
    <w:p w14:paraId="34F16499" w14:textId="2EBD5A96" w:rsidR="00CB02D0" w:rsidRPr="00CB02D0" w:rsidRDefault="00CB02D0" w:rsidP="001B76A8">
      <w:pPr>
        <w:rPr>
          <w:rFonts w:cs="Arial"/>
          <w:lang w:val="en-US"/>
        </w:rPr>
      </w:pPr>
      <w:r w:rsidRPr="00CB02D0">
        <w:rPr>
          <w:rFonts w:cs="Arial"/>
          <w:b/>
          <w:bCs/>
          <w:lang w:val="en-US"/>
        </w:rPr>
        <w:t>Blood glucose monitoring:</w:t>
      </w:r>
      <w:r w:rsidRPr="00CB02D0">
        <w:rPr>
          <w:rFonts w:cs="Arial"/>
          <w:lang w:val="en-US"/>
        </w:rPr>
        <w:t xml:space="preserve"> </w:t>
      </w:r>
      <w:r w:rsidR="000B043A" w:rsidRPr="000B043A">
        <w:rPr>
          <w:rFonts w:cs="Arial"/>
          <w:lang w:val="en-US"/>
        </w:rPr>
        <w:t xml:space="preserve">Regular blood glucose checks enable an early response to be taken, in the event of consistently high blood glucose levels, or in the event of </w:t>
      </w:r>
      <w:proofErr w:type="spellStart"/>
      <w:r w:rsidR="000B043A" w:rsidRPr="000B043A">
        <w:rPr>
          <w:rFonts w:cs="Arial"/>
          <w:lang w:val="en-US"/>
        </w:rPr>
        <w:t>hypoglycaemia</w:t>
      </w:r>
      <w:proofErr w:type="spellEnd"/>
      <w:r w:rsidR="000B043A" w:rsidRPr="000B043A">
        <w:rPr>
          <w:rFonts w:cs="Arial"/>
          <w:lang w:val="en-US"/>
        </w:rPr>
        <w:t xml:space="preserve">. The other advice provided by NICE concerns the fact that the real-world data and consistent glucose monitoring are important to improve </w:t>
      </w:r>
      <w:proofErr w:type="spellStart"/>
      <w:r w:rsidR="000B043A" w:rsidRPr="000B043A">
        <w:rPr>
          <w:rFonts w:cs="Arial"/>
          <w:lang w:val="en-US"/>
        </w:rPr>
        <w:t>glycaemic</w:t>
      </w:r>
      <w:proofErr w:type="spellEnd"/>
      <w:r w:rsidR="000B043A" w:rsidRPr="000B043A">
        <w:rPr>
          <w:rFonts w:cs="Arial"/>
          <w:lang w:val="en-US"/>
        </w:rPr>
        <w:t xml:space="preserve"> control of a specific group of adults with Type 2 diabetes who are treated with insulin (NICE, 2022).</w:t>
      </w:r>
    </w:p>
    <w:p w14:paraId="2BAD1B46" w14:textId="79B442D1" w:rsidR="00CB02D0" w:rsidRPr="00CB02D0" w:rsidRDefault="00CB02D0" w:rsidP="001B76A8">
      <w:pPr>
        <w:rPr>
          <w:rFonts w:cs="Arial"/>
          <w:lang w:val="en-US"/>
        </w:rPr>
      </w:pPr>
      <w:r w:rsidRPr="00CB02D0">
        <w:rPr>
          <w:rFonts w:cs="Arial"/>
          <w:b/>
          <w:bCs/>
          <w:lang w:val="en-US"/>
        </w:rPr>
        <w:t>Smoking cessation:</w:t>
      </w:r>
      <w:r w:rsidRPr="00CB02D0">
        <w:rPr>
          <w:rFonts w:cs="Arial"/>
          <w:lang w:val="en-US"/>
        </w:rPr>
        <w:t xml:space="preserve"> </w:t>
      </w:r>
      <w:r w:rsidR="000B043A" w:rsidRPr="000B043A">
        <w:rPr>
          <w:rFonts w:cs="Arial"/>
          <w:lang w:val="en-US"/>
        </w:rPr>
        <w:t>Smoking cessation is a useful health-promotion process, which reduces the risk of cardiovascular disease, especially where diabetes is a common condition, in which vascular complications are common. In NICE, quitting smoking is also listed among the healthy living recommendations for long-term diabetes management (NICE, 2022).</w:t>
      </w:r>
    </w:p>
    <w:p w14:paraId="2AFC102B" w14:textId="3C2A2A4A" w:rsidR="00CB02D0" w:rsidRPr="00CB02D0" w:rsidRDefault="00CB02D0" w:rsidP="001B76A8">
      <w:pPr>
        <w:rPr>
          <w:rFonts w:cs="Arial"/>
          <w:lang w:val="en-US"/>
        </w:rPr>
      </w:pPr>
      <w:r w:rsidRPr="00CB02D0">
        <w:rPr>
          <w:rFonts w:cs="Arial"/>
          <w:b/>
          <w:bCs/>
          <w:lang w:val="en-US"/>
        </w:rPr>
        <w:t>Regular check-ups:</w:t>
      </w:r>
      <w:r w:rsidRPr="00CB02D0">
        <w:rPr>
          <w:rFonts w:cs="Arial"/>
          <w:lang w:val="en-US"/>
        </w:rPr>
        <w:t xml:space="preserve"> </w:t>
      </w:r>
      <w:r w:rsidR="000B043A" w:rsidRPr="000B043A">
        <w:rPr>
          <w:rFonts w:cs="Arial"/>
          <w:lang w:val="en-US"/>
        </w:rPr>
        <w:t>Frequent check-ups, including HbA1c levels, kidney test, foot test, blood pressure, cholesterol, weight check, and eye screenings, will assist in the early detection of complications symptoms and timely treatment (NHS, 2025)</w:t>
      </w:r>
      <w:r w:rsidRPr="00CB02D0">
        <w:rPr>
          <w:rFonts w:cs="Arial"/>
          <w:lang w:val="en-US"/>
        </w:rPr>
        <w:t>.</w:t>
      </w:r>
    </w:p>
    <w:p w14:paraId="2304FCE4" w14:textId="157E158B" w:rsidR="00CB02D0" w:rsidRPr="00CB02D0" w:rsidRDefault="00CB02D0" w:rsidP="001B76A8">
      <w:pPr>
        <w:rPr>
          <w:rFonts w:cs="Arial"/>
          <w:lang w:val="en-US"/>
        </w:rPr>
      </w:pPr>
      <w:r w:rsidRPr="00CB02D0">
        <w:rPr>
          <w:rFonts w:cs="Arial"/>
          <w:b/>
          <w:bCs/>
          <w:lang w:val="en-US"/>
        </w:rPr>
        <w:lastRenderedPageBreak/>
        <w:t>Patient education and support:</w:t>
      </w:r>
      <w:r w:rsidRPr="00CB02D0">
        <w:rPr>
          <w:rFonts w:cs="Arial"/>
          <w:lang w:val="en-US"/>
        </w:rPr>
        <w:t xml:space="preserve"> </w:t>
      </w:r>
      <w:r w:rsidR="00F422EB" w:rsidRPr="00F422EB">
        <w:rPr>
          <w:rFonts w:cs="Arial"/>
          <w:lang w:val="en-US"/>
        </w:rPr>
        <w:t xml:space="preserve">Structured education improves self-management, self-confidence, and long-term </w:t>
      </w:r>
      <w:proofErr w:type="spellStart"/>
      <w:r w:rsidR="00F422EB" w:rsidRPr="00F422EB">
        <w:rPr>
          <w:rFonts w:cs="Arial"/>
          <w:lang w:val="en-US"/>
        </w:rPr>
        <w:t>behaviour</w:t>
      </w:r>
      <w:proofErr w:type="spellEnd"/>
      <w:r w:rsidR="00F422EB" w:rsidRPr="00F422EB">
        <w:rPr>
          <w:rFonts w:cs="Arial"/>
          <w:lang w:val="en-US"/>
        </w:rPr>
        <w:t xml:space="preserve"> change. According to the NHS, a course on diabetes should be administered to all individuals with Type 2 diabetes within the initial year of diagnosis, and this course helps such individuals to learn about diet, medication, and self-monitoring, as well as mitigating the risk (NHS, 2025). This additionally promotes shared decision making in health and social care that improves compliance, safer self-management and long-term quality of life to </w:t>
      </w:r>
      <w:proofErr w:type="gramStart"/>
      <w:r w:rsidR="00F422EB" w:rsidRPr="00F422EB">
        <w:rPr>
          <w:rFonts w:cs="Arial"/>
          <w:lang w:val="en-US"/>
        </w:rPr>
        <w:t>a number of</w:t>
      </w:r>
      <w:proofErr w:type="gramEnd"/>
      <w:r w:rsidR="00F422EB" w:rsidRPr="00F422EB">
        <w:rPr>
          <w:rFonts w:cs="Arial"/>
          <w:lang w:val="en-US"/>
        </w:rPr>
        <w:t xml:space="preserve"> persons and reduces unnecessary </w:t>
      </w:r>
      <w:proofErr w:type="spellStart"/>
      <w:r w:rsidR="00F422EB" w:rsidRPr="00F422EB">
        <w:rPr>
          <w:rFonts w:cs="Arial"/>
          <w:lang w:val="en-US"/>
        </w:rPr>
        <w:t>hospitalisation</w:t>
      </w:r>
      <w:proofErr w:type="spellEnd"/>
      <w:r w:rsidR="00F422EB" w:rsidRPr="00F422EB">
        <w:rPr>
          <w:rFonts w:cs="Arial"/>
          <w:lang w:val="en-US"/>
        </w:rPr>
        <w:t xml:space="preserve"> and lifetime spending to a large extent</w:t>
      </w:r>
      <w:r w:rsidRPr="00CB02D0">
        <w:rPr>
          <w:rFonts w:cs="Arial"/>
          <w:lang w:val="en-US"/>
        </w:rPr>
        <w:t xml:space="preserve">. </w:t>
      </w:r>
    </w:p>
    <w:p w14:paraId="4C3EADB8" w14:textId="77777777" w:rsidR="00076D04" w:rsidRDefault="00076D04">
      <w:pPr>
        <w:spacing w:line="259" w:lineRule="auto"/>
        <w:jc w:val="left"/>
        <w:rPr>
          <w:rFonts w:eastAsiaTheme="majorEastAsia" w:cs="Arial"/>
          <w:b/>
          <w:color w:val="44546A" w:themeColor="text2"/>
          <w:sz w:val="28"/>
          <w:szCs w:val="32"/>
        </w:rPr>
      </w:pPr>
      <w:r>
        <w:br w:type="page"/>
      </w:r>
    </w:p>
    <w:p w14:paraId="59F05989" w14:textId="11BAF466" w:rsidR="001B7A40" w:rsidRPr="00C03A91" w:rsidRDefault="001B7A40" w:rsidP="00C03A91">
      <w:pPr>
        <w:pStyle w:val="Heading1"/>
      </w:pPr>
      <w:bookmarkStart w:id="5" w:name="_Toc225503012"/>
      <w:r w:rsidRPr="00C03A91">
        <w:lastRenderedPageBreak/>
        <w:t>6.</w:t>
      </w:r>
      <w:r w:rsidR="00076D04">
        <w:t>0</w:t>
      </w:r>
      <w:r w:rsidRPr="00C03A91">
        <w:t xml:space="preserve"> Conclusion</w:t>
      </w:r>
      <w:bookmarkEnd w:id="5"/>
    </w:p>
    <w:p w14:paraId="08E99182" w14:textId="19417178" w:rsidR="001B7A40" w:rsidRPr="00F422EB" w:rsidRDefault="00F422EB" w:rsidP="001B76A8">
      <w:pPr>
        <w:rPr>
          <w:rFonts w:cs="Arial"/>
          <w:lang w:val="en-US"/>
        </w:rPr>
      </w:pPr>
      <w:r w:rsidRPr="00F422EB">
        <w:rPr>
          <w:rFonts w:cs="Arial"/>
          <w:lang w:val="en-US"/>
        </w:rPr>
        <w:t xml:space="preserve">Diabetes mellitus is a long-lasting aberration of glucose regulation whereby the endocrine system, </w:t>
      </w:r>
      <w:r w:rsidR="008E1823">
        <w:rPr>
          <w:rFonts w:cs="Arial"/>
          <w:lang w:val="en-US"/>
        </w:rPr>
        <w:t>especially</w:t>
      </w:r>
      <w:r w:rsidRPr="00F422EB">
        <w:rPr>
          <w:rFonts w:cs="Arial"/>
          <w:lang w:val="en-US"/>
        </w:rPr>
        <w:t xml:space="preserve"> the pancreas, plays a</w:t>
      </w:r>
      <w:r w:rsidR="008E1823">
        <w:rPr>
          <w:rFonts w:cs="Arial"/>
          <w:lang w:val="en-US"/>
        </w:rPr>
        <w:t>n important</w:t>
      </w:r>
      <w:r w:rsidRPr="00F422EB">
        <w:rPr>
          <w:rFonts w:cs="Arial"/>
          <w:lang w:val="en-US"/>
        </w:rPr>
        <w:t xml:space="preserve"> role in the administration of glucose in the bloodstream. The inability to sustain normal blood glucose levels is caused by insulin resistance or insulin deficiency, leading to persistent </w:t>
      </w:r>
      <w:proofErr w:type="spellStart"/>
      <w:r w:rsidRPr="00F422EB">
        <w:rPr>
          <w:rFonts w:cs="Arial"/>
          <w:lang w:val="en-US"/>
        </w:rPr>
        <w:t>hyperglycaemia</w:t>
      </w:r>
      <w:proofErr w:type="spellEnd"/>
      <w:r w:rsidRPr="00F422EB">
        <w:rPr>
          <w:rFonts w:cs="Arial"/>
          <w:lang w:val="en-US"/>
        </w:rPr>
        <w:t xml:space="preserve">. This is essential to the metabolism of the cells as glucose and oxygen are required to generate energy </w:t>
      </w:r>
      <w:r w:rsidR="008E1823">
        <w:rPr>
          <w:rFonts w:cs="Arial"/>
          <w:lang w:val="en-US"/>
        </w:rPr>
        <w:t>via</w:t>
      </w:r>
      <w:r w:rsidRPr="00F422EB">
        <w:rPr>
          <w:rFonts w:cs="Arial"/>
          <w:lang w:val="en-US"/>
        </w:rPr>
        <w:t xml:space="preserve"> ATP, and this is disrupted in Type 2 diabetes patients. Monitoring of blood glucose thus becomes important as it would enable the detection of imbalances at an early stage, and safe and effective management of the condition. Also, as lifestyle changes, a healthy diet, physical exercise, and treatment compliance are evidence-based and should be implemented to </w:t>
      </w:r>
      <w:proofErr w:type="spellStart"/>
      <w:r w:rsidRPr="00F422EB">
        <w:rPr>
          <w:rFonts w:cs="Arial"/>
          <w:lang w:val="en-US"/>
        </w:rPr>
        <w:t>optimise</w:t>
      </w:r>
      <w:proofErr w:type="spellEnd"/>
      <w:r w:rsidRPr="00F422EB">
        <w:rPr>
          <w:rFonts w:cs="Arial"/>
          <w:lang w:val="en-US"/>
        </w:rPr>
        <w:t xml:space="preserve"> </w:t>
      </w:r>
      <w:proofErr w:type="spellStart"/>
      <w:r w:rsidRPr="00F422EB">
        <w:rPr>
          <w:rFonts w:cs="Arial"/>
          <w:lang w:val="en-US"/>
        </w:rPr>
        <w:t>glycaemic</w:t>
      </w:r>
      <w:proofErr w:type="spellEnd"/>
      <w:r w:rsidRPr="00F422EB">
        <w:rPr>
          <w:rFonts w:cs="Arial"/>
          <w:lang w:val="en-US"/>
        </w:rPr>
        <w:t xml:space="preserve"> control and reduce the risks of </w:t>
      </w:r>
      <w:r w:rsidR="008E1823">
        <w:rPr>
          <w:rFonts w:cs="Arial"/>
          <w:lang w:val="en-US"/>
        </w:rPr>
        <w:t>difficulties</w:t>
      </w:r>
      <w:r w:rsidRPr="00F422EB">
        <w:rPr>
          <w:rFonts w:cs="Arial"/>
          <w:lang w:val="en-US"/>
        </w:rPr>
        <w:t>. Generally, physiological knowledge and practical application in the management of diabetes also form a base for ensuring health and wellness in the long-term perspective</w:t>
      </w:r>
      <w:r w:rsidR="00CB02D0" w:rsidRPr="001B76A8">
        <w:rPr>
          <w:rFonts w:cs="Arial"/>
        </w:rPr>
        <w:t>.</w:t>
      </w:r>
    </w:p>
    <w:p w14:paraId="5BCBB22C" w14:textId="7E8A924B" w:rsidR="001B7A40" w:rsidRPr="00C03A91" w:rsidRDefault="001B7A40" w:rsidP="00C03A91">
      <w:pPr>
        <w:rPr>
          <w:rFonts w:cs="Arial"/>
        </w:rPr>
      </w:pPr>
      <w:r w:rsidRPr="00C03A91">
        <w:rPr>
          <w:rFonts w:cs="Arial"/>
        </w:rPr>
        <w:br w:type="page"/>
      </w:r>
    </w:p>
    <w:p w14:paraId="251B3492" w14:textId="6B50CD06" w:rsidR="001B7A40" w:rsidRPr="00C03A91" w:rsidRDefault="001B7A40" w:rsidP="00C03A91">
      <w:pPr>
        <w:pStyle w:val="Heading1"/>
      </w:pPr>
      <w:bookmarkStart w:id="6" w:name="_Toc225503013"/>
      <w:r w:rsidRPr="00C03A91">
        <w:lastRenderedPageBreak/>
        <w:t>References</w:t>
      </w:r>
      <w:bookmarkEnd w:id="6"/>
    </w:p>
    <w:p w14:paraId="7309ECBE" w14:textId="77777777" w:rsidR="00CC43F1" w:rsidRPr="00125645" w:rsidRDefault="00CC43F1" w:rsidP="00125645">
      <w:pPr>
        <w:rPr>
          <w:rFonts w:cs="Arial"/>
          <w:lang w:val="en-US"/>
        </w:rPr>
      </w:pPr>
      <w:r w:rsidRPr="00125645">
        <w:rPr>
          <w:rFonts w:cs="Arial"/>
          <w:lang w:val="en-US"/>
        </w:rPr>
        <w:t xml:space="preserve">American Diabetes Association (2023). </w:t>
      </w:r>
      <w:r w:rsidRPr="00125645">
        <w:rPr>
          <w:rFonts w:cs="Arial"/>
          <w:i/>
          <w:iCs/>
          <w:lang w:val="en-US"/>
        </w:rPr>
        <w:t>American diabetes association releases 2023 standards of care in diabetes to guide prevention, diagnosis, and treatment for people living with diabetes | ADA</w:t>
      </w:r>
      <w:r w:rsidRPr="00125645">
        <w:rPr>
          <w:rFonts w:cs="Arial"/>
          <w:lang w:val="en-US"/>
        </w:rPr>
        <w:t>. [online] diabetes.org. Available at: https://diabetes.org/newsroom/american-diabetes-association-2023-standards-care-diabetes-guide-for-prevention-diagnosis-treatment-people-living-with-diabetes [Accessed 23 Mar. 2026].</w:t>
      </w:r>
    </w:p>
    <w:p w14:paraId="5ECC22B8" w14:textId="77777777" w:rsidR="00CC43F1" w:rsidRPr="00CC43F1" w:rsidRDefault="00CC43F1" w:rsidP="00CC43F1">
      <w:pPr>
        <w:rPr>
          <w:rFonts w:cs="Arial"/>
          <w:lang w:val="en-US"/>
        </w:rPr>
      </w:pPr>
      <w:proofErr w:type="spellStart"/>
      <w:r w:rsidRPr="00CC43F1">
        <w:rPr>
          <w:rFonts w:cs="Arial"/>
          <w:lang w:val="en-US"/>
        </w:rPr>
        <w:t>Antonioli</w:t>
      </w:r>
      <w:proofErr w:type="spellEnd"/>
      <w:r w:rsidRPr="00CC43F1">
        <w:rPr>
          <w:rFonts w:cs="Arial"/>
          <w:lang w:val="en-US"/>
        </w:rPr>
        <w:t xml:space="preserve">, L., </w:t>
      </w:r>
      <w:proofErr w:type="spellStart"/>
      <w:r w:rsidRPr="00CC43F1">
        <w:rPr>
          <w:rFonts w:cs="Arial"/>
          <w:lang w:val="en-US"/>
        </w:rPr>
        <w:t>Blandizzi</w:t>
      </w:r>
      <w:proofErr w:type="spellEnd"/>
      <w:r w:rsidRPr="00CC43F1">
        <w:rPr>
          <w:rFonts w:cs="Arial"/>
          <w:lang w:val="en-US"/>
        </w:rPr>
        <w:t xml:space="preserve">, C., </w:t>
      </w:r>
      <w:proofErr w:type="spellStart"/>
      <w:r w:rsidRPr="00CC43F1">
        <w:rPr>
          <w:rFonts w:cs="Arial"/>
          <w:lang w:val="en-US"/>
        </w:rPr>
        <w:t>Csóka</w:t>
      </w:r>
      <w:proofErr w:type="spellEnd"/>
      <w:r w:rsidRPr="00CC43F1">
        <w:rPr>
          <w:rFonts w:cs="Arial"/>
          <w:lang w:val="en-US"/>
        </w:rPr>
        <w:t xml:space="preserve">, B., Pacher, P. and </w:t>
      </w:r>
      <w:proofErr w:type="spellStart"/>
      <w:r w:rsidRPr="00CC43F1">
        <w:rPr>
          <w:rFonts w:cs="Arial"/>
          <w:lang w:val="en-US"/>
        </w:rPr>
        <w:t>Haskó</w:t>
      </w:r>
      <w:proofErr w:type="spellEnd"/>
      <w:r w:rsidRPr="00CC43F1">
        <w:rPr>
          <w:rFonts w:cs="Arial"/>
          <w:lang w:val="en-US"/>
        </w:rPr>
        <w:t xml:space="preserve">, G. (2015). Adenosine </w:t>
      </w:r>
      <w:proofErr w:type="spellStart"/>
      <w:r w:rsidRPr="00CC43F1">
        <w:rPr>
          <w:rFonts w:cs="Arial"/>
          <w:lang w:val="en-US"/>
        </w:rPr>
        <w:t>signalling</w:t>
      </w:r>
      <w:proofErr w:type="spellEnd"/>
      <w:r w:rsidRPr="00CC43F1">
        <w:rPr>
          <w:rFonts w:cs="Arial"/>
          <w:lang w:val="en-US"/>
        </w:rPr>
        <w:t xml:space="preserve"> in diabetes mellitus—pathophysiology and therapeutic considerations. </w:t>
      </w:r>
      <w:r w:rsidRPr="00CC43F1">
        <w:rPr>
          <w:rFonts w:cs="Arial"/>
          <w:i/>
          <w:iCs/>
          <w:lang w:val="en-US"/>
        </w:rPr>
        <w:t>Nature Reviews Endocrinology</w:t>
      </w:r>
      <w:r w:rsidRPr="00CC43F1">
        <w:rPr>
          <w:rFonts w:cs="Arial"/>
          <w:lang w:val="en-US"/>
        </w:rPr>
        <w:t xml:space="preserve">, [online] 11(4), pp.228–241. </w:t>
      </w:r>
      <w:proofErr w:type="spellStart"/>
      <w:proofErr w:type="gramStart"/>
      <w:r w:rsidRPr="00CC43F1">
        <w:rPr>
          <w:rFonts w:cs="Arial"/>
          <w:lang w:val="en-US"/>
        </w:rPr>
        <w:t>doi:https</w:t>
      </w:r>
      <w:proofErr w:type="spellEnd"/>
      <w:r w:rsidRPr="00CC43F1">
        <w:rPr>
          <w:rFonts w:cs="Arial"/>
          <w:lang w:val="en-US"/>
        </w:rPr>
        <w:t>://doi.org/10.1038/nrendo.2015.10</w:t>
      </w:r>
      <w:proofErr w:type="gramEnd"/>
      <w:r w:rsidRPr="00CC43F1">
        <w:rPr>
          <w:rFonts w:cs="Arial"/>
          <w:lang w:val="en-US"/>
        </w:rPr>
        <w:t>.</w:t>
      </w:r>
    </w:p>
    <w:p w14:paraId="585CC3AF" w14:textId="77777777" w:rsidR="00CC43F1" w:rsidRPr="00125645" w:rsidRDefault="00CC43F1" w:rsidP="00125645">
      <w:pPr>
        <w:rPr>
          <w:rFonts w:cs="Arial"/>
          <w:lang w:val="en-US"/>
        </w:rPr>
      </w:pPr>
      <w:r w:rsidRPr="00125645">
        <w:rPr>
          <w:rFonts w:cs="Arial"/>
          <w:lang w:val="en-US"/>
        </w:rPr>
        <w:t xml:space="preserve">DeBerardinis, Ralph J. and Thompson, Craig B. (2016). Cellular Metabolism and Disease: What Do Metabolic Outliers Teach Us? </w:t>
      </w:r>
      <w:r w:rsidRPr="00125645">
        <w:rPr>
          <w:rFonts w:cs="Arial"/>
          <w:i/>
          <w:iCs/>
          <w:lang w:val="en-US"/>
        </w:rPr>
        <w:t>Cell</w:t>
      </w:r>
      <w:r w:rsidRPr="00125645">
        <w:rPr>
          <w:rFonts w:cs="Arial"/>
          <w:lang w:val="en-US"/>
        </w:rPr>
        <w:t xml:space="preserve">, 148(6), pp.1132–1144. </w:t>
      </w:r>
      <w:proofErr w:type="spellStart"/>
      <w:proofErr w:type="gramStart"/>
      <w:r w:rsidRPr="00125645">
        <w:rPr>
          <w:rFonts w:cs="Arial"/>
          <w:lang w:val="en-US"/>
        </w:rPr>
        <w:t>doi:https</w:t>
      </w:r>
      <w:proofErr w:type="spellEnd"/>
      <w:r w:rsidRPr="00125645">
        <w:rPr>
          <w:rFonts w:cs="Arial"/>
          <w:lang w:val="en-US"/>
        </w:rPr>
        <w:t>://doi.org/10.1016/j.cell.2012.02.032</w:t>
      </w:r>
      <w:proofErr w:type="gramEnd"/>
      <w:r w:rsidRPr="00125645">
        <w:rPr>
          <w:rFonts w:cs="Arial"/>
          <w:lang w:val="en-US"/>
        </w:rPr>
        <w:t>.</w:t>
      </w:r>
    </w:p>
    <w:p w14:paraId="79CBFE6A" w14:textId="77777777" w:rsidR="00CC43F1" w:rsidRPr="00125645" w:rsidRDefault="00CC43F1" w:rsidP="00125645">
      <w:pPr>
        <w:rPr>
          <w:rFonts w:cs="Arial"/>
          <w:lang w:val="en-US"/>
        </w:rPr>
      </w:pPr>
      <w:r w:rsidRPr="00125645">
        <w:rPr>
          <w:rFonts w:cs="Arial"/>
          <w:lang w:val="en-US"/>
        </w:rPr>
        <w:t xml:space="preserve">Diabetes UK (2017). </w:t>
      </w:r>
      <w:r w:rsidRPr="00125645">
        <w:rPr>
          <w:rFonts w:cs="Arial"/>
          <w:i/>
          <w:iCs/>
          <w:lang w:val="en-US"/>
        </w:rPr>
        <w:t>Diabetes: the basics</w:t>
      </w:r>
      <w:r w:rsidRPr="00125645">
        <w:rPr>
          <w:rFonts w:cs="Arial"/>
          <w:lang w:val="en-US"/>
        </w:rPr>
        <w:t>. [online] Diabetes UK. Available at: https://www.diabetes.org.uk/about-diabetes [Accessed 22 Mar. 2026].</w:t>
      </w:r>
    </w:p>
    <w:p w14:paraId="21EC33A7" w14:textId="77777777" w:rsidR="00CC43F1" w:rsidRPr="00125645" w:rsidRDefault="00CC43F1" w:rsidP="00125645">
      <w:pPr>
        <w:rPr>
          <w:rFonts w:cs="Arial"/>
          <w:lang w:val="en-US"/>
        </w:rPr>
      </w:pPr>
      <w:r w:rsidRPr="00125645">
        <w:rPr>
          <w:rFonts w:cs="Arial"/>
          <w:lang w:val="en-US"/>
        </w:rPr>
        <w:t xml:space="preserve">Hall, J.E. (2021). </w:t>
      </w:r>
      <w:r w:rsidRPr="00125645">
        <w:rPr>
          <w:rFonts w:cs="Arial"/>
          <w:i/>
          <w:iCs/>
          <w:lang w:val="en-US"/>
        </w:rPr>
        <w:t>Guyton and Hall textbook of medical physiology</w:t>
      </w:r>
      <w:r w:rsidRPr="00125645">
        <w:rPr>
          <w:rFonts w:cs="Arial"/>
          <w:lang w:val="en-US"/>
        </w:rPr>
        <w:t>. St. Louis: Saunders.</w:t>
      </w:r>
    </w:p>
    <w:p w14:paraId="7D864CFB" w14:textId="77777777" w:rsidR="00CC43F1" w:rsidRPr="00CC43F1" w:rsidRDefault="00CC43F1" w:rsidP="00CC43F1">
      <w:pPr>
        <w:rPr>
          <w:rFonts w:cs="Arial"/>
          <w:lang w:val="en-US"/>
        </w:rPr>
      </w:pPr>
      <w:r w:rsidRPr="00CC43F1">
        <w:rPr>
          <w:rFonts w:cs="Arial"/>
          <w:lang w:val="en-US"/>
        </w:rPr>
        <w:t xml:space="preserve">Hayes, C. and </w:t>
      </w:r>
      <w:proofErr w:type="spellStart"/>
      <w:r w:rsidRPr="00CC43F1">
        <w:rPr>
          <w:rFonts w:cs="Arial"/>
          <w:lang w:val="en-US"/>
        </w:rPr>
        <w:t>Kriska</w:t>
      </w:r>
      <w:proofErr w:type="spellEnd"/>
      <w:r w:rsidRPr="00CC43F1">
        <w:rPr>
          <w:rFonts w:cs="Arial"/>
          <w:lang w:val="en-US"/>
        </w:rPr>
        <w:t xml:space="preserve">, A. (2018). Role of Physical Activity in Diabetes Management and Prevention. </w:t>
      </w:r>
      <w:r w:rsidRPr="00CC43F1">
        <w:rPr>
          <w:rFonts w:cs="Arial"/>
          <w:i/>
          <w:iCs/>
          <w:lang w:val="en-US"/>
        </w:rPr>
        <w:t>Journal of the American Dietetic Association</w:t>
      </w:r>
      <w:r w:rsidRPr="00CC43F1">
        <w:rPr>
          <w:rFonts w:cs="Arial"/>
          <w:lang w:val="en-US"/>
        </w:rPr>
        <w:t xml:space="preserve">, [online] 108(4), </w:t>
      </w:r>
      <w:proofErr w:type="gramStart"/>
      <w:r w:rsidRPr="00CC43F1">
        <w:rPr>
          <w:rFonts w:cs="Arial"/>
          <w:lang w:val="en-US"/>
        </w:rPr>
        <w:t>pp.S</w:t>
      </w:r>
      <w:proofErr w:type="gramEnd"/>
      <w:r w:rsidRPr="00CC43F1">
        <w:rPr>
          <w:rFonts w:cs="Arial"/>
          <w:lang w:val="en-US"/>
        </w:rPr>
        <w:t xml:space="preserve">19–S23. </w:t>
      </w:r>
      <w:proofErr w:type="spellStart"/>
      <w:proofErr w:type="gramStart"/>
      <w:r w:rsidRPr="00CC43F1">
        <w:rPr>
          <w:rFonts w:cs="Arial"/>
          <w:lang w:val="en-US"/>
        </w:rPr>
        <w:t>doi:https</w:t>
      </w:r>
      <w:proofErr w:type="spellEnd"/>
      <w:r w:rsidRPr="00CC43F1">
        <w:rPr>
          <w:rFonts w:cs="Arial"/>
          <w:lang w:val="en-US"/>
        </w:rPr>
        <w:t>://doi.org/10.1016/j.jada.2008.01.016</w:t>
      </w:r>
      <w:proofErr w:type="gramEnd"/>
      <w:r w:rsidRPr="00CC43F1">
        <w:rPr>
          <w:rFonts w:cs="Arial"/>
          <w:lang w:val="en-US"/>
        </w:rPr>
        <w:t>.</w:t>
      </w:r>
    </w:p>
    <w:p w14:paraId="244425AF" w14:textId="77777777" w:rsidR="00CC43F1" w:rsidRPr="00CC43F1" w:rsidRDefault="00CC43F1" w:rsidP="00CC43F1">
      <w:pPr>
        <w:rPr>
          <w:rFonts w:cs="Arial"/>
          <w:lang w:val="en-US"/>
        </w:rPr>
      </w:pPr>
      <w:proofErr w:type="spellStart"/>
      <w:r w:rsidRPr="00CC43F1">
        <w:rPr>
          <w:rFonts w:cs="Arial"/>
          <w:lang w:val="en-US"/>
        </w:rPr>
        <w:t>Janapala</w:t>
      </w:r>
      <w:proofErr w:type="spellEnd"/>
      <w:r w:rsidRPr="00CC43F1">
        <w:rPr>
          <w:rFonts w:cs="Arial"/>
          <w:lang w:val="en-US"/>
        </w:rPr>
        <w:t xml:space="preserve">, R.N., </w:t>
      </w:r>
      <w:proofErr w:type="spellStart"/>
      <w:r w:rsidRPr="00CC43F1">
        <w:rPr>
          <w:rFonts w:cs="Arial"/>
          <w:lang w:val="en-US"/>
        </w:rPr>
        <w:t>Jayaraj</w:t>
      </w:r>
      <w:proofErr w:type="spellEnd"/>
      <w:r w:rsidRPr="00CC43F1">
        <w:rPr>
          <w:rFonts w:cs="Arial"/>
          <w:lang w:val="en-US"/>
        </w:rPr>
        <w:t xml:space="preserve">, J.S., Fathima, N., Kashif, T., Usman, N., </w:t>
      </w:r>
      <w:proofErr w:type="spellStart"/>
      <w:r w:rsidRPr="00CC43F1">
        <w:rPr>
          <w:rFonts w:cs="Arial"/>
          <w:lang w:val="en-US"/>
        </w:rPr>
        <w:t>Dasari</w:t>
      </w:r>
      <w:proofErr w:type="spellEnd"/>
      <w:r w:rsidRPr="00CC43F1">
        <w:rPr>
          <w:rFonts w:cs="Arial"/>
          <w:lang w:val="en-US"/>
        </w:rPr>
        <w:t xml:space="preserve">, A., Jahan, N. and </w:t>
      </w:r>
      <w:proofErr w:type="spellStart"/>
      <w:r w:rsidRPr="00CC43F1">
        <w:rPr>
          <w:rFonts w:cs="Arial"/>
          <w:lang w:val="en-US"/>
        </w:rPr>
        <w:t>Sachmechi</w:t>
      </w:r>
      <w:proofErr w:type="spellEnd"/>
      <w:r w:rsidRPr="00CC43F1">
        <w:rPr>
          <w:rFonts w:cs="Arial"/>
          <w:lang w:val="en-US"/>
        </w:rPr>
        <w:t xml:space="preserve">, I. (2019). Continuous Glucose Monitoring Versus Self-Monitoring of Blood Glucose in Type 2 Diabetes Mellitus: A Systematic Review with Meta-analysis. </w:t>
      </w:r>
      <w:proofErr w:type="spellStart"/>
      <w:r w:rsidRPr="00CC43F1">
        <w:rPr>
          <w:rFonts w:cs="Arial"/>
          <w:i/>
          <w:iCs/>
          <w:lang w:val="en-US"/>
        </w:rPr>
        <w:t>Cureus</w:t>
      </w:r>
      <w:proofErr w:type="spellEnd"/>
      <w:r w:rsidRPr="00CC43F1">
        <w:rPr>
          <w:rFonts w:cs="Arial"/>
          <w:lang w:val="en-US"/>
        </w:rPr>
        <w:t xml:space="preserve">, [online] 11(9). </w:t>
      </w:r>
      <w:proofErr w:type="spellStart"/>
      <w:proofErr w:type="gramStart"/>
      <w:r w:rsidRPr="00CC43F1">
        <w:rPr>
          <w:rFonts w:cs="Arial"/>
          <w:lang w:val="en-US"/>
        </w:rPr>
        <w:t>doi:https</w:t>
      </w:r>
      <w:proofErr w:type="spellEnd"/>
      <w:r w:rsidRPr="00CC43F1">
        <w:rPr>
          <w:rFonts w:cs="Arial"/>
          <w:lang w:val="en-US"/>
        </w:rPr>
        <w:t>://doi.org/10.7759/cureus.5634</w:t>
      </w:r>
      <w:proofErr w:type="gramEnd"/>
      <w:r w:rsidRPr="00CC43F1">
        <w:rPr>
          <w:rFonts w:cs="Arial"/>
          <w:lang w:val="en-US"/>
        </w:rPr>
        <w:t>.</w:t>
      </w:r>
    </w:p>
    <w:p w14:paraId="65665EA6" w14:textId="77777777" w:rsidR="00CC43F1" w:rsidRPr="00CC43F1" w:rsidRDefault="00CC43F1" w:rsidP="00CC43F1">
      <w:pPr>
        <w:rPr>
          <w:rFonts w:cs="Arial"/>
          <w:lang w:val="en-US"/>
        </w:rPr>
      </w:pPr>
      <w:r w:rsidRPr="00CC43F1">
        <w:rPr>
          <w:rFonts w:cs="Arial"/>
          <w:lang w:val="en-US"/>
        </w:rPr>
        <w:t xml:space="preserve">Mann, J.I. and Chisholm, A. (2015). Dietary management of diabetes mellitus in Europe and North America. </w:t>
      </w:r>
      <w:r w:rsidRPr="00CC43F1">
        <w:rPr>
          <w:rFonts w:cs="Arial"/>
          <w:i/>
          <w:iCs/>
          <w:lang w:val="en-US"/>
        </w:rPr>
        <w:t>International Textbook of Diabetes Mellitus</w:t>
      </w:r>
      <w:r w:rsidRPr="00CC43F1">
        <w:rPr>
          <w:rFonts w:cs="Arial"/>
          <w:lang w:val="en-US"/>
        </w:rPr>
        <w:t xml:space="preserve">, pp.575–588. </w:t>
      </w:r>
      <w:proofErr w:type="spellStart"/>
      <w:proofErr w:type="gramStart"/>
      <w:r w:rsidRPr="00CC43F1">
        <w:rPr>
          <w:rFonts w:cs="Arial"/>
          <w:lang w:val="en-US"/>
        </w:rPr>
        <w:t>doi:https</w:t>
      </w:r>
      <w:proofErr w:type="spellEnd"/>
      <w:r w:rsidRPr="00CC43F1">
        <w:rPr>
          <w:rFonts w:cs="Arial"/>
          <w:lang w:val="en-US"/>
        </w:rPr>
        <w:t>://doi.org/10.1002/9781118387658.ch40</w:t>
      </w:r>
      <w:proofErr w:type="gramEnd"/>
      <w:r w:rsidRPr="00CC43F1">
        <w:rPr>
          <w:rFonts w:cs="Arial"/>
          <w:lang w:val="en-US"/>
        </w:rPr>
        <w:t>.</w:t>
      </w:r>
    </w:p>
    <w:p w14:paraId="2349E95D" w14:textId="77777777" w:rsidR="00CC43F1" w:rsidRPr="00125645" w:rsidRDefault="00CC43F1" w:rsidP="00125645">
      <w:pPr>
        <w:rPr>
          <w:rFonts w:cs="Arial"/>
          <w:lang w:val="en-US"/>
        </w:rPr>
      </w:pPr>
      <w:proofErr w:type="spellStart"/>
      <w:r w:rsidRPr="00125645">
        <w:rPr>
          <w:rFonts w:cs="Arial"/>
          <w:lang w:val="en-US"/>
        </w:rPr>
        <w:t>Mayorov</w:t>
      </w:r>
      <w:proofErr w:type="spellEnd"/>
      <w:r w:rsidRPr="00125645">
        <w:rPr>
          <w:rFonts w:cs="Arial"/>
          <w:lang w:val="en-US"/>
        </w:rPr>
        <w:t xml:space="preserve">, A.Y. (2017). Insulin resistance in pathogenesis of type 2 diabetes mellitus. </w:t>
      </w:r>
      <w:r w:rsidRPr="00125645">
        <w:rPr>
          <w:rFonts w:cs="Arial"/>
          <w:i/>
          <w:iCs/>
          <w:lang w:val="en-US"/>
        </w:rPr>
        <w:t>Diabetes mellitus</w:t>
      </w:r>
      <w:r w:rsidRPr="00125645">
        <w:rPr>
          <w:rFonts w:cs="Arial"/>
          <w:lang w:val="en-US"/>
        </w:rPr>
        <w:t xml:space="preserve">, 14(1), p.35. </w:t>
      </w:r>
      <w:proofErr w:type="spellStart"/>
      <w:proofErr w:type="gramStart"/>
      <w:r w:rsidRPr="00125645">
        <w:rPr>
          <w:rFonts w:cs="Arial"/>
          <w:lang w:val="en-US"/>
        </w:rPr>
        <w:t>doi:https</w:t>
      </w:r>
      <w:proofErr w:type="spellEnd"/>
      <w:r w:rsidRPr="00125645">
        <w:rPr>
          <w:rFonts w:cs="Arial"/>
          <w:lang w:val="en-US"/>
        </w:rPr>
        <w:t>://doi.org/10.14341/2072-0351-6248</w:t>
      </w:r>
      <w:proofErr w:type="gramEnd"/>
      <w:r w:rsidRPr="00125645">
        <w:rPr>
          <w:rFonts w:cs="Arial"/>
          <w:lang w:val="en-US"/>
        </w:rPr>
        <w:t>.</w:t>
      </w:r>
    </w:p>
    <w:p w14:paraId="658A4D34" w14:textId="77777777" w:rsidR="00CC43F1" w:rsidRPr="00125645" w:rsidRDefault="00CC43F1" w:rsidP="00125645">
      <w:pPr>
        <w:rPr>
          <w:rFonts w:cs="Arial"/>
          <w:lang w:val="en-US"/>
        </w:rPr>
      </w:pPr>
      <w:r w:rsidRPr="00125645">
        <w:rPr>
          <w:rFonts w:cs="Arial"/>
          <w:lang w:val="en-US"/>
        </w:rPr>
        <w:t xml:space="preserve">NHS (2025). </w:t>
      </w:r>
      <w:r w:rsidRPr="00125645">
        <w:rPr>
          <w:rFonts w:cs="Arial"/>
          <w:i/>
          <w:iCs/>
          <w:lang w:val="en-US"/>
        </w:rPr>
        <w:t>Type 2 diabetes</w:t>
      </w:r>
      <w:r w:rsidRPr="00125645">
        <w:rPr>
          <w:rFonts w:cs="Arial"/>
          <w:lang w:val="en-US"/>
        </w:rPr>
        <w:t>. [online] nhs.uk. Available at: https://www.nhs.uk/conditions/type-2-diabetes/? [Accessed 24 Mar. 2026].</w:t>
      </w:r>
    </w:p>
    <w:p w14:paraId="05C0BB7B" w14:textId="77777777" w:rsidR="00CC43F1" w:rsidRPr="00125645" w:rsidRDefault="00CC43F1" w:rsidP="00125645">
      <w:pPr>
        <w:rPr>
          <w:rFonts w:cs="Arial"/>
          <w:lang w:val="en-US"/>
        </w:rPr>
      </w:pPr>
      <w:r w:rsidRPr="00125645">
        <w:rPr>
          <w:rFonts w:cs="Arial"/>
          <w:lang w:val="en-US"/>
        </w:rPr>
        <w:t xml:space="preserve">NICE (2022). </w:t>
      </w:r>
      <w:r w:rsidRPr="00125645">
        <w:rPr>
          <w:rFonts w:cs="Arial"/>
          <w:i/>
          <w:iCs/>
          <w:lang w:val="en-US"/>
        </w:rPr>
        <w:t>Type 2 Diabetes in adults: Management</w:t>
      </w:r>
      <w:r w:rsidRPr="00125645">
        <w:rPr>
          <w:rFonts w:cs="Arial"/>
          <w:lang w:val="en-US"/>
        </w:rPr>
        <w:t>. [online] Nice.org.uk. Available at: https://www.nice.org.uk/guidance/ng28 [Accessed 23 Mar. 2026].</w:t>
      </w:r>
    </w:p>
    <w:p w14:paraId="4DE50D43" w14:textId="77777777" w:rsidR="00CC43F1" w:rsidRPr="00CC43F1" w:rsidRDefault="00CC43F1" w:rsidP="00CC43F1">
      <w:pPr>
        <w:rPr>
          <w:rFonts w:cs="Arial"/>
          <w:lang w:val="en-US"/>
        </w:rPr>
      </w:pPr>
      <w:proofErr w:type="spellStart"/>
      <w:r w:rsidRPr="00CC43F1">
        <w:rPr>
          <w:rFonts w:cs="Arial"/>
          <w:lang w:val="en-US"/>
        </w:rPr>
        <w:lastRenderedPageBreak/>
        <w:t>Ripsin</w:t>
      </w:r>
      <w:proofErr w:type="spellEnd"/>
      <w:r w:rsidRPr="00CC43F1">
        <w:rPr>
          <w:rFonts w:cs="Arial"/>
          <w:lang w:val="en-US"/>
        </w:rPr>
        <w:t xml:space="preserve">, C.M., Kang, H. and Urban, R.J. (2019). Management of Blood Glucose in Type 2 Diabetes Mellitus. </w:t>
      </w:r>
      <w:r w:rsidRPr="00CC43F1">
        <w:rPr>
          <w:rFonts w:cs="Arial"/>
          <w:i/>
          <w:iCs/>
          <w:lang w:val="en-US"/>
        </w:rPr>
        <w:t>American Family Physician</w:t>
      </w:r>
      <w:r w:rsidRPr="00CC43F1">
        <w:rPr>
          <w:rFonts w:cs="Arial"/>
          <w:lang w:val="en-US"/>
        </w:rPr>
        <w:t>, [online] 79(1), pp.29–36. Available at: https://www.aafp.org/pubs/afp/issues/2009/0101/p29.html.</w:t>
      </w:r>
    </w:p>
    <w:p w14:paraId="673AAA4A" w14:textId="77777777" w:rsidR="00CC43F1" w:rsidRPr="00125645" w:rsidRDefault="00CC43F1" w:rsidP="00125645">
      <w:pPr>
        <w:rPr>
          <w:rFonts w:cs="Arial"/>
          <w:lang w:val="en-US"/>
        </w:rPr>
      </w:pPr>
      <w:proofErr w:type="spellStart"/>
      <w:r w:rsidRPr="00125645">
        <w:rPr>
          <w:rFonts w:cs="Arial"/>
          <w:lang w:val="en-US"/>
        </w:rPr>
        <w:t>Röder</w:t>
      </w:r>
      <w:proofErr w:type="spellEnd"/>
      <w:r w:rsidRPr="00125645">
        <w:rPr>
          <w:rFonts w:cs="Arial"/>
          <w:lang w:val="en-US"/>
        </w:rPr>
        <w:t xml:space="preserve">, P.V., Wu, B., Liu, Y. and Han, W. (2016). Pancreatic Regulation of Glucose Homeostasis. </w:t>
      </w:r>
      <w:r w:rsidRPr="00125645">
        <w:rPr>
          <w:rFonts w:cs="Arial"/>
          <w:i/>
          <w:iCs/>
          <w:lang w:val="en-US"/>
        </w:rPr>
        <w:t>Experimental &amp; Molecular Medicine</w:t>
      </w:r>
      <w:r w:rsidRPr="00125645">
        <w:rPr>
          <w:rFonts w:cs="Arial"/>
          <w:lang w:val="en-US"/>
        </w:rPr>
        <w:t xml:space="preserve">, [online] 48(3), pp.1–19. </w:t>
      </w:r>
      <w:proofErr w:type="spellStart"/>
      <w:proofErr w:type="gramStart"/>
      <w:r w:rsidRPr="00125645">
        <w:rPr>
          <w:rFonts w:cs="Arial"/>
          <w:lang w:val="en-US"/>
        </w:rPr>
        <w:t>doi:https</w:t>
      </w:r>
      <w:proofErr w:type="spellEnd"/>
      <w:r w:rsidRPr="00125645">
        <w:rPr>
          <w:rFonts w:cs="Arial"/>
          <w:lang w:val="en-US"/>
        </w:rPr>
        <w:t>://doi.org/10.1038/emm.2016.6</w:t>
      </w:r>
      <w:proofErr w:type="gramEnd"/>
      <w:r w:rsidRPr="00125645">
        <w:rPr>
          <w:rFonts w:cs="Arial"/>
          <w:lang w:val="en-US"/>
        </w:rPr>
        <w:t>.</w:t>
      </w:r>
    </w:p>
    <w:p w14:paraId="50A3C8C0" w14:textId="77777777" w:rsidR="00CC43F1" w:rsidRPr="00CC43F1" w:rsidRDefault="00CC43F1" w:rsidP="00CC43F1">
      <w:pPr>
        <w:rPr>
          <w:rFonts w:cs="Arial"/>
          <w:lang w:val="en-US"/>
        </w:rPr>
      </w:pPr>
      <w:r w:rsidRPr="00CC43F1">
        <w:rPr>
          <w:rFonts w:cs="Arial"/>
          <w:lang w:val="en-US"/>
        </w:rPr>
        <w:t xml:space="preserve">Van Gaal, L. and </w:t>
      </w:r>
      <w:proofErr w:type="spellStart"/>
      <w:r w:rsidRPr="00CC43F1">
        <w:rPr>
          <w:rFonts w:cs="Arial"/>
          <w:lang w:val="en-US"/>
        </w:rPr>
        <w:t>Scheen</w:t>
      </w:r>
      <w:proofErr w:type="spellEnd"/>
      <w:r w:rsidRPr="00CC43F1">
        <w:rPr>
          <w:rFonts w:cs="Arial"/>
          <w:lang w:val="en-US"/>
        </w:rPr>
        <w:t xml:space="preserve">, A. (2015). Weight Management in Type 2 Diabetes: Current and Emerging Approaches to Treatment. </w:t>
      </w:r>
      <w:r w:rsidRPr="00CC43F1">
        <w:rPr>
          <w:rFonts w:cs="Arial"/>
          <w:i/>
          <w:iCs/>
          <w:lang w:val="en-US"/>
        </w:rPr>
        <w:t>Diabetes Care</w:t>
      </w:r>
      <w:r w:rsidRPr="00CC43F1">
        <w:rPr>
          <w:rFonts w:cs="Arial"/>
          <w:lang w:val="en-US"/>
        </w:rPr>
        <w:t xml:space="preserve">, 38(6), pp.1161–1172. </w:t>
      </w:r>
      <w:proofErr w:type="spellStart"/>
      <w:proofErr w:type="gramStart"/>
      <w:r w:rsidRPr="00CC43F1">
        <w:rPr>
          <w:rFonts w:cs="Arial"/>
          <w:lang w:val="en-US"/>
        </w:rPr>
        <w:t>doi:https</w:t>
      </w:r>
      <w:proofErr w:type="spellEnd"/>
      <w:r w:rsidRPr="00CC43F1">
        <w:rPr>
          <w:rFonts w:cs="Arial"/>
          <w:lang w:val="en-US"/>
        </w:rPr>
        <w:t>://doi.org/10.2337/dc14-1630</w:t>
      </w:r>
      <w:proofErr w:type="gramEnd"/>
      <w:r w:rsidRPr="00CC43F1">
        <w:rPr>
          <w:rFonts w:cs="Arial"/>
          <w:lang w:val="en-US"/>
        </w:rPr>
        <w:t>.</w:t>
      </w:r>
    </w:p>
    <w:p w14:paraId="36594EDC" w14:textId="77777777" w:rsidR="00CC43F1" w:rsidRPr="00125645" w:rsidRDefault="00CC43F1" w:rsidP="00125645">
      <w:pPr>
        <w:rPr>
          <w:rFonts w:cs="Arial"/>
          <w:lang w:val="en-US"/>
        </w:rPr>
      </w:pPr>
      <w:r w:rsidRPr="00125645">
        <w:rPr>
          <w:rFonts w:cs="Arial"/>
          <w:lang w:val="en-US"/>
        </w:rPr>
        <w:t xml:space="preserve">World Health Organization (2024). </w:t>
      </w:r>
      <w:r w:rsidRPr="00125645">
        <w:rPr>
          <w:rFonts w:cs="Arial"/>
          <w:i/>
          <w:iCs/>
          <w:lang w:val="en-US"/>
        </w:rPr>
        <w:t>Diabetes</w:t>
      </w:r>
      <w:r w:rsidRPr="00125645">
        <w:rPr>
          <w:rFonts w:cs="Arial"/>
          <w:lang w:val="en-US"/>
        </w:rPr>
        <w:t>. [online] World Health Organization. Available at: https://www.who.int/news-room/fact-sheets/detail/diabetes [Accessed 23 Mar. 2026].</w:t>
      </w:r>
    </w:p>
    <w:p w14:paraId="1B3310FC" w14:textId="77777777" w:rsidR="00CC43F1" w:rsidRPr="00CC43F1" w:rsidRDefault="00CC43F1" w:rsidP="00CC43F1">
      <w:pPr>
        <w:rPr>
          <w:rFonts w:cs="Arial"/>
          <w:lang w:val="en-US"/>
        </w:rPr>
      </w:pPr>
      <w:r w:rsidRPr="00CC43F1">
        <w:rPr>
          <w:rFonts w:cs="Arial"/>
          <w:lang w:val="en-US"/>
        </w:rPr>
        <w:t xml:space="preserve">Wu, Q., Xia, M.-F. and Gao, X. (2022). Metabolically healthy obesity: Is it </w:t>
      </w:r>
      <w:proofErr w:type="gramStart"/>
      <w:r w:rsidRPr="00CC43F1">
        <w:rPr>
          <w:rFonts w:cs="Arial"/>
          <w:lang w:val="en-US"/>
        </w:rPr>
        <w:t>really healthy</w:t>
      </w:r>
      <w:proofErr w:type="gramEnd"/>
      <w:r w:rsidRPr="00CC43F1">
        <w:rPr>
          <w:rFonts w:cs="Arial"/>
          <w:lang w:val="en-US"/>
        </w:rPr>
        <w:t xml:space="preserve"> for type 2 diabetes mellitus? </w:t>
      </w:r>
      <w:r w:rsidRPr="00CC43F1">
        <w:rPr>
          <w:rFonts w:cs="Arial"/>
          <w:i/>
          <w:iCs/>
          <w:lang w:val="en-US"/>
        </w:rPr>
        <w:t>World Journal of Diabetes</w:t>
      </w:r>
      <w:r w:rsidRPr="00CC43F1">
        <w:rPr>
          <w:rFonts w:cs="Arial"/>
          <w:lang w:val="en-US"/>
        </w:rPr>
        <w:t xml:space="preserve">, 13(2), pp.70–84. </w:t>
      </w:r>
      <w:proofErr w:type="spellStart"/>
      <w:proofErr w:type="gramStart"/>
      <w:r w:rsidRPr="00CC43F1">
        <w:rPr>
          <w:rFonts w:cs="Arial"/>
          <w:lang w:val="en-US"/>
        </w:rPr>
        <w:t>doi:https</w:t>
      </w:r>
      <w:proofErr w:type="spellEnd"/>
      <w:r w:rsidRPr="00CC43F1">
        <w:rPr>
          <w:rFonts w:cs="Arial"/>
          <w:lang w:val="en-US"/>
        </w:rPr>
        <w:t>://doi.org/10.4239/wjd.v13.i2.70</w:t>
      </w:r>
      <w:proofErr w:type="gramEnd"/>
      <w:r w:rsidRPr="00CC43F1">
        <w:rPr>
          <w:rFonts w:cs="Arial"/>
          <w:lang w:val="en-US"/>
        </w:rPr>
        <w:t>.</w:t>
      </w:r>
    </w:p>
    <w:p w14:paraId="15D654F8" w14:textId="77777777" w:rsidR="001B7A40" w:rsidRPr="00125645" w:rsidRDefault="001B7A40" w:rsidP="00125645">
      <w:pPr>
        <w:rPr>
          <w:rFonts w:cs="Arial"/>
        </w:rPr>
      </w:pPr>
    </w:p>
    <w:p w14:paraId="1C1B5B6E" w14:textId="7737E44E" w:rsidR="00451ED6" w:rsidRDefault="00451ED6">
      <w:pPr>
        <w:rPr>
          <w:rFonts w:cs="Arial"/>
        </w:rPr>
      </w:pPr>
      <w:r>
        <w:rPr>
          <w:rFonts w:cs="Arial"/>
        </w:rPr>
        <w:br w:type="page"/>
      </w:r>
    </w:p>
    <w:p w14:paraId="363E8B95" w14:textId="52569D22" w:rsidR="001B7A40" w:rsidRDefault="00451ED6" w:rsidP="00451ED6">
      <w:pPr>
        <w:pStyle w:val="Heading1"/>
      </w:pPr>
      <w:bookmarkStart w:id="7" w:name="_Toc225503014"/>
      <w:r>
        <w:lastRenderedPageBreak/>
        <w:t>Appendix</w:t>
      </w:r>
      <w:bookmarkEnd w:id="7"/>
    </w:p>
    <w:p w14:paraId="430983B1" w14:textId="55CD6891" w:rsidR="00451ED6" w:rsidRPr="00451ED6" w:rsidRDefault="00451ED6" w:rsidP="00451ED6">
      <w:pPr>
        <w:pStyle w:val="Heading2"/>
        <w:rPr>
          <w:lang w:val="en-US"/>
        </w:rPr>
      </w:pPr>
      <w:bookmarkStart w:id="8" w:name="_Toc225503015"/>
      <w:r>
        <w:t xml:space="preserve">Appendix 1. </w:t>
      </w:r>
      <w:r w:rsidRPr="00451ED6">
        <w:rPr>
          <w:lang w:val="en-US"/>
        </w:rPr>
        <w:t>Glucose Monitoring</w:t>
      </w:r>
      <w:bookmarkEnd w:id="8"/>
    </w:p>
    <w:p w14:paraId="37785E9C" w14:textId="141D3B98" w:rsidR="00451ED6" w:rsidRDefault="00451ED6" w:rsidP="00451ED6">
      <w:pPr>
        <w:jc w:val="center"/>
      </w:pPr>
      <w:r>
        <w:rPr>
          <w:noProof/>
        </w:rPr>
        <w:drawing>
          <wp:inline distT="0" distB="0" distL="0" distR="0" wp14:anchorId="5B926C24" wp14:editId="0CB36F44">
            <wp:extent cx="4808220" cy="2691836"/>
            <wp:effectExtent l="0" t="0" r="0" b="0"/>
            <wp:docPr id="13214037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20008" cy="2698435"/>
                    </a:xfrm>
                    <a:prstGeom prst="rect">
                      <a:avLst/>
                    </a:prstGeom>
                    <a:noFill/>
                    <a:ln>
                      <a:noFill/>
                    </a:ln>
                  </pic:spPr>
                </pic:pic>
              </a:graphicData>
            </a:graphic>
          </wp:inline>
        </w:drawing>
      </w:r>
    </w:p>
    <w:p w14:paraId="32D5A8BA" w14:textId="1BB369CB" w:rsidR="00451ED6" w:rsidRDefault="00451ED6" w:rsidP="00451ED6">
      <w:pPr>
        <w:jc w:val="center"/>
      </w:pPr>
      <w:r>
        <w:rPr>
          <w:noProof/>
        </w:rPr>
        <w:drawing>
          <wp:inline distT="0" distB="0" distL="0" distR="0" wp14:anchorId="722072B5" wp14:editId="57C08A42">
            <wp:extent cx="4719450" cy="1211580"/>
            <wp:effectExtent l="0" t="0" r="5080" b="7620"/>
            <wp:docPr id="5843183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1379" cy="1224911"/>
                    </a:xfrm>
                    <a:prstGeom prst="rect">
                      <a:avLst/>
                    </a:prstGeom>
                    <a:noFill/>
                    <a:ln>
                      <a:noFill/>
                    </a:ln>
                  </pic:spPr>
                </pic:pic>
              </a:graphicData>
            </a:graphic>
          </wp:inline>
        </w:drawing>
      </w:r>
    </w:p>
    <w:p w14:paraId="301869BC" w14:textId="1877696F" w:rsidR="00451ED6" w:rsidRDefault="00451ED6">
      <w:r>
        <w:br w:type="page"/>
      </w:r>
    </w:p>
    <w:p w14:paraId="15E9C02E" w14:textId="4ACBCDEC" w:rsidR="00451ED6" w:rsidRPr="00451ED6" w:rsidRDefault="00451ED6" w:rsidP="00451ED6">
      <w:pPr>
        <w:pStyle w:val="Heading2"/>
        <w:rPr>
          <w:lang w:val="en-US"/>
        </w:rPr>
      </w:pPr>
      <w:bookmarkStart w:id="9" w:name="_Toc225503016"/>
      <w:r>
        <w:lastRenderedPageBreak/>
        <w:t xml:space="preserve">Appendix 2. Guidelines for </w:t>
      </w:r>
      <w:r>
        <w:rPr>
          <w:lang w:val="en-US"/>
        </w:rPr>
        <w:t>Self-Blood Glucose Monitoring</w:t>
      </w:r>
      <w:bookmarkEnd w:id="9"/>
    </w:p>
    <w:p w14:paraId="3814763B" w14:textId="77777777" w:rsidR="00451ED6" w:rsidRDefault="00451ED6" w:rsidP="00451ED6"/>
    <w:p w14:paraId="55BE1580" w14:textId="6AB8654A" w:rsidR="00451ED6" w:rsidRDefault="00451ED6" w:rsidP="00451ED6">
      <w:pPr>
        <w:jc w:val="center"/>
      </w:pPr>
      <w:r>
        <w:rPr>
          <w:noProof/>
        </w:rPr>
        <w:drawing>
          <wp:inline distT="0" distB="0" distL="0" distR="0" wp14:anchorId="4078F883" wp14:editId="2865F6C3">
            <wp:extent cx="4312920" cy="6096000"/>
            <wp:effectExtent l="0" t="0" r="0" b="0"/>
            <wp:docPr id="824383152" name="Picture 8" descr="Guidelines for Self Blood Glucose monitoring - NHS Rother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uidelines for Self Blood Glucose monitoring - NHS Rotherh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2920" cy="6096000"/>
                    </a:xfrm>
                    <a:prstGeom prst="rect">
                      <a:avLst/>
                    </a:prstGeom>
                    <a:noFill/>
                    <a:ln>
                      <a:noFill/>
                    </a:ln>
                  </pic:spPr>
                </pic:pic>
              </a:graphicData>
            </a:graphic>
          </wp:inline>
        </w:drawing>
      </w:r>
    </w:p>
    <w:p w14:paraId="019EB362" w14:textId="7F2ACE4E" w:rsidR="003A19FA" w:rsidRDefault="003A19FA">
      <w:r>
        <w:br w:type="page"/>
      </w:r>
    </w:p>
    <w:p w14:paraId="2B97D088" w14:textId="69C7CF2A" w:rsidR="003A19FA" w:rsidRDefault="003A19FA" w:rsidP="003A19FA">
      <w:pPr>
        <w:pStyle w:val="Heading2"/>
      </w:pPr>
      <w:bookmarkStart w:id="10" w:name="_Toc225503017"/>
      <w:r>
        <w:lastRenderedPageBreak/>
        <w:t xml:space="preserve">Appendix 3. </w:t>
      </w:r>
      <w:r w:rsidRPr="003A19FA">
        <w:t>Principles and recommendations of diet and nutrition for adult diabetics</w:t>
      </w:r>
      <w:bookmarkEnd w:id="10"/>
    </w:p>
    <w:p w14:paraId="50F34C6B" w14:textId="153CDDB6" w:rsidR="003A19FA" w:rsidRPr="003A19FA" w:rsidRDefault="003A19FA" w:rsidP="003A19FA">
      <w:r>
        <w:rPr>
          <w:noProof/>
        </w:rPr>
        <w:drawing>
          <wp:inline distT="0" distB="0" distL="0" distR="0" wp14:anchorId="3C80D0CE" wp14:editId="00E85E97">
            <wp:extent cx="5731510" cy="3058160"/>
            <wp:effectExtent l="0" t="0" r="2540" b="8890"/>
            <wp:docPr id="582634610" name="Picture 9"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ndefin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058160"/>
                    </a:xfrm>
                    <a:prstGeom prst="rect">
                      <a:avLst/>
                    </a:prstGeom>
                    <a:noFill/>
                    <a:ln>
                      <a:noFill/>
                    </a:ln>
                  </pic:spPr>
                </pic:pic>
              </a:graphicData>
            </a:graphic>
          </wp:inline>
        </w:drawing>
      </w:r>
    </w:p>
    <w:p w14:paraId="28398172" w14:textId="3311FB97" w:rsidR="003A19FA" w:rsidRPr="003A19FA" w:rsidRDefault="003A19FA" w:rsidP="003A19FA">
      <w:pPr>
        <w:jc w:val="center"/>
        <w:rPr>
          <w:rFonts w:cs="Arial"/>
          <w:i/>
          <w:iCs/>
          <w:sz w:val="16"/>
          <w:szCs w:val="16"/>
        </w:rPr>
      </w:pPr>
      <w:r w:rsidRPr="003A19FA">
        <w:rPr>
          <w:rFonts w:cs="Arial"/>
          <w:i/>
          <w:iCs/>
          <w:sz w:val="16"/>
          <w:szCs w:val="16"/>
        </w:rPr>
        <w:t>Source: Guidelines for Diet and Nutrition for Adults with Diabetes (2023 Edition)</w:t>
      </w:r>
    </w:p>
    <w:sectPr w:rsidR="003A19FA" w:rsidRPr="003A19FA" w:rsidSect="0037028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23324" w14:textId="77777777" w:rsidR="0078742C" w:rsidRDefault="0078742C" w:rsidP="00C03A91">
      <w:pPr>
        <w:spacing w:after="0" w:line="240" w:lineRule="auto"/>
      </w:pPr>
      <w:r>
        <w:separator/>
      </w:r>
    </w:p>
  </w:endnote>
  <w:endnote w:type="continuationSeparator" w:id="0">
    <w:p w14:paraId="39DB59C9" w14:textId="77777777" w:rsidR="0078742C" w:rsidRDefault="0078742C"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cs="Arial"/>
        <w:noProof/>
      </w:rPr>
    </w:sdtEndPr>
    <w:sdtContent>
      <w:p w14:paraId="77A430F9" w14:textId="682EAD2D" w:rsidR="00C03A91" w:rsidRPr="00C03A91" w:rsidRDefault="00C03A91">
        <w:pPr>
          <w:pStyle w:val="Footer"/>
          <w:jc w:val="center"/>
          <w:rPr>
            <w:rFonts w:cs="Arial"/>
          </w:rPr>
        </w:pPr>
        <w:r w:rsidRPr="00C03A91">
          <w:rPr>
            <w:rFonts w:cs="Arial"/>
          </w:rPr>
          <w:fldChar w:fldCharType="begin"/>
        </w:r>
        <w:r w:rsidRPr="00C03A91">
          <w:rPr>
            <w:rFonts w:cs="Arial"/>
          </w:rPr>
          <w:instrText xml:space="preserve"> PAGE   \* MERGEFORMAT </w:instrText>
        </w:r>
        <w:r w:rsidRPr="00C03A91">
          <w:rPr>
            <w:rFonts w:cs="Arial"/>
          </w:rPr>
          <w:fldChar w:fldCharType="separate"/>
        </w:r>
        <w:r w:rsidRPr="00C03A91">
          <w:rPr>
            <w:rFonts w:cs="Arial"/>
            <w:noProof/>
          </w:rPr>
          <w:t>2</w:t>
        </w:r>
        <w:r w:rsidRPr="00C03A91">
          <w:rPr>
            <w:rFonts w:cs="Arial"/>
            <w:noProof/>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B15DD" w14:textId="77777777" w:rsidR="0078742C" w:rsidRDefault="0078742C" w:rsidP="00C03A91">
      <w:pPr>
        <w:spacing w:after="0" w:line="240" w:lineRule="auto"/>
      </w:pPr>
      <w:r>
        <w:separator/>
      </w:r>
    </w:p>
  </w:footnote>
  <w:footnote w:type="continuationSeparator" w:id="0">
    <w:p w14:paraId="134007A8" w14:textId="77777777" w:rsidR="0078742C" w:rsidRDefault="0078742C"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0438790">
    <w:abstractNumId w:val="1"/>
  </w:num>
  <w:num w:numId="2" w16cid:durableId="1816216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76D04"/>
    <w:rsid w:val="000B043A"/>
    <w:rsid w:val="000C4EDA"/>
    <w:rsid w:val="000E6D96"/>
    <w:rsid w:val="00125645"/>
    <w:rsid w:val="00133E15"/>
    <w:rsid w:val="00143FC7"/>
    <w:rsid w:val="001B76A8"/>
    <w:rsid w:val="001B7A40"/>
    <w:rsid w:val="001F6DDB"/>
    <w:rsid w:val="00216C85"/>
    <w:rsid w:val="0025458D"/>
    <w:rsid w:val="00273EDD"/>
    <w:rsid w:val="002C3965"/>
    <w:rsid w:val="002D5EDB"/>
    <w:rsid w:val="002E73D7"/>
    <w:rsid w:val="0031697F"/>
    <w:rsid w:val="00321C4C"/>
    <w:rsid w:val="003452B3"/>
    <w:rsid w:val="00367FA1"/>
    <w:rsid w:val="00370282"/>
    <w:rsid w:val="003A19FA"/>
    <w:rsid w:val="003D120B"/>
    <w:rsid w:val="00451ED6"/>
    <w:rsid w:val="004577F7"/>
    <w:rsid w:val="004B6D25"/>
    <w:rsid w:val="004D0297"/>
    <w:rsid w:val="005247B0"/>
    <w:rsid w:val="005635D2"/>
    <w:rsid w:val="005851AD"/>
    <w:rsid w:val="005D5235"/>
    <w:rsid w:val="006C4F03"/>
    <w:rsid w:val="007213E2"/>
    <w:rsid w:val="007333DD"/>
    <w:rsid w:val="0078742C"/>
    <w:rsid w:val="007A7297"/>
    <w:rsid w:val="007E7745"/>
    <w:rsid w:val="007F5C65"/>
    <w:rsid w:val="008353D4"/>
    <w:rsid w:val="00891DAB"/>
    <w:rsid w:val="008C7DDA"/>
    <w:rsid w:val="008D2205"/>
    <w:rsid w:val="008E1823"/>
    <w:rsid w:val="00973342"/>
    <w:rsid w:val="009D1D1E"/>
    <w:rsid w:val="00A035FD"/>
    <w:rsid w:val="00A138EC"/>
    <w:rsid w:val="00AA4DD8"/>
    <w:rsid w:val="00AC3536"/>
    <w:rsid w:val="00B81DBD"/>
    <w:rsid w:val="00BB7331"/>
    <w:rsid w:val="00C03A91"/>
    <w:rsid w:val="00C42315"/>
    <w:rsid w:val="00CB02D0"/>
    <w:rsid w:val="00CC43F1"/>
    <w:rsid w:val="00CD2863"/>
    <w:rsid w:val="00CE3396"/>
    <w:rsid w:val="00CE7A90"/>
    <w:rsid w:val="00D05E41"/>
    <w:rsid w:val="00D73FB0"/>
    <w:rsid w:val="00DA2A1E"/>
    <w:rsid w:val="00DB6D4B"/>
    <w:rsid w:val="00E2038D"/>
    <w:rsid w:val="00E36AD6"/>
    <w:rsid w:val="00E52D04"/>
    <w:rsid w:val="00E7271D"/>
    <w:rsid w:val="00E85609"/>
    <w:rsid w:val="00E93884"/>
    <w:rsid w:val="00EB12BC"/>
    <w:rsid w:val="00ED6CFF"/>
    <w:rsid w:val="00F137E3"/>
    <w:rsid w:val="00F422EB"/>
    <w:rsid w:val="00F44C8F"/>
    <w:rsid w:val="00FC4D35"/>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D04"/>
    <w:pPr>
      <w:spacing w:line="360" w:lineRule="auto"/>
      <w:jc w:val="both"/>
    </w:pPr>
    <w:rPr>
      <w:rFonts w:ascii="Arial" w:hAnsi="Arial"/>
      <w:sz w:val="22"/>
    </w:rPr>
  </w:style>
  <w:style w:type="paragraph" w:styleId="Heading1">
    <w:name w:val="heading 1"/>
    <w:basedOn w:val="Normal"/>
    <w:next w:val="Normal"/>
    <w:link w:val="Heading1Char"/>
    <w:autoRedefine/>
    <w:uiPriority w:val="9"/>
    <w:qFormat/>
    <w:rsid w:val="00076D04"/>
    <w:pPr>
      <w:keepNext/>
      <w:keepLines/>
      <w:spacing w:before="240" w:after="0"/>
      <w:outlineLvl w:val="0"/>
    </w:pPr>
    <w:rPr>
      <w:rFonts w:eastAsiaTheme="majorEastAsia" w:cs="Arial"/>
      <w:b/>
      <w:color w:val="44546A" w:themeColor="text2"/>
      <w:sz w:val="28"/>
      <w:szCs w:val="32"/>
    </w:rPr>
  </w:style>
  <w:style w:type="paragraph" w:styleId="Heading2">
    <w:name w:val="heading 2"/>
    <w:basedOn w:val="Normal"/>
    <w:next w:val="Normal"/>
    <w:link w:val="Heading2Char"/>
    <w:autoRedefine/>
    <w:uiPriority w:val="9"/>
    <w:unhideWhenUsed/>
    <w:qFormat/>
    <w:rsid w:val="00076D04"/>
    <w:pPr>
      <w:keepNext/>
      <w:keepLines/>
      <w:spacing w:before="40" w:after="0"/>
      <w:outlineLvl w:val="1"/>
    </w:pPr>
    <w:rPr>
      <w:rFonts w:eastAsiaTheme="majorEastAsia" w:cstheme="majorBidi"/>
      <w:b/>
      <w:i/>
      <w:sz w:val="24"/>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D04"/>
    <w:rPr>
      <w:rFonts w:ascii="Arial" w:eastAsiaTheme="majorEastAsia" w:hAnsi="Arial" w:cs="Arial"/>
      <w:b/>
      <w:color w:val="44546A" w:themeColor="text2"/>
      <w:sz w:val="28"/>
      <w:szCs w:val="32"/>
    </w:rPr>
  </w:style>
  <w:style w:type="character" w:customStyle="1" w:styleId="Heading2Char">
    <w:name w:val="Heading 2 Char"/>
    <w:basedOn w:val="DefaultParagraphFont"/>
    <w:link w:val="Heading2"/>
    <w:uiPriority w:val="9"/>
    <w:rsid w:val="00076D04"/>
    <w:rPr>
      <w:rFonts w:ascii="Arial" w:eastAsiaTheme="majorEastAsia" w:hAnsi="Arial" w:cstheme="majorBidi"/>
      <w:b/>
      <w:i/>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1B76A8"/>
    <w:pPr>
      <w:spacing w:line="259" w:lineRule="auto"/>
      <w:outlineLvl w:val="9"/>
    </w:pPr>
    <w:rPr>
      <w:rFonts w:asciiTheme="majorHAnsi" w:hAnsiTheme="majorHAnsi" w:cstheme="majorBidi"/>
      <w:b w:val="0"/>
      <w:color w:val="2F5496" w:themeColor="accent1" w:themeShade="BF"/>
      <w:lang w:val="en-US"/>
    </w:rPr>
  </w:style>
  <w:style w:type="paragraph" w:styleId="TOC1">
    <w:name w:val="toc 1"/>
    <w:basedOn w:val="Normal"/>
    <w:next w:val="Normal"/>
    <w:autoRedefine/>
    <w:uiPriority w:val="39"/>
    <w:unhideWhenUsed/>
    <w:rsid w:val="003A19FA"/>
    <w:pPr>
      <w:tabs>
        <w:tab w:val="right" w:leader="dot" w:pos="9016"/>
      </w:tabs>
      <w:spacing w:after="100"/>
    </w:pPr>
  </w:style>
  <w:style w:type="paragraph" w:styleId="Caption">
    <w:name w:val="caption"/>
    <w:basedOn w:val="Normal"/>
    <w:next w:val="Normal"/>
    <w:uiPriority w:val="35"/>
    <w:unhideWhenUsed/>
    <w:qFormat/>
    <w:rsid w:val="00133E15"/>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3A19F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9F30-27A9-4E10-85CE-F76628BED7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Mercy Reoja Fiel (2427852)</cp:lastModifiedBy>
  <cp:revision>2</cp:revision>
  <dcterms:created xsi:type="dcterms:W3CDTF">2026-04-09T07:59:00Z</dcterms:created>
  <dcterms:modified xsi:type="dcterms:W3CDTF">2026-04-09T07:59:00Z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25f9ed2c-5c9d-46d5-971b-7b629893b589</vt:lpwstr>
  </property>
</Properties>
</file>