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259"/>
        <w:jc w:val="center"/>
        <w:rPr>
          <w:b/>
          <w:bCs/>
          <w:sz w:val="36"/>
          <w:szCs w:val="36"/>
        </w:rPr>
      </w:pPr>
      <w:r>
        <w:rPr>
          <w:noProof/>
        </w:rPr>
        <w:drawing>
          <wp:inline distL="0" distT="0" distB="0" distR="0">
            <wp:extent cx="3495675" cy="1304925"/>
            <wp:effectExtent l="0" t="0" r="9525" b="9525"/>
            <wp:docPr id="1026" name="Picture 1" descr="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3495675" cy="1304925"/>
                    </a:xfrm>
                    <a:prstGeom prst="rect"/>
                    <a:ln>
                      <a:noFill/>
                    </a:ln>
                  </pic:spPr>
                </pic:pic>
              </a:graphicData>
            </a:graphic>
          </wp:inline>
        </w:drawing>
      </w:r>
    </w:p>
    <w:p>
      <w:pPr>
        <w:pStyle w:val="style0"/>
        <w:spacing w:lineRule="auto" w:line="259"/>
        <w:rPr>
          <w:b/>
          <w:bCs/>
          <w:sz w:val="36"/>
          <w:szCs w:val="36"/>
        </w:rPr>
      </w:pPr>
    </w:p>
    <w:p>
      <w:pPr>
        <w:pStyle w:val="style0"/>
        <w:spacing w:lineRule="auto" w:line="259"/>
        <w:jc w:val="center"/>
        <w:rPr>
          <w:b/>
          <w:bCs/>
          <w:sz w:val="36"/>
          <w:szCs w:val="36"/>
        </w:rPr>
      </w:pPr>
      <w:r>
        <w:rPr>
          <w:b/>
          <w:bCs/>
          <w:sz w:val="36"/>
          <w:szCs w:val="36"/>
        </w:rPr>
        <w:t>Module Name: Strategic Management</w:t>
      </w:r>
    </w:p>
    <w:p>
      <w:pPr>
        <w:pStyle w:val="style0"/>
        <w:spacing w:lineRule="auto" w:line="259"/>
        <w:jc w:val="center"/>
        <w:rPr>
          <w:b/>
          <w:bCs/>
          <w:sz w:val="36"/>
          <w:szCs w:val="36"/>
        </w:rPr>
      </w:pPr>
      <w:r>
        <w:rPr>
          <w:b/>
          <w:bCs/>
          <w:sz w:val="36"/>
          <w:szCs w:val="36"/>
        </w:rPr>
        <w:t>Module code: LCMB7003</w:t>
      </w:r>
    </w:p>
    <w:p>
      <w:pPr>
        <w:pStyle w:val="style0"/>
        <w:spacing w:lineRule="auto" w:line="259"/>
        <w:jc w:val="center"/>
        <w:rPr>
          <w:b/>
          <w:bCs/>
          <w:sz w:val="36"/>
          <w:szCs w:val="36"/>
        </w:rPr>
      </w:pPr>
      <w:r>
        <w:rPr>
          <w:b/>
          <w:bCs/>
          <w:sz w:val="36"/>
          <w:szCs w:val="36"/>
        </w:rPr>
        <w:t xml:space="preserve">Lecturer Name: Dr Jayalakshmi </w:t>
      </w:r>
      <w:r>
        <w:rPr>
          <w:b/>
          <w:bCs/>
          <w:sz w:val="36"/>
          <w:szCs w:val="36"/>
        </w:rPr>
        <w:t xml:space="preserve">Gopalkrishnan </w:t>
      </w:r>
      <w:r>
        <w:rPr>
          <w:b/>
          <w:bCs/>
          <w:sz w:val="36"/>
          <w:szCs w:val="36"/>
          <w:lang w:val="en-US"/>
        </w:rPr>
        <w:t>&amp; Dr. Shengfeng Mei</w:t>
      </w:r>
    </w:p>
    <w:p>
      <w:pPr>
        <w:pStyle w:val="style0"/>
        <w:spacing w:lineRule="auto" w:line="259"/>
        <w:jc w:val="center"/>
        <w:rPr>
          <w:b/>
          <w:bCs/>
          <w:sz w:val="36"/>
          <w:szCs w:val="36"/>
        </w:rPr>
      </w:pPr>
      <w:r>
        <w:rPr>
          <w:b/>
          <w:bCs/>
          <w:sz w:val="36"/>
          <w:szCs w:val="36"/>
        </w:rPr>
        <w:t xml:space="preserve">Student Name: Syed </w:t>
      </w:r>
      <w:r>
        <w:rPr>
          <w:b/>
          <w:bCs/>
          <w:sz w:val="36"/>
          <w:szCs w:val="36"/>
        </w:rPr>
        <w:t>Tahbib</w:t>
      </w:r>
      <w:r>
        <w:rPr>
          <w:b/>
          <w:bCs/>
          <w:sz w:val="36"/>
          <w:szCs w:val="36"/>
        </w:rPr>
        <w:t xml:space="preserve"> Baksh</w:t>
      </w:r>
    </w:p>
    <w:p>
      <w:pPr>
        <w:pStyle w:val="style0"/>
        <w:spacing w:lineRule="auto" w:line="259"/>
        <w:jc w:val="center"/>
        <w:rPr>
          <w:rFonts w:cs="Times New Roman" w:eastAsia="宋体"/>
          <w:b/>
          <w:bCs/>
          <w:color w:val="000000"/>
          <w:sz w:val="36"/>
          <w:szCs w:val="36"/>
        </w:rPr>
      </w:pPr>
      <w:r>
        <w:rPr>
          <w:b/>
          <w:bCs/>
          <w:sz w:val="36"/>
          <w:szCs w:val="36"/>
        </w:rPr>
        <w:t>Student ID: 2431869</w:t>
      </w:r>
      <w:r>
        <w:rPr>
          <w:b/>
          <w:bCs/>
          <w:sz w:val="36"/>
          <w:szCs w:val="36"/>
        </w:rPr>
        <w:br w:type="page"/>
      </w:r>
    </w:p>
    <w:p>
      <w:pPr>
        <w:pStyle w:val="style266"/>
        <w:rPr/>
      </w:pPr>
      <w:r>
        <w:t>Table of Contents</w:t>
      </w:r>
    </w:p>
    <w:p>
      <w:pPr>
        <w:pStyle w:val="style19"/>
        <w:tabs>
          <w:tab w:val="right" w:leader="dot" w:pos="9350"/>
        </w:tabs>
        <w:rPr>
          <w:rFonts w:ascii="Calibri" w:eastAsia="宋体" w:hAnsi="Calibri"/>
          <w:noProof/>
          <w:sz w:val="22"/>
          <w:lang w:val="en-US"/>
        </w:rPr>
      </w:pPr>
      <w:r>
        <w:rPr/>
        <w:fldChar w:fldCharType="begin"/>
      </w:r>
      <w:r>
        <w:instrText xml:space="preserve"> TOC \o "1-3" \h \z \u </w:instrText>
      </w:r>
      <w:r>
        <w:rPr/>
        <w:fldChar w:fldCharType="separate"/>
      </w:r>
      <w:r>
        <w:rPr/>
        <w:fldChar w:fldCharType="begin"/>
      </w:r>
      <w:r>
        <w:instrText xml:space="preserve"> HYPERLINK \l "_Toc217246742" </w:instrText>
      </w:r>
      <w:r>
        <w:rPr/>
        <w:fldChar w:fldCharType="separate"/>
      </w:r>
      <w:r>
        <w:rPr>
          <w:rStyle w:val="style85"/>
          <w:noProof/>
        </w:rPr>
        <w:t>1.0 Introduction</w:t>
      </w:r>
      <w:r>
        <w:rPr>
          <w:noProof/>
          <w:webHidden/>
        </w:rPr>
        <w:tab/>
      </w:r>
      <w:r>
        <w:rPr>
          <w:noProof/>
          <w:webHidden/>
        </w:rPr>
        <w:fldChar w:fldCharType="begin"/>
      </w:r>
      <w:r>
        <w:rPr>
          <w:noProof/>
          <w:webHidden/>
        </w:rPr>
        <w:instrText xml:space="preserve"> PAGEREF _Toc217246742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"_Toc217246743" </w:instrText>
      </w:r>
      <w:r>
        <w:rPr/>
        <w:fldChar w:fldCharType="separate"/>
      </w:r>
      <w:r>
        <w:rPr>
          <w:rStyle w:val="style85"/>
          <w:noProof/>
        </w:rPr>
        <w:t>1.1 Background</w:t>
      </w:r>
      <w:r>
        <w:rPr>
          <w:noProof/>
          <w:webHidden/>
        </w:rPr>
        <w:tab/>
      </w:r>
      <w:r>
        <w:rPr>
          <w:noProof/>
          <w:webHidden/>
        </w:rPr>
        <w:fldChar w:fldCharType="begin"/>
      </w:r>
      <w:r>
        <w:rPr>
          <w:noProof/>
          <w:webHidden/>
        </w:rPr>
        <w:instrText xml:space="preserve"> PAGEREF _Toc217246743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"_Toc217246744" </w:instrText>
      </w:r>
      <w:r>
        <w:rPr/>
        <w:fldChar w:fldCharType="separate"/>
      </w:r>
      <w:r>
        <w:rPr>
          <w:rStyle w:val="style85"/>
          <w:noProof/>
        </w:rPr>
        <w:t>1.2 Report Aim &amp; Objectives</w:t>
      </w:r>
      <w:r>
        <w:rPr>
          <w:noProof/>
          <w:webHidden/>
        </w:rPr>
        <w:tab/>
      </w:r>
      <w:r>
        <w:rPr>
          <w:noProof/>
          <w:webHidden/>
        </w:rPr>
        <w:fldChar w:fldCharType="begin"/>
      </w:r>
      <w:r>
        <w:rPr>
          <w:noProof/>
          <w:webHidden/>
        </w:rPr>
        <w:instrText xml:space="preserve"> PAGEREF _Toc217246744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"_Toc217246745" </w:instrText>
      </w:r>
      <w:r>
        <w:rPr/>
        <w:fldChar w:fldCharType="separate"/>
      </w:r>
      <w:r>
        <w:rPr>
          <w:rStyle w:val="style85"/>
          <w:noProof/>
        </w:rPr>
        <w:t>1.3 Company Overview</w:t>
      </w:r>
      <w:r>
        <w:rPr>
          <w:noProof/>
          <w:webHidden/>
        </w:rPr>
        <w:tab/>
      </w:r>
      <w:r>
        <w:rPr>
          <w:noProof/>
          <w:webHidden/>
        </w:rPr>
        <w:fldChar w:fldCharType="begin"/>
      </w:r>
      <w:r>
        <w:rPr>
          <w:noProof/>
          <w:webHidden/>
        </w:rPr>
        <w:instrText xml:space="preserve"> PAGEREF _Toc217246745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"_Toc217246746" </w:instrText>
      </w:r>
      <w:r>
        <w:rPr/>
        <w:fldChar w:fldCharType="separate"/>
      </w:r>
      <w:r>
        <w:rPr>
          <w:rStyle w:val="style85"/>
          <w:noProof/>
        </w:rPr>
        <w:t>1.4 Report Structure:</w:t>
      </w:r>
      <w:r>
        <w:rPr>
          <w:noProof/>
          <w:webHidden/>
        </w:rPr>
        <w:tab/>
      </w:r>
      <w:r>
        <w:rPr>
          <w:noProof/>
          <w:webHidden/>
        </w:rPr>
        <w:fldChar w:fldCharType="begin"/>
      </w:r>
      <w:r>
        <w:rPr>
          <w:noProof/>
          <w:webHidden/>
        </w:rPr>
        <w:instrText xml:space="preserve"> PAGEREF _Toc217246746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ascii="Calibri" w:eastAsia="宋体" w:hAnsi="Calibri"/>
          <w:noProof/>
          <w:sz w:val="22"/>
          <w:lang w:val="en-US"/>
        </w:rPr>
      </w:pPr>
      <w:r>
        <w:rPr/>
        <w:fldChar w:fldCharType="begin"/>
      </w:r>
      <w:r>
        <w:instrText xml:space="preserve"> HYPERLINK \l "_Toc217246747" </w:instrText>
      </w:r>
      <w:r>
        <w:rPr/>
        <w:fldChar w:fldCharType="separate"/>
      </w:r>
      <w:r>
        <w:rPr>
          <w:rStyle w:val="style85"/>
          <w:noProof/>
        </w:rPr>
        <w:t>2.0 Selection of Organisation and Target Market</w:t>
      </w:r>
      <w:r>
        <w:rPr>
          <w:noProof/>
          <w:webHidden/>
        </w:rPr>
        <w:tab/>
      </w:r>
      <w:r>
        <w:rPr>
          <w:noProof/>
          <w:webHidden/>
        </w:rPr>
        <w:fldChar w:fldCharType="begin"/>
      </w:r>
      <w:r>
        <w:rPr>
          <w:noProof/>
          <w:webHidden/>
        </w:rPr>
        <w:instrText xml:space="preserve"> PAGEREF _Toc217246747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"_Toc217246748" </w:instrText>
      </w:r>
      <w:r>
        <w:rPr/>
        <w:fldChar w:fldCharType="separate"/>
      </w:r>
      <w:r>
        <w:rPr>
          <w:rStyle w:val="style85"/>
          <w:noProof/>
        </w:rPr>
        <w:t>2.1 Justification for Selecting Aldi</w:t>
      </w:r>
      <w:r>
        <w:rPr>
          <w:noProof/>
          <w:webHidden/>
        </w:rPr>
        <w:tab/>
      </w:r>
      <w:r>
        <w:rPr>
          <w:noProof/>
          <w:webHidden/>
        </w:rPr>
        <w:fldChar w:fldCharType="begin"/>
      </w:r>
      <w:r>
        <w:rPr>
          <w:noProof/>
          <w:webHidden/>
        </w:rPr>
        <w:instrText xml:space="preserve"> PAGEREF _Toc217246748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"_Toc217246749" </w:instrText>
      </w:r>
      <w:r>
        <w:rPr/>
        <w:fldChar w:fldCharType="separate"/>
      </w:r>
      <w:r>
        <w:rPr>
          <w:rStyle w:val="style85"/>
          <w:noProof/>
        </w:rPr>
        <w:t>2.2 Justification for Selecting Finland as the Target Market</w:t>
      </w:r>
      <w:r>
        <w:rPr>
          <w:noProof/>
          <w:webHidden/>
        </w:rPr>
        <w:tab/>
      </w:r>
      <w:r>
        <w:rPr>
          <w:noProof/>
          <w:webHidden/>
        </w:rPr>
        <w:fldChar w:fldCharType="begin"/>
      </w:r>
      <w:r>
        <w:rPr>
          <w:noProof/>
          <w:webHidden/>
        </w:rPr>
        <w:instrText xml:space="preserve"> PAGEREF _Toc217246749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noProof/>
          <w:sz w:val="22"/>
          <w:lang w:val="en-US"/>
        </w:rPr>
      </w:pPr>
      <w:r>
        <w:rPr/>
        <w:fldChar w:fldCharType="begin"/>
      </w:r>
      <w:r>
        <w:instrText xml:space="preserve"> HYPERLINK \l "_Toc217246750" </w:instrText>
      </w:r>
      <w:r>
        <w:rPr/>
        <w:fldChar w:fldCharType="separate"/>
      </w:r>
      <w:r>
        <w:rPr>
          <w:rStyle w:val="style85"/>
          <w:noProof/>
        </w:rPr>
        <w:t>3.0 Comprehensive Strategic Analysis</w:t>
      </w:r>
      <w:r>
        <w:rPr>
          <w:noProof/>
          <w:webHidden/>
        </w:rPr>
        <w:tab/>
      </w:r>
      <w:r>
        <w:rPr>
          <w:noProof/>
          <w:webHidden/>
        </w:rPr>
        <w:fldChar w:fldCharType="begin"/>
      </w:r>
      <w:r>
        <w:rPr>
          <w:noProof/>
          <w:webHidden/>
        </w:rPr>
        <w:instrText xml:space="preserve"> PAGEREF _Toc217246750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"_Toc217246751" </w:instrText>
      </w:r>
      <w:r>
        <w:rPr/>
        <w:fldChar w:fldCharType="separate"/>
      </w:r>
      <w:r>
        <w:rPr>
          <w:rStyle w:val="style85"/>
          <w:noProof/>
        </w:rPr>
        <w:t>3.1 External Environment Analysis</w:t>
      </w:r>
      <w:r>
        <w:rPr>
          <w:noProof/>
          <w:webHidden/>
        </w:rPr>
        <w:tab/>
      </w:r>
      <w:r>
        <w:rPr>
          <w:noProof/>
          <w:webHidden/>
        </w:rPr>
        <w:fldChar w:fldCharType="begin"/>
      </w:r>
      <w:r>
        <w:rPr>
          <w:noProof/>
          <w:webHidden/>
        </w:rPr>
        <w:instrText xml:space="preserve"> PAGEREF _Toc217246751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"_Toc217246752" </w:instrText>
      </w:r>
      <w:r>
        <w:rPr/>
        <w:fldChar w:fldCharType="separate"/>
      </w:r>
      <w:r>
        <w:rPr>
          <w:rStyle w:val="style85"/>
          <w:noProof/>
        </w:rPr>
        <w:t>3.2 Internal Environment Analysis:</w:t>
      </w:r>
      <w:r>
        <w:rPr>
          <w:noProof/>
          <w:webHidden/>
        </w:rPr>
        <w:tab/>
      </w:r>
      <w:r>
        <w:rPr>
          <w:noProof/>
          <w:webHidden/>
        </w:rPr>
        <w:fldChar w:fldCharType="begin"/>
      </w:r>
      <w:r>
        <w:rPr>
          <w:noProof/>
          <w:webHidden/>
        </w:rPr>
        <w:instrText xml:space="preserve"> PAGEREF _Toc217246752 \h </w:instrText>
      </w:r>
      <w:r>
        <w:rPr>
          <w:noProof/>
          <w:webHidden/>
        </w:rPr>
        <w:fldChar w:fldCharType="separate"/>
      </w:r>
      <w:r>
        <w:rPr>
          <w:noProof/>
          <w:webHidden/>
        </w:rPr>
        <w:t>19</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"_Toc217246753" </w:instrText>
      </w:r>
      <w:r>
        <w:rPr/>
        <w:fldChar w:fldCharType="separate"/>
      </w:r>
      <w:r>
        <w:rPr>
          <w:rStyle w:val="style85"/>
          <w:noProof/>
        </w:rPr>
        <w:t>3.3 Synthesis and Key Findings of SWOT Summary</w:t>
      </w:r>
      <w:r>
        <w:rPr>
          <w:noProof/>
          <w:webHidden/>
        </w:rPr>
        <w:tab/>
      </w:r>
      <w:r>
        <w:rPr>
          <w:noProof/>
          <w:webHidden/>
        </w:rPr>
        <w:fldChar w:fldCharType="begin"/>
      </w:r>
      <w:r>
        <w:rPr>
          <w:noProof/>
          <w:webHidden/>
        </w:rPr>
        <w:instrText xml:space="preserve"> PAGEREF _Toc217246753 \h </w:instrText>
      </w:r>
      <w:r>
        <w:rPr>
          <w:noProof/>
          <w:webHidden/>
        </w:rPr>
        <w:fldChar w:fldCharType="separate"/>
      </w:r>
      <w:r>
        <w:rPr>
          <w:noProof/>
          <w:webHidden/>
        </w:rPr>
        <w:t>21</w:t>
      </w:r>
      <w:r>
        <w:rPr>
          <w:noProof/>
          <w:webHidden/>
        </w:rPr>
        <w:fldChar w:fldCharType="end"/>
      </w:r>
      <w:r>
        <w:rPr/>
        <w:fldChar w:fldCharType="end"/>
      </w:r>
    </w:p>
    <w:p>
      <w:pPr>
        <w:pStyle w:val="style19"/>
        <w:tabs>
          <w:tab w:val="right" w:leader="dot" w:pos="9350"/>
        </w:tabs>
        <w:rPr>
          <w:rFonts w:ascii="Calibri" w:eastAsia="宋体" w:hAnsi="Calibri"/>
          <w:noProof/>
          <w:sz w:val="22"/>
          <w:lang w:val="en-US"/>
        </w:rPr>
      </w:pPr>
      <w:r>
        <w:rPr/>
        <w:fldChar w:fldCharType="begin"/>
      </w:r>
      <w:r>
        <w:instrText xml:space="preserve"> HYPERLINK \l "_Toc217246754" </w:instrText>
      </w:r>
      <w:r>
        <w:rPr/>
        <w:fldChar w:fldCharType="separate"/>
      </w:r>
      <w:r>
        <w:rPr>
          <w:rStyle w:val="style85"/>
          <w:noProof/>
        </w:rPr>
        <w:t>4.0 Strategy Development and Formulation</w:t>
      </w:r>
      <w:r>
        <w:rPr>
          <w:noProof/>
          <w:webHidden/>
        </w:rPr>
        <w:tab/>
      </w:r>
      <w:r>
        <w:rPr>
          <w:noProof/>
          <w:webHidden/>
        </w:rPr>
        <w:fldChar w:fldCharType="begin"/>
      </w:r>
      <w:r>
        <w:rPr>
          <w:noProof/>
          <w:webHidden/>
        </w:rPr>
        <w:instrText xml:space="preserve"> PAGEREF _Toc217246754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"_Toc217246755" </w:instrText>
      </w:r>
      <w:r>
        <w:rPr/>
        <w:fldChar w:fldCharType="separate"/>
      </w:r>
      <w:r>
        <w:rPr>
          <w:rStyle w:val="style85"/>
          <w:noProof/>
        </w:rPr>
        <w:t>4.1 Strategic Direction and Objectives</w:t>
      </w:r>
      <w:r>
        <w:rPr>
          <w:noProof/>
          <w:webHidden/>
        </w:rPr>
        <w:tab/>
      </w:r>
      <w:r>
        <w:rPr>
          <w:noProof/>
          <w:webHidden/>
        </w:rPr>
        <w:fldChar w:fldCharType="begin"/>
      </w:r>
      <w:r>
        <w:rPr>
          <w:noProof/>
          <w:webHidden/>
        </w:rPr>
        <w:instrText xml:space="preserve"> PAGEREF _Toc217246755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"_Toc217246756" </w:instrText>
      </w:r>
      <w:r>
        <w:rPr/>
        <w:fldChar w:fldCharType="separate"/>
      </w:r>
      <w:r>
        <w:rPr>
          <w:rStyle w:val="style85"/>
          <w:noProof/>
        </w:rPr>
        <w:t>4.2 Market Entry Strategy</w:t>
      </w:r>
      <w:r>
        <w:rPr>
          <w:noProof/>
          <w:webHidden/>
        </w:rPr>
        <w:tab/>
      </w:r>
      <w:r>
        <w:rPr>
          <w:noProof/>
          <w:webHidden/>
        </w:rPr>
        <w:fldChar w:fldCharType="begin"/>
      </w:r>
      <w:r>
        <w:rPr>
          <w:noProof/>
          <w:webHidden/>
        </w:rPr>
        <w:instrText xml:space="preserve"> PAGEREF _Toc217246756 \h </w:instrText>
      </w:r>
      <w:r>
        <w:rPr>
          <w:noProof/>
          <w:webHidden/>
        </w:rPr>
        <w:fldChar w:fldCharType="separate"/>
      </w:r>
      <w:r>
        <w:rPr>
          <w:noProof/>
          <w:webHidden/>
        </w:rPr>
        <w:t>24</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"_Toc217246757" </w:instrText>
      </w:r>
      <w:r>
        <w:rPr/>
        <w:fldChar w:fldCharType="separate"/>
      </w:r>
      <w:r>
        <w:rPr>
          <w:rStyle w:val="style85"/>
          <w:noProof/>
        </w:rPr>
        <w:t>4.3 Competitive Strategy</w:t>
      </w:r>
      <w:r>
        <w:rPr>
          <w:noProof/>
          <w:webHidden/>
        </w:rPr>
        <w:tab/>
      </w:r>
      <w:r>
        <w:rPr>
          <w:noProof/>
          <w:webHidden/>
        </w:rPr>
        <w:fldChar w:fldCharType="begin"/>
      </w:r>
      <w:r>
        <w:rPr>
          <w:noProof/>
          <w:webHidden/>
        </w:rPr>
        <w:instrText xml:space="preserve"> PAGEREF _Toc217246757 \h </w:instrText>
      </w:r>
      <w:r>
        <w:rPr>
          <w:noProof/>
          <w:webHidden/>
        </w:rPr>
        <w:fldChar w:fldCharType="separate"/>
      </w:r>
      <w:r>
        <w:rPr>
          <w:noProof/>
          <w:webHidden/>
        </w:rPr>
        <w:t>25</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"_Toc217246758" </w:instrText>
      </w:r>
      <w:r>
        <w:rPr/>
        <w:fldChar w:fldCharType="separate"/>
      </w:r>
      <w:r>
        <w:rPr>
          <w:rStyle w:val="style85"/>
          <w:noProof/>
        </w:rPr>
        <w:t>4.4 Implementation Considerations</w:t>
      </w:r>
      <w:r>
        <w:rPr>
          <w:noProof/>
          <w:webHidden/>
        </w:rPr>
        <w:tab/>
      </w:r>
      <w:r>
        <w:rPr>
          <w:noProof/>
          <w:webHidden/>
        </w:rPr>
        <w:fldChar w:fldCharType="begin"/>
      </w:r>
      <w:r>
        <w:rPr>
          <w:noProof/>
          <w:webHidden/>
        </w:rPr>
        <w:instrText xml:space="preserve"> PAGEREF _Toc217246758 \h </w:instrText>
      </w:r>
      <w:r>
        <w:rPr>
          <w:noProof/>
          <w:webHidden/>
        </w:rPr>
        <w:fldChar w:fldCharType="separate"/>
      </w:r>
      <w:r>
        <w:rPr>
          <w:noProof/>
          <w:webHidden/>
        </w:rPr>
        <w:t>26</w:t>
      </w:r>
      <w:r>
        <w:rPr>
          <w:noProof/>
          <w:webHidden/>
        </w:rPr>
        <w:fldChar w:fldCharType="end"/>
      </w:r>
      <w:r>
        <w:rPr/>
        <w:fldChar w:fldCharType="end"/>
      </w:r>
    </w:p>
    <w:p>
      <w:pPr>
        <w:pStyle w:val="style19"/>
        <w:tabs>
          <w:tab w:val="right" w:leader="dot" w:pos="9350"/>
        </w:tabs>
        <w:rPr>
          <w:rFonts w:ascii="Calibri" w:eastAsia="宋体" w:hAnsi="Calibri"/>
          <w:noProof/>
          <w:sz w:val="22"/>
          <w:lang w:val="en-US"/>
        </w:rPr>
      </w:pPr>
      <w:r>
        <w:rPr/>
        <w:fldChar w:fldCharType="begin"/>
      </w:r>
      <w:r>
        <w:instrText xml:space="preserve"> HYPERLINK \l "_Toc217246759" </w:instrText>
      </w:r>
      <w:r>
        <w:rPr/>
        <w:fldChar w:fldCharType="separate"/>
      </w:r>
      <w:r>
        <w:rPr>
          <w:rStyle w:val="style85"/>
          <w:noProof/>
        </w:rPr>
        <w:t>5.0 Performance Evaluation Framework</w:t>
      </w:r>
      <w:r>
        <w:rPr>
          <w:noProof/>
          <w:webHidden/>
        </w:rPr>
        <w:tab/>
      </w:r>
      <w:r>
        <w:rPr>
          <w:noProof/>
          <w:webHidden/>
        </w:rPr>
        <w:fldChar w:fldCharType="begin"/>
      </w:r>
      <w:r>
        <w:rPr>
          <w:noProof/>
          <w:webHidden/>
        </w:rPr>
        <w:instrText xml:space="preserve"> PAGEREF _Toc217246759 \h </w:instrText>
      </w:r>
      <w:r>
        <w:rPr>
          <w:noProof/>
          <w:webHidden/>
        </w:rPr>
        <w:fldChar w:fldCharType="separate"/>
      </w:r>
      <w:r>
        <w:rPr>
          <w:noProof/>
          <w:webHidden/>
        </w:rPr>
        <w:t>26</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"_Toc217246760" </w:instrText>
      </w:r>
      <w:r>
        <w:rPr/>
        <w:fldChar w:fldCharType="separate"/>
      </w:r>
      <w:r>
        <w:rPr>
          <w:rStyle w:val="style85"/>
          <w:noProof/>
        </w:rPr>
        <w:t>5.1 Framework Selection</w:t>
      </w:r>
      <w:r>
        <w:rPr>
          <w:noProof/>
          <w:webHidden/>
        </w:rPr>
        <w:tab/>
      </w:r>
      <w:r>
        <w:rPr>
          <w:noProof/>
          <w:webHidden/>
        </w:rPr>
        <w:fldChar w:fldCharType="begin"/>
      </w:r>
      <w:r>
        <w:rPr>
          <w:noProof/>
          <w:webHidden/>
        </w:rPr>
        <w:instrText xml:space="preserve"> PAGEREF _Toc217246760 \h </w:instrText>
      </w:r>
      <w:r>
        <w:rPr>
          <w:noProof/>
          <w:webHidden/>
        </w:rPr>
        <w:fldChar w:fldCharType="separate"/>
      </w:r>
      <w:r>
        <w:rPr>
          <w:noProof/>
          <w:webHidden/>
        </w:rPr>
        <w:t>26</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"_Toc217246761" </w:instrText>
      </w:r>
      <w:r>
        <w:rPr/>
        <w:fldChar w:fldCharType="separate"/>
      </w:r>
      <w:r>
        <w:rPr>
          <w:rStyle w:val="style85"/>
          <w:noProof/>
        </w:rPr>
        <w:t>5.2 Balanced Scorecard Quadrant Analysis</w:t>
      </w:r>
      <w:r>
        <w:rPr>
          <w:noProof/>
          <w:webHidden/>
        </w:rPr>
        <w:tab/>
      </w:r>
      <w:r>
        <w:rPr>
          <w:noProof/>
          <w:webHidden/>
        </w:rPr>
        <w:fldChar w:fldCharType="begin"/>
      </w:r>
      <w:r>
        <w:rPr>
          <w:noProof/>
          <w:webHidden/>
        </w:rPr>
        <w:instrText xml:space="preserve"> PAGEREF _Toc217246761 \h </w:instrText>
      </w:r>
      <w:r>
        <w:rPr>
          <w:noProof/>
          <w:webHidden/>
        </w:rPr>
        <w:fldChar w:fldCharType="separate"/>
      </w:r>
      <w:r>
        <w:rPr>
          <w:noProof/>
          <w:webHidden/>
        </w:rPr>
        <w:t>27</w:t>
      </w:r>
      <w:r>
        <w:rPr>
          <w:noProof/>
          <w:webHidden/>
        </w:rPr>
        <w:fldChar w:fldCharType="end"/>
      </w:r>
      <w:r>
        <w:rPr/>
        <w:fldChar w:fldCharType="end"/>
      </w:r>
    </w:p>
    <w:p>
      <w:pPr>
        <w:pStyle w:val="style19"/>
        <w:tabs>
          <w:tab w:val="right" w:leader="dot" w:pos="9350"/>
        </w:tabs>
        <w:rPr>
          <w:rFonts w:ascii="Calibri" w:eastAsia="宋体" w:hAnsi="Calibri"/>
          <w:noProof/>
          <w:sz w:val="22"/>
          <w:lang w:val="en-US"/>
        </w:rPr>
      </w:pPr>
      <w:r>
        <w:rPr/>
        <w:fldChar w:fldCharType="begin"/>
      </w:r>
      <w:r>
        <w:instrText xml:space="preserve"> HYPERLINK \l "_Toc217246762" </w:instrText>
      </w:r>
      <w:r>
        <w:rPr/>
        <w:fldChar w:fldCharType="separate"/>
      </w:r>
      <w:r>
        <w:rPr>
          <w:rStyle w:val="style85"/>
          <w:noProof/>
        </w:rPr>
        <w:t>6.0 Conclusion and Recommendations</w:t>
      </w:r>
      <w:r>
        <w:rPr>
          <w:noProof/>
          <w:webHidden/>
        </w:rPr>
        <w:tab/>
      </w:r>
      <w:r>
        <w:rPr>
          <w:noProof/>
          <w:webHidden/>
        </w:rPr>
        <w:fldChar w:fldCharType="begin"/>
      </w:r>
      <w:r>
        <w:rPr>
          <w:noProof/>
          <w:webHidden/>
        </w:rPr>
        <w:instrText xml:space="preserve"> PAGEREF _Toc217246762 \h </w:instrText>
      </w:r>
      <w:r>
        <w:rPr>
          <w:noProof/>
          <w:webHidden/>
        </w:rPr>
        <w:fldChar w:fldCharType="separate"/>
      </w:r>
      <w:r>
        <w:rPr>
          <w:noProof/>
          <w:webHidden/>
        </w:rPr>
        <w:t>28</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"_Toc217246763" </w:instrText>
      </w:r>
      <w:r>
        <w:rPr/>
        <w:fldChar w:fldCharType="separate"/>
      </w:r>
      <w:r>
        <w:rPr>
          <w:rStyle w:val="style85"/>
          <w:noProof/>
        </w:rPr>
        <w:t>6.1 Summary of Key Arguments</w:t>
      </w:r>
      <w:r>
        <w:rPr>
          <w:noProof/>
          <w:webHidden/>
        </w:rPr>
        <w:tab/>
      </w:r>
      <w:r>
        <w:rPr>
          <w:noProof/>
          <w:webHidden/>
        </w:rPr>
        <w:fldChar w:fldCharType="begin"/>
      </w:r>
      <w:r>
        <w:rPr>
          <w:noProof/>
          <w:webHidden/>
        </w:rPr>
        <w:instrText xml:space="preserve"> PAGEREF _Toc217246763 \h </w:instrText>
      </w:r>
      <w:r>
        <w:rPr>
          <w:noProof/>
          <w:webHidden/>
        </w:rPr>
        <w:fldChar w:fldCharType="separate"/>
      </w:r>
      <w:r>
        <w:rPr>
          <w:noProof/>
          <w:webHidden/>
        </w:rPr>
        <w:t>28</w:t>
      </w:r>
      <w:r>
        <w:rPr>
          <w:noProof/>
          <w:webHidden/>
        </w:rPr>
        <w:fldChar w:fldCharType="end"/>
      </w:r>
      <w:r>
        <w:rPr/>
        <w:fldChar w:fldCharType="end"/>
      </w:r>
    </w:p>
    <w:p>
      <w:pPr>
        <w:pStyle w:val="style20"/>
        <w:tabs>
          <w:tab w:val="right" w:leader="dot" w:pos="9350"/>
        </w:tabs>
        <w:rPr>
          <w:rFonts w:ascii="Calibri" w:eastAsia="宋体" w:hAnsi="Calibri"/>
          <w:noProof/>
          <w:sz w:val="22"/>
          <w:lang w:val="en-US"/>
        </w:rPr>
      </w:pPr>
      <w:r>
        <w:rPr/>
        <w:fldChar w:fldCharType="begin"/>
      </w:r>
      <w:r>
        <w:instrText xml:space="preserve"> HYPERLINK \l "_Toc217246764" </w:instrText>
      </w:r>
      <w:r>
        <w:rPr/>
        <w:fldChar w:fldCharType="separate"/>
      </w:r>
      <w:r>
        <w:rPr>
          <w:rStyle w:val="style85"/>
          <w:noProof/>
        </w:rPr>
        <w:t>6.2 Final Recommendations</w:t>
      </w:r>
      <w:r>
        <w:rPr>
          <w:noProof/>
          <w:webHidden/>
        </w:rPr>
        <w:tab/>
      </w:r>
      <w:r>
        <w:rPr>
          <w:noProof/>
          <w:webHidden/>
        </w:rPr>
        <w:fldChar w:fldCharType="begin"/>
      </w:r>
      <w:r>
        <w:rPr>
          <w:noProof/>
          <w:webHidden/>
        </w:rPr>
        <w:instrText xml:space="preserve"> PAGEREF _Toc217246764 \h </w:instrText>
      </w:r>
      <w:r>
        <w:rPr>
          <w:noProof/>
          <w:webHidden/>
        </w:rPr>
        <w:fldChar w:fldCharType="separate"/>
      </w:r>
      <w:r>
        <w:rPr>
          <w:noProof/>
          <w:webHidden/>
        </w:rPr>
        <w:t>29</w:t>
      </w:r>
      <w:r>
        <w:rPr>
          <w:noProof/>
          <w:webHidden/>
        </w:rPr>
        <w:fldChar w:fldCharType="end"/>
      </w:r>
      <w:r>
        <w:rPr/>
        <w:fldChar w:fldCharType="end"/>
      </w:r>
    </w:p>
    <w:p>
      <w:pPr>
        <w:pStyle w:val="style19"/>
        <w:tabs>
          <w:tab w:val="right" w:leader="dot" w:pos="9350"/>
        </w:tabs>
        <w:rPr>
          <w:rFonts w:ascii="Calibri" w:eastAsia="宋体" w:hAnsi="Calibri"/>
          <w:noProof/>
          <w:sz w:val="22"/>
          <w:lang w:val="en-US"/>
        </w:rPr>
      </w:pPr>
      <w:r>
        <w:rPr/>
        <w:fldChar w:fldCharType="begin"/>
      </w:r>
      <w:r>
        <w:instrText xml:space="preserve"> HYPERLINK \l "_Toc217246765" </w:instrText>
      </w:r>
      <w:r>
        <w:rPr/>
        <w:fldChar w:fldCharType="separate"/>
      </w:r>
      <w:r>
        <w:rPr>
          <w:rStyle w:val="style85"/>
          <w:noProof/>
        </w:rPr>
        <w:t>Reference List</w:t>
      </w:r>
      <w:r>
        <w:rPr>
          <w:noProof/>
          <w:webHidden/>
        </w:rPr>
        <w:tab/>
      </w:r>
      <w:r>
        <w:rPr>
          <w:noProof/>
          <w:webHidden/>
        </w:rPr>
        <w:fldChar w:fldCharType="begin"/>
      </w:r>
      <w:r>
        <w:rPr>
          <w:noProof/>
          <w:webHidden/>
        </w:rPr>
        <w:instrText xml:space="preserve"> PAGEREF _Toc217246765 \h </w:instrText>
      </w:r>
      <w:r>
        <w:rPr>
          <w:noProof/>
          <w:webHidden/>
        </w:rPr>
        <w:fldChar w:fldCharType="separate"/>
      </w:r>
      <w:r>
        <w:rPr>
          <w:noProof/>
          <w:webHidden/>
        </w:rPr>
        <w:t>30</w:t>
      </w:r>
      <w:r>
        <w:rPr>
          <w:noProof/>
          <w:webHidden/>
        </w:rPr>
        <w:fldChar w:fldCharType="end"/>
      </w:r>
      <w:r>
        <w:rPr/>
        <w:fldChar w:fldCharType="end"/>
      </w:r>
    </w:p>
    <w:p>
      <w:pPr>
        <w:pStyle w:val="style0"/>
        <w:rPr/>
      </w:pPr>
      <w:r>
        <w:rPr>
          <w:b/>
          <w:bCs/>
          <w:noProof/>
        </w:rPr>
        <w:fldChar w:fldCharType="end"/>
      </w:r>
    </w:p>
    <w:bookmarkStart w:id="0" w:name="_Toc217246742"/>
    <w:p>
      <w:pPr>
        <w:pStyle w:val="style1"/>
        <w:rPr/>
      </w:pPr>
      <w:r>
        <w:t>1.0 Introduction</w:t>
      </w:r>
      <w:bookmarkEnd w:id="0"/>
    </w:p>
    <w:bookmarkStart w:id="1" w:name="_Toc217246743"/>
    <w:p>
      <w:pPr>
        <w:pStyle w:val="style2"/>
        <w:rPr/>
      </w:pPr>
      <w:r>
        <w:t>1.1 Background</w:t>
      </w:r>
      <w:bookmarkEnd w:id="1"/>
    </w:p>
    <w:p>
      <w:pPr>
        <w:pStyle w:val="style0"/>
        <w:rPr/>
      </w:pPr>
      <w:r>
        <w:t>The modern global business world is characterised by constant change, which is the power of globalisation, technological revolution, and the changing geopolitical and consumer patterns. The result of this volatility is a landscape in which there is a high degree of risk and opportunity, which requires global organisations to develop strategic agility</w:t>
      </w:r>
      <w:r>
        <w:t xml:space="preserve"> </w:t>
      </w:r>
      <w:r>
        <w:t>(Farida and Setiawan, 2022)</w:t>
      </w:r>
      <w:r>
        <w:t>. These conditions are evident in the context of the global retail world, which is experiencing a high level of competition, shifting digital commerce, and shifting consumer expectations in terms of value and sustainability</w:t>
      </w:r>
      <w:r>
        <w:t xml:space="preserve"> </w:t>
      </w:r>
      <w:r>
        <w:t>(Rehman </w:t>
      </w:r>
      <w:r>
        <w:rPr>
          <w:i/>
          <w:iCs/>
        </w:rPr>
        <w:t>et al.</w:t>
      </w:r>
      <w:r>
        <w:t>, 2022)</w:t>
      </w:r>
      <w:r>
        <w:t>. In this respect, strategic market selection and entry planning become an important determinant of success in the long term.</w:t>
      </w:r>
    </w:p>
    <w:bookmarkStart w:id="2" w:name="_Toc217246744"/>
    <w:p>
      <w:pPr>
        <w:pStyle w:val="style2"/>
        <w:rPr/>
      </w:pPr>
      <w:r>
        <w:t>1.2 Report Aim &amp; Objectives</w:t>
      </w:r>
      <w:bookmarkEnd w:id="2"/>
    </w:p>
    <w:p>
      <w:pPr>
        <w:pStyle w:val="style0"/>
        <w:rPr/>
      </w:pPr>
      <w:r>
        <w:t xml:space="preserve">This report seeks to elaborate on an all-round and evidence-based international expansion strategy of the discount retailer Aldi into the Finnish market. The main aim of the task is to critically utilise the strategic management frameworks to analyse, develop and appraise a feasible market entry strategy. In particular, the report aims to justify the choice of Aldi and Finland, a rigorous strategic analysis of the target environment, development of a competitive entry strategy into the market, and an outline of a performance evaluation framework. </w:t>
      </w:r>
    </w:p>
    <w:bookmarkStart w:id="3" w:name="_Toc217246745"/>
    <w:p>
      <w:pPr>
        <w:pStyle w:val="style2"/>
        <w:rPr/>
      </w:pPr>
      <w:r>
        <w:t>1.3 Company Overview</w:t>
      </w:r>
      <w:bookmarkEnd w:id="3"/>
    </w:p>
    <w:p>
      <w:pPr>
        <w:pStyle w:val="style0"/>
        <w:rPr/>
      </w:pPr>
      <w:r>
        <w:t>Aldi is a worldwide chain of discounted supermarkets that is based in Germany, which consists of two separate organisations, Aldi Nord and Aldi Sud</w:t>
      </w:r>
      <w:r>
        <w:t xml:space="preserve"> </w:t>
      </w:r>
      <w:r>
        <w:t>(ALDI, 2025)</w:t>
      </w:r>
      <w:r>
        <w:t>. The company operates in the global markets under the brand Aldi name along with a presence in more than 20 countries spread across three continents, including a large and expanding presence in the United States of America, the United Kingdom, Australia and mainland Europe</w:t>
      </w:r>
      <w:r>
        <w:t xml:space="preserve"> </w:t>
      </w:r>
      <w:r>
        <w:t>(ALDI, 2025)</w:t>
      </w:r>
      <w:r>
        <w:t>. By 2023, Aldi had over 12,000 stores all over the world. The company enjoys its reputation of core competency, cost leadership, which is attained due to a highly efficient model of business</w:t>
      </w:r>
      <w:r>
        <w:t xml:space="preserve"> </w:t>
      </w:r>
      <w:r>
        <w:t>(ALDI, 2025)</w:t>
      </w:r>
      <w:r>
        <w:t xml:space="preserve">. The focus of this model is a small number of mostly-insource products, austerity in store design and staffing, and the single-minded concern over the efficiency of the supply chain and negotiation. </w:t>
      </w:r>
    </w:p>
    <w:p>
      <w:pPr>
        <w:pStyle w:val="style0"/>
        <w:rPr/>
      </w:pPr>
      <w:r>
        <w:rPr>
          <w:noProof/>
        </w:rPr>
        <w:drawing>
          <wp:inline distL="0" distT="0" distB="0" distR="0">
            <wp:extent cx="5996940" cy="4257827"/>
            <wp:effectExtent l="0" t="0" r="3810" b="9525"/>
            <wp:docPr id="1027"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3" cstate="print"/>
                    <a:srcRect l="0" t="0" r="0" b="9120"/>
                    <a:stretch/>
                  </pic:blipFill>
                  <pic:spPr>
                    <a:xfrm rot="0">
                      <a:off x="0" y="0"/>
                      <a:ext cx="5996940" cy="4257827"/>
                    </a:xfrm>
                    <a:prstGeom prst="rect"/>
                    <a:ln>
                      <a:noFill/>
                    </a:ln>
                  </pic:spPr>
                </pic:pic>
              </a:graphicData>
            </a:graphic>
          </wp:inline>
        </w:drawing>
      </w:r>
    </w:p>
    <w:p>
      <w:pPr>
        <w:pStyle w:val="style0"/>
        <w:ind w:left="2880"/>
        <w:rPr>
          <w:i/>
          <w:iCs/>
        </w:rPr>
      </w:pPr>
      <w:r>
        <w:rPr>
          <w:i/>
          <w:iCs/>
        </w:rPr>
        <w:t xml:space="preserve">Figure: Aldi’s share market in </w:t>
      </w:r>
      <w:r>
        <w:rPr>
          <w:i/>
          <w:iCs/>
        </w:rPr>
        <w:t xml:space="preserve">the </w:t>
      </w:r>
      <w:r>
        <w:rPr>
          <w:i/>
          <w:iCs/>
        </w:rPr>
        <w:t>UK</w:t>
      </w:r>
      <w:r>
        <w:rPr>
          <w:i/>
          <w:iCs/>
        </w:rPr>
        <w:t xml:space="preserve"> </w:t>
      </w:r>
      <w:r>
        <w:rPr>
          <w:i/>
          <w:iCs/>
        </w:rPr>
        <w:t>(ALDI, 2025)</w:t>
      </w:r>
    </w:p>
    <w:bookmarkStart w:id="4" w:name="_Toc217246746"/>
    <w:p>
      <w:pPr>
        <w:pStyle w:val="style2"/>
        <w:rPr/>
      </w:pPr>
      <w:r>
        <w:t>1.4 Report Structure:</w:t>
      </w:r>
      <w:bookmarkEnd w:id="4"/>
    </w:p>
    <w:p>
      <w:pPr>
        <w:pStyle w:val="style0"/>
        <w:rPr/>
      </w:pPr>
      <w:r>
        <w:t>The report has four main analytical sections following this introduction. Section 2 will provide a detailed justification for the choice of Aldi and the Finnish market. In Section 3, a thorough strategic analysis will be carried out based on recognised frameworks to explore both the external and internal environments. Section 4 will use this analysis to establish and come up with a market entry and competitive strategy. Lastly, a Balanced Scorecard structure will be designed in Section 5 to measure the success of the expansion effort, and a conclusion and recommendations will be provided.</w:t>
      </w:r>
    </w:p>
    <w:bookmarkStart w:id="5" w:name="_Toc217246747"/>
    <w:p>
      <w:pPr>
        <w:pStyle w:val="style1"/>
        <w:rPr/>
      </w:pPr>
      <w:r>
        <w:t>2.0 Selection of Organisation and Target Market</w:t>
      </w:r>
      <w:bookmarkEnd w:id="5"/>
    </w:p>
    <w:bookmarkStart w:id="6" w:name="_Toc217246748"/>
    <w:p>
      <w:pPr>
        <w:pStyle w:val="style2"/>
        <w:rPr/>
      </w:pPr>
      <w:r>
        <w:t>2.1 Justification for Selecting Aldi</w:t>
      </w:r>
      <w:bookmarkEnd w:id="6"/>
    </w:p>
    <w:p>
      <w:pPr>
        <w:pStyle w:val="style0"/>
        <w:rPr/>
      </w:pPr>
      <w:r>
        <w:t>Aldi is a globally recognised store chain with branches located in various countries worldwide, including the USA</w:t>
      </w:r>
      <w:r>
        <w:t xml:space="preserve"> </w:t>
      </w:r>
      <w:r>
        <w:t>(</w:t>
      </w:r>
      <w:r>
        <w:t>Algarni</w:t>
      </w:r>
      <w:r>
        <w:t> </w:t>
      </w:r>
      <w:r>
        <w:rPr>
          <w:i/>
          <w:iCs/>
        </w:rPr>
        <w:t>et al.</w:t>
      </w:r>
      <w:r>
        <w:t>, 2023)</w:t>
      </w:r>
      <w:r>
        <w:t>.</w:t>
      </w:r>
    </w:p>
    <w:p>
      <w:pPr>
        <w:pStyle w:val="style0"/>
        <w:rPr/>
      </w:pPr>
      <w:r>
        <w:rPr>
          <w:noProof/>
        </w:rPr>
        <w:drawing>
          <wp:inline distL="0" distT="0" distB="0" distR="0">
            <wp:extent cx="5943600" cy="3117850"/>
            <wp:effectExtent l="0" t="0" r="0" b="6350"/>
            <wp:docPr id="102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5943600" cy="3117850"/>
                    </a:xfrm>
                    <a:prstGeom prst="rect"/>
                  </pic:spPr>
                </pic:pic>
              </a:graphicData>
            </a:graphic>
          </wp:inline>
        </w:drawing>
      </w:r>
    </w:p>
    <w:p>
      <w:pPr>
        <w:pStyle w:val="style0"/>
        <w:ind w:left="1440"/>
        <w:rPr>
          <w:i/>
          <w:iCs/>
        </w:rPr>
      </w:pPr>
      <w:r>
        <w:rPr>
          <w:i/>
          <w:iCs/>
        </w:rPr>
        <w:t xml:space="preserve">Figure: Aldi’s differentiation factors </w:t>
      </w:r>
      <w:r>
        <w:rPr>
          <w:i/>
          <w:iCs/>
        </w:rPr>
        <w:t xml:space="preserve">(Aldi </w:t>
      </w:r>
      <w:r>
        <w:rPr>
          <w:i/>
          <w:iCs/>
        </w:rPr>
        <w:t>Business</w:t>
      </w:r>
      <w:r>
        <w:rPr>
          <w:i/>
          <w:iCs/>
        </w:rPr>
        <w:t xml:space="preserve"> News, 2025)</w:t>
      </w:r>
    </w:p>
    <w:p>
      <w:pPr>
        <w:pStyle w:val="style0"/>
        <w:rPr/>
      </w:pPr>
      <w:r>
        <w:t>Aldi can be considered an interesting example of the international expansion analysis because it has its own internal opportunities and a steady growth strategy. The organisation has a number of resources and competencies that are well-established and can be directly transferred, and are significant to new entrants to markets. Aldi is financially very strong, and the parent companies of Aldi Nord and Aldi Sud have combined net sales of more than 120 billion euros in annual global sales</w:t>
      </w:r>
      <w:r>
        <w:t xml:space="preserve"> </w:t>
      </w:r>
      <w:r>
        <w:t xml:space="preserve">(Aldi </w:t>
      </w:r>
      <w:r>
        <w:t>Business</w:t>
      </w:r>
      <w:r>
        <w:t xml:space="preserve"> News, 2025)</w:t>
      </w:r>
      <w:r>
        <w:t>. This strong financial foundation is used to finance market entry investments, including the establishment of supply chains, to purchase stores, and start-up operational subsidies.</w:t>
      </w:r>
    </w:p>
    <w:p>
      <w:pPr>
        <w:pStyle w:val="style0"/>
        <w:rPr/>
      </w:pPr>
      <w:r>
        <w:t>Aldi has one of the most efficient supply chains</w:t>
      </w:r>
      <w:r>
        <w:t>,</w:t>
      </w:r>
      <w:r>
        <w:t xml:space="preserve"> and the model of operations </w:t>
      </w:r>
      <w:r>
        <w:t>is</w:t>
      </w:r>
      <w:r>
        <w:t xml:space="preserve"> the secret of its competitive power. The company structure is a limited-assortment business, with an average of about 1,600 core products as opposed to the 25,000-40,000 in the normal supermarkets. More than 90</w:t>
      </w:r>
      <w:r>
        <w:t xml:space="preserve">% </w:t>
      </w:r>
      <w:r>
        <w:t>of its products are unique in-house labels, which gives it more control of the quality, price and logistics</w:t>
      </w:r>
      <w:r>
        <w:t xml:space="preserve"> </w:t>
      </w:r>
      <w:r>
        <w:t xml:space="preserve">(Aldi </w:t>
      </w:r>
      <w:r>
        <w:t>Business</w:t>
      </w:r>
      <w:r>
        <w:t xml:space="preserve"> News, 2025)</w:t>
      </w:r>
      <w:r>
        <w:t>. The model allows a reduced store footprint, lower holding costs of inventory and quicker turnover of stocks.</w:t>
      </w:r>
    </w:p>
    <w:p>
      <w:pPr>
        <w:pStyle w:val="style0"/>
        <w:rPr/>
      </w:pPr>
    </w:p>
    <w:p>
      <w:pPr>
        <w:pStyle w:val="style0"/>
        <w:rPr/>
      </w:pPr>
    </w:p>
    <w:p>
      <w:pPr>
        <w:pStyle w:val="style0"/>
        <w:rPr/>
      </w:pPr>
    </w:p>
    <w:p>
      <w:pPr>
        <w:pStyle w:val="style0"/>
        <w:ind w:left="1440"/>
        <w:rPr/>
      </w:pPr>
      <w:r>
        <w:rPr>
          <w:noProof/>
        </w:rPr>
        <w:drawing>
          <wp:inline distL="0" distT="0" distB="0" distR="0">
            <wp:extent cx="3618605" cy="4890770"/>
            <wp:effectExtent l="0" t="0" r="1270" b="5080"/>
            <wp:docPr id="1029"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srcRect l="0" t="0" r="0" b="0"/>
                    <a:stretch/>
                  </pic:blipFill>
                  <pic:spPr>
                    <a:xfrm rot="0">
                      <a:off x="0" y="0"/>
                      <a:ext cx="3618605" cy="4890770"/>
                    </a:xfrm>
                    <a:prstGeom prst="rect"/>
                  </pic:spPr>
                </pic:pic>
              </a:graphicData>
            </a:graphic>
          </wp:inline>
        </w:drawing>
      </w:r>
    </w:p>
    <w:p>
      <w:pPr>
        <w:pStyle w:val="style0"/>
        <w:ind w:left="1440"/>
        <w:rPr>
          <w:i/>
          <w:iCs/>
        </w:rPr>
      </w:pPr>
      <w:r>
        <w:rPr>
          <w:i/>
          <w:iCs/>
        </w:rPr>
        <w:t xml:space="preserve">Figure: Two </w:t>
      </w:r>
      <w:r>
        <w:rPr>
          <w:i/>
          <w:iCs/>
        </w:rPr>
        <w:t>companies</w:t>
      </w:r>
      <w:r>
        <w:rPr>
          <w:i/>
          <w:iCs/>
        </w:rPr>
        <w:t xml:space="preserve">, one brand </w:t>
      </w:r>
      <w:r>
        <w:rPr>
          <w:i/>
          <w:iCs/>
        </w:rPr>
        <w:t>(Aldi Business News, 2025)</w:t>
      </w:r>
    </w:p>
    <w:p>
      <w:pPr>
        <w:pStyle w:val="style0"/>
        <w:rPr/>
      </w:pPr>
      <w:r>
        <w:t>More importantly, Aldi does have a market entry playbook. Its internationalizations of the United Kingdom, Australia, and the United States show a certain trend</w:t>
      </w:r>
      <w:r>
        <w:t xml:space="preserve"> </w:t>
      </w:r>
      <w:r>
        <w:t>(</w:t>
      </w:r>
      <w:r>
        <w:t>Caraceni</w:t>
      </w:r>
      <w:r>
        <w:t>, 2025)</w:t>
      </w:r>
      <w:r>
        <w:t xml:space="preserve">. The company first enters a beachhead by setting up a group of stores, usually in the suburbs, which regularly </w:t>
      </w:r>
      <w:r>
        <w:t>utilises</w:t>
      </w:r>
      <w:r>
        <w:t xml:space="preserve"> its low-price, high-quality image to interfere with the image of the established competitors</w:t>
      </w:r>
      <w:r>
        <w:t xml:space="preserve"> </w:t>
      </w:r>
      <w:r>
        <w:t>(</w:t>
      </w:r>
      <w:r>
        <w:t>Brouthers</w:t>
      </w:r>
      <w:r>
        <w:t> </w:t>
      </w:r>
      <w:r>
        <w:rPr>
          <w:i/>
          <w:iCs/>
        </w:rPr>
        <w:t>et al.</w:t>
      </w:r>
      <w:r>
        <w:t>, 2022)</w:t>
      </w:r>
      <w:r>
        <w:t xml:space="preserve">. </w:t>
      </w:r>
      <w:r>
        <w:t xml:space="preserve"> </w:t>
      </w:r>
      <w:r>
        <w:t>Expanding into a new European market is in line with the main competence of Aldi to implement its effective discount model into developed economies, which makes it a strategically logical choice in this analysis.</w:t>
      </w:r>
    </w:p>
    <w:p>
      <w:pPr>
        <w:pStyle w:val="style0"/>
        <w:rPr/>
      </w:pPr>
    </w:p>
    <w:p>
      <w:pPr>
        <w:pStyle w:val="style0"/>
        <w:rPr/>
      </w:pPr>
    </w:p>
    <w:tbl>
      <w:tblPr>
        <w:tblStyle w:val="style154"/>
        <w:tblW w:w="0" w:type="auto"/>
        <w:tblLook w:val="04A0" w:firstRow="1" w:lastRow="0" w:firstColumn="1" w:lastColumn="0" w:noHBand="0" w:noVBand="1"/>
      </w:tblPr>
      <w:tblGrid>
        <w:gridCol w:w="1190"/>
        <w:gridCol w:w="2450"/>
        <w:gridCol w:w="2807"/>
        <w:gridCol w:w="2915"/>
      </w:tblGrid>
      <w:tr>
        <w:trPr/>
        <w:tc>
          <w:tcPr>
            <w:tcW w:w="9350" w:type="dxa"/>
            <w:gridSpan w:val="4"/>
            <w:tcBorders/>
          </w:tcPr>
          <w:p>
            <w:pPr>
              <w:pStyle w:val="style0"/>
              <w:spacing w:lineRule="auto" w:line="259"/>
              <w:ind w:left="1440"/>
              <w:jc w:val="left"/>
              <w:rPr>
                <w:rFonts w:cs="Times New Roman"/>
                <w:szCs w:val="24"/>
              </w:rPr>
            </w:pPr>
            <w:r>
              <w:rPr>
                <w:rFonts w:cs="Times New Roman"/>
                <w:i/>
                <w:iCs/>
                <w:szCs w:val="24"/>
              </w:rPr>
              <w:t>Table 1. Aldi’s Key International Expansion Metrics</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Market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Year of Entry</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Initial Strategy</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Key Success Factor</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United Kingdom</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1990</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Price-led disruption vs. Tesco, Sainsbury’s</w:t>
            </w:r>
            <w:r>
              <w:rPr>
                <w:rFonts w:cs="Times New Roman" w:eastAsia="Times New Roman"/>
                <w:szCs w:val="24"/>
                <w:lang w:eastAsia="en-GB"/>
              </w:rPr>
              <w:t xml:space="preserve"> </w:t>
            </w:r>
            <w:r>
              <w:rPr>
                <w:rFonts w:cs="Times New Roman" w:eastAsia="Times New Roman"/>
                <w:szCs w:val="24"/>
                <w:lang w:eastAsia="en-GB"/>
              </w:rPr>
              <w:t>(Farida and Setiawan, 2022)</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Consistent quality of private labels; relentless cost focus</w:t>
            </w:r>
            <w:r>
              <w:rPr>
                <w:rFonts w:cs="Times New Roman" w:eastAsia="Times New Roman"/>
                <w:szCs w:val="24"/>
                <w:lang w:eastAsia="en-GB"/>
              </w:rPr>
              <w:t xml:space="preserve"> </w:t>
            </w:r>
            <w:r>
              <w:rPr>
                <w:rFonts w:cs="Times New Roman" w:eastAsia="Times New Roman"/>
                <w:szCs w:val="24"/>
                <w:lang w:eastAsia="en-GB"/>
              </w:rPr>
              <w:t>(</w:t>
            </w:r>
            <w:r>
              <w:rPr>
                <w:rFonts w:cs="Times New Roman" w:eastAsia="Times New Roman"/>
                <w:szCs w:val="24"/>
                <w:lang w:eastAsia="en-GB"/>
              </w:rPr>
              <w:t>Caraceni</w:t>
            </w:r>
            <w:r>
              <w:rPr>
                <w:rFonts w:cs="Times New Roman" w:eastAsia="Times New Roman"/>
                <w:szCs w:val="24"/>
                <w:lang w:eastAsia="en-GB"/>
              </w:rPr>
              <w:t>, 2025)</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Australia</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2001</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 xml:space="preserve">Targeting major cities with </w:t>
            </w:r>
            <w:r>
              <w:rPr>
                <w:rFonts w:cs="Times New Roman" w:eastAsia="Times New Roman"/>
                <w:szCs w:val="24"/>
                <w:lang w:eastAsia="en-GB"/>
              </w:rPr>
              <w:t xml:space="preserve">a </w:t>
            </w:r>
            <w:r>
              <w:rPr>
                <w:rFonts w:cs="Times New Roman" w:eastAsia="Times New Roman"/>
                <w:szCs w:val="24"/>
                <w:lang w:eastAsia="en-GB"/>
              </w:rPr>
              <w:t>high-value proposition</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Adaptation to local products; supply chain localisation</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United States</w:t>
            </w:r>
          </w:p>
        </w:tc>
        <w:tc>
          <w:tcPr>
            <w:tcW w:w="0" w:type="auto"/>
            <w:tcBorders/>
            <w:hideMark/>
          </w:tcPr>
          <w:p>
            <w:pPr>
              <w:pStyle w:val="style0"/>
              <w:spacing w:lineRule="atLeast" w:line="375"/>
              <w:jc w:val="left"/>
              <w:rPr>
                <w:rFonts w:cs="Times New Roman" w:eastAsia="Times New Roman"/>
                <w:szCs w:val="24"/>
                <w:lang w:val="de-DE" w:eastAsia="en-GB"/>
              </w:rPr>
            </w:pPr>
            <w:r>
              <w:rPr>
                <w:rFonts w:cs="Times New Roman" w:eastAsia="Times New Roman"/>
                <w:szCs w:val="24"/>
                <w:lang w:val="de-DE" w:eastAsia="en-GB"/>
              </w:rPr>
              <w:t>1976 (Aldi Süd as Trader Joe’s), 1976 (Aldi)</w:t>
            </w:r>
            <w:r>
              <w:rPr>
                <w:rFonts w:cs="Times New Roman" w:eastAsia="Times New Roman"/>
                <w:szCs w:val="24"/>
                <w:lang w:val="de-DE" w:eastAsia="en-GB"/>
              </w:rPr>
              <w:t xml:space="preserve"> (Danziger, 2021)</w:t>
            </w:r>
          </w:p>
        </w:tc>
        <w:tc>
          <w:tcPr>
            <w:tcW w:w="0" w:type="auto"/>
            <w:tcBorders/>
            <w:hideMark/>
          </w:tcPr>
          <w:p>
            <w:pPr>
              <w:pStyle w:val="style0"/>
              <w:spacing w:lineRule="atLeast" w:line="375"/>
              <w:jc w:val="left"/>
              <w:rPr/>
            </w:pPr>
            <w:r>
              <w:rPr>
                <w:rFonts w:cs="Times New Roman" w:eastAsia="Times New Roman"/>
                <w:szCs w:val="24"/>
                <w:lang w:eastAsia="en-GB"/>
              </w:rPr>
              <w:t xml:space="preserve">Gradual rollout from </w:t>
            </w:r>
            <w:r>
              <w:rPr>
                <w:rFonts w:cs="Times New Roman" w:eastAsia="Times New Roman"/>
                <w:szCs w:val="24"/>
                <w:lang w:eastAsia="en-GB"/>
              </w:rPr>
              <w:t xml:space="preserve">the </w:t>
            </w:r>
            <w:r>
              <w:rPr>
                <w:rFonts w:cs="Times New Roman" w:eastAsia="Times New Roman"/>
                <w:szCs w:val="24"/>
                <w:lang w:eastAsia="en-GB"/>
              </w:rPr>
              <w:t>Midwest; ultra-low price point</w:t>
            </w:r>
            <w:r>
              <w:rPr>
                <w:rFonts w:cs="Times New Roman" w:eastAsia="Times New Roman"/>
                <w:szCs w:val="24"/>
                <w:lang w:eastAsia="en-GB"/>
              </w:rPr>
              <w:t xml:space="preserve"> </w:t>
            </w:r>
            <w:r>
              <w:rPr>
                <w:rFonts w:cs="Times New Roman" w:eastAsia="Times New Roman"/>
                <w:szCs w:val="24"/>
                <w:lang w:eastAsia="en-GB"/>
              </w:rPr>
              <w:t>(Das, 2025)</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Scaling private label; maintaining price gap &gt;20%</w:t>
            </w:r>
            <w:r>
              <w:rPr>
                <w:rFonts w:cs="Times New Roman" w:eastAsia="Times New Roman"/>
                <w:szCs w:val="24"/>
                <w:lang w:eastAsia="en-GB"/>
              </w:rPr>
              <w:t xml:space="preserve"> </w:t>
            </w:r>
            <w:r>
              <w:rPr>
                <w:rFonts w:cs="Times New Roman" w:eastAsia="Times New Roman"/>
                <w:szCs w:val="24"/>
                <w:lang w:eastAsia="en-GB"/>
              </w:rPr>
              <w:t>(Danziger, 2021)</w:t>
            </w:r>
          </w:p>
        </w:tc>
      </w:tr>
    </w:tbl>
    <w:p>
      <w:pPr>
        <w:pStyle w:val="style0"/>
        <w:spacing w:lineRule="auto" w:line="259"/>
        <w:jc w:val="left"/>
        <w:rPr/>
      </w:pPr>
    </w:p>
    <w:bookmarkStart w:id="7" w:name="_Toc217246749"/>
    <w:p>
      <w:pPr>
        <w:pStyle w:val="style2"/>
        <w:rPr/>
      </w:pPr>
      <w:r>
        <w:t>2.2 Justification for Selecting Finland as the Target Market</w:t>
      </w:r>
      <w:bookmarkEnd w:id="7"/>
    </w:p>
    <w:p>
      <w:pPr>
        <w:pStyle w:val="style0"/>
        <w:rPr/>
      </w:pPr>
      <w:r>
        <w:t xml:space="preserve">Finland is a strategically competent and viable target of the European expansion of Aldi and is backed by macroeconomic stability, market gaps that can be identified and </w:t>
      </w:r>
      <w:r>
        <w:t xml:space="preserve">a </w:t>
      </w:r>
      <w:r>
        <w:t>strategic geographical location.</w:t>
      </w:r>
    </w:p>
    <w:p>
      <w:pPr>
        <w:pStyle w:val="style0"/>
        <w:rPr>
          <w:b/>
          <w:bCs/>
        </w:rPr>
      </w:pPr>
      <w:r>
        <w:rPr>
          <w:b/>
          <w:bCs/>
        </w:rPr>
        <w:t>Macro-Level Attractiveness:</w:t>
      </w:r>
    </w:p>
    <w:p>
      <w:pPr>
        <w:pStyle w:val="style0"/>
        <w:rPr/>
      </w:pPr>
      <w:r>
        <w:t xml:space="preserve">The high-level PESTLE analysis reveals a number of favourable factors. Finland is an EU member that is politically and economically stable and has a clear regulatory framework and AAA credit rating. Despite the global </w:t>
      </w:r>
      <w:r>
        <w:t>headwinds</w:t>
      </w:r>
      <w:r>
        <w:t xml:space="preserve"> experienced in the recent past, its economy has a strong foundation and has a GDP per capita of around </w:t>
      </w:r>
      <w:r>
        <w:t>53</w:t>
      </w:r>
      <w:r>
        <w:t>,</w:t>
      </w:r>
      <w:r>
        <w:t>101.092</w:t>
      </w:r>
      <w:r>
        <w:t xml:space="preserve"> euros</w:t>
      </w:r>
      <w:r>
        <w:t xml:space="preserve"> </w:t>
      </w:r>
      <w:r>
        <w:t>(Das, 2025)</w:t>
      </w:r>
      <w:r>
        <w:t>. The consumers in Finland have a substantial disposable income and are also very price sensitive and value conscious which has been exacerbated by the recent inflationary pressure</w:t>
      </w:r>
      <w:r>
        <w:t xml:space="preserve"> </w:t>
      </w:r>
      <w:r>
        <w:t>(Gleeson, 2024)</w:t>
      </w:r>
      <w:r>
        <w:t xml:space="preserve">. </w:t>
      </w:r>
    </w:p>
    <w:p>
      <w:pPr>
        <w:pStyle w:val="style0"/>
        <w:rPr/>
      </w:pPr>
      <w:r>
        <w:rPr>
          <w:noProof/>
        </w:rPr>
        <w:drawing>
          <wp:inline distL="0" distT="0" distB="0" distR="0">
            <wp:extent cx="5943600" cy="2588260"/>
            <wp:effectExtent l="0" t="0" r="0" b="254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6" cstate="print"/>
                    <a:srcRect l="0" t="0" r="0" b="0"/>
                    <a:stretch/>
                  </pic:blipFill>
                  <pic:spPr>
                    <a:xfrm rot="0">
                      <a:off x="0" y="0"/>
                      <a:ext cx="5943600" cy="2588260"/>
                    </a:xfrm>
                    <a:prstGeom prst="rect"/>
                  </pic:spPr>
                </pic:pic>
              </a:graphicData>
            </a:graphic>
          </wp:inline>
        </w:drawing>
      </w:r>
    </w:p>
    <w:p>
      <w:pPr>
        <w:pStyle w:val="style0"/>
        <w:ind w:left="2160"/>
        <w:rPr>
          <w:i/>
          <w:iCs/>
        </w:rPr>
      </w:pPr>
      <w:r>
        <w:rPr>
          <w:i/>
          <w:iCs/>
        </w:rPr>
        <w:t>Figure: GDP per capita</w:t>
      </w:r>
      <w:r>
        <w:rPr>
          <w:i/>
          <w:iCs/>
        </w:rPr>
        <w:t xml:space="preserve"> </w:t>
      </w:r>
      <w:r>
        <w:rPr>
          <w:i/>
          <w:iCs/>
        </w:rPr>
        <w:t>(Gleeson, 2024)</w:t>
      </w:r>
    </w:p>
    <w:p>
      <w:pPr>
        <w:pStyle w:val="style0"/>
        <w:rPr/>
      </w:pPr>
      <w:r>
        <w:t xml:space="preserve">The population is also highly digitally literate socially, which makes </w:t>
      </w:r>
      <w:r>
        <w:t xml:space="preserve">the </w:t>
      </w:r>
      <w:r>
        <w:t xml:space="preserve">implementation of the digital marketing strategies and omnichannel retail approach easy. On the technological side, there </w:t>
      </w:r>
      <w:r>
        <w:t xml:space="preserve">is </w:t>
      </w:r>
      <w:r>
        <w:t xml:space="preserve">a </w:t>
      </w:r>
      <w:r>
        <w:t xml:space="preserve">fast digital infrastructure which provides proper logistics and inventory management systems. Law and </w:t>
      </w:r>
      <w:r>
        <w:t>environment-wise</w:t>
      </w:r>
      <w:r>
        <w:t xml:space="preserve">, strong governance practices and sustainability leadership in Finland </w:t>
      </w:r>
      <w:r>
        <w:t>are</w:t>
      </w:r>
      <w:r>
        <w:t xml:space="preserve"> similar to the growing Environmental, Social and Governance interest at Aldi, especially in issues such as </w:t>
      </w:r>
      <w:r>
        <w:t xml:space="preserve">the </w:t>
      </w:r>
      <w:r>
        <w:t>use of renewable energy and curbing food waste</w:t>
      </w:r>
      <w:r>
        <w:t xml:space="preserve"> </w:t>
      </w:r>
      <w:r>
        <w:t>(Gleeson, 2024)</w:t>
      </w:r>
      <w:r>
        <w:t>.</w:t>
      </w:r>
    </w:p>
    <w:p>
      <w:pPr>
        <w:pStyle w:val="style0"/>
        <w:rPr/>
      </w:pPr>
      <w:r>
        <w:rPr>
          <w:b/>
          <w:bCs/>
        </w:rPr>
        <w:t>Market Gap Analysis</w:t>
      </w:r>
      <w:r>
        <w:t>:</w:t>
      </w:r>
    </w:p>
    <w:p>
      <w:pPr>
        <w:pStyle w:val="style0"/>
        <w:rPr/>
      </w:pPr>
      <w:r>
        <w:t>The Finnish grocery retail market is characterised by two formidable cooperatives, S-Group and Kesko, which together control more than 80% of the market</w:t>
      </w:r>
      <w:r>
        <w:t xml:space="preserve"> </w:t>
      </w:r>
      <w:r>
        <w:t>(Petro, 2025)</w:t>
      </w:r>
      <w:r>
        <w:t>. The main international discounter, Lidl, has a share of about 9%</w:t>
      </w:r>
      <w:r>
        <w:t xml:space="preserve"> </w:t>
      </w:r>
      <w:r>
        <w:t>(Petro, 2025)</w:t>
      </w:r>
      <w:r>
        <w:t xml:space="preserve">. This oligo competition has traditionally restricted competition in prices. The surveys of the consumers, such as the one conducted by the Finnish Competition and Consumer Authority, show the willingness to have more choice, more competition, and better value. This leaves a gap that is obvious </w:t>
      </w:r>
      <w:r>
        <w:t>in</w:t>
      </w:r>
      <w:r>
        <w:t xml:space="preserve"> the credibility of Aldi </w:t>
      </w:r>
      <w:r>
        <w:t>as</w:t>
      </w:r>
      <w:r>
        <w:t xml:space="preserve"> a hard discounter. </w:t>
      </w:r>
    </w:p>
    <w:p>
      <w:pPr>
        <w:pStyle w:val="style0"/>
        <w:rPr/>
      </w:pPr>
    </w:p>
    <w:p>
      <w:pPr>
        <w:pStyle w:val="style0"/>
        <w:rPr/>
      </w:pPr>
    </w:p>
    <w:p>
      <w:pPr>
        <w:pStyle w:val="style0"/>
        <w:rPr/>
      </w:pPr>
    </w:p>
    <w:p>
      <w:pPr>
        <w:pStyle w:val="style0"/>
        <w:rPr/>
      </w:pPr>
    </w:p>
    <w:tbl>
      <w:tblPr>
        <w:tblStyle w:val="style154"/>
        <w:tblW w:w="0" w:type="auto"/>
        <w:tblLook w:val="04A0" w:firstRow="1" w:lastRow="0" w:firstColumn="1" w:lastColumn="0" w:noHBand="0" w:noVBand="1"/>
      </w:tblPr>
      <w:tblGrid>
        <w:gridCol w:w="3440"/>
        <w:gridCol w:w="1631"/>
        <w:gridCol w:w="4288"/>
      </w:tblGrid>
      <w:tr>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Metric</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Figure</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Source / Implication</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Total Market Value</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~€20.5 billion</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(Statista, 2025b)</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Market Share Leader (S-Group)</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~47%</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(IBISWorld, 2025)</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Market Share (Kesko)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~35%</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(IBISWorld, 2025)</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Market Share (Lidl)</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~9%</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(European Commission, 2025)</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Population in S. Finland</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~3.2 million</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Statistics Finland enables focused entry</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Consumer Price Sensitivity</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High</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FCCA Surveys, 2023</w:t>
            </w:r>
          </w:p>
        </w:tc>
      </w:tr>
    </w:tbl>
    <w:p>
      <w:pPr>
        <w:pStyle w:val="style0"/>
        <w:rPr/>
      </w:pPr>
    </w:p>
    <w:p>
      <w:pPr>
        <w:pStyle w:val="style0"/>
        <w:rPr>
          <w:b/>
          <w:bCs/>
        </w:rPr>
      </w:pPr>
      <w:r>
        <w:rPr>
          <w:b/>
          <w:bCs/>
        </w:rPr>
        <w:t>Strategic Consideration:</w:t>
      </w:r>
    </w:p>
    <w:p>
      <w:pPr>
        <w:pStyle w:val="style0"/>
        <w:rPr/>
      </w:pPr>
      <w:r>
        <w:t xml:space="preserve">Finland is geographically a potential strategic entry point into the Nordic and Baltic regions at large. A good operating base and supply chain in Finland would give a logistical advantage in future expansions in Sweden, Norway, or Estonia. The Helsinki and Turku port infrastructure </w:t>
      </w:r>
      <w:r>
        <w:t>is</w:t>
      </w:r>
      <w:r>
        <w:t xml:space="preserve"> also highly developed, with the country having good road and rail networks that </w:t>
      </w:r>
      <w:r>
        <w:t>ensure</w:t>
      </w:r>
      <w:r>
        <w:t xml:space="preserve"> easy distribution channels</w:t>
      </w:r>
      <w:r>
        <w:t xml:space="preserve"> </w:t>
      </w:r>
      <w:r>
        <w:t>(European Commission, 2025)</w:t>
      </w:r>
      <w:r>
        <w:t>. This is due to the fact that the geographical concentration of the population towards the southern parts, especially in the Helsinki metro region</w:t>
      </w:r>
      <w:r>
        <w:t>,</w:t>
      </w:r>
      <w:r>
        <w:t xml:space="preserve"> enables a narrow and intensive initial market penetration that lowers the logistics complexity and cost.</w:t>
      </w:r>
    </w:p>
    <w:p>
      <w:pPr>
        <w:pStyle w:val="style0"/>
        <w:spacing w:lineRule="auto" w:line="259"/>
        <w:jc w:val="left"/>
        <w:rPr/>
      </w:pPr>
      <w:r>
        <w:br w:type="page"/>
      </w:r>
    </w:p>
    <w:bookmarkStart w:id="8" w:name="_Toc217246750"/>
    <w:p>
      <w:pPr>
        <w:pStyle w:val="style1"/>
        <w:rPr/>
      </w:pPr>
      <w:r>
        <w:t>3.0 Comprehensive Strategic Analysis</w:t>
      </w:r>
      <w:bookmarkEnd w:id="8"/>
    </w:p>
    <w:bookmarkStart w:id="9" w:name="_Toc217246751"/>
    <w:p>
      <w:pPr>
        <w:pStyle w:val="style2"/>
        <w:rPr/>
      </w:pPr>
      <w:r>
        <w:t>3.1 External Environment Analysis</w:t>
      </w:r>
      <w:bookmarkEnd w:id="9"/>
    </w:p>
    <w:p>
      <w:pPr>
        <w:pStyle w:val="style0"/>
        <w:rPr/>
      </w:pPr>
      <w:r>
        <w:rPr>
          <w:b/>
          <w:bCs/>
        </w:rPr>
        <w:t>Macro-Environment: PESTLE Analysis of Finland</w:t>
      </w:r>
    </w:p>
    <w:p>
      <w:pPr>
        <w:pStyle w:val="style0"/>
        <w:rPr/>
      </w:pPr>
      <w:r>
        <w:rPr>
          <w:b/>
          <w:bCs/>
        </w:rPr>
        <w:t>Political:</w:t>
      </w:r>
      <w:r>
        <w:t xml:space="preserve"> Finland is rated 3rd in the Corruption Perceptions Index with a score of 8</w:t>
      </w:r>
      <w:r>
        <w:t>8</w:t>
      </w:r>
      <w:r>
        <w:t>/100, which shows that it has a very transparent and stable political environment</w:t>
      </w:r>
      <w:r>
        <w:t xml:space="preserve"> (</w:t>
      </w:r>
      <w:r>
        <w:t>Statista, 2025</w:t>
      </w:r>
      <w:r>
        <w:t>c</w:t>
      </w:r>
      <w:r>
        <w:t>)</w:t>
      </w:r>
      <w:r>
        <w:t>.</w:t>
      </w:r>
      <w:r>
        <w:t xml:space="preserve"> It is part of the European Union that provides regulatory harmonisation and access to free trade. It has a stable coalition government, and its score on the World Bank Political Stability Index stands at a high </w:t>
      </w:r>
      <w:r>
        <w:t>0.71</w:t>
      </w:r>
      <w:r>
        <w:t>, indicating low political risk in foreign investment</w:t>
      </w:r>
      <w:r>
        <w:t xml:space="preserve"> </w:t>
      </w:r>
      <w:r>
        <w:t>(</w:t>
      </w:r>
      <w:r>
        <w:t>Globalen</w:t>
      </w:r>
      <w:r>
        <w:t>, 2025)</w:t>
      </w:r>
      <w:r>
        <w:t>.</w:t>
      </w:r>
    </w:p>
    <w:p>
      <w:pPr>
        <w:pStyle w:val="style0"/>
        <w:rPr/>
      </w:pPr>
      <w:r>
        <w:rPr>
          <w:noProof/>
        </w:rPr>
        <w:drawing>
          <wp:inline distL="0" distT="0" distB="0" distR="0">
            <wp:extent cx="5943600" cy="2408555"/>
            <wp:effectExtent l="0" t="0" r="0" b="0"/>
            <wp:docPr id="1031"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7" cstate="print"/>
                    <a:srcRect l="0" t="0" r="0" b="0"/>
                    <a:stretch/>
                  </pic:blipFill>
                  <pic:spPr>
                    <a:xfrm rot="0">
                      <a:off x="0" y="0"/>
                      <a:ext cx="5943600" cy="2408555"/>
                    </a:xfrm>
                    <a:prstGeom prst="rect"/>
                  </pic:spPr>
                </pic:pic>
              </a:graphicData>
            </a:graphic>
          </wp:inline>
        </w:drawing>
      </w:r>
    </w:p>
    <w:p>
      <w:pPr>
        <w:pStyle w:val="style0"/>
        <w:ind w:left="720"/>
        <w:rPr>
          <w:i/>
          <w:iCs/>
        </w:rPr>
      </w:pPr>
      <w:r>
        <w:rPr>
          <w:i/>
          <w:iCs/>
        </w:rPr>
        <w:t>Figure: Corruption Perceptions Index score of Finland</w:t>
      </w:r>
      <w:r>
        <w:rPr>
          <w:i/>
          <w:iCs/>
        </w:rPr>
        <w:t xml:space="preserve"> </w:t>
      </w:r>
      <w:r>
        <w:rPr>
          <w:i/>
          <w:iCs/>
        </w:rPr>
        <w:t>(Statista, 2025c)</w:t>
      </w:r>
    </w:p>
    <w:p>
      <w:pPr>
        <w:pStyle w:val="style0"/>
        <w:rPr/>
      </w:pPr>
      <w:r>
        <w:rPr>
          <w:noProof/>
        </w:rPr>
        <w:drawing>
          <wp:inline distL="0" distT="0" distB="0" distR="0">
            <wp:extent cx="5943600" cy="2424430"/>
            <wp:effectExtent l="0" t="0" r="0" b="0"/>
            <wp:docPr id="103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8" cstate="print"/>
                    <a:srcRect l="0" t="0" r="0" b="0"/>
                    <a:stretch/>
                  </pic:blipFill>
                  <pic:spPr>
                    <a:xfrm rot="0">
                      <a:off x="0" y="0"/>
                      <a:ext cx="5943600" cy="2424430"/>
                    </a:xfrm>
                    <a:prstGeom prst="rect"/>
                  </pic:spPr>
                </pic:pic>
              </a:graphicData>
            </a:graphic>
          </wp:inline>
        </w:drawing>
      </w:r>
    </w:p>
    <w:p>
      <w:pPr>
        <w:pStyle w:val="style0"/>
        <w:ind w:left="1440"/>
        <w:rPr>
          <w:i/>
          <w:iCs/>
        </w:rPr>
      </w:pPr>
      <w:r>
        <w:rPr>
          <w:i/>
          <w:iCs/>
        </w:rPr>
        <w:t xml:space="preserve">Figure: Finland political stability index score </w:t>
      </w:r>
      <w:r>
        <w:rPr>
          <w:i/>
          <w:iCs/>
        </w:rPr>
        <w:t>(</w:t>
      </w:r>
      <w:r>
        <w:rPr>
          <w:i/>
          <w:iCs/>
        </w:rPr>
        <w:t>Globalen</w:t>
      </w:r>
      <w:r>
        <w:rPr>
          <w:i/>
          <w:iCs/>
        </w:rPr>
        <w:t>, 2025)</w:t>
      </w:r>
    </w:p>
    <w:p>
      <w:pPr>
        <w:pStyle w:val="style0"/>
        <w:rPr>
          <w:b/>
          <w:bCs/>
        </w:rPr>
      </w:pPr>
      <w:r>
        <w:rPr>
          <w:b/>
          <w:bCs/>
        </w:rPr>
        <w:t>Economic:</w:t>
      </w:r>
    </w:p>
    <w:p>
      <w:pPr>
        <w:pStyle w:val="style0"/>
        <w:rPr/>
      </w:pPr>
      <w:r>
        <w:rPr>
          <w:noProof/>
        </w:rPr>
        <w:drawing>
          <wp:inline distL="0" distT="0" distB="0" distR="0">
            <wp:extent cx="5943600" cy="3780155"/>
            <wp:effectExtent l="0" t="0" r="0" b="0"/>
            <wp:docPr id="1033"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1"/>
                    <pic:cNvPicPr/>
                  </pic:nvPicPr>
                  <pic:blipFill>
                    <a:blip r:embed="rId9" cstate="print"/>
                    <a:srcRect l="0" t="0" r="0" b="0"/>
                    <a:stretch/>
                  </pic:blipFill>
                  <pic:spPr>
                    <a:xfrm rot="0">
                      <a:off x="0" y="0"/>
                      <a:ext cx="5943600" cy="3780155"/>
                    </a:xfrm>
                    <a:prstGeom prst="rect"/>
                  </pic:spPr>
                </pic:pic>
              </a:graphicData>
            </a:graphic>
          </wp:inline>
        </w:drawing>
      </w:r>
    </w:p>
    <w:p>
      <w:pPr>
        <w:pStyle w:val="style0"/>
        <w:ind w:left="1440"/>
        <w:rPr>
          <w:i/>
          <w:iCs/>
        </w:rPr>
      </w:pPr>
      <w:r>
        <w:rPr>
          <w:i/>
          <w:iCs/>
        </w:rPr>
        <w:t>Figure: Finland's GDP over the years</w:t>
      </w:r>
      <w:r>
        <w:rPr>
          <w:i/>
          <w:iCs/>
        </w:rPr>
        <w:t xml:space="preserve"> (Statista, 2025</w:t>
      </w:r>
      <w:r>
        <w:rPr>
          <w:i/>
          <w:iCs/>
        </w:rPr>
        <w:t>c</w:t>
      </w:r>
      <w:r>
        <w:rPr>
          <w:i/>
          <w:iCs/>
        </w:rPr>
        <w:t>)</w:t>
      </w:r>
    </w:p>
    <w:p>
      <w:pPr>
        <w:pStyle w:val="style0"/>
        <w:rPr/>
      </w:pPr>
      <w:r>
        <w:t>In 2023, the GDP of Finland was about 300 billion USD</w:t>
      </w:r>
      <w:r>
        <w:t xml:space="preserve"> </w:t>
      </w:r>
      <w:r>
        <w:t>(Statista, 2025b)</w:t>
      </w:r>
      <w:r>
        <w:t xml:space="preserve">. The rate of inflation has </w:t>
      </w:r>
      <w:r>
        <w:t>stabilised</w:t>
      </w:r>
      <w:r>
        <w:t xml:space="preserve"> following the recent highs, but stood at about 3</w:t>
      </w:r>
      <w:r>
        <w:t>%</w:t>
      </w:r>
      <w:r>
        <w:t xml:space="preserve"> at the beginning of 2024, affecting consumer behaviour</w:t>
      </w:r>
      <w:r>
        <w:t xml:space="preserve"> </w:t>
      </w:r>
      <w:r>
        <w:t>(Statista, 2025a)</w:t>
      </w:r>
      <w:r>
        <w:t>. The level of unemployment is about 7.5%. The currency of the country is the Euro</w:t>
      </w:r>
      <w:r>
        <w:t>,</w:t>
      </w:r>
      <w:r>
        <w:t xml:space="preserve"> which does not present an exchange rate risk to the EU-based investors such as Aldi</w:t>
      </w:r>
      <w:r>
        <w:t xml:space="preserve"> </w:t>
      </w:r>
      <w:r>
        <w:t>(European Commission, 2025)</w:t>
      </w:r>
      <w:r>
        <w:t>. Disposable income in households is quite good</w:t>
      </w:r>
      <w:r>
        <w:t>,</w:t>
      </w:r>
      <w:r>
        <w:t xml:space="preserve"> though being strained by inflation, </w:t>
      </w:r>
      <w:r>
        <w:t>which</w:t>
      </w:r>
      <w:r>
        <w:t xml:space="preserve"> requires the growth of low-end retail products.</w:t>
      </w:r>
    </w:p>
    <w:p>
      <w:pPr>
        <w:pStyle w:val="style0"/>
        <w:rPr/>
      </w:pPr>
    </w:p>
    <w:p>
      <w:pPr>
        <w:pStyle w:val="style0"/>
        <w:rPr/>
      </w:pPr>
    </w:p>
    <w:p>
      <w:pPr>
        <w:pStyle w:val="style0"/>
        <w:rPr/>
      </w:pPr>
    </w:p>
    <w:p>
      <w:pPr>
        <w:pStyle w:val="style0"/>
        <w:rPr/>
      </w:pPr>
    </w:p>
    <w:p>
      <w:pPr>
        <w:pStyle w:val="style0"/>
        <w:rPr/>
      </w:pPr>
    </w:p>
    <w:p>
      <w:pPr>
        <w:pStyle w:val="style0"/>
        <w:rPr/>
      </w:pPr>
      <w:r>
        <w:rPr>
          <w:noProof/>
        </w:rPr>
        <w:drawing>
          <wp:inline distL="0" distT="0" distB="0" distR="0">
            <wp:extent cx="5943600" cy="3743959"/>
            <wp:effectExtent l="0" t="0" r="0" b="8890"/>
            <wp:docPr id="1034"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
                    <pic:cNvPicPr/>
                  </pic:nvPicPr>
                  <pic:blipFill>
                    <a:blip r:embed="rId10" cstate="print"/>
                    <a:srcRect l="0" t="0" r="0" b="0"/>
                    <a:stretch/>
                  </pic:blipFill>
                  <pic:spPr>
                    <a:xfrm rot="0">
                      <a:off x="0" y="0"/>
                      <a:ext cx="5943600" cy="3743959"/>
                    </a:xfrm>
                    <a:prstGeom prst="rect"/>
                  </pic:spPr>
                </pic:pic>
              </a:graphicData>
            </a:graphic>
          </wp:inline>
        </w:drawing>
      </w:r>
    </w:p>
    <w:p>
      <w:pPr>
        <w:pStyle w:val="style0"/>
        <w:ind w:left="2160"/>
        <w:rPr>
          <w:i/>
          <w:iCs/>
        </w:rPr>
      </w:pPr>
      <w:r>
        <w:rPr>
          <w:i/>
          <w:iCs/>
        </w:rPr>
        <w:t>Figure: Inflation rate over the period</w:t>
      </w:r>
      <w:r>
        <w:rPr>
          <w:i/>
          <w:iCs/>
        </w:rPr>
        <w:t xml:space="preserve"> </w:t>
      </w:r>
      <w:r>
        <w:rPr>
          <w:i/>
          <w:iCs/>
        </w:rPr>
        <w:t>(Statista, 2025a)</w:t>
      </w:r>
    </w:p>
    <w:p>
      <w:pPr>
        <w:pStyle w:val="style0"/>
        <w:ind w:left="720"/>
        <w:rPr>
          <w:b/>
          <w:bCs/>
        </w:rPr>
      </w:pPr>
      <w:r>
        <w:rPr>
          <w:b/>
          <w:bCs/>
          <w:noProof/>
        </w:rPr>
        <w:drawing>
          <wp:inline distL="0" distT="0" distB="0" distR="0">
            <wp:extent cx="5016320" cy="3177540"/>
            <wp:effectExtent l="0" t="0" r="0" b="3810"/>
            <wp:docPr id="1035"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1"/>
                    <pic:cNvPicPr/>
                  </pic:nvPicPr>
                  <pic:blipFill>
                    <a:blip r:embed="rId11" cstate="print"/>
                    <a:srcRect l="0" t="0" r="0" b="0"/>
                    <a:stretch/>
                  </pic:blipFill>
                  <pic:spPr>
                    <a:xfrm rot="0">
                      <a:off x="0" y="0"/>
                      <a:ext cx="5016320" cy="3177540"/>
                    </a:xfrm>
                    <a:prstGeom prst="rect"/>
                  </pic:spPr>
                </pic:pic>
              </a:graphicData>
            </a:graphic>
          </wp:inline>
        </w:drawing>
      </w:r>
    </w:p>
    <w:p>
      <w:pPr>
        <w:pStyle w:val="style0"/>
        <w:ind w:left="1440"/>
        <w:rPr>
          <w:i/>
          <w:iCs/>
        </w:rPr>
      </w:pPr>
      <w:r>
        <w:rPr>
          <w:i/>
          <w:iCs/>
        </w:rPr>
        <w:t>Figure: Unemployment rate in Finland</w:t>
      </w:r>
      <w:r>
        <w:rPr>
          <w:i/>
          <w:iCs/>
        </w:rPr>
        <w:t xml:space="preserve"> </w:t>
      </w:r>
      <w:r>
        <w:rPr>
          <w:i/>
          <w:iCs/>
        </w:rPr>
        <w:t>(Gleeson, 2024)</w:t>
      </w:r>
    </w:p>
    <w:p>
      <w:pPr>
        <w:pStyle w:val="style0"/>
        <w:rPr>
          <w:b/>
          <w:bCs/>
        </w:rPr>
      </w:pPr>
    </w:p>
    <w:p>
      <w:pPr>
        <w:pStyle w:val="style0"/>
        <w:rPr>
          <w:b/>
          <w:bCs/>
        </w:rPr>
      </w:pPr>
      <w:r>
        <w:rPr>
          <w:b/>
          <w:bCs/>
        </w:rPr>
        <w:t>Social:</w:t>
      </w:r>
    </w:p>
    <w:p>
      <w:pPr>
        <w:pStyle w:val="style0"/>
        <w:rPr/>
      </w:pPr>
      <w:r>
        <w:t xml:space="preserve">The population of Finland is approximately 5.6million, </w:t>
      </w:r>
      <w:r>
        <w:t xml:space="preserve">the </w:t>
      </w:r>
      <w:r>
        <w:t>median age is high</w:t>
      </w:r>
      <w:r>
        <w:t>,</w:t>
      </w:r>
      <w:r>
        <w:t xml:space="preserve"> and trust in the institutions is high. Environmental values, healthiness, and digital convenience are picked up by consumer </w:t>
      </w:r>
      <w:r>
        <w:t xml:space="preserve">values </w:t>
      </w:r>
      <w:r>
        <w:t>(Statista, 2025b)</w:t>
      </w:r>
      <w:r>
        <w:t>. The population is very concentrated, and the Helsinki metropolitan area alone has a population of more than one million</w:t>
      </w:r>
      <w:r>
        <w:t>,</w:t>
      </w:r>
      <w:r>
        <w:t xml:space="preserve"> which allows the market entry logistics to be done effectively. It is also becoming increasingly receptive to discount models</w:t>
      </w:r>
      <w:r>
        <w:t>,</w:t>
      </w:r>
      <w:r>
        <w:t xml:space="preserve"> with Lidl having a </w:t>
      </w:r>
      <w:r>
        <w:t>proven</w:t>
      </w:r>
      <w:r>
        <w:t xml:space="preserve"> presence</w:t>
      </w:r>
      <w:r>
        <w:t xml:space="preserve"> </w:t>
      </w:r>
      <w:r>
        <w:t>(Barrett, 2025)</w:t>
      </w:r>
      <w:r>
        <w:t>.</w:t>
      </w:r>
    </w:p>
    <w:p>
      <w:pPr>
        <w:pStyle w:val="style0"/>
        <w:rPr/>
      </w:pPr>
      <w:r>
        <w:rPr>
          <w:noProof/>
        </w:rPr>
        <w:drawing>
          <wp:inline distL="0" distT="0" distB="0" distR="0">
            <wp:extent cx="5943600" cy="3711575"/>
            <wp:effectExtent l="0" t="0" r="0" b="3175"/>
            <wp:docPr id="103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1"/>
                    <pic:cNvPicPr/>
                  </pic:nvPicPr>
                  <pic:blipFill>
                    <a:blip r:embed="rId12" cstate="print"/>
                    <a:srcRect l="0" t="0" r="0" b="0"/>
                    <a:stretch/>
                  </pic:blipFill>
                  <pic:spPr>
                    <a:xfrm rot="0">
                      <a:off x="0" y="0"/>
                      <a:ext cx="5943600" cy="3711575"/>
                    </a:xfrm>
                    <a:prstGeom prst="rect"/>
                  </pic:spPr>
                </pic:pic>
              </a:graphicData>
            </a:graphic>
          </wp:inline>
        </w:drawing>
      </w:r>
    </w:p>
    <w:p>
      <w:pPr>
        <w:pStyle w:val="style0"/>
        <w:ind w:left="2880"/>
        <w:rPr>
          <w:i/>
          <w:iCs/>
        </w:rPr>
      </w:pPr>
      <w:r>
        <w:rPr>
          <w:i/>
          <w:iCs/>
        </w:rPr>
        <w:t>Figure: Inhabitants of Finland</w:t>
      </w:r>
      <w:r>
        <w:rPr>
          <w:i/>
          <w:iCs/>
        </w:rPr>
        <w:t xml:space="preserve"> </w:t>
      </w:r>
      <w:r>
        <w:rPr>
          <w:i/>
          <w:iCs/>
        </w:rPr>
        <w:t>(Statista, 2025b)</w:t>
      </w:r>
    </w:p>
    <w:p>
      <w:pPr>
        <w:pStyle w:val="style0"/>
        <w:rPr/>
      </w:pPr>
    </w:p>
    <w:p>
      <w:pPr>
        <w:pStyle w:val="style0"/>
        <w:rPr>
          <w:b/>
          <w:bCs/>
        </w:rPr>
      </w:pPr>
      <w:r>
        <w:rPr>
          <w:b/>
          <w:bCs/>
        </w:rPr>
        <w:t>Technological:</w:t>
      </w:r>
      <w:r>
        <w:rPr>
          <w:b/>
          <w:bCs/>
        </w:rPr>
        <w:t xml:space="preserve"> </w:t>
      </w:r>
      <w:r>
        <w:t>The nation has one of the most up-to-date digital systems in the world</w:t>
      </w:r>
      <w:r>
        <w:t>,</w:t>
      </w:r>
      <w:r>
        <w:t xml:space="preserve"> and high-speed internet is available practically everywhere. The use of digital payment is common</w:t>
      </w:r>
      <w:r>
        <w:t>,</w:t>
      </w:r>
      <w:r>
        <w:t xml:space="preserve"> and e-commerce in grocery is not larger in comparison to in-store, but its growth is consistent. </w:t>
      </w:r>
      <w:r>
        <w:t xml:space="preserve"> Finland holds 23% of highest internet penetration of 10+ Mbps</w:t>
      </w:r>
      <w:r>
        <w:t xml:space="preserve"> </w:t>
      </w:r>
      <w:r>
        <w:t>(Statista Research Department, 2025)</w:t>
      </w:r>
      <w:r>
        <w:t xml:space="preserve">. </w:t>
      </w:r>
      <w:r>
        <w:t xml:space="preserve">This is a high level of technology that aids advanced chain management, electronic marketing, and even </w:t>
      </w:r>
      <w:r>
        <w:t xml:space="preserve">the </w:t>
      </w:r>
      <w:r>
        <w:t xml:space="preserve">future incorporation of omnichannel retailing </w:t>
      </w:r>
      <w:r>
        <w:t>for</w:t>
      </w:r>
      <w:r>
        <w:t xml:space="preserve"> an incoming retailer.</w:t>
      </w:r>
    </w:p>
    <w:p>
      <w:pPr>
        <w:pStyle w:val="style0"/>
        <w:rPr/>
      </w:pPr>
      <w:r>
        <w:rPr>
          <w:noProof/>
        </w:rPr>
        <w:drawing>
          <wp:inline distL="0" distT="0" distB="0" distR="0">
            <wp:extent cx="5943600" cy="3337560"/>
            <wp:effectExtent l="0" t="0" r="0" b="0"/>
            <wp:docPr id="1037" name="Picture 3" descr="Chart: The U.S. Ranks 8th in High Speed Internet Penetration | Statista"/>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3"/>
                    <pic:cNvPicPr/>
                  </pic:nvPicPr>
                  <pic:blipFill>
                    <a:blip r:embed="rId13" cstate="print"/>
                    <a:srcRect l="0" t="8457" r="0" b="12730"/>
                    <a:stretch/>
                  </pic:blipFill>
                  <pic:spPr>
                    <a:xfrm rot="0">
                      <a:off x="0" y="0"/>
                      <a:ext cx="5943600" cy="3337560"/>
                    </a:xfrm>
                    <a:prstGeom prst="rect"/>
                    <a:ln>
                      <a:noFill/>
                    </a:ln>
                  </pic:spPr>
                </pic:pic>
              </a:graphicData>
            </a:graphic>
          </wp:inline>
        </w:drawing>
      </w:r>
    </w:p>
    <w:p>
      <w:pPr>
        <w:pStyle w:val="style0"/>
        <w:ind w:left="720"/>
        <w:rPr>
          <w:i/>
          <w:iCs/>
        </w:rPr>
      </w:pPr>
      <w:r>
        <w:rPr>
          <w:i/>
          <w:iCs/>
        </w:rPr>
        <w:t xml:space="preserve">Figure: Finland's internet penetration </w:t>
      </w:r>
      <w:r>
        <w:rPr>
          <w:i/>
          <w:iCs/>
        </w:rPr>
        <w:t>(Statista Research Department, 2025)</w:t>
      </w:r>
    </w:p>
    <w:p>
      <w:pPr>
        <w:pStyle w:val="style0"/>
        <w:rPr/>
      </w:pPr>
      <w:r>
        <w:rPr>
          <w:b/>
          <w:bCs/>
        </w:rPr>
        <w:t>Legal:</w:t>
      </w:r>
      <w:r>
        <w:t xml:space="preserve"> </w:t>
      </w:r>
      <w:r>
        <w:t xml:space="preserve">The legal system in Finland is strong and predictable and intellectual protection and enforcement of contracts is high. EU and local competition law is very strict, and it may present a challenge to the </w:t>
      </w:r>
      <w:r>
        <w:t>suppliers'</w:t>
      </w:r>
      <w:r>
        <w:t xml:space="preserve"> contracts </w:t>
      </w:r>
      <w:r>
        <w:t>with</w:t>
      </w:r>
      <w:r>
        <w:t xml:space="preserve"> Aldi, but </w:t>
      </w:r>
      <w:r>
        <w:t xml:space="preserve">it </w:t>
      </w:r>
      <w:r>
        <w:t>also prevents anti-competitive practices by market rivals</w:t>
      </w:r>
      <w:r>
        <w:t xml:space="preserve"> </w:t>
      </w:r>
      <w:r>
        <w:t>(</w:t>
      </w:r>
      <w:r>
        <w:t>Shoulberg</w:t>
      </w:r>
      <w:r>
        <w:t>, 2021)</w:t>
      </w:r>
      <w:r>
        <w:t xml:space="preserve">. </w:t>
      </w:r>
    </w:p>
    <w:p>
      <w:pPr>
        <w:pStyle w:val="style0"/>
        <w:rPr>
          <w:b/>
          <w:bCs/>
        </w:rPr>
      </w:pPr>
      <w:r>
        <w:rPr>
          <w:b/>
          <w:bCs/>
        </w:rPr>
        <w:t>Environmental:</w:t>
      </w:r>
    </w:p>
    <w:p>
      <w:pPr>
        <w:pStyle w:val="style0"/>
        <w:rPr/>
      </w:pPr>
      <w:r>
        <w:rPr>
          <w:noProof/>
        </w:rPr>
        <w:drawing>
          <wp:inline distL="0" distT="0" distB="0" distR="0">
            <wp:extent cx="5943600" cy="1652270"/>
            <wp:effectExtent l="0" t="0" r="0" b="5080"/>
            <wp:docPr id="1038" name="Picture 4" descr="Finland - Ranked 9th in the Global Sustainability Index | Earth.Or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4"/>
                    <pic:cNvPicPr/>
                  </pic:nvPicPr>
                  <pic:blipFill>
                    <a:blip r:embed="rId14" cstate="print"/>
                    <a:srcRect l="0" t="0" r="0" b="0"/>
                    <a:stretch/>
                  </pic:blipFill>
                  <pic:spPr>
                    <a:xfrm rot="0">
                      <a:off x="0" y="0"/>
                      <a:ext cx="5943600" cy="1652270"/>
                    </a:xfrm>
                    <a:prstGeom prst="rect"/>
                    <a:ln>
                      <a:noFill/>
                    </a:ln>
                  </pic:spPr>
                </pic:pic>
              </a:graphicData>
            </a:graphic>
          </wp:inline>
        </w:drawing>
      </w:r>
    </w:p>
    <w:p>
      <w:pPr>
        <w:pStyle w:val="style0"/>
        <w:ind w:left="1440"/>
        <w:rPr>
          <w:i/>
          <w:iCs/>
        </w:rPr>
      </w:pPr>
      <w:r>
        <w:rPr>
          <w:i/>
          <w:iCs/>
        </w:rPr>
        <w:t>Figure: Finland’s rank in</w:t>
      </w:r>
      <w:r>
        <w:rPr>
          <w:i/>
          <w:iCs/>
        </w:rPr>
        <w:t xml:space="preserve"> </w:t>
      </w:r>
      <w:r>
        <w:rPr>
          <w:i/>
          <w:iCs/>
        </w:rPr>
        <w:t xml:space="preserve">the </w:t>
      </w:r>
      <w:r>
        <w:rPr>
          <w:i/>
          <w:iCs/>
        </w:rPr>
        <w:t>global</w:t>
      </w:r>
      <w:r>
        <w:rPr>
          <w:i/>
          <w:iCs/>
        </w:rPr>
        <w:t xml:space="preserve"> sustainability index</w:t>
      </w:r>
      <w:r>
        <w:rPr>
          <w:i/>
          <w:iCs/>
        </w:rPr>
        <w:t xml:space="preserve"> </w:t>
      </w:r>
      <w:r>
        <w:rPr>
          <w:i/>
          <w:iCs/>
        </w:rPr>
        <w:t>(Tara, 2025)</w:t>
      </w:r>
    </w:p>
    <w:p>
      <w:pPr>
        <w:pStyle w:val="style0"/>
        <w:rPr/>
      </w:pPr>
      <w:r>
        <w:t>Finland is a world leader in environmental policy</w:t>
      </w:r>
      <w:r>
        <w:t>,</w:t>
      </w:r>
      <w:r>
        <w:t xml:space="preserve"> and by 2035</w:t>
      </w:r>
      <w:r>
        <w:t>,</w:t>
      </w:r>
      <w:r>
        <w:t xml:space="preserve"> it has set a goal of carbon neutrality. </w:t>
      </w:r>
      <w:r>
        <w:t>Finland ranks 9</w:t>
      </w:r>
      <w:r>
        <w:rPr>
          <w:vertAlign w:val="superscript"/>
        </w:rPr>
        <w:t>th</w:t>
      </w:r>
      <w:r>
        <w:t xml:space="preserve"> </w:t>
      </w:r>
      <w:r>
        <w:t>in</w:t>
      </w:r>
      <w:r>
        <w:t xml:space="preserve"> </w:t>
      </w:r>
      <w:r>
        <w:t xml:space="preserve">the global sustainability index score. </w:t>
      </w:r>
      <w:r>
        <w:t xml:space="preserve">Ecological awareness is high </w:t>
      </w:r>
      <w:r>
        <w:t>amongst consumers, who prefer to use sustainable sourcing and packaging that includes a minimum</w:t>
      </w:r>
      <w:r>
        <w:t xml:space="preserve"> </w:t>
      </w:r>
      <w:r>
        <w:t>(Tara, 2025)</w:t>
      </w:r>
      <w:r>
        <w:t xml:space="preserve">. This is not only in line with </w:t>
      </w:r>
      <w:r>
        <w:t>Aldi's</w:t>
      </w:r>
      <w:r>
        <w:t xml:space="preserve"> global efforts to </w:t>
      </w:r>
      <w:r>
        <w:t>minimise</w:t>
      </w:r>
      <w:r>
        <w:t xml:space="preserve"> plastic and carbon footprints</w:t>
      </w:r>
      <w:r>
        <w:t>,</w:t>
      </w:r>
      <w:r>
        <w:t xml:space="preserve"> but also increases the compliance levels to waste management and supply chain transparency</w:t>
      </w:r>
      <w:r>
        <w:t xml:space="preserve"> </w:t>
      </w:r>
      <w:r>
        <w:t>(Barrett, 2025)</w:t>
      </w:r>
      <w:r>
        <w:t>.</w:t>
      </w:r>
    </w:p>
    <w:p>
      <w:pPr>
        <w:pStyle w:val="style0"/>
        <w:rPr>
          <w:b/>
          <w:bCs/>
        </w:rPr>
      </w:pPr>
      <w:r>
        <w:rPr>
          <w:b/>
          <w:bCs/>
        </w:rPr>
        <w:t>Critical Analysis of the PESTLE Framework:</w:t>
      </w:r>
    </w:p>
    <w:p>
      <w:pPr>
        <w:pStyle w:val="style0"/>
        <w:rPr/>
      </w:pPr>
      <w:r>
        <w:t>The PESTLE analysis gives a systematic analysis of the macro-environment surrounding Aldi. Its strength is that it puts broad influential factors in categories and points out the key opportunities and threats, including stable politics and high sustainability standards. Nevertheless, the tool is highly limited</w:t>
      </w:r>
      <w:r>
        <w:t xml:space="preserve"> </w:t>
      </w:r>
      <w:r>
        <w:t>(Tara, 2025)</w:t>
      </w:r>
      <w:r>
        <w:t xml:space="preserve">. It is intrinsically fixed so as to provide a picture, which might not reflect quick changes in the economic environment and consumer attitude. </w:t>
      </w:r>
      <w:r>
        <w:t>The following table synthesises the detailed PESTLE analysis into a structured evaluation, assessing each macro-environmental factor as an opportunity or threat for Aldi's expansion into Finland</w:t>
      </w:r>
      <w:r>
        <w:t xml:space="preserve"> </w:t>
      </w:r>
      <w:r>
        <w:t>(</w:t>
      </w:r>
      <w:r>
        <w:t>Shoulberg</w:t>
      </w:r>
      <w:r>
        <w:t>, 2021)</w:t>
      </w:r>
      <w:r>
        <w:t>. A points-based system is applied to quantify the aggregate attractiveness, where </w:t>
      </w:r>
      <w:r>
        <w:rPr>
          <w:b/>
          <w:bCs/>
        </w:rPr>
        <w:t xml:space="preserve">High Impact = 3 points, Medium = 2, </w:t>
      </w:r>
      <w:r>
        <w:rPr>
          <w:b/>
          <w:bCs/>
        </w:rPr>
        <w:t xml:space="preserve">and </w:t>
      </w:r>
      <w:r>
        <w:rPr>
          <w:b/>
          <w:bCs/>
        </w:rPr>
        <w:t>Low = 1</w:t>
      </w:r>
      <w:r>
        <w:t>. Opportunities are assigned positive values, threats negative values. The net score provides a quantitative summary of the macro-environmental favourability.</w:t>
      </w:r>
    </w:p>
    <w:tbl>
      <w:tblPr>
        <w:tblStyle w:val="style154"/>
        <w:tblW w:w="0" w:type="auto"/>
        <w:tblLook w:val="04A0" w:firstRow="1" w:lastRow="0" w:firstColumn="1" w:lastColumn="0" w:noHBand="0" w:noVBand="1"/>
      </w:tblPr>
      <w:tblGrid>
        <w:gridCol w:w="1686"/>
        <w:gridCol w:w="1740"/>
        <w:gridCol w:w="2253"/>
        <w:gridCol w:w="1036"/>
        <w:gridCol w:w="1783"/>
        <w:gridCol w:w="858"/>
      </w:tblGrid>
      <w:tr>
        <w:trPr/>
        <w:tc>
          <w:tcPr>
            <w:tcW w:w="9350" w:type="dxa"/>
            <w:gridSpan w:val="6"/>
            <w:tcBorders/>
          </w:tcPr>
          <w:p>
            <w:pPr>
              <w:pStyle w:val="style0"/>
              <w:rPr>
                <w:rFonts w:cs="Times New Roman"/>
                <w:szCs w:val="24"/>
              </w:rPr>
            </w:pPr>
            <w:r>
              <w:rPr>
                <w:rFonts w:cs="Times New Roman"/>
                <w:b/>
                <w:bCs/>
                <w:szCs w:val="24"/>
              </w:rPr>
              <w:t>PESTLE Opportunity &amp; Threat Assessment for Aldi’s Expansion into Finland</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PESTLE Factor</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Key Component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r>
              <w:rPr>
                <w:rFonts w:cs="Times New Roman" w:eastAsia="Times New Roman"/>
                <w:szCs w:val="24"/>
                <w:lang w:eastAsia="en-GB"/>
              </w:rPr>
              <w:t>pportunity</w:t>
            </w:r>
            <w:r>
              <w:rPr>
                <w:rFonts w:cs="Times New Roman" w:eastAsia="Times New Roman"/>
                <w:szCs w:val="24"/>
                <w:lang w:eastAsia="en-GB"/>
              </w:rPr>
              <w:t>/T</w:t>
            </w:r>
            <w:r>
              <w:rPr>
                <w:rFonts w:cs="Times New Roman" w:eastAsia="Times New Roman"/>
                <w:szCs w:val="24"/>
                <w:lang w:eastAsia="en-GB"/>
              </w:rPr>
              <w:t>hreats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Impact (H/M/L)</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Rationale (Data-Centric)</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Points (+/-)</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Political</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Stability &amp; Transparency</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H</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CPI Rank 3/180 (Score 87). World Bank Political Stability Index: 1.1 (High).</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+3</w:t>
            </w:r>
          </w:p>
        </w:tc>
      </w:tr>
      <w:tr>
        <w:tblPrEx/>
        <w:trPr/>
        <w:tc>
          <w:tcPr>
            <w:tcW w:w="0" w:type="auto"/>
            <w:tcBorders/>
            <w:hideMark/>
          </w:tcPr>
          <w:p>
            <w:pPr>
              <w:pStyle w:val="style0"/>
              <w:spacing w:lineRule="atLeast" w:line="375"/>
              <w:jc w:val="left"/>
              <w:rPr>
                <w:rFonts w:cs="Times New Roman" w:eastAsia="Times New Roman"/>
                <w:szCs w:val="24"/>
                <w:lang w:eastAsia="en-GB"/>
              </w:rPr>
            </w:pP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EU Membership</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H</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Ensures regulatory harmonisation and free trade access.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+3</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Economic</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High Disposable Income</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H</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GDP per capita ~€48,000 supports retail spending.</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+3</w:t>
            </w:r>
          </w:p>
        </w:tc>
      </w:tr>
      <w:tr>
        <w:tblPrEx/>
        <w:trPr/>
        <w:tc>
          <w:tcPr>
            <w:tcW w:w="0" w:type="auto"/>
            <w:tcBorders/>
            <w:hideMark/>
          </w:tcPr>
          <w:p>
            <w:pPr>
              <w:pStyle w:val="style0"/>
              <w:spacing w:lineRule="atLeast" w:line="375"/>
              <w:jc w:val="left"/>
              <w:rPr>
                <w:rFonts w:cs="Times New Roman" w:eastAsia="Times New Roman"/>
                <w:szCs w:val="24"/>
                <w:lang w:eastAsia="en-GB"/>
              </w:rPr>
            </w:pP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Moderate Inflation</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M</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Inflation ~3% (2024) pressures disposable income, increasing value demand.</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-2</w:t>
            </w:r>
          </w:p>
        </w:tc>
      </w:tr>
      <w:tr>
        <w:tblPrEx/>
        <w:trPr/>
        <w:tc>
          <w:tcPr>
            <w:tcW w:w="0" w:type="auto"/>
            <w:tcBorders/>
            <w:hideMark/>
          </w:tcPr>
          <w:p>
            <w:pPr>
              <w:pStyle w:val="style0"/>
              <w:spacing w:lineRule="atLeast" w:line="375"/>
              <w:jc w:val="left"/>
              <w:rPr>
                <w:rFonts w:cs="Times New Roman" w:eastAsia="Times New Roman"/>
                <w:szCs w:val="24"/>
                <w:lang w:eastAsia="en-GB"/>
              </w:rPr>
            </w:pP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Unemployment Rate</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M</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Unemployment at 7.5% may constrain spending in certain segments.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-2</w:t>
            </w:r>
          </w:p>
        </w:tc>
      </w:tr>
      <w:tr>
        <w:tblPrEx/>
        <w:trPr/>
        <w:tc>
          <w:tcPr>
            <w:tcW w:w="0" w:type="auto"/>
            <w:tcBorders/>
            <w:hideMark/>
          </w:tcPr>
          <w:p>
            <w:pPr>
              <w:pStyle w:val="style0"/>
              <w:spacing w:lineRule="atLeast" w:line="375"/>
              <w:jc w:val="left"/>
              <w:rPr>
                <w:rFonts w:cs="Times New Roman" w:eastAsia="Times New Roman"/>
                <w:szCs w:val="24"/>
                <w:lang w:eastAsia="en-GB"/>
              </w:rPr>
            </w:pP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Euro Currency</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L</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Eliminates exchange rate risk for EU-based Aldi investments.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+1</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Social</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Population Concentration</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H</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&gt;1M in Helsinki region allows for efficient, focused market entry.</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+3</w:t>
            </w:r>
          </w:p>
        </w:tc>
      </w:tr>
      <w:tr>
        <w:tblPrEx/>
        <w:trPr/>
        <w:tc>
          <w:tcPr>
            <w:tcW w:w="0" w:type="auto"/>
            <w:tcBorders/>
            <w:hideMark/>
          </w:tcPr>
          <w:p>
            <w:pPr>
              <w:pStyle w:val="style0"/>
              <w:spacing w:lineRule="atLeast" w:line="375"/>
              <w:jc w:val="left"/>
              <w:rPr>
                <w:rFonts w:cs="Times New Roman" w:eastAsia="Times New Roman"/>
                <w:szCs w:val="24"/>
                <w:lang w:eastAsia="en-GB"/>
              </w:rPr>
            </w:pP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Sustainability Values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H</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Strong consumer preference for eco-friendly products aligns with Aldi’s ESG focus.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+3</w:t>
            </w:r>
          </w:p>
        </w:tc>
      </w:tr>
      <w:tr>
        <w:tblPrEx/>
        <w:trPr/>
        <w:tc>
          <w:tcPr>
            <w:tcW w:w="0" w:type="auto"/>
            <w:tcBorders/>
            <w:hideMark/>
          </w:tcPr>
          <w:p>
            <w:pPr>
              <w:pStyle w:val="style0"/>
              <w:spacing w:lineRule="atLeast" w:line="375"/>
              <w:jc w:val="left"/>
              <w:rPr>
                <w:rFonts w:cs="Times New Roman" w:eastAsia="Times New Roman"/>
                <w:szCs w:val="24"/>
                <w:lang w:eastAsia="en-GB"/>
              </w:rPr>
            </w:pP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Digital Literacy</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M</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High internet penetration facilitates digital marketing and omnichannel strategies.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+2</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Technological</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Advanced Infrastructure</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H</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World-class digital and logistical networks support efficient operations.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+3</w:t>
            </w:r>
          </w:p>
        </w:tc>
      </w:tr>
      <w:tr>
        <w:tblPrEx/>
        <w:trPr/>
        <w:tc>
          <w:tcPr>
            <w:tcW w:w="0" w:type="auto"/>
            <w:tcBorders/>
            <w:hideMark/>
          </w:tcPr>
          <w:p>
            <w:pPr>
              <w:pStyle w:val="style0"/>
              <w:spacing w:lineRule="atLeast" w:line="375"/>
              <w:jc w:val="left"/>
              <w:rPr>
                <w:rFonts w:cs="Times New Roman" w:eastAsia="Times New Roman"/>
                <w:szCs w:val="24"/>
                <w:lang w:eastAsia="en-GB"/>
              </w:rPr>
            </w:pP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E-Commerce Growth</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M</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Growing channel offers future strategic optionality.</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+2</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Legal</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Strict Competition Law</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M</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Active FCCA may scrutinise supplier agreements and pricing strategies.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-2</w:t>
            </w:r>
          </w:p>
        </w:tc>
      </w:tr>
      <w:tr>
        <w:tblPrEx/>
        <w:trPr/>
        <w:tc>
          <w:tcPr>
            <w:tcW w:w="0" w:type="auto"/>
            <w:tcBorders/>
            <w:hideMark/>
          </w:tcPr>
          <w:p>
            <w:pPr>
              <w:pStyle w:val="style0"/>
              <w:spacing w:lineRule="atLeast" w:line="375"/>
              <w:jc w:val="left"/>
              <w:rPr>
                <w:rFonts w:cs="Times New Roman" w:eastAsia="Times New Roman"/>
                <w:szCs w:val="24"/>
                <w:lang w:eastAsia="en-GB"/>
              </w:rPr>
            </w:pP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Robust Employment Law</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L</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Comprehensive but predictable regulations; standard for EU operations.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-1</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Environmental</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Carbon Neutrality Goals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M</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National 2035 target aligns with Aldi’s global sustainability commitments.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+2</w:t>
            </w:r>
          </w:p>
        </w:tc>
      </w:tr>
      <w:tr>
        <w:tblPrEx/>
        <w:trPr/>
        <w:tc>
          <w:tcPr>
            <w:tcW w:w="0" w:type="auto"/>
            <w:tcBorders/>
            <w:hideMark/>
          </w:tcPr>
          <w:p>
            <w:pPr>
              <w:pStyle w:val="style0"/>
              <w:spacing w:lineRule="atLeast" w:line="375"/>
              <w:jc w:val="left"/>
              <w:rPr>
                <w:rFonts w:cs="Times New Roman" w:eastAsia="Times New Roman"/>
                <w:szCs w:val="24"/>
                <w:lang w:eastAsia="en-GB"/>
              </w:rPr>
            </w:pP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High Compliance Standards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M</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Stringent packaging and waste regulations increase initial compliance costs.</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-2</w:t>
            </w:r>
          </w:p>
        </w:tc>
      </w:tr>
    </w:tbl>
    <w:p>
      <w:pPr>
        <w:pStyle w:val="style0"/>
        <w:rPr/>
      </w:pPr>
      <w:r>
        <w:rPr>
          <w:b/>
          <w:bCs/>
        </w:rPr>
        <w:t>Net Macro-Environmental Opportunity Score: +17</w:t>
      </w:r>
    </w:p>
    <w:p>
      <w:pPr>
        <w:pStyle w:val="style0"/>
        <w:rPr>
          <w:b/>
          <w:bCs/>
        </w:rPr>
      </w:pPr>
      <w:r>
        <w:rPr>
          <w:b/>
          <w:bCs/>
        </w:rPr>
        <w:t>Industry/Micro-Environment</w:t>
      </w:r>
    </w:p>
    <w:p>
      <w:pPr>
        <w:pStyle w:val="style0"/>
        <w:rPr/>
      </w:pPr>
      <w:r>
        <w:rPr>
          <w:b/>
          <w:bCs/>
        </w:rPr>
        <w:t>Porter’s Five Forces Analysis</w:t>
      </w:r>
    </w:p>
    <w:p>
      <w:pPr>
        <w:pStyle w:val="style0"/>
        <w:rPr/>
      </w:pPr>
      <w:r>
        <w:rPr>
          <w:b/>
          <w:bCs/>
        </w:rPr>
        <w:t>Threat of New Entrants (Moderate to High):</w:t>
      </w:r>
      <w:r>
        <w:t xml:space="preserve"> </w:t>
      </w:r>
      <w:r>
        <w:t>Economies of scale are high but not impassable. The barriers are high due to the dominant market share and loyalty programmes of S-Group and Kesko. Store networks, supply chains and brand building need a lot of capital</w:t>
      </w:r>
      <w:r>
        <w:t xml:space="preserve"> </w:t>
      </w:r>
      <w:r>
        <w:t>(Sweney, 2025)</w:t>
      </w:r>
      <w:r>
        <w:t>. Nonetheless, the success of Lidl, which has been proven, proves that the barrier has been overcome by a well-equipped international discounter with a unique model</w:t>
      </w:r>
      <w:r>
        <w:t xml:space="preserve"> </w:t>
      </w:r>
      <w:r>
        <w:t>(Barrett, 2025)</w:t>
      </w:r>
      <w:r>
        <w:t xml:space="preserve">. Aldi is a </w:t>
      </w:r>
      <w:r>
        <w:t>serious</w:t>
      </w:r>
      <w:r>
        <w:t xml:space="preserve"> and credible threat with its financial power and its proven playbook.</w:t>
      </w:r>
    </w:p>
    <w:p>
      <w:pPr>
        <w:pStyle w:val="style0"/>
        <w:rPr/>
      </w:pPr>
      <w:r>
        <w:rPr>
          <w:b/>
          <w:bCs/>
        </w:rPr>
        <w:t>Supplier Power (Low to Moderate):</w:t>
      </w:r>
      <w:r>
        <w:t xml:space="preserve"> </w:t>
      </w:r>
      <w:r>
        <w:t xml:space="preserve">Branded goods </w:t>
      </w:r>
      <w:r>
        <w:t>suppliers'</w:t>
      </w:r>
      <w:r>
        <w:t xml:space="preserve"> power is poor as Aldi focuses on acquiring a significant portion of private-label goods. The power is moderate in the case of bulk commodities and manufacturers of </w:t>
      </w:r>
      <w:r>
        <w:t>own-label</w:t>
      </w:r>
      <w:r>
        <w:t xml:space="preserve"> </w:t>
      </w:r>
      <w:r>
        <w:t>(</w:t>
      </w:r>
      <w:r>
        <w:t>Agustian</w:t>
      </w:r>
      <w:r>
        <w:t> </w:t>
      </w:r>
      <w:r>
        <w:rPr>
          <w:i/>
          <w:iCs/>
        </w:rPr>
        <w:t>et al.</w:t>
      </w:r>
      <w:r>
        <w:t>, 2023)</w:t>
      </w:r>
      <w:r>
        <w:t xml:space="preserve">. The great purchasing leverage of Aldi is achieved by its enormous purchasing power globally and the competition within the food production sector. Nevertheless, in Finland, a fresh produce and </w:t>
      </w:r>
      <w:r>
        <w:t>meat</w:t>
      </w:r>
      <w:r>
        <w:t xml:space="preserve"> supplier could create a certain power on the regional suppliers since it will create a relationship first.</w:t>
      </w:r>
    </w:p>
    <w:p>
      <w:pPr>
        <w:pStyle w:val="style0"/>
        <w:rPr>
          <w:b/>
          <w:bCs/>
        </w:rPr>
      </w:pPr>
      <w:r>
        <w:rPr>
          <w:b/>
          <w:bCs/>
        </w:rPr>
        <w:t>Bargaining power of buyers (High):</w:t>
      </w:r>
      <w:r>
        <w:rPr>
          <w:b/>
          <w:bCs/>
        </w:rPr>
        <w:t xml:space="preserve"> </w:t>
      </w:r>
      <w:r>
        <w:t xml:space="preserve">The bargaining power of the consumers is very high. Groceries are commodities in nature, and they have no switching costs. The consumers in Finland are highly informed and </w:t>
      </w:r>
      <w:r>
        <w:t>price-conscious,</w:t>
      </w:r>
      <w:r>
        <w:t xml:space="preserve"> and they have formed loyalties</w:t>
      </w:r>
      <w:r>
        <w:t xml:space="preserve"> </w:t>
      </w:r>
      <w:r>
        <w:t>(BBC News, 2025)</w:t>
      </w:r>
      <w:r>
        <w:t xml:space="preserve">. Aldi needs to </w:t>
      </w:r>
      <w:r>
        <w:t>fulfil</w:t>
      </w:r>
      <w:r>
        <w:t xml:space="preserve"> all the pressure on price and quality</w:t>
      </w:r>
      <w:r>
        <w:t>,</w:t>
      </w:r>
      <w:r>
        <w:t xml:space="preserve"> which makes their offer a convincing value proposition that will make their customers leave their existing retailers and turn to Aldi.</w:t>
      </w:r>
    </w:p>
    <w:p>
      <w:pPr>
        <w:pStyle w:val="style0"/>
        <w:rPr/>
      </w:pPr>
      <w:r>
        <w:rPr>
          <w:b/>
          <w:bCs/>
        </w:rPr>
        <w:t>Threat of Substitute Product or Service (Low)</w:t>
      </w:r>
      <w:r>
        <w:t>:</w:t>
      </w:r>
      <w:r>
        <w:t xml:space="preserve"> </w:t>
      </w:r>
      <w:r>
        <w:t xml:space="preserve">The threat of substitution posed by grocery retail is not so high, and food is a need. Nevertheless, there are alternatives in the form of substitute </w:t>
      </w:r>
      <w:r>
        <w:t xml:space="preserve">sources such as the local </w:t>
      </w:r>
      <w:r>
        <w:t>speciality</w:t>
      </w:r>
      <w:r>
        <w:t xml:space="preserve"> stores, online only </w:t>
      </w:r>
      <w:r>
        <w:t>grocers</w:t>
      </w:r>
      <w:r>
        <w:t>, and restaurant meal kits. The internal in-store grocery shopping structure is at a low and increasing threat as a result of the slow increase in e-commerce</w:t>
      </w:r>
      <w:r>
        <w:t xml:space="preserve"> </w:t>
      </w:r>
      <w:r>
        <w:t>(Barrett, 2025)</w:t>
      </w:r>
      <w:r>
        <w:t>.</w:t>
      </w:r>
    </w:p>
    <w:p>
      <w:pPr>
        <w:pStyle w:val="style0"/>
        <w:rPr>
          <w:b/>
          <w:bCs/>
        </w:rPr>
      </w:pPr>
      <w:r>
        <w:rPr>
          <w:b/>
          <w:bCs/>
        </w:rPr>
        <w:t>Competition among Current Rivals (High):</w:t>
      </w:r>
      <w:r>
        <w:rPr>
          <w:b/>
          <w:bCs/>
        </w:rPr>
        <w:t xml:space="preserve"> </w:t>
      </w:r>
      <w:r>
        <w:t>The level of competition is extremely high. The market is an oligopoly that is controlled by S-Group and Kesko, which fiercely compete in terms of price, location, and loyalty initiatives. Lidl offers price-competitive pressure at all times. The main competition is not price-related, as it is based on the store experience, the quality of the own label, and online services, although price is one of the key battlegrounds, particularly in economic recessions</w:t>
      </w:r>
      <w:r>
        <w:t xml:space="preserve"> </w:t>
      </w:r>
      <w:r>
        <w:t>(Sweney, 2025)</w:t>
      </w:r>
      <w:r>
        <w:t>.</w:t>
      </w:r>
    </w:p>
    <w:p>
      <w:pPr>
        <w:pStyle w:val="style0"/>
        <w:rPr>
          <w:b/>
          <w:bCs/>
        </w:rPr>
      </w:pPr>
      <w:r>
        <w:rPr>
          <w:b/>
          <w:bCs/>
        </w:rPr>
        <w:t xml:space="preserve">Critical Analysis of </w:t>
      </w:r>
      <w:r>
        <w:rPr>
          <w:b/>
          <w:bCs/>
        </w:rPr>
        <w:t>Porter's</w:t>
      </w:r>
      <w:r>
        <w:rPr>
          <w:b/>
          <w:bCs/>
        </w:rPr>
        <w:t xml:space="preserve"> Five Forces </w:t>
      </w:r>
      <w:r>
        <w:rPr>
          <w:b/>
          <w:bCs/>
        </w:rPr>
        <w:t>Model</w:t>
      </w:r>
    </w:p>
    <w:p>
      <w:pPr>
        <w:pStyle w:val="style0"/>
        <w:rPr/>
      </w:pPr>
      <w:r>
        <w:t>Porter's model is efficient in de-analysing the structural appeal of the Finnish grocery market, and it is essential to note that the market is highly competitive and possesses a very high buyer power</w:t>
      </w:r>
      <w:r>
        <w:t xml:space="preserve"> </w:t>
      </w:r>
      <w:r>
        <w:t>(Farida and Setiawan, 2022)</w:t>
      </w:r>
      <w:r>
        <w:t>. Its relevance has been established through the appropriate identification of the stiff competition and the high entry barriers that are considerable but can be overcome</w:t>
      </w:r>
      <w:r>
        <w:t xml:space="preserve"> </w:t>
      </w:r>
      <w:r>
        <w:t>(</w:t>
      </w:r>
      <w:r>
        <w:t>Caraceni</w:t>
      </w:r>
      <w:r>
        <w:t>, 2025)</w:t>
      </w:r>
      <w:r>
        <w:t>. Nevertheless, this is a consolidated and contemporary market, and the limitations of the model are evident in it. It does not give enough weight to the aspects of competition that are not related to price, like the sustainability credentials and integration in the digital ecosystem, which are vital in Finland</w:t>
      </w:r>
      <w:r>
        <w:t xml:space="preserve"> </w:t>
      </w:r>
      <w:r>
        <w:t>(Barrett, 2025)</w:t>
      </w:r>
      <w:r>
        <w:t xml:space="preserve">. </w:t>
      </w:r>
    </w:p>
    <w:bookmarkStart w:id="10" w:name="_Toc217246752"/>
    <w:p>
      <w:pPr>
        <w:pStyle w:val="style2"/>
        <w:rPr/>
      </w:pPr>
      <w:r>
        <w:t>3.2 Internal Environment Analysis:</w:t>
      </w:r>
      <w:bookmarkEnd w:id="10"/>
      <w:r>
        <w:t xml:space="preserve"> </w:t>
      </w:r>
    </w:p>
    <w:p>
      <w:pPr>
        <w:pStyle w:val="style0"/>
        <w:rPr>
          <w:b/>
          <w:bCs/>
        </w:rPr>
      </w:pPr>
      <w:r>
        <w:rPr>
          <w:b/>
          <w:bCs/>
        </w:rPr>
        <w:t>Resource-Based View (RBV) &amp; VRIO Framework</w:t>
      </w:r>
    </w:p>
    <w:p>
      <w:pPr>
        <w:pStyle w:val="style0"/>
        <w:rPr/>
      </w:pPr>
      <w:r>
        <w:t xml:space="preserve">Resource-Based View analysis will focus on the assessment of the internal resources and </w:t>
      </w:r>
      <w:r>
        <w:t>capabilities</w:t>
      </w:r>
      <w:r>
        <w:t xml:space="preserve"> of Aldi in order to </w:t>
      </w:r>
      <w:r>
        <w:t>determine</w:t>
      </w:r>
      <w:r>
        <w:t xml:space="preserve"> whether they can be used to create a sustainable competitive advantage in the new market</w:t>
      </w:r>
      <w:r>
        <w:t xml:space="preserve"> </w:t>
      </w:r>
      <w:r>
        <w:t>(Nayak, Bhattacharyya and Krishnamoorthy, 2022)</w:t>
      </w:r>
      <w:r>
        <w:t>. The VRIO framework assesses the value of these resources as Valuable, Rare, Inimitable and Organised to attain value. The table below is a critical assessment of the major assets that Aldi has that can be transferred to Finland.</w:t>
      </w:r>
    </w:p>
    <w:p>
      <w:pPr>
        <w:pStyle w:val="style0"/>
        <w:rPr/>
      </w:pPr>
    </w:p>
    <w:p>
      <w:pPr>
        <w:pStyle w:val="style0"/>
        <w:rPr/>
      </w:pPr>
    </w:p>
    <w:tbl>
      <w:tblPr>
        <w:tblStyle w:val="style154"/>
        <w:tblW w:w="0" w:type="auto"/>
        <w:tblLook w:val="04A0" w:firstRow="1" w:lastRow="0" w:firstColumn="1" w:lastColumn="0" w:noHBand="0" w:noVBand="1"/>
      </w:tblPr>
      <w:tblGrid>
        <w:gridCol w:w="1630"/>
        <w:gridCol w:w="1208"/>
        <w:gridCol w:w="791"/>
        <w:gridCol w:w="1332"/>
        <w:gridCol w:w="1367"/>
        <w:gridCol w:w="3030"/>
      </w:tblGrid>
      <w:tr>
        <w:trPr/>
        <w:tc>
          <w:tcPr>
            <w:tcW w:w="9350" w:type="dxa"/>
            <w:gridSpan w:val="6"/>
            <w:tcBorders/>
          </w:tcPr>
          <w:p>
            <w:pPr>
              <w:pStyle w:val="style0"/>
              <w:rPr>
                <w:rFonts w:cs="Times New Roman"/>
                <w:szCs w:val="24"/>
              </w:rPr>
            </w:pPr>
            <w:r>
              <w:rPr>
                <w:rFonts w:cs="Times New Roman"/>
                <w:b/>
                <w:bCs/>
                <w:szCs w:val="24"/>
              </w:rPr>
              <w:t>VRIO Analysis of Aldi’s Key Resources &amp; Capabilities for Finnish Expansion</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Resource / Capability</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Valuable?</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Rare?</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Inimitable?</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Organised?</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Competitive Implication &amp; Transferability</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Cost-Leadership Culture &amp; Operational DNA</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Sustained Competitive Advantage.</w:t>
            </w:r>
            <w:r>
              <w:rPr>
                <w:rFonts w:cs="Times New Roman" w:eastAsia="Times New Roman"/>
                <w:szCs w:val="24"/>
                <w:lang w:eastAsia="en-GB"/>
              </w:rPr>
              <w:t> The foundational, embedded ethos driving all efficiencies. Perfectly transferable as a core organisational principle</w:t>
            </w:r>
            <w:r>
              <w:rPr>
                <w:rFonts w:cs="Times New Roman" w:eastAsia="Times New Roman"/>
                <w:szCs w:val="24"/>
                <w:lang w:eastAsia="en-GB"/>
              </w:rPr>
              <w:t xml:space="preserve"> </w:t>
            </w:r>
            <w:r>
              <w:rPr>
                <w:rFonts w:cs="Times New Roman" w:eastAsia="Times New Roman"/>
                <w:szCs w:val="24"/>
                <w:lang w:eastAsia="en-GB"/>
              </w:rPr>
              <w:t>(</w:t>
            </w:r>
            <w:r>
              <w:rPr>
                <w:rFonts w:cs="Times New Roman" w:eastAsia="Times New Roman"/>
                <w:szCs w:val="24"/>
                <w:lang w:eastAsia="en-GB"/>
              </w:rPr>
              <w:t>Algarni</w:t>
            </w:r>
            <w:r>
              <w:rPr>
                <w:rFonts w:cs="Times New Roman" w:eastAsia="Times New Roman"/>
                <w:szCs w:val="24"/>
                <w:lang w:eastAsia="en-GB"/>
              </w:rPr>
              <w:t> </w:t>
            </w:r>
            <w:r>
              <w:rPr>
                <w:rFonts w:cs="Times New Roman" w:eastAsia="Times New Roman"/>
                <w:i/>
                <w:iCs/>
                <w:szCs w:val="24"/>
                <w:lang w:eastAsia="en-GB"/>
              </w:rPr>
              <w:t>et al.</w:t>
            </w:r>
            <w:r>
              <w:rPr>
                <w:rFonts w:cs="Times New Roman" w:eastAsia="Times New Roman"/>
                <w:szCs w:val="24"/>
                <w:lang w:eastAsia="en-GB"/>
              </w:rPr>
              <w:t>, 2023)</w:t>
            </w:r>
            <w:r>
              <w:rPr>
                <w:rFonts w:cs="Times New Roman" w:eastAsia="Times New Roman"/>
                <w:szCs w:val="24"/>
                <w:lang w:eastAsia="en-GB"/>
              </w:rPr>
              <w:t>.</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Lean Supply Chain &amp; Global Logistics System</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Sustained Competitive Advantage.</w:t>
            </w:r>
            <w:r>
              <w:rPr>
                <w:rFonts w:cs="Times New Roman" w:eastAsia="Times New Roman"/>
                <w:szCs w:val="24"/>
                <w:lang w:eastAsia="en-GB"/>
              </w:rPr>
              <w:t> Provides a structural cost and efficiency edge. Transferable, though requires local network setup in Finland</w:t>
            </w:r>
            <w:r>
              <w:rPr>
                <w:rFonts w:cs="Times New Roman" w:eastAsia="Times New Roman"/>
                <w:szCs w:val="24"/>
                <w:lang w:eastAsia="en-GB"/>
              </w:rPr>
              <w:t xml:space="preserve"> </w:t>
            </w:r>
            <w:r>
              <w:rPr>
                <w:rFonts w:cs="Times New Roman" w:eastAsia="Times New Roman"/>
                <w:szCs w:val="24"/>
                <w:lang w:eastAsia="en-GB"/>
              </w:rPr>
              <w:t>(Sweney, 2025)</w:t>
            </w:r>
            <w:r>
              <w:rPr>
                <w:rFonts w:cs="Times New Roman" w:eastAsia="Times New Roman"/>
                <w:szCs w:val="24"/>
                <w:lang w:eastAsia="en-GB"/>
              </w:rPr>
              <w:t>.</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Private Label Portfolio &amp; Sourcing Relationships</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Temporary Competitive Advantage/Parity.</w:t>
            </w:r>
            <w:r>
              <w:rPr>
                <w:rFonts w:cs="Times New Roman" w:eastAsia="Times New Roman"/>
                <w:szCs w:val="24"/>
                <w:lang w:eastAsia="en-GB"/>
              </w:rPr>
              <w:t> Valuable and organised, but not rare (Lidl has similar). Inimitability lies in specific supplier terms. Transfer requires local product adaptation</w:t>
            </w:r>
            <w:r>
              <w:rPr>
                <w:rFonts w:cs="Times New Roman" w:eastAsia="Times New Roman"/>
                <w:szCs w:val="24"/>
                <w:lang w:eastAsia="en-GB"/>
              </w:rPr>
              <w:t xml:space="preserve"> </w:t>
            </w:r>
            <w:r>
              <w:rPr>
                <w:rFonts w:cs="Times New Roman" w:eastAsia="Times New Roman"/>
                <w:szCs w:val="24"/>
                <w:lang w:eastAsia="en-GB"/>
              </w:rPr>
              <w:t>(Singh et al., 2021)</w:t>
            </w:r>
            <w:r>
              <w:rPr>
                <w:rFonts w:cs="Times New Roman" w:eastAsia="Times New Roman"/>
                <w:szCs w:val="24"/>
                <w:lang w:eastAsia="en-GB"/>
              </w:rPr>
              <w:t>.</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Brand Reputation for Value</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Competitive Necessity.</w:t>
            </w:r>
            <w:r>
              <w:rPr>
                <w:rFonts w:cs="Times New Roman" w:eastAsia="Times New Roman"/>
                <w:szCs w:val="24"/>
                <w:lang w:eastAsia="en-GB"/>
              </w:rPr>
              <w:t> Valuable and organised globally, but not rare or directly transferable. It is a </w:t>
            </w:r>
            <w:r>
              <w:rPr>
                <w:rFonts w:cs="Times New Roman" w:eastAsia="Times New Roman"/>
                <w:b/>
                <w:bCs/>
                <w:szCs w:val="24"/>
                <w:lang w:eastAsia="en-GB"/>
              </w:rPr>
              <w:t>weakness at point of entry</w:t>
            </w:r>
            <w:r>
              <w:rPr>
                <w:rFonts w:cs="Times New Roman" w:eastAsia="Times New Roman"/>
                <w:szCs w:val="24"/>
                <w:lang w:eastAsia="en-GB"/>
              </w:rPr>
              <w:t> in Finland and must be built.</w:t>
            </w:r>
          </w:p>
        </w:tc>
      </w:tr>
      <w:tr>
        <w:tblPrEx/>
        <w:trPr/>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 xml:space="preserve">Proven International </w:t>
            </w:r>
            <w:r>
              <w:rPr>
                <w:rFonts w:cs="Times New Roman" w:eastAsia="Times New Roman"/>
                <w:b/>
                <w:bCs/>
                <w:szCs w:val="24"/>
                <w:lang w:eastAsia="en-GB"/>
              </w:rPr>
              <w:t>Market Entry Playbook</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ascii="Segoe UI Symbol" w:cs="Segoe UI Symbol" w:eastAsia="Times New Roman" w:hAnsi="Segoe UI Symbol"/>
                <w:szCs w:val="24"/>
                <w:lang w:eastAsia="en-GB"/>
              </w:rPr>
              <w:t>✓</w:t>
            </w:r>
          </w:p>
        </w:tc>
        <w:tc>
          <w:tcPr>
            <w:tcW w:w="0" w:type="auto"/>
            <w:tcBorders/>
            <w:hideMark/>
          </w:tcPr>
          <w:p>
            <w:pPr>
              <w:pStyle w:val="style0"/>
              <w:spacing w:lineRule="atLeast" w:line="375"/>
              <w:jc w:val="left"/>
              <w:rPr>
                <w:rFonts w:cs="Times New Roman" w:eastAsia="Times New Roman"/>
                <w:szCs w:val="24"/>
                <w:lang w:eastAsia="en-GB"/>
              </w:rPr>
            </w:pPr>
            <w:r>
              <w:rPr>
                <w:rFonts w:cs="Times New Roman" w:eastAsia="Times New Roman"/>
                <w:b/>
                <w:bCs/>
                <w:szCs w:val="24"/>
                <w:lang w:eastAsia="en-GB"/>
              </w:rPr>
              <w:t>Sustained Competitive Advantage.</w:t>
            </w:r>
            <w:r>
              <w:rPr>
                <w:rFonts w:cs="Times New Roman" w:eastAsia="Times New Roman"/>
                <w:szCs w:val="24"/>
                <w:lang w:eastAsia="en-GB"/>
              </w:rPr>
              <w:t xml:space="preserve"> Rare, tacit </w:t>
            </w:r>
            <w:r>
              <w:rPr>
                <w:rFonts w:cs="Times New Roman" w:eastAsia="Times New Roman"/>
                <w:szCs w:val="24"/>
                <w:lang w:eastAsia="en-GB"/>
              </w:rPr>
              <w:t>knowledge from past expansions (UK, AU, US). Highly organised and directly transferable to structure the Finland entry</w:t>
            </w:r>
            <w:r>
              <w:rPr>
                <w:rFonts w:cs="Times New Roman" w:eastAsia="Times New Roman"/>
                <w:szCs w:val="24"/>
                <w:lang w:eastAsia="en-GB"/>
              </w:rPr>
              <w:t xml:space="preserve"> </w:t>
            </w:r>
            <w:r>
              <w:rPr>
                <w:rFonts w:cs="Times New Roman" w:eastAsia="Times New Roman"/>
                <w:szCs w:val="24"/>
                <w:lang w:eastAsia="en-GB"/>
              </w:rPr>
              <w:t>(Sweney, 2025)</w:t>
            </w:r>
          </w:p>
        </w:tc>
      </w:tr>
    </w:tbl>
    <w:p>
      <w:pPr>
        <w:pStyle w:val="style0"/>
        <w:rPr/>
      </w:pPr>
    </w:p>
    <w:p>
      <w:pPr>
        <w:pStyle w:val="style0"/>
        <w:rPr/>
      </w:pPr>
      <w:r>
        <w:t>The VRIO analysis proves that the greatest and most transferable strengths of Aldi are intangible and deeply rooted in its organisation</w:t>
      </w:r>
      <w:r>
        <w:t xml:space="preserve"> </w:t>
      </w:r>
      <w:r>
        <w:t>(Tara, 2025)</w:t>
      </w:r>
      <w:r>
        <w:t>. It has an unusual cost-leadership culture and a test-and-proven playbook, which few organisations can replicate and which are meticulously organised and built upon, and constitute the foundation of its expansion ability. Nevertheless, there is a serious nuance in the analysis. Although its supply chain can provide a sustained advantage, its brand reputation cannot be transferred automatically</w:t>
      </w:r>
      <w:r>
        <w:t xml:space="preserve"> </w:t>
      </w:r>
      <w:r>
        <w:t>(Barrett, 2025)</w:t>
      </w:r>
      <w:r>
        <w:t>. I</w:t>
      </w:r>
      <w:r>
        <w:t xml:space="preserve">t is a weakness in the new environment that will have to be </w:t>
      </w:r>
      <w:r>
        <w:t>addressed</w:t>
      </w:r>
      <w:r>
        <w:t xml:space="preserve">. </w:t>
      </w:r>
    </w:p>
    <w:bookmarkStart w:id="11" w:name="_Toc217246753"/>
    <w:p>
      <w:pPr>
        <w:pStyle w:val="style2"/>
        <w:rPr/>
      </w:pPr>
      <w:r>
        <w:t xml:space="preserve">3.3 Synthesis and Key Findings </w:t>
      </w:r>
      <w:r>
        <w:t xml:space="preserve">of </w:t>
      </w:r>
      <w:r>
        <w:t>SWOT Summary</w:t>
      </w:r>
      <w:bookmarkEnd w:id="11"/>
    </w:p>
    <w:tbl>
      <w:tblPr>
        <w:tblStyle w:val="style154"/>
        <w:tblW w:w="0" w:type="auto"/>
        <w:tblLook w:val="04A0" w:firstRow="1" w:lastRow="0" w:firstColumn="1" w:lastColumn="0" w:noHBand="0" w:noVBand="1"/>
      </w:tblPr>
      <w:tblGrid>
        <w:gridCol w:w="4675"/>
        <w:gridCol w:w="4675"/>
      </w:tblGrid>
      <w:tr>
        <w:trPr/>
        <w:tc>
          <w:tcPr>
            <w:tcW w:w="4675" w:type="dxa"/>
            <w:tcBorders/>
          </w:tcPr>
          <w:p>
            <w:pPr>
              <w:pStyle w:val="style0"/>
              <w:rPr/>
            </w:pPr>
            <w:r>
              <w:rPr>
                <w:b/>
                <w:bCs/>
              </w:rPr>
              <w:t>STRENGTHS</w:t>
            </w:r>
            <w:r>
              <w:br/>
            </w:r>
            <w:r>
              <w:rPr>
                <w:i/>
                <w:iCs/>
              </w:rPr>
              <w:t>(Internal, Positive)</w:t>
            </w:r>
          </w:p>
        </w:tc>
        <w:tc>
          <w:tcPr>
            <w:tcW w:w="4675" w:type="dxa"/>
            <w:tcBorders/>
          </w:tcPr>
          <w:p>
            <w:pPr>
              <w:pStyle w:val="style0"/>
              <w:rPr/>
            </w:pPr>
            <w:r>
              <w:rPr>
                <w:b/>
                <w:bCs/>
              </w:rPr>
              <w:t>WEAKNESSES</w:t>
            </w:r>
            <w:r>
              <w:br/>
            </w:r>
            <w:r>
              <w:rPr>
                <w:i/>
                <w:iCs/>
              </w:rPr>
              <w:t>(Internal, Negative)</w:t>
            </w:r>
          </w:p>
        </w:tc>
      </w:tr>
      <w:tr>
        <w:tblPrEx/>
        <w:trPr/>
        <w:tc>
          <w:tcPr>
            <w:tcW w:w="4675" w:type="dxa"/>
            <w:tcBorders/>
          </w:tcPr>
          <w:p>
            <w:pPr>
              <w:pStyle w:val="style0"/>
              <w:rPr/>
            </w:pPr>
            <w:r>
              <w:rPr>
                <w:b/>
                <w:bCs/>
              </w:rPr>
              <w:t xml:space="preserve"> Superior Cost Structure:</w:t>
            </w:r>
            <w:r>
              <w:t> Deeply embedded cost-leadership culture and ultra-efficient supply chain (VRIO)</w:t>
            </w:r>
            <w:r>
              <w:t xml:space="preserve"> </w:t>
            </w:r>
            <w:r>
              <w:t>(IBISWorld, 2025)</w:t>
            </w:r>
            <w:r>
              <w:t>.</w:t>
            </w:r>
            <w:r>
              <w:br/>
            </w:r>
            <w:r>
              <w:rPr>
                <w:b/>
                <w:bCs/>
              </w:rPr>
              <w:t>Financial Muscle:</w:t>
            </w:r>
            <w:r>
              <w:t> Strong balance sheet supports sustained market entry investment</w:t>
            </w:r>
            <w:r>
              <w:t xml:space="preserve"> </w:t>
            </w:r>
            <w:r>
              <w:t>(Rice, 2019)</w:t>
            </w:r>
            <w:r>
              <w:t>.</w:t>
            </w:r>
            <w:r>
              <w:br/>
            </w:r>
            <w:r>
              <w:rPr>
                <w:b/>
                <w:bCs/>
              </w:rPr>
              <w:t>Proven Playbook:</w:t>
            </w:r>
            <w:r>
              <w:t> Established methodology for disrupting mature grocery markets.</w:t>
            </w:r>
            <w:r>
              <w:br/>
            </w:r>
            <w:r>
              <w:rPr>
                <w:b/>
                <w:bCs/>
              </w:rPr>
              <w:t>Private Label Strength:</w:t>
            </w:r>
            <w:r>
              <w:t> High-quality, high-margin own-brand portfolio.</w:t>
            </w:r>
          </w:p>
        </w:tc>
        <w:tc>
          <w:tcPr>
            <w:tcW w:w="4675" w:type="dxa"/>
            <w:tcBorders/>
          </w:tcPr>
          <w:p>
            <w:pPr>
              <w:pStyle w:val="style0"/>
              <w:rPr/>
            </w:pPr>
            <w:r>
              <w:rPr>
                <w:b/>
                <w:bCs/>
              </w:rPr>
              <w:t> No Local Brand Equity:</w:t>
            </w:r>
            <w:r>
              <w:t> Zero consumer recognition in Finland; a key initial handicap</w:t>
            </w:r>
            <w:r>
              <w:t xml:space="preserve"> </w:t>
            </w:r>
            <w:r>
              <w:t>(Martinez, 2025)</w:t>
            </w:r>
            <w:r>
              <w:t>.</w:t>
            </w:r>
            <w:r>
              <w:br/>
            </w:r>
            <w:r>
              <w:rPr>
                <w:b/>
                <w:bCs/>
              </w:rPr>
              <w:t>Limited Assortment:</w:t>
            </w:r>
            <w:r>
              <w:t> </w:t>
            </w:r>
            <w:r>
              <w:t xml:space="preserve">A </w:t>
            </w:r>
            <w:r>
              <w:t>Narrow product range may be perceived as insufficient versus full-service rivals.</w:t>
            </w:r>
            <w:r>
              <w:br/>
            </w:r>
            <w:r>
              <w:rPr>
                <w:b/>
                <w:bCs/>
              </w:rPr>
              <w:t>Unestablished Local Supply Chain:</w:t>
            </w:r>
            <w:r>
              <w:t> Lack of existing relationships with Finnish producers for fresh categories</w:t>
            </w:r>
            <w:r>
              <w:t xml:space="preserve"> </w:t>
            </w:r>
            <w:r>
              <w:t>(Sweney, 2025)</w:t>
            </w:r>
            <w:r>
              <w:t>.</w:t>
            </w:r>
          </w:p>
        </w:tc>
      </w:tr>
      <w:tr>
        <w:tblPrEx/>
        <w:trPr/>
        <w:tc>
          <w:tcPr>
            <w:tcW w:w="4675" w:type="dxa"/>
            <w:tcBorders/>
          </w:tcPr>
          <w:p>
            <w:pPr>
              <w:pStyle w:val="style0"/>
              <w:rPr/>
            </w:pPr>
            <w:r>
              <w:rPr>
                <w:b/>
                <w:bCs/>
              </w:rPr>
              <w:t>OPPORTUNITIES</w:t>
            </w:r>
            <w:r>
              <w:br/>
            </w:r>
            <w:r>
              <w:rPr>
                <w:i/>
                <w:iCs/>
              </w:rPr>
              <w:t>(External, Positive)</w:t>
            </w:r>
          </w:p>
        </w:tc>
        <w:tc>
          <w:tcPr>
            <w:tcW w:w="4675" w:type="dxa"/>
            <w:tcBorders/>
          </w:tcPr>
          <w:p>
            <w:pPr>
              <w:pStyle w:val="style0"/>
              <w:rPr/>
            </w:pPr>
            <w:r>
              <w:rPr>
                <w:b/>
                <w:bCs/>
              </w:rPr>
              <w:t>THREATS</w:t>
            </w:r>
            <w:r>
              <w:br/>
            </w:r>
            <w:r>
              <w:rPr>
                <w:i/>
                <w:iCs/>
              </w:rPr>
              <w:t>(External, Negative)</w:t>
            </w:r>
          </w:p>
        </w:tc>
      </w:tr>
      <w:tr>
        <w:tblPrEx/>
        <w:trPr/>
        <w:tc>
          <w:tcPr>
            <w:tcW w:w="4675" w:type="dxa"/>
            <w:tcBorders/>
          </w:tcPr>
          <w:p>
            <w:pPr>
              <w:pStyle w:val="style0"/>
              <w:rPr/>
            </w:pPr>
            <w:r>
              <w:rPr>
                <w:b/>
                <w:bCs/>
              </w:rPr>
              <w:t>Market Gap for Disruption:</w:t>
            </w:r>
            <w:r>
              <w:t xml:space="preserve"> Oligopolistic market ripe for a new, efficient value </w:t>
            </w:r>
            <w:r>
              <w:t>competitor.</w:t>
            </w:r>
            <w:r>
              <w:br/>
            </w:r>
            <w:r>
              <w:rPr>
                <w:b/>
                <w:bCs/>
              </w:rPr>
              <w:t>Consumer Shift:</w:t>
            </w:r>
            <w:r>
              <w:t> High price sensitivity and demand for value amplify Aldi's core proposition</w:t>
            </w:r>
            <w:r>
              <w:t xml:space="preserve"> </w:t>
            </w:r>
            <w:r>
              <w:t>(Martinez, 2025)</w:t>
            </w:r>
            <w:r>
              <w:t>.</w:t>
            </w:r>
            <w:r>
              <w:br/>
            </w:r>
            <w:r>
              <w:rPr>
                <w:b/>
                <w:bCs/>
              </w:rPr>
              <w:t>Sustainability Alignment:</w:t>
            </w:r>
            <w:r>
              <w:t> Finnish consumer values on ESG match Aldi’s strategic initiatives.</w:t>
            </w:r>
            <w:r>
              <w:br/>
            </w:r>
            <w:r>
              <w:rPr>
                <w:b/>
                <w:bCs/>
              </w:rPr>
              <w:t>Geographic Gateway:</w:t>
            </w:r>
            <w:r>
              <w:t> Potential springboard for broader Nordic expansion.</w:t>
            </w:r>
          </w:p>
        </w:tc>
        <w:tc>
          <w:tcPr>
            <w:tcW w:w="4675" w:type="dxa"/>
            <w:tcBorders/>
          </w:tcPr>
          <w:p>
            <w:pPr>
              <w:pStyle w:val="style0"/>
              <w:rPr/>
            </w:pPr>
            <w:r>
              <w:rPr>
                <w:b/>
                <w:bCs/>
              </w:rPr>
              <w:t>Fierce Retaliation:</w:t>
            </w:r>
            <w:r>
              <w:t> Expect aggressive price wars and marketing from S-Group and Kesko</w:t>
            </w:r>
            <w:r>
              <w:t xml:space="preserve"> </w:t>
            </w:r>
            <w:r>
              <w:t>(IBISWorld, 2025)</w:t>
            </w:r>
            <w:r>
              <w:t>.</w:t>
            </w:r>
            <w:r>
              <w:br/>
            </w:r>
            <w:r>
              <w:rPr>
                <w:b/>
                <w:bCs/>
              </w:rPr>
              <w:t>High Barriers &amp; Costs:</w:t>
            </w:r>
            <w:r>
              <w:t> Elevated operational costs (wages, logistics, compliance).</w:t>
            </w:r>
          </w:p>
          <w:p>
            <w:pPr>
              <w:pStyle w:val="style0"/>
              <w:rPr/>
            </w:pPr>
            <w:r>
              <w:rPr>
                <w:b/>
                <w:bCs/>
              </w:rPr>
              <w:t>Established Discounter:</w:t>
            </w:r>
            <w:r>
              <w:t> Lidl's existing presence defines the discount segment for consumers.</w:t>
            </w:r>
            <w:r>
              <w:br/>
            </w:r>
            <w:r>
              <w:rPr>
                <w:b/>
                <w:bCs/>
              </w:rPr>
              <w:t>Strong Incumbent Loyalty:</w:t>
            </w:r>
            <w:r>
              <w:t> Powerful S-etukortti and Kesko Plus membership ecosystems</w:t>
            </w:r>
            <w:r>
              <w:t xml:space="preserve"> </w:t>
            </w:r>
            <w:r>
              <w:t xml:space="preserve">(Chatterjee, Chaudhuri and </w:t>
            </w:r>
            <w:r>
              <w:t>Vrontis</w:t>
            </w:r>
            <w:r>
              <w:t>, 2022)</w:t>
            </w:r>
            <w:r>
              <w:t>.</w:t>
            </w:r>
          </w:p>
        </w:tc>
      </w:tr>
    </w:tbl>
    <w:p>
      <w:pPr>
        <w:pStyle w:val="style0"/>
        <w:rPr/>
      </w:pPr>
    </w:p>
    <w:p>
      <w:pPr>
        <w:pStyle w:val="style0"/>
        <w:rPr/>
      </w:pPr>
      <w:r>
        <w:t xml:space="preserve">The SWOT quadrants interact critically in the strategic decision made by Aldi to enter it. The main strategic rationale is based on a fundamental Strength-Opportunity (S-O) nexus: the value and disruption of the oligopoly is achieved by using the long-term </w:t>
      </w:r>
      <w:r>
        <w:t>cost advantage</w:t>
      </w:r>
      <w:r>
        <w:t xml:space="preserve"> of Aldi as a Strength (S) to seize on the market gap as an Opportunity (O)</w:t>
      </w:r>
      <w:r>
        <w:t xml:space="preserve"> </w:t>
      </w:r>
      <w:r>
        <w:t>(Tara, 2025)</w:t>
      </w:r>
      <w:r>
        <w:t>. This is the basic suggestion. Nonetheless, this plan is checked by two major challenges. First, the Weakness-Threat (W-T) situation indicates the extreme threat: Aldi has no brand recognition (W)</w:t>
      </w:r>
      <w:r>
        <w:t>,</w:t>
      </w:r>
      <w:r>
        <w:t xml:space="preserve"> and this fact means that they are exposed and can be easily attacked by the competitors (T) through their excellent loyalty programs</w:t>
      </w:r>
      <w:r>
        <w:t xml:space="preserve"> </w:t>
      </w:r>
      <w:r>
        <w:t>(Rice, 2019)</w:t>
      </w:r>
      <w:r>
        <w:t xml:space="preserve">. To counter this, Aldi should leverage its financial strength to offset upfront low prices and invest in aggressive marketing and transform a weakness. Second, there is an Opportunity-threat (O-T) tension. The opportunity is the consumer demand </w:t>
      </w:r>
      <w:r>
        <w:t>for</w:t>
      </w:r>
      <w:r>
        <w:t xml:space="preserve"> sustainability (O), which is threatened by high compliance costs (T), in the case of meeting the demand on a high level. Aldi can overcome this through </w:t>
      </w:r>
      <w:r>
        <w:t xml:space="preserve">the </w:t>
      </w:r>
      <w:r>
        <w:t>selective marketing of its worldwide ESG success, transforming a possible cost risk into a branding chance</w:t>
      </w:r>
      <w:r>
        <w:t xml:space="preserve"> </w:t>
      </w:r>
      <w:r>
        <w:t>(Sweney, 2025)</w:t>
      </w:r>
      <w:r>
        <w:t xml:space="preserve">. Thus, the informed strategic decision should be </w:t>
      </w:r>
      <w:r>
        <w:t xml:space="preserve">an </w:t>
      </w:r>
      <w:r>
        <w:t>active and aggressive cost-leadership entry</w:t>
      </w:r>
      <w:r>
        <w:t>,</w:t>
      </w:r>
      <w:r>
        <w:t xml:space="preserve"> but in phases and adjusting to the situation. </w:t>
      </w:r>
    </w:p>
    <w:bookmarkStart w:id="12" w:name="_Toc217246754"/>
    <w:p>
      <w:pPr>
        <w:pStyle w:val="style1"/>
        <w:rPr/>
      </w:pPr>
      <w:r>
        <w:t>4.0 Strategy Development and Formulation</w:t>
      </w:r>
      <w:bookmarkEnd w:id="12"/>
    </w:p>
    <w:bookmarkStart w:id="13" w:name="_Toc217246755"/>
    <w:p>
      <w:pPr>
        <w:pStyle w:val="style2"/>
        <w:rPr/>
      </w:pPr>
      <w:r>
        <w:t>4.1 Strategic Direction and Objectives</w:t>
      </w:r>
      <w:bookmarkEnd w:id="13"/>
    </w:p>
    <w:p>
      <w:pPr>
        <w:pStyle w:val="style0"/>
        <w:rPr/>
      </w:pPr>
      <w:r>
        <w:t xml:space="preserve">The strategic future of </w:t>
      </w:r>
      <w:r>
        <w:t>Aldi's</w:t>
      </w:r>
      <w:r>
        <w:t xml:space="preserve"> expansion to Finland is identified to be based on the global cost-leadership model, which can be used to break the current oligopoly by providing high quality, </w:t>
      </w:r>
      <w:r>
        <w:t xml:space="preserve">uniform value, and achieving a large profitable market share. In order to transfer this direction to action plans, the following SMART objectives are set during the initial </w:t>
      </w:r>
      <w:r>
        <w:t>five-year</w:t>
      </w:r>
      <w:r>
        <w:t xml:space="preserve"> operational phase</w:t>
      </w:r>
      <w:r>
        <w:t xml:space="preserve"> </w:t>
      </w:r>
      <w:r>
        <w:t xml:space="preserve">(Chatterjee, Chaudhuri and </w:t>
      </w:r>
      <w:r>
        <w:t>Vrontis</w:t>
      </w:r>
      <w:r>
        <w:t>, 2022)</w:t>
      </w:r>
      <w:r>
        <w:t xml:space="preserve">. </w:t>
      </w:r>
    </w:p>
    <w:tbl>
      <w:tblPr>
        <w:tblStyle w:val="style154"/>
        <w:tblW w:w="0" w:type="auto"/>
        <w:tblLook w:val="04A0" w:firstRow="1" w:lastRow="0" w:firstColumn="1" w:lastColumn="0" w:noHBand="0" w:noVBand="1"/>
      </w:tblPr>
      <w:tblGrid>
        <w:gridCol w:w="1327"/>
        <w:gridCol w:w="2452"/>
        <w:gridCol w:w="2570"/>
        <w:gridCol w:w="2129"/>
        <w:gridCol w:w="883"/>
      </w:tblGrid>
      <w:tr>
        <w:trPr/>
        <w:tc>
          <w:tcPr>
            <w:tcW w:w="9350" w:type="dxa"/>
            <w:gridSpan w:val="5"/>
            <w:tcBorders/>
          </w:tcPr>
          <w:p>
            <w:pPr>
              <w:pStyle w:val="style0"/>
              <w:rPr>
                <w:rFonts w:cs="Times New Roman"/>
                <w:b/>
                <w:bCs/>
              </w:rPr>
            </w:pPr>
            <w:r>
              <w:rPr>
                <w:rFonts w:cs="Times New Roman"/>
                <w:b/>
                <w:bCs/>
              </w:rPr>
              <w:t>SMART Strategic Objectives for Aldi Finland (5-Year Plan)</w:t>
            </w:r>
          </w:p>
        </w:tc>
      </w:tr>
      <w:tr>
        <w:tblPrEx/>
        <w:trPr/>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b/>
                <w:bCs/>
                <w:sz w:val="23"/>
                <w:szCs w:val="23"/>
                <w:lang w:eastAsia="en-GB"/>
              </w:rPr>
              <w:t>Objective Dimension</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b/>
                <w:bCs/>
                <w:sz w:val="23"/>
                <w:szCs w:val="23"/>
                <w:lang w:eastAsia="en-GB"/>
              </w:rPr>
              <w:t>Specific &amp; Measurable</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b/>
                <w:bCs/>
                <w:sz w:val="23"/>
                <w:szCs w:val="23"/>
                <w:lang w:eastAsia="en-GB"/>
              </w:rPr>
              <w:t>Achievable</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b/>
                <w:bCs/>
                <w:sz w:val="23"/>
                <w:szCs w:val="23"/>
                <w:lang w:eastAsia="en-GB"/>
              </w:rPr>
              <w:t>Relevant</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b/>
                <w:bCs/>
                <w:sz w:val="23"/>
                <w:szCs w:val="23"/>
                <w:lang w:eastAsia="en-GB"/>
              </w:rPr>
              <w:t>Time-Bound</w:t>
            </w:r>
          </w:p>
        </w:tc>
      </w:tr>
      <w:tr>
        <w:tblPrEx/>
        <w:trPr/>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b/>
                <w:bCs/>
                <w:sz w:val="23"/>
                <w:szCs w:val="23"/>
                <w:lang w:eastAsia="en-GB"/>
              </w:rPr>
              <w:t>Market Presence</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Open 50 stores, with 80% located in the top 10 urban regions (</w:t>
            </w:r>
            <w:r>
              <w:rPr>
                <w:rFonts w:cs="Times New Roman" w:eastAsia="Times New Roman"/>
                <w:sz w:val="23"/>
                <w:szCs w:val="23"/>
                <w:lang w:eastAsia="en-GB"/>
              </w:rPr>
              <w:t>Uusimaa</w:t>
            </w:r>
            <w:r>
              <w:rPr>
                <w:rFonts w:cs="Times New Roman" w:eastAsia="Times New Roman"/>
                <w:sz w:val="23"/>
                <w:szCs w:val="23"/>
                <w:lang w:eastAsia="en-GB"/>
              </w:rPr>
              <w:t xml:space="preserve">, </w:t>
            </w:r>
            <w:r>
              <w:rPr>
                <w:rFonts w:cs="Times New Roman" w:eastAsia="Times New Roman"/>
                <w:sz w:val="23"/>
                <w:szCs w:val="23"/>
                <w:lang w:eastAsia="en-GB"/>
              </w:rPr>
              <w:t>Varsinais</w:t>
            </w:r>
            <w:r>
              <w:rPr>
                <w:rFonts w:cs="Times New Roman" w:eastAsia="Times New Roman"/>
                <w:sz w:val="23"/>
                <w:szCs w:val="23"/>
                <w:lang w:eastAsia="en-GB"/>
              </w:rPr>
              <w:t xml:space="preserve">-Suomi, </w:t>
            </w:r>
            <w:r>
              <w:rPr>
                <w:rFonts w:cs="Times New Roman" w:eastAsia="Times New Roman"/>
                <w:sz w:val="23"/>
                <w:szCs w:val="23"/>
                <w:lang w:eastAsia="en-GB"/>
              </w:rPr>
              <w:t>Pirkanmaa</w:t>
            </w:r>
            <w:r>
              <w:rPr>
                <w:rFonts w:cs="Times New Roman" w:eastAsia="Times New Roman"/>
                <w:sz w:val="23"/>
                <w:szCs w:val="23"/>
                <w:lang w:eastAsia="en-GB"/>
              </w:rPr>
              <w:t>).</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Based on Aldi’s standard rollout pace (≈10 stores/year) and Finland’s concentrated population</w:t>
            </w:r>
            <w:r>
              <w:rPr>
                <w:rFonts w:cs="Times New Roman" w:eastAsia="Times New Roman"/>
                <w:sz w:val="23"/>
                <w:szCs w:val="23"/>
                <w:lang w:eastAsia="en-GB"/>
              </w:rPr>
              <w:t xml:space="preserve"> </w:t>
            </w:r>
            <w:r>
              <w:rPr>
                <w:rFonts w:cs="Times New Roman" w:eastAsia="Times New Roman"/>
                <w:sz w:val="23"/>
                <w:szCs w:val="23"/>
                <w:lang w:eastAsia="en-GB"/>
              </w:rPr>
              <w:t>(Danziger, 2021)</w:t>
            </w:r>
            <w:r>
              <w:rPr>
                <w:rFonts w:cs="Times New Roman" w:eastAsia="Times New Roman"/>
                <w:sz w:val="23"/>
                <w:szCs w:val="23"/>
                <w:lang w:eastAsia="en-GB"/>
              </w:rPr>
              <w:t>.</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Critical for achieving brand visibility, scale, and logistical efficiency.</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By the end of Year 5.</w:t>
            </w:r>
          </w:p>
        </w:tc>
      </w:tr>
      <w:tr>
        <w:tblPrEx/>
        <w:trPr/>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b/>
                <w:bCs/>
                <w:sz w:val="23"/>
                <w:szCs w:val="23"/>
                <w:lang w:eastAsia="en-GB"/>
              </w:rPr>
              <w:t>Market Share</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Capture 5% of the Finnish grocery retail market value.</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Lidl achieved ≈9% over 20+ years. A 5% target is aggressive but credible for a focused disruptor</w:t>
            </w:r>
            <w:r>
              <w:rPr>
                <w:rFonts w:cs="Times New Roman" w:eastAsia="Times New Roman"/>
                <w:sz w:val="23"/>
                <w:szCs w:val="23"/>
                <w:lang w:eastAsia="en-GB"/>
              </w:rPr>
              <w:t xml:space="preserve"> </w:t>
            </w:r>
            <w:r>
              <w:rPr>
                <w:rFonts w:cs="Times New Roman" w:eastAsia="Times New Roman"/>
                <w:sz w:val="23"/>
                <w:szCs w:val="23"/>
                <w:lang w:eastAsia="en-GB"/>
              </w:rPr>
              <w:t>(Das, 2025)</w:t>
            </w:r>
            <w:r>
              <w:rPr>
                <w:rFonts w:cs="Times New Roman" w:eastAsia="Times New Roman"/>
                <w:sz w:val="23"/>
                <w:szCs w:val="23"/>
                <w:lang w:eastAsia="en-GB"/>
              </w:rPr>
              <w:t>.</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Directly measures competitive success and disruption of the S-Group/Kesko duopoly.</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By the end of Year 5.</w:t>
            </w:r>
          </w:p>
        </w:tc>
      </w:tr>
      <w:tr>
        <w:tblPrEx/>
        <w:trPr/>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b/>
                <w:bCs/>
                <w:sz w:val="23"/>
                <w:szCs w:val="23"/>
                <w:lang w:eastAsia="en-GB"/>
              </w:rPr>
              <w:t>Financial</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Achieve operational break-even at the country level.</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Assumes initial investment and losses, following the playbook used in other new markets</w:t>
            </w:r>
            <w:r>
              <w:rPr>
                <w:rFonts w:cs="Times New Roman" w:eastAsia="Times New Roman"/>
                <w:sz w:val="23"/>
                <w:szCs w:val="23"/>
                <w:lang w:eastAsia="en-GB"/>
              </w:rPr>
              <w:t xml:space="preserve"> </w:t>
            </w:r>
            <w:r>
              <w:rPr>
                <w:rFonts w:cs="Times New Roman" w:eastAsia="Times New Roman"/>
                <w:sz w:val="23"/>
                <w:szCs w:val="23"/>
                <w:lang w:eastAsia="en-GB"/>
              </w:rPr>
              <w:t>(Danziger, 2021)</w:t>
            </w:r>
            <w:r>
              <w:rPr>
                <w:rFonts w:cs="Times New Roman" w:eastAsia="Times New Roman"/>
                <w:sz w:val="23"/>
                <w:szCs w:val="23"/>
                <w:lang w:eastAsia="en-GB"/>
              </w:rPr>
              <w:t>.</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Essential for proving the long-term viability of the expansion.</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By the end of Year 4.</w:t>
            </w:r>
          </w:p>
        </w:tc>
      </w:tr>
      <w:tr>
        <w:tblPrEx/>
        <w:trPr/>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b/>
                <w:bCs/>
                <w:sz w:val="23"/>
                <w:szCs w:val="23"/>
                <w:lang w:eastAsia="en-GB"/>
              </w:rPr>
              <w:t>Brand &amp; Consumer</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Achieve a brand awareness level of 70% and a Net Promoter Score (NPS) of +20 among target consumers.</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Requires significant marketing investment and consistent in-store experience delivery.</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Addresses the core weakness of unknown brand equity; NPS indicates loyalty potential.</w:t>
            </w:r>
          </w:p>
        </w:tc>
        <w:tc>
          <w:tcPr>
            <w:tcW w:w="0" w:type="auto"/>
            <w:tcBorders/>
            <w:hideMark/>
          </w:tcPr>
          <w:p>
            <w:pPr>
              <w:pStyle w:val="style0"/>
              <w:spacing w:lineRule="atLeast" w:line="375"/>
              <w:jc w:val="left"/>
              <w:rPr>
                <w:rFonts w:cs="Times New Roman" w:eastAsia="Times New Roman"/>
                <w:sz w:val="23"/>
                <w:szCs w:val="23"/>
                <w:lang w:eastAsia="en-GB"/>
              </w:rPr>
            </w:pPr>
            <w:r>
              <w:rPr>
                <w:rFonts w:cs="Times New Roman" w:eastAsia="Times New Roman"/>
                <w:sz w:val="23"/>
                <w:szCs w:val="23"/>
                <w:lang w:eastAsia="en-GB"/>
              </w:rPr>
              <w:t>By the end of Year 3</w:t>
            </w:r>
          </w:p>
        </w:tc>
      </w:tr>
    </w:tbl>
    <w:p>
      <w:pPr>
        <w:pStyle w:val="style0"/>
        <w:rPr>
          <w:b/>
          <w:bCs/>
        </w:rPr>
      </w:pPr>
    </w:p>
    <w:p>
      <w:pPr>
        <w:pStyle w:val="style0"/>
        <w:rPr>
          <w:b/>
          <w:bCs/>
        </w:rPr>
      </w:pPr>
    </w:p>
    <w:p>
      <w:pPr>
        <w:pStyle w:val="style0"/>
        <w:rPr>
          <w:b/>
          <w:bCs/>
        </w:rPr>
      </w:pPr>
    </w:p>
    <w:p>
      <w:pPr>
        <w:pStyle w:val="style0"/>
        <w:rPr>
          <w:b/>
          <w:bCs/>
        </w:rPr>
      </w:pPr>
    </w:p>
    <w:p>
      <w:pPr>
        <w:pStyle w:val="style0"/>
        <w:rPr>
          <w:b/>
          <w:bCs/>
        </w:rPr>
      </w:pPr>
    </w:p>
    <w:p>
      <w:pPr>
        <w:pStyle w:val="style0"/>
        <w:rPr>
          <w:b/>
          <w:bCs/>
        </w:rPr>
      </w:pPr>
    </w:p>
    <w:bookmarkStart w:id="14" w:name="_Toc217246756"/>
    <w:p>
      <w:pPr>
        <w:pStyle w:val="style2"/>
        <w:rPr/>
      </w:pPr>
      <w:r>
        <w:t>4.2 Market Entry Strategy</w:t>
      </w:r>
      <w:bookmarkEnd w:id="14"/>
    </w:p>
    <w:p>
      <w:pPr>
        <w:pStyle w:val="style0"/>
        <w:rPr>
          <w:b/>
          <w:bCs/>
        </w:rPr>
      </w:pPr>
      <w:r>
        <w:rPr>
          <w:b/>
          <w:bCs/>
        </w:rPr>
        <w:t>Application of Ansoff’s Matrix</w:t>
      </w:r>
    </w:p>
    <w:p>
      <w:pPr>
        <w:pStyle w:val="style0"/>
        <w:rPr>
          <w:b/>
          <w:bCs/>
        </w:rPr>
      </w:pPr>
      <w:r>
        <w:rPr>
          <w:b/>
          <w:bCs/>
          <w:noProof/>
        </w:rPr>
        <w:drawing>
          <wp:inline distL="0" distT="0" distB="0" distR="0">
            <wp:extent cx="5943600" cy="3109595"/>
            <wp:effectExtent l="0" t="0" r="0" b="0"/>
            <wp:docPr id="1039" name="Picture 5" descr="The Ansoff Matrix: A Powerful Tool for Business Strategy and Growth | TSI"/>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Picture 5"/>
                    <pic:cNvPicPr/>
                  </pic:nvPicPr>
                  <pic:blipFill>
                    <a:blip r:embed="rId15" cstate="print"/>
                    <a:srcRect l="0" t="0" r="0" b="0"/>
                    <a:stretch/>
                  </pic:blipFill>
                  <pic:spPr>
                    <a:xfrm rot="0">
                      <a:off x="0" y="0"/>
                      <a:ext cx="5943600" cy="3109595"/>
                    </a:xfrm>
                    <a:prstGeom prst="rect"/>
                    <a:ln>
                      <a:noFill/>
                    </a:ln>
                  </pic:spPr>
                </pic:pic>
              </a:graphicData>
            </a:graphic>
          </wp:inline>
        </w:drawing>
      </w:r>
    </w:p>
    <w:p>
      <w:pPr>
        <w:pStyle w:val="style0"/>
        <w:ind w:left="2160"/>
        <w:rPr>
          <w:i/>
          <w:iCs/>
        </w:rPr>
      </w:pPr>
      <w:r>
        <w:rPr>
          <w:i/>
          <w:iCs/>
        </w:rPr>
        <w:t xml:space="preserve">Figure: Ansoff Matrix </w:t>
      </w:r>
      <w:r>
        <w:rPr>
          <w:i/>
          <w:iCs/>
        </w:rPr>
        <w:t>(Ali and Anwar, 2021)</w:t>
      </w:r>
    </w:p>
    <w:p>
      <w:pPr>
        <w:pStyle w:val="style0"/>
        <w:rPr/>
      </w:pPr>
      <w:r>
        <w:t xml:space="preserve">Ansoff Matrix gives a transparent structure </w:t>
      </w:r>
      <w:r>
        <w:t>for</w:t>
      </w:r>
      <w:r>
        <w:t xml:space="preserve"> growth aspect selection</w:t>
      </w:r>
      <w:r>
        <w:t xml:space="preserve"> </w:t>
      </w:r>
      <w:r>
        <w:t>(Ali and Anwar, 2021)</w:t>
      </w:r>
      <w:r>
        <w:t xml:space="preserve">. The Market Development strategy of Aldi </w:t>
      </w:r>
      <w:r>
        <w:t>in</w:t>
      </w:r>
      <w:r>
        <w:t xml:space="preserve"> Finland is a classic one. This is about carrying Aldi products to a new market (Finland)</w:t>
      </w:r>
      <w:r>
        <w:t>,</w:t>
      </w:r>
      <w:r>
        <w:t xml:space="preserve"> which are its existing products, its own-label products</w:t>
      </w:r>
      <w:r>
        <w:t>,</w:t>
      </w:r>
      <w:r>
        <w:t xml:space="preserve"> as the core of its product mix and some branded products</w:t>
      </w:r>
      <w:r>
        <w:t xml:space="preserve"> </w:t>
      </w:r>
      <w:r>
        <w:t>(Ali and Anwar, 2021)</w:t>
      </w:r>
      <w:r>
        <w:t xml:space="preserve">. This decision is explained by the historical trend of </w:t>
      </w:r>
      <w:r>
        <w:t xml:space="preserve">the </w:t>
      </w:r>
      <w:r>
        <w:t xml:space="preserve">success of Aldi. The company does not have to create radically new products or enter new markets. Rather, it follows the identical approach of copying and slightly </w:t>
      </w:r>
      <w:r>
        <w:t>localising</w:t>
      </w:r>
      <w:r>
        <w:t xml:space="preserve"> its successful business model in a new geographical location where a definite gap </w:t>
      </w:r>
      <w:r>
        <w:t>in</w:t>
      </w:r>
      <w:r>
        <w:t xml:space="preserve"> its value proposition has been spotted</w:t>
      </w:r>
      <w:r>
        <w:t xml:space="preserve"> </w:t>
      </w:r>
      <w:r>
        <w:t>(Barrett, 2025)</w:t>
      </w:r>
      <w:r>
        <w:t>. The risk associated with this strategy is moderate because the product-market fit is established</w:t>
      </w:r>
      <w:r>
        <w:t>,</w:t>
      </w:r>
      <w:r>
        <w:t xml:space="preserve"> but </w:t>
      </w:r>
      <w:r>
        <w:t xml:space="preserve">the </w:t>
      </w:r>
      <w:r>
        <w:t>consumer environment is new.</w:t>
      </w:r>
    </w:p>
    <w:p>
      <w:pPr>
        <w:pStyle w:val="style0"/>
        <w:rPr>
          <w:b/>
          <w:bCs/>
        </w:rPr>
      </w:pPr>
      <w:r>
        <w:rPr>
          <w:b/>
          <w:bCs/>
        </w:rPr>
        <w:t>Application of Entry Mode Theories</w:t>
      </w:r>
    </w:p>
    <w:p>
      <w:pPr>
        <w:pStyle w:val="style0"/>
        <w:rPr/>
      </w:pPr>
      <w:r>
        <w:t xml:space="preserve">Entry mode decision is important in control, risk and resource commitment. Joint Venture (JV) is rejected because of </w:t>
      </w:r>
      <w:r>
        <w:t xml:space="preserve">a </w:t>
      </w:r>
      <w:r>
        <w:t>critical evaluation</w:t>
      </w:r>
      <w:r>
        <w:t xml:space="preserve"> </w:t>
      </w:r>
      <w:r>
        <w:t>(Gleeson, 2024)</w:t>
      </w:r>
      <w:r>
        <w:t xml:space="preserve">. Although a JV with a domestic partner may lead to market understanding and risk sharing, it would greatly hurt the core competency of Aldi, which is complete cost management and uniformity of operations. Making decisions would be more time-consuming, and the integration of the unique culture of Aldi would be thinned. </w:t>
      </w:r>
    </w:p>
    <w:p>
      <w:pPr>
        <w:pStyle w:val="style0"/>
        <w:rPr>
          <w:b/>
          <w:bCs/>
        </w:rPr>
      </w:pPr>
      <w:r>
        <w:rPr>
          <w:b/>
          <w:bCs/>
        </w:rPr>
        <w:t>Greenfield Investment</w:t>
      </w:r>
    </w:p>
    <w:p>
      <w:pPr>
        <w:pStyle w:val="style0"/>
        <w:rPr/>
      </w:pPr>
      <w:r>
        <w:t>The suggested and strategically consistent option is a Greenfield Investment, the formation of a Wholly-Owned Subsidiary</w:t>
      </w:r>
      <w:r>
        <w:t xml:space="preserve"> </w:t>
      </w:r>
      <w:r>
        <w:t>(Farida and Setiawan, 2022)</w:t>
      </w:r>
      <w:r>
        <w:t xml:space="preserve">. This mode is fully equivalent to the global model of Aldi </w:t>
      </w:r>
      <w:r>
        <w:t>centred</w:t>
      </w:r>
      <w:r>
        <w:t xml:space="preserve"> on control. It enables Aldi to create its supply network and outlets </w:t>
      </w:r>
      <w:r>
        <w:t>based</w:t>
      </w:r>
      <w:r>
        <w:t xml:space="preserve"> </w:t>
      </w:r>
      <w:r>
        <w:t>on</w:t>
      </w:r>
      <w:r>
        <w:t xml:space="preserve"> its specifications without interfering with its operational effectiveness. It shields proprietary processes of Aldi and makes it possible to repatriate the entire profits</w:t>
      </w:r>
      <w:r>
        <w:t xml:space="preserve"> </w:t>
      </w:r>
      <w:r>
        <w:t>(</w:t>
      </w:r>
      <w:r>
        <w:t>Caraceni</w:t>
      </w:r>
      <w:r>
        <w:t>, 2025)</w:t>
      </w:r>
      <w:r>
        <w:t xml:space="preserve">. </w:t>
      </w:r>
      <w:r>
        <w:t>This mode indeed entails</w:t>
      </w:r>
      <w:r>
        <w:t xml:space="preserve"> the greatest amount of resource investment and all the entrepreneurial risk, but this is the only way of ensuring the faithful copying of the business model</w:t>
      </w:r>
      <w:r>
        <w:t>,</w:t>
      </w:r>
      <w:r>
        <w:t xml:space="preserve"> which is the foundation of </w:t>
      </w:r>
      <w:r>
        <w:t xml:space="preserve">the </w:t>
      </w:r>
      <w:r>
        <w:t>competitive advantage of Aldi.</w:t>
      </w:r>
    </w:p>
    <w:bookmarkStart w:id="15" w:name="_Toc217246757"/>
    <w:p>
      <w:pPr>
        <w:pStyle w:val="style2"/>
        <w:rPr/>
      </w:pPr>
      <w:r>
        <w:t>4.3 Competitive Strategy</w:t>
      </w:r>
      <w:bookmarkEnd w:id="15"/>
    </w:p>
    <w:p>
      <w:pPr>
        <w:pStyle w:val="style0"/>
        <w:spacing w:lineRule="auto" w:line="259"/>
        <w:jc w:val="left"/>
        <w:rPr/>
      </w:pPr>
      <w:r>
        <w:rPr>
          <w:b/>
          <w:bCs/>
        </w:rPr>
        <w:t>Application of Porter’s Generic Strategies</w:t>
      </w:r>
    </w:p>
    <w:p>
      <w:pPr>
        <w:pStyle w:val="style0"/>
        <w:rPr/>
      </w:pPr>
      <w:r>
        <w:t>The primary generic strategy that Aldi is willing to compromise on is Cost Leadership</w:t>
      </w:r>
      <w:r>
        <w:t xml:space="preserve"> </w:t>
      </w:r>
      <w:r>
        <w:t>(</w:t>
      </w:r>
      <w:r>
        <w:t>Caraceni</w:t>
      </w:r>
      <w:r>
        <w:t>, 2025)</w:t>
      </w:r>
      <w:r>
        <w:t xml:space="preserve">. The aim is to be the cheapest producer </w:t>
      </w:r>
      <w:r>
        <w:t>in</w:t>
      </w:r>
      <w:r>
        <w:t xml:space="preserve"> </w:t>
      </w:r>
      <w:r>
        <w:t xml:space="preserve">the </w:t>
      </w:r>
      <w:r>
        <w:t xml:space="preserve">grocery industry on the Finnish market. This will be made and maintained </w:t>
      </w:r>
      <w:r>
        <w:t>by</w:t>
      </w:r>
      <w:r>
        <w:t xml:space="preserve"> taking advantage of the core competencies that have been established in the VRIO analysis. The lean supply chain, cost-oriented culture, and the own-label model will be implemented to ensure the cost base is 10-15% lower than the existing supermarkets and equal </w:t>
      </w:r>
      <w:r>
        <w:t xml:space="preserve">to </w:t>
      </w:r>
      <w:r>
        <w:t xml:space="preserve">or lower than </w:t>
      </w:r>
      <w:r>
        <w:t>that</w:t>
      </w:r>
      <w:r>
        <w:t xml:space="preserve"> </w:t>
      </w:r>
      <w:r>
        <w:t xml:space="preserve">of </w:t>
      </w:r>
      <w:r>
        <w:t>Lidl</w:t>
      </w:r>
      <w:r>
        <w:t xml:space="preserve"> </w:t>
      </w:r>
      <w:r>
        <w:t>(Niros </w:t>
      </w:r>
      <w:r>
        <w:rPr>
          <w:i/>
          <w:iCs/>
        </w:rPr>
        <w:t>et al.</w:t>
      </w:r>
      <w:r>
        <w:t>, 2023)</w:t>
      </w:r>
      <w:r>
        <w:t>. This cost advantage in its structure will be passed down to everyday low prices (EDLP) to the consumers in order to develop a strong value proposition that cannot be easily translated into profitability by full-range competitors.</w:t>
      </w:r>
    </w:p>
    <w:p>
      <w:pPr>
        <w:pStyle w:val="style0"/>
        <w:rPr>
          <w:b/>
          <w:bCs/>
        </w:rPr>
      </w:pPr>
      <w:r>
        <w:rPr>
          <w:b/>
          <w:bCs/>
        </w:rPr>
        <w:t>Adaptation of the Generic Strategy</w:t>
      </w:r>
    </w:p>
    <w:p>
      <w:pPr>
        <w:pStyle w:val="style0"/>
        <w:rPr/>
      </w:pPr>
      <w:r>
        <w:t xml:space="preserve">In the contemporary market, particularly one that </w:t>
      </w:r>
      <w:r>
        <w:t>harbours</w:t>
      </w:r>
      <w:r>
        <w:t xml:space="preserve"> sophisticated consumers such as Finland, pure cost leadership should be complemented with selective differentiation aimed at creating brand value and loyalty. The strategy of Aldi will be modified then to Cost Leadership </w:t>
      </w:r>
      <w:r>
        <w:t>with Differentiation Features strategy</w:t>
      </w:r>
      <w:r>
        <w:t xml:space="preserve"> </w:t>
      </w:r>
      <w:r>
        <w:t>(</w:t>
      </w:r>
      <w:r>
        <w:t>Caraceni</w:t>
      </w:r>
      <w:r>
        <w:t>, 2025)</w:t>
      </w:r>
      <w:r>
        <w:t>. This differentiation will be done in two main channels that are in line with the Finnish values. First, its outstanding and stable quality in its own label, especially in fresh produce and ready meals, will be promoted to overcome any attitude that low price means low quality. Second, Aldi will engage in the promotion of its sustainability attributes globally and locally, including the commitment to decrease its plastic packaging and use certified sustainable palm oil and coffee. This covers the environmental aspect of the PESTLE analysis and puts Aldi ahead of competitors in terms of ethics, whilst the essential price advantage is retained.</w:t>
      </w:r>
    </w:p>
    <w:bookmarkStart w:id="16" w:name="_Toc217246758"/>
    <w:p>
      <w:pPr>
        <w:pStyle w:val="style2"/>
        <w:rPr/>
      </w:pPr>
      <w:r>
        <w:t>4.4 Implementation Considerations</w:t>
      </w:r>
      <w:bookmarkEnd w:id="16"/>
    </w:p>
    <w:p>
      <w:pPr>
        <w:pStyle w:val="style0"/>
        <w:rPr/>
      </w:pPr>
      <w:r>
        <w:t xml:space="preserve">The implementation is to be done with careful planning in four areas. Setting up of supply chain will include first creating a central distribution centre in the Uusimaa area and logistics may be outsourced to a known third-party operator after which a fully developed network can be shifted </w:t>
      </w:r>
      <w:r>
        <w:t>into</w:t>
      </w:r>
      <w:r>
        <w:t xml:space="preserve"> complete ownership</w:t>
      </w:r>
      <w:r>
        <w:t xml:space="preserve"> </w:t>
      </w:r>
      <w:r>
        <w:t>(</w:t>
      </w:r>
      <w:r>
        <w:t>Caraceni</w:t>
      </w:r>
      <w:r>
        <w:t>, 2025)</w:t>
      </w:r>
      <w:r>
        <w:t>. The fresh categories depend on the local sourcing strategy. Aldi should also quickly establish contact with Finnish agricultural cooperatives and meat and dairy farmers in order to guarantee a steady flow of fresh and local products up to the expectations of the consumers, thus reducing one of its major drawbacks</w:t>
      </w:r>
      <w:r>
        <w:t xml:space="preserve"> </w:t>
      </w:r>
      <w:r>
        <w:t>(</w:t>
      </w:r>
      <w:r>
        <w:t>Agustian</w:t>
      </w:r>
      <w:r>
        <w:t> </w:t>
      </w:r>
      <w:r>
        <w:rPr>
          <w:i/>
          <w:iCs/>
        </w:rPr>
        <w:t>et al.</w:t>
      </w:r>
      <w:r>
        <w:t>, 2023)</w:t>
      </w:r>
      <w:r>
        <w:t xml:space="preserve">. </w:t>
      </w:r>
    </w:p>
    <w:p>
      <w:pPr>
        <w:pStyle w:val="style0"/>
        <w:rPr/>
      </w:pPr>
      <w:r>
        <w:t xml:space="preserve">The advertising strategy should deal with the Aldi Effect, </w:t>
      </w:r>
      <w:r>
        <w:t xml:space="preserve">a </w:t>
      </w:r>
      <w:r>
        <w:t>strategic shock to an established market</w:t>
      </w:r>
      <w:r>
        <w:t>,</w:t>
      </w:r>
      <w:r>
        <w:t xml:space="preserve"> directly. The introduction campaign should be of high impact and concentrate on price comparisons (</w:t>
      </w:r>
      <w:r>
        <w:t>EUR-for-EUR</w:t>
      </w:r>
      <w:r>
        <w:t xml:space="preserve"> with one of the typical baskets) and inform consumers about </w:t>
      </w:r>
      <w:r>
        <w:t xml:space="preserve">the </w:t>
      </w:r>
      <w:r>
        <w:t xml:space="preserve">Aldi model (limited assortment, cart deposits, efficient checkout). At the same time, brand messaging should focus on the pillars of quality and sustainability to develop </w:t>
      </w:r>
      <w:r>
        <w:t>a</w:t>
      </w:r>
      <w:r>
        <w:t xml:space="preserve"> positive brand image</w:t>
      </w:r>
      <w:r>
        <w:t>,</w:t>
      </w:r>
      <w:r>
        <w:t xml:space="preserve"> not based only on the price</w:t>
      </w:r>
      <w:r>
        <w:t xml:space="preserve"> </w:t>
      </w:r>
      <w:r>
        <w:t>(</w:t>
      </w:r>
      <w:r>
        <w:t>Agustian</w:t>
      </w:r>
      <w:r>
        <w:t> </w:t>
      </w:r>
      <w:r>
        <w:rPr>
          <w:i/>
          <w:iCs/>
        </w:rPr>
        <w:t>et al.</w:t>
      </w:r>
      <w:r>
        <w:t>, 2023)</w:t>
      </w:r>
      <w:r>
        <w:t xml:space="preserve">. Lastly, talent management will incorporate a combination of expatriate managers to inculcate Aldi culture and processes, and massive local recruitment to operate in the stores. </w:t>
      </w:r>
    </w:p>
    <w:bookmarkStart w:id="17" w:name="_Toc217246759"/>
    <w:p>
      <w:pPr>
        <w:pStyle w:val="style1"/>
        <w:rPr/>
      </w:pPr>
      <w:r>
        <w:t>5.0 Performance Evaluation Framework</w:t>
      </w:r>
      <w:bookmarkEnd w:id="17"/>
    </w:p>
    <w:bookmarkStart w:id="18" w:name="_Toc217246760"/>
    <w:p>
      <w:pPr>
        <w:pStyle w:val="style2"/>
        <w:rPr/>
      </w:pPr>
      <w:r>
        <w:t>5.1 Framework Selection</w:t>
      </w:r>
      <w:bookmarkEnd w:id="18"/>
    </w:p>
    <w:p>
      <w:pPr>
        <w:pStyle w:val="style0"/>
        <w:rPr/>
      </w:pPr>
      <w:r>
        <w:t>The Balanced Scorecard (BSC) has been chosen as the performance measurement tool of the given expansion initiative. It is better than the Triple Bottom Line (TBL) in strategic management purposes because it is explicitly concerned with strategic cause-and-effect relationships</w:t>
      </w:r>
      <w:r>
        <w:t xml:space="preserve"> </w:t>
      </w:r>
      <w:r>
        <w:t>(Niros </w:t>
      </w:r>
      <w:r>
        <w:rPr>
          <w:i/>
          <w:iCs/>
        </w:rPr>
        <w:t xml:space="preserve">et </w:t>
      </w:r>
      <w:r>
        <w:rPr>
          <w:i/>
          <w:iCs/>
        </w:rPr>
        <w:t>al.</w:t>
      </w:r>
      <w:r>
        <w:t>, 2023)</w:t>
      </w:r>
      <w:r>
        <w:t>. The four-perspective system that is inherent in the BSC clearly connects long-term strategic goals to short-term operational activities and measures</w:t>
      </w:r>
      <w:r>
        <w:t xml:space="preserve"> </w:t>
      </w:r>
      <w:r>
        <w:t>(Niros </w:t>
      </w:r>
      <w:r>
        <w:rPr>
          <w:i/>
          <w:iCs/>
        </w:rPr>
        <w:t>et al.</w:t>
      </w:r>
      <w:r>
        <w:t>, 2023)</w:t>
      </w:r>
      <w:r>
        <w:t xml:space="preserve">. This is essential to a multifaceted market entry so that the financial returns are stimulated by particular </w:t>
      </w:r>
      <w:r>
        <w:t>customers</w:t>
      </w:r>
      <w:r>
        <w:t xml:space="preserve">, internal </w:t>
      </w:r>
      <w:r>
        <w:t>processes</w:t>
      </w:r>
      <w:r>
        <w:t>, and organisational learning operations</w:t>
      </w:r>
      <w:r>
        <w:t xml:space="preserve"> </w:t>
      </w:r>
      <w:r>
        <w:t>(IBISWorld, 2025)</w:t>
      </w:r>
      <w:r>
        <w:t xml:space="preserve">. Though the TBL assesses the greater impact on society, BSC is a strategic management tool that is aimed </w:t>
      </w:r>
      <w:r>
        <w:t>at putting</w:t>
      </w:r>
      <w:r>
        <w:t xml:space="preserve"> in place and </w:t>
      </w:r>
      <w:r>
        <w:t>tracking</w:t>
      </w:r>
      <w:r>
        <w:t xml:space="preserve"> competitive strategy successfully.</w:t>
      </w:r>
    </w:p>
    <w:bookmarkStart w:id="19" w:name="_Toc217246761"/>
    <w:p>
      <w:pPr>
        <w:pStyle w:val="style2"/>
        <w:rPr/>
      </w:pPr>
      <w:r>
        <w:t>5.2 Balanced Scorecard Quadrant Analysis</w:t>
      </w:r>
      <w:bookmarkEnd w:id="19"/>
    </w:p>
    <w:tbl>
      <w:tblPr>
        <w:tblStyle w:val="style154"/>
        <w:tblW w:w="0" w:type="auto"/>
        <w:tblLook w:val="04A0" w:firstRow="1" w:lastRow="0" w:firstColumn="1" w:lastColumn="0" w:noHBand="0" w:noVBand="1"/>
      </w:tblPr>
      <w:tblGrid>
        <w:gridCol w:w="4675"/>
        <w:gridCol w:w="4675"/>
      </w:tblGrid>
      <w:tr>
        <w:trPr/>
        <w:tc>
          <w:tcPr>
            <w:tcW w:w="4675" w:type="dxa"/>
            <w:tcBorders/>
          </w:tcPr>
          <w:p>
            <w:pPr>
              <w:pStyle w:val="style0"/>
              <w:rPr>
                <w:b/>
                <w:bCs/>
              </w:rPr>
            </w:pPr>
            <w:r>
              <w:rPr>
                <w:b/>
                <w:bCs/>
              </w:rPr>
              <w:t>FINANCIAL PERSPECTIVE</w:t>
            </w:r>
          </w:p>
          <w:p>
            <w:pPr>
              <w:pStyle w:val="style0"/>
              <w:rPr>
                <w:i/>
                <w:iCs/>
              </w:rPr>
            </w:pPr>
            <w:r>
              <w:rPr>
                <w:i/>
                <w:iCs/>
              </w:rPr>
              <w:t>Strategic Objective: Achieve Profitable Growth &amp; Scale</w:t>
            </w:r>
          </w:p>
        </w:tc>
        <w:tc>
          <w:tcPr>
            <w:tcW w:w="4675" w:type="dxa"/>
            <w:tcBorders/>
          </w:tcPr>
          <w:p>
            <w:pPr>
              <w:pStyle w:val="style0"/>
              <w:rPr>
                <w:b/>
                <w:bCs/>
              </w:rPr>
            </w:pPr>
            <w:r>
              <w:rPr>
                <w:b/>
                <w:bCs/>
              </w:rPr>
              <w:t>CUSTOMER</w:t>
            </w:r>
            <w:r>
              <w:rPr>
                <w:b/>
                <w:bCs/>
              </w:rPr>
              <w:t xml:space="preserve"> </w:t>
            </w:r>
            <w:r>
              <w:rPr>
                <w:b/>
                <w:bCs/>
              </w:rPr>
              <w:t>PERSPECTIVE</w:t>
            </w:r>
          </w:p>
          <w:p>
            <w:pPr>
              <w:pStyle w:val="style0"/>
              <w:rPr/>
            </w:pPr>
            <w:r>
              <w:rPr>
                <w:i/>
                <w:iCs/>
              </w:rPr>
              <w:t>Strategic Objective: Build Market Awareness &amp; Loyalty</w:t>
            </w:r>
          </w:p>
        </w:tc>
      </w:tr>
      <w:tr>
        <w:tblPrEx/>
        <w:trPr/>
        <w:tc>
          <w:tcPr>
            <w:tcW w:w="4675" w:type="dxa"/>
            <w:tcBorders/>
          </w:tcPr>
          <w:p>
            <w:pPr>
              <w:pStyle w:val="style0"/>
              <w:rPr>
                <w:b/>
                <w:bCs/>
              </w:rPr>
            </w:pPr>
            <w:r>
              <w:rPr>
                <w:b/>
                <w:bCs/>
              </w:rPr>
              <w:t>Key Performance Indicators (KPIs):</w:t>
            </w:r>
          </w:p>
          <w:p>
            <w:pPr>
              <w:pStyle w:val="style179"/>
              <w:numPr>
                <w:ilvl w:val="0"/>
                <w:numId w:val="1"/>
              </w:numPr>
              <w:rPr/>
            </w:pPr>
            <w:r>
              <w:t>Revenue Growth Rate: Target &gt;25% Year-on-Year.</w:t>
            </w:r>
          </w:p>
          <w:p>
            <w:pPr>
              <w:pStyle w:val="style179"/>
              <w:numPr>
                <w:ilvl w:val="0"/>
                <w:numId w:val="1"/>
              </w:numPr>
              <w:rPr/>
            </w:pPr>
            <w:r>
              <w:t>Market Share: Target 2.5% by Year 3.</w:t>
            </w:r>
          </w:p>
          <w:p>
            <w:pPr>
              <w:pStyle w:val="style179"/>
              <w:numPr>
                <w:ilvl w:val="0"/>
                <w:numId w:val="1"/>
              </w:numPr>
              <w:rPr/>
            </w:pPr>
            <w:r>
              <w:t>Return on Invested Capital (ROIC): Target &gt; Weighted Average Cost of Capital (WACC)</w:t>
            </w:r>
            <w:r>
              <w:t xml:space="preserve"> </w:t>
            </w:r>
            <w:r>
              <w:t>(IBISWorld, 2025)</w:t>
            </w:r>
            <w:r>
              <w:t>.</w:t>
            </w:r>
          </w:p>
          <w:p>
            <w:pPr>
              <w:pStyle w:val="style179"/>
              <w:numPr>
                <w:ilvl w:val="0"/>
                <w:numId w:val="1"/>
              </w:numPr>
              <w:rPr/>
            </w:pPr>
            <w:r>
              <w:t>Operating Cost Ratio: Maintain &lt; 90% of industry average</w:t>
            </w:r>
            <w:r>
              <w:t xml:space="preserve"> </w:t>
            </w:r>
            <w:r>
              <w:t>(IBISWorld, 2025)</w:t>
            </w:r>
            <w:r>
              <w:t>.</w:t>
            </w:r>
          </w:p>
        </w:tc>
        <w:tc>
          <w:tcPr>
            <w:tcW w:w="4675" w:type="dxa"/>
            <w:tcBorders/>
          </w:tcPr>
          <w:p>
            <w:pPr>
              <w:pStyle w:val="style0"/>
              <w:rPr>
                <w:b/>
                <w:bCs/>
              </w:rPr>
            </w:pPr>
            <w:r>
              <w:rPr>
                <w:b/>
                <w:bCs/>
              </w:rPr>
              <w:t>Key Performance Indicators (KPIs):</w:t>
            </w:r>
          </w:p>
          <w:p>
            <w:pPr>
              <w:pStyle w:val="style179"/>
              <w:numPr>
                <w:ilvl w:val="0"/>
                <w:numId w:val="6"/>
              </w:numPr>
              <w:rPr/>
            </w:pPr>
            <w:r>
              <w:t>Market Awareness Level: Target 70% in target regions by Year 3.</w:t>
            </w:r>
          </w:p>
          <w:p>
            <w:pPr>
              <w:pStyle w:val="style179"/>
              <w:numPr>
                <w:ilvl w:val="0"/>
                <w:numId w:val="6"/>
              </w:numPr>
              <w:rPr/>
            </w:pPr>
            <w:r>
              <w:t>Net Promoter Score (NPS): Target a score of +20</w:t>
            </w:r>
            <w:r>
              <w:t xml:space="preserve"> </w:t>
            </w:r>
            <w:r>
              <w:t>(Petro, 2025)</w:t>
            </w:r>
            <w:r>
              <w:t>.</w:t>
            </w:r>
          </w:p>
          <w:p>
            <w:pPr>
              <w:pStyle w:val="style179"/>
              <w:numPr>
                <w:ilvl w:val="0"/>
                <w:numId w:val="6"/>
              </w:numPr>
              <w:rPr/>
            </w:pPr>
            <w:r>
              <w:t>Customer Acquisition Cost (CAC): Trend monitored for decrease.</w:t>
            </w:r>
          </w:p>
          <w:p>
            <w:pPr>
              <w:pStyle w:val="style179"/>
              <w:numPr>
                <w:ilvl w:val="0"/>
                <w:numId w:val="6"/>
              </w:numPr>
              <w:rPr/>
            </w:pPr>
            <w:r>
              <w:t>Repeat Purchase Rate: Target &gt;40% within the first 6 months of customer acquisition</w:t>
            </w:r>
            <w:r>
              <w:t xml:space="preserve"> </w:t>
            </w:r>
            <w:r>
              <w:t>(Petro, 2025)</w:t>
            </w:r>
            <w:r>
              <w:t>.</w:t>
            </w:r>
          </w:p>
        </w:tc>
      </w:tr>
      <w:tr>
        <w:tblPrEx/>
        <w:trPr/>
        <w:tc>
          <w:tcPr>
            <w:tcW w:w="4675" w:type="dxa"/>
            <w:tcBorders/>
          </w:tcPr>
          <w:p>
            <w:pPr>
              <w:pStyle w:val="style0"/>
              <w:rPr/>
            </w:pPr>
            <w:r>
              <w:rPr>
                <w:b/>
                <w:bCs/>
              </w:rPr>
              <w:t>I</w:t>
            </w:r>
            <w:r>
              <w:rPr>
                <w:b/>
                <w:bCs/>
              </w:rPr>
              <w:t>NTERNAL PROCESS PERSPECTIVE</w:t>
            </w:r>
            <w:r>
              <w:br/>
            </w:r>
            <w:r>
              <w:rPr>
                <w:i/>
                <w:iCs/>
              </w:rPr>
              <w:t>Strategic Objective: Execute Efficient Market Entry &amp; Operations</w:t>
            </w:r>
          </w:p>
        </w:tc>
        <w:tc>
          <w:tcPr>
            <w:tcW w:w="4675" w:type="dxa"/>
            <w:tcBorders/>
          </w:tcPr>
          <w:p>
            <w:pPr>
              <w:pStyle w:val="style0"/>
              <w:rPr/>
            </w:pPr>
            <w:r>
              <w:rPr>
                <w:b/>
                <w:bCs/>
              </w:rPr>
              <w:t>LEARNING &amp; GROWTH PERSPECTIVE</w:t>
            </w:r>
            <w:r>
              <w:br/>
            </w:r>
            <w:r>
              <w:rPr>
                <w:i/>
                <w:iCs/>
              </w:rPr>
              <w:t>Strategic Objective: Develop Organisational Capability</w:t>
            </w:r>
          </w:p>
        </w:tc>
      </w:tr>
      <w:tr>
        <w:tblPrEx/>
        <w:trPr/>
        <w:tc>
          <w:tcPr>
            <w:tcW w:w="4675" w:type="dxa"/>
            <w:tcBorders/>
          </w:tcPr>
          <w:p>
            <w:pPr>
              <w:pStyle w:val="style0"/>
              <w:rPr/>
            </w:pPr>
            <w:r>
              <w:rPr>
                <w:b/>
                <w:bCs/>
              </w:rPr>
              <w:t>Key Performance Indicators (KPIs):</w:t>
            </w:r>
          </w:p>
          <w:p>
            <w:pPr>
              <w:pStyle w:val="style179"/>
              <w:numPr>
                <w:ilvl w:val="0"/>
                <w:numId w:val="4"/>
              </w:numPr>
              <w:rPr/>
            </w:pPr>
            <w:r>
              <w:t>Store Opening Schedule Adherence: Target &gt;95% vs. plan.</w:t>
            </w:r>
          </w:p>
          <w:p>
            <w:pPr>
              <w:pStyle w:val="style179"/>
              <w:numPr>
                <w:ilvl w:val="0"/>
                <w:numId w:val="4"/>
              </w:numPr>
              <w:rPr/>
            </w:pPr>
            <w:r>
              <w:t>Inventory Turnover (Days): Target &lt; 20 days</w:t>
            </w:r>
            <w:r>
              <w:t xml:space="preserve"> </w:t>
            </w:r>
            <w:r>
              <w:t xml:space="preserve">(Solberg and </w:t>
            </w:r>
            <w:r>
              <w:t>Durrieu</w:t>
            </w:r>
            <w:r>
              <w:t>, 2023)</w:t>
            </w:r>
            <w:r>
              <w:t>.</w:t>
            </w:r>
          </w:p>
          <w:p>
            <w:pPr>
              <w:pStyle w:val="style179"/>
              <w:numPr>
                <w:ilvl w:val="0"/>
                <w:numId w:val="4"/>
              </w:numPr>
              <w:rPr/>
            </w:pPr>
            <w:r>
              <w:t>Supply Chain Cost (% of Sales): Target &lt; 8%.</w:t>
            </w:r>
          </w:p>
          <w:p>
            <w:pPr>
              <w:pStyle w:val="style179"/>
              <w:numPr>
                <w:ilvl w:val="0"/>
                <w:numId w:val="4"/>
              </w:numPr>
              <w:rPr>
                <w:b/>
                <w:bCs/>
              </w:rPr>
            </w:pPr>
            <w:r>
              <w:t>Local Sourcing Ratio (Fresh Produce): Target &gt;60% by Year 3</w:t>
            </w:r>
            <w:r>
              <w:t xml:space="preserve"> </w:t>
            </w:r>
            <w:r>
              <w:t xml:space="preserve">(Solberg and </w:t>
            </w:r>
            <w:r>
              <w:t>Durrieu</w:t>
            </w:r>
            <w:r>
              <w:t>, 2023)</w:t>
            </w:r>
          </w:p>
        </w:tc>
        <w:tc>
          <w:tcPr>
            <w:tcW w:w="4675" w:type="dxa"/>
            <w:tcBorders/>
          </w:tcPr>
          <w:p>
            <w:pPr>
              <w:pStyle w:val="style0"/>
              <w:rPr>
                <w:b/>
                <w:bCs/>
              </w:rPr>
            </w:pPr>
            <w:r>
              <w:rPr>
                <w:b/>
                <w:bCs/>
              </w:rPr>
              <w:t>Key Performance Indicators (KPIs):</w:t>
            </w:r>
          </w:p>
          <w:p>
            <w:pPr>
              <w:pStyle w:val="style179"/>
              <w:numPr>
                <w:ilvl w:val="0"/>
                <w:numId w:val="3"/>
              </w:numPr>
              <w:rPr/>
            </w:pPr>
            <w:r>
              <w:t>Employee Training Completion Rate: Target 100% for core modules.</w:t>
            </w:r>
          </w:p>
          <w:p>
            <w:pPr>
              <w:pStyle w:val="style179"/>
              <w:numPr>
                <w:ilvl w:val="0"/>
                <w:numId w:val="3"/>
              </w:numPr>
              <w:rPr/>
            </w:pPr>
            <w:r>
              <w:t>Local Management Recruitment Rate: Target &gt;80% of store management roles filled locally.</w:t>
            </w:r>
          </w:p>
          <w:p>
            <w:pPr>
              <w:pStyle w:val="style179"/>
              <w:numPr>
                <w:ilvl w:val="0"/>
                <w:numId w:val="3"/>
              </w:numPr>
              <w:rPr/>
            </w:pPr>
            <w:r>
              <w:t>Staff Turnover Rate: Target &lt; 15% annually.</w:t>
            </w:r>
          </w:p>
          <w:p>
            <w:pPr>
              <w:pStyle w:val="style179"/>
              <w:numPr>
                <w:ilvl w:val="0"/>
                <w:numId w:val="3"/>
              </w:numPr>
              <w:rPr/>
            </w:pPr>
            <w:r>
              <w:t>Cultural Alignment Index: Score from internal surveys on adoption of Aldi principles</w:t>
            </w:r>
            <w:r>
              <w:t xml:space="preserve"> </w:t>
            </w:r>
            <w:r>
              <w:t>(Sweney, 2025)</w:t>
            </w:r>
            <w:r>
              <w:t>.</w:t>
            </w:r>
          </w:p>
        </w:tc>
      </w:tr>
    </w:tbl>
    <w:p>
      <w:pPr>
        <w:pStyle w:val="style0"/>
        <w:rPr/>
      </w:pPr>
    </w:p>
    <w:p>
      <w:pPr>
        <w:pStyle w:val="style0"/>
        <w:rPr/>
      </w:pPr>
      <w:r>
        <w:t xml:space="preserve">This Balanced Scorecard converts the expansion strategy to a controllable and quantifiable system. It will track progress through a balanced perspective that is not based on financials but </w:t>
      </w:r>
      <w:r>
        <w:t xml:space="preserve">on </w:t>
      </w:r>
      <w:r>
        <w:t>leading indicators such as Market Awareness and Store Opening Adherence</w:t>
      </w:r>
      <w:r>
        <w:t>,</w:t>
      </w:r>
      <w:r>
        <w:t xml:space="preserve"> which </w:t>
      </w:r>
      <w:r>
        <w:t>are</w:t>
      </w:r>
      <w:r>
        <w:t xml:space="preserve"> indicative of future financial success</w:t>
      </w:r>
      <w:r>
        <w:t xml:space="preserve"> </w:t>
      </w:r>
      <w:r>
        <w:t>(Niros </w:t>
      </w:r>
      <w:r>
        <w:rPr>
          <w:i/>
          <w:iCs/>
        </w:rPr>
        <w:t>et al.</w:t>
      </w:r>
      <w:r>
        <w:t>, 2023)</w:t>
      </w:r>
      <w:r>
        <w:t xml:space="preserve">. The framework enables strategic feedback, as it uncovers </w:t>
      </w:r>
      <w:r>
        <w:t>cause-and-effect</w:t>
      </w:r>
      <w:r>
        <w:t xml:space="preserve"> relationships. </w:t>
      </w:r>
      <w:r>
        <w:t>An</w:t>
      </w:r>
      <w:r>
        <w:t xml:space="preserve"> example of this is that due to the lack of Local Management Recruitment (Learning), there might be a negative Inventory Turnover (Internal Process), which will adversely affect Customer NPS</w:t>
      </w:r>
      <w:r>
        <w:t xml:space="preserve"> </w:t>
      </w:r>
      <w:r>
        <w:t>(</w:t>
      </w:r>
      <w:r>
        <w:t>Sudirjo</w:t>
      </w:r>
      <w:r>
        <w:t>, 2023)</w:t>
      </w:r>
      <w:r>
        <w:t xml:space="preserve">. </w:t>
      </w:r>
    </w:p>
    <w:bookmarkStart w:id="20" w:name="_Toc217246762"/>
    <w:p>
      <w:pPr>
        <w:pStyle w:val="style1"/>
        <w:rPr/>
      </w:pPr>
      <w:r>
        <w:t>6.0 Conclusion and Recommendations</w:t>
      </w:r>
      <w:bookmarkEnd w:id="20"/>
    </w:p>
    <w:bookmarkStart w:id="21" w:name="_Toc217246763"/>
    <w:p>
      <w:pPr>
        <w:pStyle w:val="style2"/>
        <w:rPr/>
      </w:pPr>
      <w:r>
        <w:t>6.1 Summary of Key Arguments</w:t>
      </w:r>
      <w:bookmarkEnd w:id="21"/>
    </w:p>
    <w:p>
      <w:pPr>
        <w:pStyle w:val="style0"/>
        <w:rPr/>
      </w:pPr>
      <w:r>
        <w:t xml:space="preserve">This report has developed a strategic expansion plan </w:t>
      </w:r>
      <w:r>
        <w:t>for</w:t>
      </w:r>
      <w:r>
        <w:t xml:space="preserve"> Aldi </w:t>
      </w:r>
      <w:r>
        <w:t>in</w:t>
      </w:r>
      <w:r>
        <w:t xml:space="preserve"> the Finnish market. The analysis provided a strong reason as to why Finland can be a good target because of its stable</w:t>
      </w:r>
      <w:r>
        <w:t>,</w:t>
      </w:r>
      <w:r>
        <w:t xml:space="preserve"> although concentrated</w:t>
      </w:r>
      <w:r>
        <w:t>,</w:t>
      </w:r>
      <w:r>
        <w:t xml:space="preserve"> grocery market, which points to an easy target of a disciplined value disruptor. The strategic assessment proved that Aldi can transfer its competitive advantages related to cost leadership and operational effectiveness, as well as identified significant threats that the company had initially no brand equity, and the S-Group and Kesko duopoly could easily retaliate against it. The suggested plan promotes a greenfield investment in a cost-leadership strategy, which is differentiated selectively, based on quality and sustainability messages. The integrated Balanced Scorecard is intended to be disciplined in terms of ensuring strategic learning during the launch phase.</w:t>
      </w:r>
    </w:p>
    <w:p>
      <w:pPr>
        <w:pStyle w:val="style0"/>
        <w:rPr/>
      </w:pPr>
    </w:p>
    <w:p>
      <w:pPr>
        <w:pStyle w:val="style0"/>
        <w:rPr/>
      </w:pPr>
    </w:p>
    <w:bookmarkStart w:id="22" w:name="_Toc217246764"/>
    <w:p>
      <w:pPr>
        <w:pStyle w:val="style2"/>
        <w:rPr/>
      </w:pPr>
      <w:r>
        <w:t>6.2 Final Recommendations</w:t>
      </w:r>
      <w:bookmarkEnd w:id="22"/>
    </w:p>
    <w:p>
      <w:pPr>
        <w:pStyle w:val="style179"/>
        <w:numPr>
          <w:ilvl w:val="0"/>
          <w:numId w:val="7"/>
        </w:numPr>
        <w:rPr/>
      </w:pPr>
      <w:r>
        <w:rPr>
          <w:b/>
          <w:bCs/>
        </w:rPr>
        <w:t>Implement a Cluster-Based Rollout Strategy</w:t>
      </w:r>
      <w:r>
        <w:t>: Introduce the Southern Finland region and especially the Helsinki metropolitan area as the first region of investment and store openings to realise a scale effect and localised marketing effect before it goes national</w:t>
      </w:r>
      <w:r>
        <w:t xml:space="preserve"> </w:t>
      </w:r>
      <w:r>
        <w:t>(</w:t>
      </w:r>
      <w:r>
        <w:t>Sudirjo</w:t>
      </w:r>
      <w:r>
        <w:t>, 2023)</w:t>
      </w:r>
      <w:r>
        <w:t>.</w:t>
      </w:r>
    </w:p>
    <w:p>
      <w:pPr>
        <w:pStyle w:val="style179"/>
        <w:numPr>
          <w:ilvl w:val="0"/>
          <w:numId w:val="7"/>
        </w:numPr>
        <w:rPr/>
      </w:pPr>
      <w:r>
        <w:rPr>
          <w:b/>
          <w:bCs/>
        </w:rPr>
        <w:t>Begin a Two-Pronged Marketing Campaign</w:t>
      </w:r>
      <w:r>
        <w:t>: Fill the brand recognition gap now with a marketing campaign that is aggressive in sending price leadership messaging by basket price, and in the same breath, create brand value by providing the quality of exclusive brands and appropriate ESG promises</w:t>
      </w:r>
      <w:r>
        <w:t xml:space="preserve"> </w:t>
      </w:r>
      <w:r>
        <w:t>(Ryans, Griffith and Steven White, 2023)</w:t>
      </w:r>
      <w:r>
        <w:t>.</w:t>
      </w:r>
    </w:p>
    <w:p>
      <w:pPr>
        <w:pStyle w:val="style179"/>
        <w:numPr>
          <w:ilvl w:val="0"/>
          <w:numId w:val="7"/>
        </w:numPr>
        <w:rPr/>
      </w:pPr>
      <w:r>
        <w:rPr>
          <w:b/>
          <w:bCs/>
        </w:rPr>
        <w:t>Create a Local Sourcing Task Force</w:t>
      </w:r>
      <w:r>
        <w:t>: To reduce the supply chain risk and capture the needs of the Finnish consumer, ensure that on the first day, focus is made on forming relationships with agricultural farmers in Finland, establishing specific local procurement objectives.</w:t>
      </w:r>
    </w:p>
    <w:p>
      <w:pPr>
        <w:pStyle w:val="style0"/>
        <w:spacing w:lineRule="auto" w:line="259"/>
        <w:jc w:val="left"/>
        <w:rPr/>
      </w:pPr>
      <w:r>
        <w:br w:type="page"/>
      </w:r>
    </w:p>
    <w:bookmarkStart w:id="23" w:name="_Toc217246765"/>
    <w:p>
      <w:pPr>
        <w:pStyle w:val="style1"/>
        <w:rPr/>
      </w:pPr>
      <w:r>
        <w:t>Reference List</w:t>
      </w:r>
      <w:bookmarkEnd w:id="23"/>
    </w:p>
    <w:p>
      <w:pPr>
        <w:pStyle w:val="style0"/>
        <w:rPr/>
      </w:pPr>
      <w:r>
        <w:t>Agustian</w:t>
      </w:r>
      <w:r>
        <w:t>, K. </w:t>
      </w:r>
      <w:r>
        <w:rPr>
          <w:i/>
          <w:iCs/>
        </w:rPr>
        <w:t>et al.</w:t>
      </w:r>
      <w:r>
        <w:t> (2023) “The impact of digital transformation on business models and competitive advantage,” </w:t>
      </w:r>
      <w:r>
        <w:rPr>
          <w:i/>
          <w:iCs/>
        </w:rPr>
        <w:t>Technology and Society Perspectives (TACIT)</w:t>
      </w:r>
      <w:r>
        <w:t>, 1(2), pp. 79–93.</w:t>
      </w:r>
    </w:p>
    <w:p>
      <w:pPr>
        <w:pStyle w:val="style0"/>
        <w:rPr/>
      </w:pPr>
      <w:r>
        <w:t>ALDI (2025) </w:t>
      </w:r>
      <w:r>
        <w:rPr>
          <w:i/>
          <w:iCs/>
        </w:rPr>
        <w:t>National markets</w:t>
      </w:r>
      <w:r>
        <w:t>, </w:t>
      </w:r>
      <w:r>
        <w:rPr>
          <w:i/>
          <w:iCs/>
        </w:rPr>
        <w:t>Aldisouthgroup.com</w:t>
      </w:r>
      <w:r>
        <w:t>. Available at: https://sustainability.aldisouthgroup.com/about-aldi/national-markets (Accessed: December 13, 2025).</w:t>
      </w:r>
    </w:p>
    <w:p>
      <w:pPr>
        <w:pStyle w:val="style0"/>
        <w:rPr/>
      </w:pPr>
      <w:r>
        <w:t xml:space="preserve">Aldi </w:t>
      </w:r>
      <w:r>
        <w:t>Buisness</w:t>
      </w:r>
      <w:r>
        <w:t xml:space="preserve"> News (2025) </w:t>
      </w:r>
      <w:r>
        <w:rPr>
          <w:i/>
          <w:iCs/>
        </w:rPr>
        <w:t>About us</w:t>
      </w:r>
      <w:r>
        <w:t>, </w:t>
      </w:r>
      <w:r>
        <w:rPr>
          <w:i/>
          <w:iCs/>
        </w:rPr>
        <w:t>Aldi Recruitment UK</w:t>
      </w:r>
      <w:r>
        <w:t>. Available at: https://www.aldirecruitment.co.uk/about-us (Accessed: December 13, 2025).</w:t>
      </w:r>
    </w:p>
    <w:p>
      <w:pPr>
        <w:pStyle w:val="style0"/>
        <w:rPr/>
      </w:pPr>
      <w:r>
        <w:rPr>
          <w:lang w:val="de-DE"/>
        </w:rPr>
        <w:t>Algarni, M.A. </w:t>
      </w:r>
      <w:r>
        <w:rPr>
          <w:i/>
          <w:iCs/>
          <w:lang w:val="de-DE"/>
        </w:rPr>
        <w:t>et al.</w:t>
      </w:r>
      <w:r>
        <w:rPr>
          <w:lang w:val="de-DE"/>
        </w:rPr>
        <w:t> </w:t>
      </w:r>
      <w:r>
        <w:t>(2023) “The differential effects of potential and realized absorptive capacity on imitation and innovation strategies, and its impact on sustained competitive advantage,” </w:t>
      </w:r>
      <w:r>
        <w:rPr>
          <w:i/>
          <w:iCs/>
        </w:rPr>
        <w:t>Journal of business research</w:t>
      </w:r>
      <w:r>
        <w:t>, 158(113674), p. 113674. Available at: https://doi.org/10.1016/j.jbusres.2023.113674.</w:t>
      </w:r>
    </w:p>
    <w:p>
      <w:pPr>
        <w:pStyle w:val="style0"/>
        <w:rPr/>
      </w:pPr>
      <w:r>
        <w:t>Ali, B.J. and Anwar, G. (2021) “Marketing Strategy: Pricing strategies and its influence on consumer purchasing decision,” </w:t>
      </w:r>
      <w:r>
        <w:rPr>
          <w:i/>
          <w:iCs/>
        </w:rPr>
        <w:t>International journal of Rural Development Environment and Health Research</w:t>
      </w:r>
      <w:r>
        <w:t>, 5(2), pp. 26–39. Available at: https://doi.org/10.22161/ijreh.5.2.4.</w:t>
      </w:r>
    </w:p>
    <w:p>
      <w:pPr>
        <w:pStyle w:val="style0"/>
        <w:rPr/>
      </w:pPr>
      <w:r>
        <w:t>Barrett, J. (2025) “Aldi’s expanding profit margins mightn’t sit well with fans,” </w:t>
      </w:r>
      <w:r>
        <w:rPr>
          <w:i/>
          <w:iCs/>
        </w:rPr>
        <w:t>The guardian</w:t>
      </w:r>
      <w:r>
        <w:t>, 21 March. Available at: https://www.theguardian.com/business/2025/mar/21/aldis-expanding-profit-margins-mightnt-sit-well-with-fans (Accessed: December 13, 2025).</w:t>
      </w:r>
    </w:p>
    <w:p>
      <w:pPr>
        <w:pStyle w:val="style0"/>
        <w:rPr/>
      </w:pPr>
      <w:r>
        <w:t>BBC News (2025) “Aldi store approved after two-year planning battle,” </w:t>
      </w:r>
      <w:r>
        <w:rPr>
          <w:i/>
          <w:iCs/>
        </w:rPr>
        <w:t>BBC</w:t>
      </w:r>
      <w:r>
        <w:t>, 29 October. Available at: https://www.bbc.com/news/articles/c5ylg9xng4no (Accessed: December 13, 2025).</w:t>
      </w:r>
    </w:p>
    <w:p>
      <w:pPr>
        <w:pStyle w:val="style0"/>
        <w:rPr/>
      </w:pPr>
      <w:r>
        <w:t>Brouthers</w:t>
      </w:r>
      <w:r>
        <w:t>, K.D. </w:t>
      </w:r>
      <w:r>
        <w:rPr>
          <w:i/>
          <w:iCs/>
        </w:rPr>
        <w:t>et al.</w:t>
      </w:r>
      <w:r>
        <w:t> (2022) “Charting new courses to enter foreign markets: Conceptualization, theoretical framework, and research directions on non-traditional entry modes,” </w:t>
      </w:r>
      <w:r>
        <w:rPr>
          <w:i/>
          <w:iCs/>
        </w:rPr>
        <w:t>Journal of international business studies</w:t>
      </w:r>
      <w:r>
        <w:t>, 53(9), pp. 2088–2115. Available at: https://doi.org/10.1057/s41267-022-00521-x.</w:t>
      </w:r>
    </w:p>
    <w:p>
      <w:pPr>
        <w:pStyle w:val="style0"/>
        <w:rPr/>
      </w:pPr>
    </w:p>
    <w:p>
      <w:pPr>
        <w:pStyle w:val="style0"/>
        <w:rPr/>
      </w:pPr>
      <w:r>
        <w:t>Caraceni</w:t>
      </w:r>
      <w:r>
        <w:t>, A. (2025) </w:t>
      </w:r>
      <w:r>
        <w:rPr>
          <w:i/>
          <w:iCs/>
        </w:rPr>
        <w:t>Here’s the total number of Aldi stores in America in 2025</w:t>
      </w:r>
      <w:r>
        <w:t>, </w:t>
      </w:r>
      <w:r>
        <w:rPr>
          <w:i/>
          <w:iCs/>
        </w:rPr>
        <w:t>Food Republic</w:t>
      </w:r>
      <w:r>
        <w:t>. Available at: https://www.foodrepublic.com/1969477/number-aldi-stores-america-2025/ (Accessed: December 13, 2025).</w:t>
      </w:r>
    </w:p>
    <w:p>
      <w:pPr>
        <w:pStyle w:val="style0"/>
        <w:rPr/>
      </w:pPr>
      <w:r>
        <w:t>Cassia, F. and Magno, F. (2022) “Cross-border e-commerce as a foreign market entry mode among SMEs: the relationship between export capabilities and performance,” </w:t>
      </w:r>
      <w:r>
        <w:rPr>
          <w:i/>
          <w:iCs/>
        </w:rPr>
        <w:t>Review of international business and strategy</w:t>
      </w:r>
      <w:r>
        <w:t>, 32(2), pp. 267–283. Available at: https://doi.org/10.1108/ribs-02-2021-0027.</w:t>
      </w:r>
    </w:p>
    <w:p>
      <w:pPr>
        <w:pStyle w:val="style0"/>
        <w:rPr/>
      </w:pPr>
      <w:r>
        <w:t xml:space="preserve">Chatterjee, S., Chaudhuri, R. and </w:t>
      </w:r>
      <w:r>
        <w:t>Vrontis</w:t>
      </w:r>
      <w:r>
        <w:t>, D. (2022) “Knowledge sharing in international markets for product and process innovation: moderating role of firm’s absorptive capacity,” </w:t>
      </w:r>
      <w:r>
        <w:rPr>
          <w:i/>
          <w:iCs/>
        </w:rPr>
        <w:t>International marketing review</w:t>
      </w:r>
      <w:r>
        <w:t>, 39(3), pp. 706–733. Available at: https://doi.org/10.1108/imr-11-2020-0261.</w:t>
      </w:r>
    </w:p>
    <w:p>
      <w:pPr>
        <w:pStyle w:val="style0"/>
        <w:rPr/>
      </w:pPr>
      <w:r>
        <w:t>Danziger, P.N. (2021) </w:t>
      </w:r>
      <w:r>
        <w:rPr>
          <w:i/>
          <w:iCs/>
        </w:rPr>
        <w:t>Aldi will clean up in the grocery wars as food prices rise</w:t>
      </w:r>
      <w:r>
        <w:t>, </w:t>
      </w:r>
      <w:r>
        <w:rPr>
          <w:i/>
          <w:iCs/>
        </w:rPr>
        <w:t>Forbes</w:t>
      </w:r>
      <w:r>
        <w:t>. Available at: https://www.forbes.com/sites/pamdanziger/2021/06/24/aldi-will-clean-up-in-the-grocery-wars-as-food-prices-rise/ (Accessed: December 13, 2025).</w:t>
      </w:r>
    </w:p>
    <w:p>
      <w:pPr>
        <w:pStyle w:val="style0"/>
        <w:rPr/>
      </w:pPr>
      <w:r>
        <w:t>Das, D. (2025) </w:t>
      </w:r>
      <w:r>
        <w:rPr>
          <w:i/>
          <w:iCs/>
        </w:rPr>
        <w:t xml:space="preserve">Finland’s S Group Reports Growth </w:t>
      </w:r>
      <w:r>
        <w:rPr>
          <w:i/>
          <w:iCs/>
        </w:rPr>
        <w:t>In</w:t>
      </w:r>
      <w:r>
        <w:rPr>
          <w:i/>
          <w:iCs/>
        </w:rPr>
        <w:t xml:space="preserve"> Sales In H1 2025</w:t>
      </w:r>
      <w:r>
        <w:t>, </w:t>
      </w:r>
      <w:r>
        <w:rPr>
          <w:i/>
          <w:iCs/>
        </w:rPr>
        <w:t>Esmmagazine.com</w:t>
      </w:r>
      <w:r>
        <w:t>. Available at: https://www.esmmagazine.com/retail/finlands-s-group-reports-growth-in-sales-in-h1-2025-292740 (Accessed: December 13, 2025).</w:t>
      </w:r>
    </w:p>
    <w:p>
      <w:pPr>
        <w:pStyle w:val="style0"/>
        <w:rPr/>
      </w:pPr>
      <w:r>
        <w:t>European Commission (2025) </w:t>
      </w:r>
      <w:r>
        <w:rPr>
          <w:i/>
          <w:iCs/>
        </w:rPr>
        <w:t>Improving wellbeing services for south-eastern Finland’s elderly population</w:t>
      </w:r>
      <w:r>
        <w:t>, </w:t>
      </w:r>
      <w:r>
        <w:rPr>
          <w:i/>
          <w:iCs/>
        </w:rPr>
        <w:t>Europa.eu</w:t>
      </w:r>
      <w:r>
        <w:t>. Available at: https://ec.europa.eu/regional_policy/en/projects/Finland/improving-wellbeing-services-for-south-eastern-finlands-elderly-population (Accessed: December 13, 2025).</w:t>
      </w:r>
    </w:p>
    <w:p>
      <w:pPr>
        <w:pStyle w:val="style0"/>
        <w:rPr/>
      </w:pPr>
      <w:r>
        <w:t>Farida, I. and Setiawan, D. (2022) “Business strategies and competitive advantage: The role of performance and innovation,” </w:t>
      </w:r>
      <w:r>
        <w:rPr>
          <w:i/>
          <w:iCs/>
        </w:rPr>
        <w:t>Journal of Open Innovation Technology Market and Complexity</w:t>
      </w:r>
      <w:r>
        <w:t>, 8(3), p. 163. Available at: https://doi.org/10.3390/joitmc8030163.</w:t>
      </w:r>
    </w:p>
    <w:p>
      <w:pPr>
        <w:pStyle w:val="style0"/>
        <w:rPr/>
      </w:pPr>
      <w:r>
        <w:t>Gleeson, C. (2024) </w:t>
      </w:r>
      <w:r>
        <w:rPr>
          <w:i/>
          <w:iCs/>
        </w:rPr>
        <w:t xml:space="preserve">Aldi adding 800 new </w:t>
      </w:r>
      <w:r>
        <w:rPr>
          <w:i/>
          <w:iCs/>
        </w:rPr>
        <w:t>U.s.</w:t>
      </w:r>
      <w:r>
        <w:rPr>
          <w:i/>
          <w:iCs/>
        </w:rPr>
        <w:t xml:space="preserve"> stores by 2028—A $9 billion investment</w:t>
      </w:r>
      <w:r>
        <w:t>, </w:t>
      </w:r>
      <w:r>
        <w:rPr>
          <w:i/>
          <w:iCs/>
        </w:rPr>
        <w:t>Forbes</w:t>
      </w:r>
      <w:r>
        <w:t>. Available at: https://www.forbes.com/sites/caileygleeson/2024/03/07/aldi-adding-800-new-us-stores-by-2028-a-9-billion-investment/ (Accessed: December 13, 2025).</w:t>
      </w:r>
    </w:p>
    <w:p>
      <w:pPr>
        <w:pStyle w:val="style0"/>
        <w:rPr/>
      </w:pPr>
    </w:p>
    <w:p>
      <w:pPr>
        <w:pStyle w:val="style0"/>
        <w:rPr/>
      </w:pPr>
      <w:r>
        <w:t>Globalen</w:t>
      </w:r>
      <w:r>
        <w:t>, L.L.C. (2025) “Finland Political stability - data, chart | Theglobaleconomy.com.” Available at: https://www.theglobaleconomy.com/Finland/wb_political_stability/ (Accessed: December 12, 2025).</w:t>
      </w:r>
    </w:p>
    <w:p>
      <w:pPr>
        <w:pStyle w:val="style0"/>
        <w:rPr/>
      </w:pPr>
      <w:r>
        <w:t>IBISWorld (2025) “Supermarkets &amp; grocery stores in Finland - market research report (2015-2030).” Available at: https://www.ibisworld.com/finland/industry/supermarkets-grocery-stores/200577/ (Accessed: December 13, 2025).</w:t>
      </w:r>
    </w:p>
    <w:p>
      <w:pPr>
        <w:pStyle w:val="style0"/>
        <w:rPr/>
      </w:pPr>
      <w:r>
        <w:t>Martinez, E. (2025) </w:t>
      </w:r>
      <w:r>
        <w:rPr>
          <w:i/>
          <w:iCs/>
        </w:rPr>
        <w:t>Aldi - Reports, Statistics &amp; Marketing Trends</w:t>
      </w:r>
      <w:r>
        <w:t>, </w:t>
      </w:r>
      <w:r>
        <w:rPr>
          <w:i/>
          <w:iCs/>
        </w:rPr>
        <w:t>EMARKETER</w:t>
      </w:r>
      <w:r>
        <w:t>. Available at: https://www.emarketer.com/topics/category/Aldi (Accessed: December 13, 2025).</w:t>
      </w:r>
    </w:p>
    <w:p>
      <w:pPr>
        <w:pStyle w:val="style0"/>
        <w:rPr/>
      </w:pPr>
      <w:r>
        <w:t>Nayak, B., Bhattacharyya, S.S. and Krishnamoorthy, B. (2022) “Exploring the black box of competitive advantage-An integrated bibliometric and chronological literature review approach,” </w:t>
      </w:r>
      <w:r>
        <w:rPr>
          <w:i/>
          <w:iCs/>
        </w:rPr>
        <w:t>Journal of Business Research</w:t>
      </w:r>
      <w:r>
        <w:t>, 139, pp. 964–982.</w:t>
      </w:r>
    </w:p>
    <w:p>
      <w:pPr>
        <w:pStyle w:val="style0"/>
        <w:rPr/>
      </w:pPr>
      <w:r>
        <w:t>Niros, M.I. </w:t>
      </w:r>
      <w:r>
        <w:rPr>
          <w:i/>
          <w:iCs/>
        </w:rPr>
        <w:t>et al.</w:t>
      </w:r>
      <w:r>
        <w:t> (2023) “Effective marketing strategies for global FMCG brands during COVID-19 pandemic crisis,” </w:t>
      </w:r>
      <w:r>
        <w:rPr>
          <w:i/>
          <w:iCs/>
        </w:rPr>
        <w:t>International marketing review</w:t>
      </w:r>
      <w:r>
        <w:t>, 40(5), pp. 1012–1034. Available at: https://doi.org/10.1108/imr-11-2021-0327.</w:t>
      </w:r>
    </w:p>
    <w:p>
      <w:pPr>
        <w:pStyle w:val="style0"/>
        <w:rPr/>
      </w:pPr>
      <w:r>
        <w:t>Petro, G. (2025) </w:t>
      </w:r>
      <w:r>
        <w:rPr>
          <w:i/>
          <w:iCs/>
        </w:rPr>
        <w:t xml:space="preserve">How </w:t>
      </w:r>
      <w:r>
        <w:rPr>
          <w:i/>
          <w:iCs/>
        </w:rPr>
        <w:t>aldi’s</w:t>
      </w:r>
      <w:r>
        <w:rPr>
          <w:i/>
          <w:iCs/>
        </w:rPr>
        <w:t xml:space="preserve"> ‘aisle of shame’ helped fuel A grocery juggernaut</w:t>
      </w:r>
      <w:r>
        <w:t>, </w:t>
      </w:r>
      <w:r>
        <w:rPr>
          <w:i/>
          <w:iCs/>
        </w:rPr>
        <w:t>Forbes</w:t>
      </w:r>
      <w:r>
        <w:t>. Available at: https://www.forbes.com/sites/gregpetro/2025/03/24/how-aldis-aisle-of-shame-helped-fuel-a-grocery-juggernaut/ (Accessed: December 13, 2025).</w:t>
      </w:r>
    </w:p>
    <w:p>
      <w:pPr>
        <w:pStyle w:val="style0"/>
        <w:rPr/>
      </w:pPr>
      <w:r>
        <w:rPr>
          <w:lang w:val="de-DE"/>
        </w:rPr>
        <w:t>Rehman, S.U. </w:t>
      </w:r>
      <w:r>
        <w:rPr>
          <w:i/>
          <w:iCs/>
          <w:lang w:val="de-DE"/>
        </w:rPr>
        <w:t>et al.</w:t>
      </w:r>
      <w:r>
        <w:rPr>
          <w:lang w:val="de-DE"/>
        </w:rPr>
        <w:t> </w:t>
      </w:r>
      <w:r>
        <w:t>(2022) “Intellectual capital, knowledge management and competitive advantage: a resource orchestration perspective,” </w:t>
      </w:r>
      <w:r>
        <w:rPr>
          <w:i/>
          <w:iCs/>
        </w:rPr>
        <w:t>Journal of knowledge management</w:t>
      </w:r>
      <w:r>
        <w:t>, 26(7), pp. 1705–1731. Available at: https://doi.org/10.1108/jkm-06-2021-0453.</w:t>
      </w:r>
    </w:p>
    <w:p>
      <w:pPr>
        <w:pStyle w:val="style0"/>
        <w:rPr/>
      </w:pPr>
      <w:r>
        <w:t>Rice, X. (2019) “The Aldi effect: how one discount supermarket transformed the way Britain shops,” </w:t>
      </w:r>
      <w:r>
        <w:rPr>
          <w:i/>
          <w:iCs/>
        </w:rPr>
        <w:t>The guardian</w:t>
      </w:r>
      <w:r>
        <w:t>, 5 March. Available at: https://www.theguardian.com/business/2019/mar/05/long-read-aldi-discount-supermarket-changed-britain-shopping (Accessed: December 13, 2025).</w:t>
      </w:r>
    </w:p>
    <w:p>
      <w:pPr>
        <w:pStyle w:val="style0"/>
        <w:rPr/>
      </w:pPr>
      <w:r>
        <w:t>Ryans, J.K., Griffith, D.A. and Steven White, D. (2023) “Standardization/adaptation of international marketing strategy: Necessary conditions for the advancement of knowledge,” </w:t>
      </w:r>
      <w:r>
        <w:rPr>
          <w:i/>
          <w:iCs/>
        </w:rPr>
        <w:t>International Marketing Review</w:t>
      </w:r>
      <w:r>
        <w:t>, 20(6), pp. 588–603.</w:t>
      </w:r>
    </w:p>
    <w:p>
      <w:pPr>
        <w:pStyle w:val="style0"/>
        <w:rPr/>
      </w:pPr>
    </w:p>
    <w:p>
      <w:pPr>
        <w:pStyle w:val="style0"/>
        <w:rPr/>
      </w:pPr>
      <w:r>
        <w:t>Shoulberg</w:t>
      </w:r>
      <w:r>
        <w:t>, W. (2021) </w:t>
      </w:r>
      <w:r>
        <w:rPr>
          <w:i/>
          <w:iCs/>
        </w:rPr>
        <w:t xml:space="preserve">Will </w:t>
      </w:r>
      <w:r>
        <w:rPr>
          <w:i/>
          <w:iCs/>
        </w:rPr>
        <w:t>aldi</w:t>
      </w:r>
      <w:r>
        <w:rPr>
          <w:i/>
          <w:iCs/>
        </w:rPr>
        <w:t xml:space="preserve"> go beyond just </w:t>
      </w:r>
      <w:r>
        <w:rPr>
          <w:i/>
          <w:iCs/>
        </w:rPr>
        <w:t>groceries?</w:t>
      </w:r>
      <w:r>
        <w:t>,</w:t>
      </w:r>
      <w:r>
        <w:t> </w:t>
      </w:r>
      <w:r>
        <w:rPr>
          <w:i/>
          <w:iCs/>
        </w:rPr>
        <w:t>Forbes</w:t>
      </w:r>
      <w:r>
        <w:t>. Available at: https://www.forbes.com/sites/warrenshoulberg/2021/11/23/will-aldi-go-beyond-just-groceries/ (Accessed: December 13, 2025).</w:t>
      </w:r>
    </w:p>
    <w:p>
      <w:pPr>
        <w:pStyle w:val="style0"/>
        <w:rPr/>
      </w:pPr>
      <w:r>
        <w:t>Singh, N. </w:t>
      </w:r>
      <w:r>
        <w:rPr>
          <w:i/>
          <w:iCs/>
        </w:rPr>
        <w:t>et al.</w:t>
      </w:r>
      <w:r>
        <w:t xml:space="preserve"> (2021) “Verifying rigor: </w:t>
      </w:r>
      <w:r>
        <w:t>analyzing</w:t>
      </w:r>
      <w:r>
        <w:t xml:space="preserve"> qualitative research in international marketing. International marketing review,” 38, pp. 1289–1307.</w:t>
      </w:r>
    </w:p>
    <w:p>
      <w:pPr>
        <w:pStyle w:val="style0"/>
        <w:rPr/>
      </w:pPr>
      <w:r>
        <w:t xml:space="preserve">Solberg, C.A. and </w:t>
      </w:r>
      <w:r>
        <w:t>Durrieu</w:t>
      </w:r>
      <w:r>
        <w:t>, F. (2023) “Patterns of international marketing strategy,” </w:t>
      </w:r>
      <w:r>
        <w:rPr>
          <w:i/>
          <w:iCs/>
        </w:rPr>
        <w:t>Journal of business &amp; industrial marketing</w:t>
      </w:r>
      <w:r>
        <w:t>, 38(7), pp. 1532–1544. Available at: https://doi.org/10.1108/jbim-02-2022-0091.</w:t>
      </w:r>
    </w:p>
    <w:p>
      <w:pPr>
        <w:pStyle w:val="style0"/>
        <w:rPr/>
      </w:pPr>
      <w:r>
        <w:t>Statista (2025a) </w:t>
      </w:r>
      <w:r>
        <w:rPr>
          <w:i/>
          <w:iCs/>
        </w:rPr>
        <w:t>Average inflation rate in Finland 1980-2030</w:t>
      </w:r>
      <w:r>
        <w:t>, </w:t>
      </w:r>
      <w:r>
        <w:rPr>
          <w:i/>
          <w:iCs/>
        </w:rPr>
        <w:t>Statista</w:t>
      </w:r>
      <w:r>
        <w:t>. Available at: https://www.statista.com/statistics/328324/inflation-rate-in-finland/?srsltid=AfmBOoqKYTzQT8s09HECI-DGhQF5U6iW8YL_fozUrvdmp_H8PEvkmyXK (Accessed: December 12, 2025).</w:t>
      </w:r>
    </w:p>
    <w:p>
      <w:pPr>
        <w:pStyle w:val="style0"/>
        <w:rPr/>
      </w:pPr>
      <w:r>
        <w:t>Statista (2025b) </w:t>
      </w:r>
      <w:r>
        <w:rPr>
          <w:i/>
          <w:iCs/>
        </w:rPr>
        <w:t>Finland: total population 2024</w:t>
      </w:r>
      <w:r>
        <w:t>, </w:t>
      </w:r>
      <w:r>
        <w:rPr>
          <w:i/>
          <w:iCs/>
        </w:rPr>
        <w:t>Statista</w:t>
      </w:r>
      <w:r>
        <w:t>. Available at: https://www.statista.com/statistics/638990/total-population-of-finland/?srsltid=AfmBOormwNAPeF6SOyL-YpBc24_5dOOr0ZFq3l0Zj0ofNs5xVJXxj0pk (Accessed: December 12, 2025).</w:t>
      </w:r>
    </w:p>
    <w:p>
      <w:pPr>
        <w:pStyle w:val="style0"/>
        <w:rPr/>
      </w:pPr>
      <w:r>
        <w:t>Statista (2025c) </w:t>
      </w:r>
      <w:r>
        <w:rPr>
          <w:i/>
          <w:iCs/>
        </w:rPr>
        <w:t>Gross domestic product (GDP) per capita in Finland 1980-2030</w:t>
      </w:r>
      <w:r>
        <w:t>, </w:t>
      </w:r>
      <w:r>
        <w:rPr>
          <w:i/>
          <w:iCs/>
        </w:rPr>
        <w:t>Statista</w:t>
      </w:r>
      <w:r>
        <w:t>. Available at: https://www.statista.com/statistics/328317/gross-domestic-product-gdp-per-capita-in-finland/ (Accessed: December 12, 2025).</w:t>
      </w:r>
    </w:p>
    <w:p>
      <w:pPr>
        <w:pStyle w:val="style0"/>
        <w:rPr/>
      </w:pPr>
      <w:r>
        <w:t>Statista Research Department (2025) </w:t>
      </w:r>
      <w:r>
        <w:rPr>
          <w:i/>
          <w:iCs/>
        </w:rPr>
        <w:t>Internet usage in Finland - statistics &amp; facts</w:t>
      </w:r>
      <w:r>
        <w:t>, </w:t>
      </w:r>
      <w:r>
        <w:rPr>
          <w:i/>
          <w:iCs/>
        </w:rPr>
        <w:t>Statista</w:t>
      </w:r>
      <w:r>
        <w:t>. Available at: https://www.statista.com/topics/7400/internet-usage-in-finland/?srsltid=AfmBOoqvD8Xdlq4BYGA8s9cFFYrliZH_Z7ay3Chw4PTRih8eAJXHya2c (Accessed: December 13, 2025).</w:t>
      </w:r>
    </w:p>
    <w:p>
      <w:pPr>
        <w:pStyle w:val="style0"/>
        <w:rPr/>
      </w:pPr>
      <w:r>
        <w:t>Sudirjo</w:t>
      </w:r>
      <w:r>
        <w:t>, F. (2023) “Marketing strategy in improving product competitiveness in the global market,” </w:t>
      </w:r>
      <w:r>
        <w:rPr>
          <w:i/>
          <w:iCs/>
        </w:rPr>
        <w:t>Journal of Contemporary Administration and Management (ADMAN)</w:t>
      </w:r>
      <w:r>
        <w:t>, 1(2), pp. 63–69. Available at: https://doi.org/10.61100/adman.v1i2.24.</w:t>
      </w:r>
    </w:p>
    <w:p>
      <w:pPr>
        <w:pStyle w:val="style0"/>
        <w:rPr/>
      </w:pPr>
    </w:p>
    <w:p>
      <w:pPr>
        <w:pStyle w:val="style0"/>
        <w:rPr/>
      </w:pPr>
      <w:r>
        <w:t>Sweney, M. (2025) “Late-November budget may affect Christmas shopping, says Aldi boss,” </w:t>
      </w:r>
      <w:r>
        <w:rPr>
          <w:i/>
          <w:iCs/>
        </w:rPr>
        <w:t>The guardian</w:t>
      </w:r>
      <w:r>
        <w:t>, 15 September. Available at: https://www.theguardian.com/business/2025/sep/15/aldis-uk-boss-warns-shoppers-face-higher-food-prices-if-budget-heaps-extra-costs-on-retailers (Accessed: December 13, 2025).</w:t>
      </w:r>
    </w:p>
    <w:p>
      <w:pPr>
        <w:pStyle w:val="style0"/>
        <w:rPr/>
      </w:pPr>
      <w:r>
        <w:t>Tara (2025) </w:t>
      </w:r>
      <w:r>
        <w:rPr>
          <w:i/>
          <w:iCs/>
        </w:rPr>
        <w:t>Finland ranks first in UN sustainable development progress, says Orpo</w:t>
      </w:r>
      <w:r>
        <w:t>, </w:t>
      </w:r>
      <w:r>
        <w:rPr>
          <w:i/>
          <w:iCs/>
        </w:rPr>
        <w:t>Helsinki Times</w:t>
      </w:r>
      <w:r>
        <w:t>. Available at: https://www.helsinkitimes.fi/finland/finland-news/domestic/27462-finland-ranks-first-in-un-sustainable-development-progress-says-orpo.html (Accessed: December 13, 2025).</w:t>
      </w:r>
    </w:p>
    <w:p>
      <w:pPr>
        <w:pStyle w:val="style0"/>
        <w:rPr/>
      </w:pPr>
    </w:p>
    <w:p>
      <w:pPr>
        <w:pStyle w:val="style0"/>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Segoe UI Symbol">
    <w:altName w:val="Segoe UI Symbol"/>
    <w:panose1 w:val="020b0502040002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C4883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A49C9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4A1CA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CA14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37400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B9BC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7E94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2"/>
  </w:num>
  <w:num w:numId="6">
    <w:abstractNumId w:val="3"/>
  </w:num>
  <w:num w:numId="7">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GB"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pacing w:lineRule="auto" w:line="360"/>
      <w:jc w:val="both"/>
    </w:pPr>
    <w:rPr>
      <w:rFonts w:ascii="Times New Roman" w:hAnsi="Times New Roman"/>
      <w:kern w:val="0"/>
      <w:sz w:val="24"/>
      <w14:ligatures xmlns:w14="http://schemas.microsoft.com/office/word/2010/wordml" w14:val="none"/>
    </w:rPr>
  </w:style>
  <w:style w:type="paragraph" w:styleId="style1">
    <w:name w:val="heading 1"/>
    <w:basedOn w:val="style0"/>
    <w:next w:val="style0"/>
    <w:link w:val="style4097"/>
    <w:qFormat/>
    <w:uiPriority w:val="9"/>
    <w:pPr>
      <w:keepNext/>
      <w:keepLines/>
      <w:spacing w:before="240" w:after="0"/>
      <w:outlineLvl w:val="0"/>
    </w:pPr>
    <w:rPr>
      <w:rFonts w:cs="Times New Roman" w:eastAsia="宋体"/>
      <w:b/>
      <w:bCs/>
      <w:color w:val="000000"/>
      <w:sz w:val="32"/>
      <w:szCs w:val="32"/>
    </w:rPr>
  </w:style>
  <w:style w:type="paragraph" w:styleId="style2">
    <w:name w:val="heading 2"/>
    <w:basedOn w:val="style0"/>
    <w:next w:val="style0"/>
    <w:link w:val="style4098"/>
    <w:qFormat/>
    <w:uiPriority w:val="9"/>
    <w:pPr>
      <w:keepNext/>
      <w:keepLines/>
      <w:spacing w:before="40" w:after="0"/>
      <w:outlineLvl w:val="1"/>
    </w:pPr>
    <w:rPr>
      <w:rFonts w:cs="Times New Roman" w:eastAsia="宋体"/>
      <w:b/>
      <w:color w:val="000000"/>
      <w:sz w:val="26"/>
      <w:szCs w:val="26"/>
    </w:rPr>
  </w:style>
  <w:style w:type="paragraph" w:styleId="style3">
    <w:name w:val="heading 3"/>
    <w:basedOn w:val="style0"/>
    <w:next w:val="style0"/>
    <w:link w:val="style4100"/>
    <w:qFormat/>
    <w:uiPriority w:val="9"/>
    <w:pPr>
      <w:keepNext/>
      <w:keepLines/>
      <w:spacing w:before="40" w:after="0"/>
      <w:outlineLvl w:val="2"/>
    </w:pPr>
    <w:rPr>
      <w:rFonts w:cs="Times New Roman" w:eastAsia="宋体"/>
      <w:color w:val="000000"/>
      <w:szCs w:val="24"/>
    </w:rPr>
  </w:style>
  <w:style w:type="paragraph" w:styleId="style4">
    <w:name w:val="heading 4"/>
    <w:basedOn w:val="style0"/>
    <w:next w:val="style0"/>
    <w:link w:val="style4101"/>
    <w:qFormat/>
    <w:uiPriority w:val="9"/>
    <w:pPr>
      <w:keepNext/>
      <w:keepLines/>
      <w:spacing w:before="80" w:after="40"/>
      <w:outlineLvl w:val="3"/>
    </w:pPr>
    <w:rPr>
      <w:rFonts w:ascii="Calibri" w:cs="Times New Roman" w:eastAsia="宋体" w:hAnsi="Calibri"/>
      <w:i/>
      <w:iCs/>
      <w:color w:val="2f5496"/>
    </w:rPr>
  </w:style>
  <w:style w:type="paragraph" w:styleId="style5">
    <w:name w:val="heading 5"/>
    <w:basedOn w:val="style0"/>
    <w:next w:val="style0"/>
    <w:link w:val="style4102"/>
    <w:qFormat/>
    <w:uiPriority w:val="9"/>
    <w:pPr>
      <w:keepNext/>
      <w:keepLines/>
      <w:spacing w:before="80" w:after="40"/>
      <w:outlineLvl w:val="4"/>
    </w:pPr>
    <w:rPr>
      <w:rFonts w:ascii="Calibri" w:cs="Times New Roman" w:eastAsia="宋体" w:hAnsi="Calibri"/>
      <w:color w:val="2f5496"/>
    </w:rPr>
  </w:style>
  <w:style w:type="paragraph" w:styleId="style6">
    <w:name w:val="heading 6"/>
    <w:basedOn w:val="style0"/>
    <w:next w:val="style0"/>
    <w:link w:val="style4103"/>
    <w:qFormat/>
    <w:uiPriority w:val="9"/>
    <w:pPr>
      <w:keepNext/>
      <w:keepLines/>
      <w:spacing w:before="40" w:after="0"/>
      <w:outlineLvl w:val="5"/>
    </w:pPr>
    <w:rPr>
      <w:rFonts w:ascii="Calibri" w:cs="Times New Roman" w:eastAsia="宋体" w:hAnsi="Calibri"/>
      <w:i/>
      <w:iCs/>
      <w:color w:val="595959"/>
    </w:rPr>
  </w:style>
  <w:style w:type="paragraph" w:styleId="style7">
    <w:name w:val="heading 7"/>
    <w:basedOn w:val="style0"/>
    <w:next w:val="style0"/>
    <w:link w:val="style4104"/>
    <w:qFormat/>
    <w:uiPriority w:val="9"/>
    <w:pPr>
      <w:keepNext/>
      <w:keepLines/>
      <w:spacing w:before="40" w:after="0"/>
      <w:outlineLvl w:val="6"/>
    </w:pPr>
    <w:rPr>
      <w:rFonts w:ascii="Calibri" w:cs="Times New Roman" w:eastAsia="宋体" w:hAnsi="Calibri"/>
      <w:color w:val="595959"/>
    </w:rPr>
  </w:style>
  <w:style w:type="paragraph" w:styleId="style8">
    <w:name w:val="heading 8"/>
    <w:basedOn w:val="style0"/>
    <w:next w:val="style0"/>
    <w:link w:val="style4105"/>
    <w:qFormat/>
    <w:uiPriority w:val="9"/>
    <w:pPr>
      <w:keepNext/>
      <w:keepLines/>
      <w:spacing w:after="0"/>
      <w:outlineLvl w:val="7"/>
    </w:pPr>
    <w:rPr>
      <w:rFonts w:ascii="Calibri" w:cs="Times New Roman" w:eastAsia="宋体" w:hAnsi="Calibri"/>
      <w:i/>
      <w:iCs/>
      <w:color w:val="272727"/>
    </w:rPr>
  </w:style>
  <w:style w:type="paragraph" w:styleId="style9">
    <w:name w:val="heading 9"/>
    <w:basedOn w:val="style0"/>
    <w:next w:val="style0"/>
    <w:link w:val="style4106"/>
    <w:qFormat/>
    <w:uiPriority w:val="9"/>
    <w:pPr>
      <w:keepNext/>
      <w:keepLines/>
      <w:spacing w:after="0"/>
      <w:outlineLvl w:val="8"/>
    </w:pPr>
    <w:rPr>
      <w:rFonts w:ascii="Calibri" w:cs="Times New Roman" w:eastAsia="宋体"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b124407a-4457-401a-9a25-ab5419445ea0"/>
    <w:basedOn w:val="style65"/>
    <w:next w:val="style4097"/>
    <w:link w:val="style1"/>
    <w:uiPriority w:val="9"/>
    <w:rPr>
      <w:rFonts w:ascii="Times New Roman" w:cs="Times New Roman" w:eastAsia="宋体" w:hAnsi="Times New Roman"/>
      <w:b/>
      <w:bCs/>
      <w:color w:val="000000"/>
      <w:kern w:val="0"/>
      <w:sz w:val="32"/>
      <w:szCs w:val="32"/>
      <w14:ligatures xmlns:w14="http://schemas.microsoft.com/office/word/2010/wordml" w14:val="none"/>
    </w:rPr>
  </w:style>
  <w:style w:type="character" w:customStyle="1" w:styleId="style4098">
    <w:name w:val="Heading 2 Char_a8dcd16e-75bc-4a4b-aea1-ee00a1aa0055"/>
    <w:basedOn w:val="style65"/>
    <w:next w:val="style4098"/>
    <w:link w:val="style2"/>
    <w:uiPriority w:val="9"/>
    <w:rPr>
      <w:rFonts w:ascii="Times New Roman" w:cs="Times New Roman" w:eastAsia="宋体" w:hAnsi="Times New Roman"/>
      <w:b/>
      <w:color w:val="000000"/>
      <w:sz w:val="26"/>
      <w:szCs w:val="26"/>
    </w:rPr>
  </w:style>
  <w:style w:type="paragraph" w:customStyle="1" w:styleId="style4099">
    <w:name w:val="Table"/>
    <w:basedOn w:val="style0"/>
    <w:next w:val="style44"/>
    <w:qFormat/>
    <w:pPr/>
  </w:style>
  <w:style w:type="paragraph" w:styleId="style44">
    <w:name w:val="table of authorities"/>
    <w:basedOn w:val="style0"/>
    <w:next w:val="style0"/>
    <w:uiPriority w:val="99"/>
    <w:pPr>
      <w:spacing w:after="0"/>
      <w:ind w:left="240" w:hanging="240"/>
    </w:pPr>
    <w:rPr/>
  </w:style>
  <w:style w:type="character" w:customStyle="1" w:styleId="style4100">
    <w:name w:val="Heading 3 Char_239d4402-f43d-4da3-a805-185855670b12"/>
    <w:basedOn w:val="style65"/>
    <w:next w:val="style4100"/>
    <w:link w:val="style3"/>
    <w:uiPriority w:val="9"/>
    <w:rPr>
      <w:rFonts w:ascii="Times New Roman" w:cs="Times New Roman" w:eastAsia="宋体" w:hAnsi="Times New Roman"/>
      <w:color w:val="000000"/>
      <w:kern w:val="0"/>
      <w:sz w:val="24"/>
      <w:szCs w:val="24"/>
      <w14:ligatures xmlns:w14="http://schemas.microsoft.com/office/word/2010/wordml" w14:val="none"/>
    </w:rPr>
  </w:style>
  <w:style w:type="character" w:customStyle="1" w:styleId="style4101">
    <w:name w:val="Heading 4 Char_f4b817d3-0c9e-47b9-875b-04b6a57e373a"/>
    <w:basedOn w:val="style65"/>
    <w:next w:val="style4101"/>
    <w:link w:val="style4"/>
    <w:uiPriority w:val="9"/>
    <w:rPr>
      <w:rFonts w:cs="Times New Roman" w:eastAsia="宋体"/>
      <w:i/>
      <w:iCs/>
      <w:color w:val="2f5496"/>
      <w:kern w:val="0"/>
      <w:sz w:val="24"/>
      <w14:ligatures xmlns:w14="http://schemas.microsoft.com/office/word/2010/wordml" w14:val="none"/>
    </w:rPr>
  </w:style>
  <w:style w:type="character" w:customStyle="1" w:styleId="style4102">
    <w:name w:val="Heading 5 Char_c5c2758d-9091-4c78-838d-db122c326a04"/>
    <w:basedOn w:val="style65"/>
    <w:next w:val="style4102"/>
    <w:link w:val="style5"/>
    <w:uiPriority w:val="9"/>
    <w:rPr>
      <w:rFonts w:cs="Times New Roman" w:eastAsia="宋体"/>
      <w:color w:val="2f5496"/>
      <w:kern w:val="0"/>
      <w:sz w:val="24"/>
      <w14:ligatures xmlns:w14="http://schemas.microsoft.com/office/word/2010/wordml" w14:val="none"/>
    </w:rPr>
  </w:style>
  <w:style w:type="character" w:customStyle="1" w:styleId="style4103">
    <w:name w:val="Heading 6 Char_8c1e9db3-66c9-47ff-b070-8b620452f743"/>
    <w:basedOn w:val="style65"/>
    <w:next w:val="style4103"/>
    <w:link w:val="style6"/>
    <w:uiPriority w:val="9"/>
    <w:rPr>
      <w:rFonts w:cs="Times New Roman" w:eastAsia="宋体"/>
      <w:i/>
      <w:iCs/>
      <w:color w:val="595959"/>
      <w:kern w:val="0"/>
      <w:sz w:val="24"/>
      <w14:ligatures xmlns:w14="http://schemas.microsoft.com/office/word/2010/wordml" w14:val="none"/>
    </w:rPr>
  </w:style>
  <w:style w:type="character" w:customStyle="1" w:styleId="style4104">
    <w:name w:val="Heading 7 Char_976d7969-84ed-44b8-b5a2-6cd26c2ac2ab"/>
    <w:basedOn w:val="style65"/>
    <w:next w:val="style4104"/>
    <w:link w:val="style7"/>
    <w:uiPriority w:val="9"/>
    <w:rPr>
      <w:rFonts w:cs="Times New Roman" w:eastAsia="宋体"/>
      <w:color w:val="595959"/>
      <w:kern w:val="0"/>
      <w:sz w:val="24"/>
      <w14:ligatures xmlns:w14="http://schemas.microsoft.com/office/word/2010/wordml" w14:val="none"/>
    </w:rPr>
  </w:style>
  <w:style w:type="character" w:customStyle="1" w:styleId="style4105">
    <w:name w:val="Heading 8 Char_e2242d60-76e6-4fd8-a4de-fb21555def01"/>
    <w:basedOn w:val="style65"/>
    <w:next w:val="style4105"/>
    <w:link w:val="style8"/>
    <w:uiPriority w:val="9"/>
    <w:rPr>
      <w:rFonts w:cs="Times New Roman" w:eastAsia="宋体"/>
      <w:i/>
      <w:iCs/>
      <w:color w:val="272727"/>
      <w:kern w:val="0"/>
      <w:sz w:val="24"/>
      <w14:ligatures xmlns:w14="http://schemas.microsoft.com/office/word/2010/wordml" w14:val="none"/>
    </w:rPr>
  </w:style>
  <w:style w:type="character" w:customStyle="1" w:styleId="style4106">
    <w:name w:val="Heading 9 Char_e67bf8f3-f8a6-47d7-864e-47c06f6fbf94"/>
    <w:basedOn w:val="style65"/>
    <w:next w:val="style4106"/>
    <w:link w:val="style9"/>
    <w:uiPriority w:val="9"/>
    <w:rPr>
      <w:rFonts w:cs="Times New Roman" w:eastAsia="宋体"/>
      <w:color w:val="272727"/>
      <w:kern w:val="0"/>
      <w:sz w:val="24"/>
      <w14:ligatures xmlns:w14="http://schemas.microsoft.com/office/word/2010/wordml" w14:val="none"/>
    </w:rPr>
  </w:style>
  <w:style w:type="paragraph" w:styleId="style62">
    <w:name w:val="Title"/>
    <w:basedOn w:val="style0"/>
    <w:next w:val="style0"/>
    <w:link w:val="style4107"/>
    <w:qFormat/>
    <w:uiPriority w:val="10"/>
    <w:pPr>
      <w:spacing w:after="80" w:lineRule="auto" w:line="240"/>
      <w:contextualSpacing/>
    </w:pPr>
    <w:rPr>
      <w:rFonts w:ascii="Calibri Light" w:cs="Times New Roman" w:eastAsia="宋体" w:hAnsi="Calibri Light"/>
      <w:spacing w:val="-10"/>
      <w:kern w:val="28"/>
      <w:sz w:val="56"/>
      <w:szCs w:val="56"/>
    </w:rPr>
  </w:style>
  <w:style w:type="character" w:customStyle="1" w:styleId="style4107">
    <w:name w:val="Title Char_55530069-b1f5-4013-ad7a-d41fde160242"/>
    <w:basedOn w:val="style65"/>
    <w:next w:val="style4107"/>
    <w:link w:val="style62"/>
    <w:uiPriority w:val="10"/>
    <w:rPr>
      <w:rFonts w:ascii="Calibri Light" w:cs="Times New Roman" w:eastAsia="宋体" w:hAnsi="Calibri Light"/>
      <w:spacing w:val="-10"/>
      <w:kern w:val="28"/>
      <w:sz w:val="56"/>
      <w:szCs w:val="56"/>
      <w14:ligatures xmlns:w14="http://schemas.microsoft.com/office/word/2010/wordml" w14:val="none"/>
    </w:rPr>
  </w:style>
  <w:style w:type="paragraph" w:styleId="style74">
    <w:name w:val="Subtitle"/>
    <w:basedOn w:val="style0"/>
    <w:next w:val="style0"/>
    <w:link w:val="style4108"/>
    <w:qFormat/>
    <w:uiPriority w:val="11"/>
    <w:pPr>
      <w:numPr>
        <w:ilvl w:val="1"/>
        <w:numId w:val="0"/>
      </w:numPr>
    </w:pPr>
    <w:rPr>
      <w:rFonts w:ascii="Calibri" w:cs="Times New Roman" w:eastAsia="宋体" w:hAnsi="Calibri"/>
      <w:color w:val="595959"/>
      <w:spacing w:val="15"/>
      <w:sz w:val="28"/>
      <w:szCs w:val="28"/>
    </w:rPr>
  </w:style>
  <w:style w:type="character" w:customStyle="1" w:styleId="style4108">
    <w:name w:val="Subtitle Char"/>
    <w:basedOn w:val="style65"/>
    <w:next w:val="style4108"/>
    <w:link w:val="style74"/>
    <w:uiPriority w:val="11"/>
    <w:rPr>
      <w:rFonts w:cs="Times New Roman" w:eastAsia="宋体"/>
      <w:color w:val="595959"/>
      <w:spacing w:val="15"/>
      <w:kern w:val="0"/>
      <w:sz w:val="28"/>
      <w:szCs w:val="28"/>
      <w14:ligatures xmlns:w14="http://schemas.microsoft.com/office/word/2010/wordml" w14:val="none"/>
    </w:rPr>
  </w:style>
  <w:style w:type="paragraph" w:styleId="style180">
    <w:name w:val="Quote"/>
    <w:basedOn w:val="style0"/>
    <w:next w:val="style0"/>
    <w:link w:val="style4109"/>
    <w:qFormat/>
    <w:uiPriority w:val="29"/>
    <w:pPr>
      <w:spacing w:before="160"/>
      <w:jc w:val="center"/>
    </w:pPr>
    <w:rPr>
      <w:i/>
      <w:iCs/>
      <w:color w:val="404040"/>
    </w:rPr>
  </w:style>
  <w:style w:type="character" w:customStyle="1" w:styleId="style4109">
    <w:name w:val="Quote Char_97c4bcbc-d78b-4e12-bd87-b5b208eb64f6"/>
    <w:basedOn w:val="style65"/>
    <w:next w:val="style4109"/>
    <w:link w:val="style180"/>
    <w:uiPriority w:val="29"/>
    <w:rPr>
      <w:rFonts w:ascii="Times New Roman" w:hAnsi="Times New Roman"/>
      <w:i/>
      <w:iCs/>
      <w:color w:val="404040"/>
      <w:kern w:val="0"/>
      <w:sz w:val="24"/>
      <w14:ligatures xmlns:w14="http://schemas.microsoft.com/office/word/2010/wordml" w14:val="none"/>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10"/>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10">
    <w:name w:val="Intense Quote Char_35a94879-ec46-4a58-9310-c1f7de1f9c45"/>
    <w:basedOn w:val="style65"/>
    <w:next w:val="style4110"/>
    <w:link w:val="style181"/>
    <w:uiPriority w:val="30"/>
    <w:rPr>
      <w:rFonts w:ascii="Times New Roman" w:hAnsi="Times New Roman"/>
      <w:i/>
      <w:iCs/>
      <w:color w:val="2f5496"/>
      <w:kern w:val="0"/>
      <w:sz w:val="24"/>
      <w14:ligatures xmlns:w14="http://schemas.microsoft.com/office/word/2010/wordml" w14:val="none"/>
    </w:rPr>
  </w:style>
  <w:style w:type="character" w:styleId="style263">
    <w:name w:val="Intense Reference"/>
    <w:basedOn w:val="style65"/>
    <w:next w:val="style263"/>
    <w:qFormat/>
    <w:uiPriority w:val="32"/>
    <w:rPr>
      <w:b/>
      <w:bCs/>
      <w:smallCaps/>
      <w:color w:val="2f5496"/>
      <w:spacing w:val="5"/>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 w:type="paragraph" w:styleId="style266">
    <w:name w:val="TOC Heading"/>
    <w:basedOn w:val="style1"/>
    <w:next w:val="style0"/>
    <w:qFormat/>
    <w:uiPriority w:val="39"/>
    <w:pPr>
      <w:spacing w:lineRule="auto" w:line="259"/>
      <w:jc w:val="left"/>
      <w:outlineLvl w:val="9"/>
    </w:pPr>
    <w:rPr>
      <w:rFonts w:ascii="Calibri Light" w:hAnsi="Calibri Light"/>
      <w:b w:val="false"/>
      <w:bCs w:val="false"/>
      <w:color w:val="2f5496"/>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563c1"/>
      <w:u w:val="single"/>
    </w:rPr>
  </w:style>
</w:styles>
</file>

<file path=word/_rels/document.xml.rels><?xml version="1.0" encoding="UTF-8"?>
<Relationships xmlns="http://schemas.openxmlformats.org/package/2006/relationships"><Relationship Id="rId20" Type="http://schemas.openxmlformats.org/officeDocument/2006/relationships/customXml" Target="../customXml/item1.xml"/><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image" Target="media/image2.jpeg"/><Relationship Id="rId12"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image" Target="media/image3.jpeg"/><Relationship Id="rId14" Type="http://schemas.openxmlformats.org/officeDocument/2006/relationships/image" Target="media/image12.png"/><Relationship Id="rId17" Type="http://schemas.openxmlformats.org/officeDocument/2006/relationships/fontTable" Target="fontTable.xml"/><Relationship Id="rId16" Type="http://schemas.openxmlformats.org/officeDocument/2006/relationships/styles" Target="styles.xml"/><Relationship Id="rId5" Type="http://schemas.openxmlformats.org/officeDocument/2006/relationships/image" Target="media/image4.png"/><Relationship Id="rId19" Type="http://schemas.openxmlformats.org/officeDocument/2006/relationships/theme" Target="theme/theme1.xml"/><Relationship Id="rId6" Type="http://schemas.openxmlformats.org/officeDocument/2006/relationships/image" Target="media/image5.png"/><Relationship Id="rId18" Type="http://schemas.openxmlformats.org/officeDocument/2006/relationships/settings" Target="settings.xml"/><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DF9C2-77A0-47E2-8491-9E989784D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Words>6407</Words>
  <Pages>34</Pages>
  <Characters>39425</Characters>
  <Application>WPS Office</Application>
  <DocSecurity>0</DocSecurity>
  <Paragraphs>502</Paragraphs>
  <ScaleCrop>false</ScaleCrop>
  <LinksUpToDate>false</LinksUpToDate>
  <CharactersWithSpaces>45450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2025-12-21T15:59:00Z</dcterms:created>
  <dc:creator>LENOVO</dc:creator>
  <lastModifiedBy>CPH2487</lastModifiedBy>
  <dcterms:modified xsi:type="dcterms:W3CDTF">2025-12-21T23:21:49Z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9c099b7d-1940-47e6-a70b-881ad199dd48</vt:lpwstr>
  </property>
  <property fmtid="{D5CDD505-2E9C-101B-9397-08002B2CF9AE}" pid="3" name="ICV">
    <vt:lpwstr>dddb1c5cc0a94f3f895c4932622be035</vt:lpwstr>
  </property>
</Properties>
</file>