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C06FB" w14:textId="77777777" w:rsidR="00C66655" w:rsidRPr="002A0C87" w:rsidRDefault="00C66655" w:rsidP="00785DDD">
      <w:pPr>
        <w:spacing w:line="480" w:lineRule="auto"/>
        <w:jc w:val="both"/>
        <w:rPr>
          <w:rFonts w:ascii="Times New Roman" w:hAnsi="Times New Roman" w:cs="Times New Roman"/>
          <w:b/>
          <w:bCs/>
          <w:sz w:val="24"/>
          <w:szCs w:val="24"/>
          <w:u w:val="single"/>
        </w:rPr>
      </w:pPr>
      <w:r w:rsidRPr="002A0C87">
        <w:rPr>
          <w:rFonts w:ascii="Times New Roman" w:hAnsi="Times New Roman" w:cs="Times New Roman"/>
          <w:b/>
          <w:bCs/>
          <w:sz w:val="24"/>
          <w:szCs w:val="24"/>
          <w:u w:val="single"/>
        </w:rPr>
        <w:t xml:space="preserve">Part 1: Critically review one theory that underpins our understanding of cognitive decline in old age. </w:t>
      </w:r>
    </w:p>
    <w:p w14:paraId="1538060A" w14:textId="5EED3236" w:rsidR="005769B2" w:rsidRDefault="00D5574E" w:rsidP="0045624F">
      <w:pPr>
        <w:spacing w:line="480" w:lineRule="auto"/>
        <w:jc w:val="both"/>
        <w:rPr>
          <w:rFonts w:ascii="Times New Roman" w:hAnsi="Times New Roman" w:cs="Times New Roman"/>
          <w:sz w:val="24"/>
          <w:szCs w:val="24"/>
        </w:rPr>
      </w:pPr>
      <w:r w:rsidRPr="00D5574E">
        <w:rPr>
          <w:rFonts w:ascii="Times New Roman" w:hAnsi="Times New Roman" w:cs="Times New Roman"/>
          <w:sz w:val="24"/>
          <w:szCs w:val="24"/>
        </w:rPr>
        <w:t>The severity of age-related cognitive decline varies from person to person and is a key aspect of ageing.</w:t>
      </w:r>
      <w:r>
        <w:rPr>
          <w:rFonts w:ascii="Times New Roman" w:hAnsi="Times New Roman" w:cs="Times New Roman"/>
          <w:sz w:val="24"/>
          <w:szCs w:val="24"/>
        </w:rPr>
        <w:t xml:space="preserve"> </w:t>
      </w:r>
      <w:r w:rsidR="006F6FE8" w:rsidRPr="006F6FE8">
        <w:rPr>
          <w:rFonts w:ascii="Times New Roman" w:hAnsi="Times New Roman" w:cs="Times New Roman"/>
          <w:sz w:val="24"/>
          <w:szCs w:val="24"/>
        </w:rPr>
        <w:t>It is widely documented how the profile of normal cognitive ageing looks. Some mental faculties remain sharp long beyond old life. Beginning in early adulthood, there are losses in cognitive abilities such as thinking, memory, executive function, and processing speed</w:t>
      </w:r>
      <w:r w:rsidR="00B707C5">
        <w:rPr>
          <w:rFonts w:ascii="Times New Roman" w:hAnsi="Times New Roman" w:cs="Times New Roman"/>
          <w:sz w:val="24"/>
          <w:szCs w:val="24"/>
        </w:rPr>
        <w:t>.</w:t>
      </w:r>
      <w:r w:rsidR="006F6FE8" w:rsidRPr="006F6FE8">
        <w:rPr>
          <w:rFonts w:ascii="Times New Roman" w:hAnsi="Times New Roman" w:cs="Times New Roman"/>
          <w:sz w:val="24"/>
          <w:szCs w:val="24"/>
        </w:rPr>
        <w:t xml:space="preserve"> </w:t>
      </w:r>
      <w:r w:rsidR="006F6FE8" w:rsidRPr="009337CC">
        <w:rPr>
          <w:rFonts w:ascii="Times New Roman" w:hAnsi="Times New Roman" w:cs="Times New Roman"/>
          <w:sz w:val="24"/>
          <w:szCs w:val="24"/>
        </w:rPr>
        <w:t>(Deary et al., 2009</w:t>
      </w:r>
      <w:r w:rsidR="00B707C5" w:rsidRPr="009337CC">
        <w:rPr>
          <w:rFonts w:ascii="Times New Roman" w:hAnsi="Times New Roman" w:cs="Times New Roman"/>
          <w:sz w:val="24"/>
          <w:szCs w:val="24"/>
        </w:rPr>
        <w:t>)</w:t>
      </w:r>
      <w:r w:rsidR="00B707C5">
        <w:rPr>
          <w:rFonts w:ascii="Times New Roman" w:hAnsi="Times New Roman" w:cs="Times New Roman"/>
          <w:sz w:val="24"/>
          <w:szCs w:val="24"/>
        </w:rPr>
        <w:t>.</w:t>
      </w:r>
      <w:r w:rsidR="00B707C5" w:rsidRPr="00C65741">
        <w:rPr>
          <w:rFonts w:ascii="Times New Roman" w:hAnsi="Times New Roman" w:cs="Times New Roman"/>
          <w:sz w:val="24"/>
          <w:szCs w:val="24"/>
        </w:rPr>
        <w:t xml:space="preserve"> </w:t>
      </w:r>
      <w:r w:rsidR="003259BA" w:rsidRPr="003259BA">
        <w:rPr>
          <w:rFonts w:ascii="Times New Roman" w:hAnsi="Times New Roman" w:cs="Times New Roman"/>
          <w:sz w:val="24"/>
          <w:szCs w:val="24"/>
        </w:rPr>
        <w:t>Reduced performance on cognitive tasks requiring quick information processing or transformation in order to make judgements, such as assessments of processing speed, working memory, and executive cognitive function, is one of the most prominent cognitive impairments associated with normal ageing.</w:t>
      </w:r>
      <w:r w:rsidR="003259BA">
        <w:rPr>
          <w:rFonts w:ascii="Times New Roman" w:hAnsi="Times New Roman" w:cs="Times New Roman"/>
          <w:sz w:val="24"/>
          <w:szCs w:val="24"/>
        </w:rPr>
        <w:t xml:space="preserve"> </w:t>
      </w:r>
      <w:r w:rsidR="00C65741" w:rsidRPr="00C65741">
        <w:rPr>
          <w:rFonts w:ascii="Times New Roman" w:hAnsi="Times New Roman" w:cs="Times New Roman"/>
          <w:sz w:val="24"/>
          <w:szCs w:val="24"/>
        </w:rPr>
        <w:t>Experience-based abilities and cumulative knowledge are well-maintained into old age. These age-related cognitive changes are correlated with structural and functional changes in the brain, including changes in neuronal structure without cell death, synaptic loss, and malfunctioning of neural networks.</w:t>
      </w:r>
      <w:r w:rsidR="00C41323" w:rsidRPr="00C41323">
        <w:t xml:space="preserve"> </w:t>
      </w:r>
      <w:r w:rsidR="00C41323" w:rsidRPr="00C41323">
        <w:rPr>
          <w:rFonts w:ascii="Times New Roman" w:hAnsi="Times New Roman" w:cs="Times New Roman"/>
          <w:sz w:val="24"/>
          <w:szCs w:val="24"/>
        </w:rPr>
        <w:t>(Murman, 2015)</w:t>
      </w:r>
    </w:p>
    <w:p w14:paraId="5C0FEC22" w14:textId="77777777" w:rsidR="00ED611A" w:rsidRDefault="00944E75" w:rsidP="00EA65E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Processing Speed Theory is </w:t>
      </w:r>
      <w:r w:rsidR="00B85ABB">
        <w:rPr>
          <w:rFonts w:ascii="Times New Roman" w:hAnsi="Times New Roman" w:cs="Times New Roman"/>
          <w:sz w:val="24"/>
          <w:szCs w:val="24"/>
        </w:rPr>
        <w:t>one of the theories that underpins our understanding of cognitive decline</w:t>
      </w:r>
      <w:r w:rsidR="00F83486">
        <w:rPr>
          <w:rFonts w:ascii="Times New Roman" w:hAnsi="Times New Roman" w:cs="Times New Roman"/>
          <w:sz w:val="24"/>
          <w:szCs w:val="24"/>
        </w:rPr>
        <w:t xml:space="preserve">. </w:t>
      </w:r>
      <w:r w:rsidR="00F83486" w:rsidRPr="00F83486">
        <w:rPr>
          <w:rFonts w:ascii="Times New Roman" w:hAnsi="Times New Roman" w:cs="Times New Roman"/>
          <w:sz w:val="24"/>
          <w:szCs w:val="24"/>
        </w:rPr>
        <w:t>The theory's core premise is that growing older as an adult is linked to a slowing down of many processing functions, and that this slowing down causes impairments in cognitive performance due to what are known as the limited time mechanism and the simultaneity mechanism</w:t>
      </w:r>
      <w:r w:rsidR="009A1776">
        <w:rPr>
          <w:rFonts w:ascii="Times New Roman" w:hAnsi="Times New Roman" w:cs="Times New Roman"/>
          <w:sz w:val="24"/>
          <w:szCs w:val="24"/>
        </w:rPr>
        <w:t xml:space="preserve"> </w:t>
      </w:r>
      <w:r w:rsidR="00752112" w:rsidRPr="00752112">
        <w:rPr>
          <w:rFonts w:ascii="Times New Roman" w:hAnsi="Times New Roman" w:cs="Times New Roman"/>
          <w:sz w:val="24"/>
          <w:szCs w:val="24"/>
        </w:rPr>
        <w:t>(Salthouse, 1996)</w:t>
      </w:r>
      <w:r w:rsidR="009A1776">
        <w:rPr>
          <w:rFonts w:ascii="Times New Roman" w:hAnsi="Times New Roman" w:cs="Times New Roman"/>
          <w:sz w:val="24"/>
          <w:szCs w:val="24"/>
        </w:rPr>
        <w:t xml:space="preserve">. </w:t>
      </w:r>
      <w:r w:rsidR="00397B5A">
        <w:rPr>
          <w:rFonts w:ascii="Times New Roman" w:hAnsi="Times New Roman" w:cs="Times New Roman"/>
          <w:sz w:val="24"/>
          <w:szCs w:val="24"/>
        </w:rPr>
        <w:t xml:space="preserve">Salthouse also explains that </w:t>
      </w:r>
      <w:r w:rsidR="005A48C7" w:rsidRPr="005A48C7">
        <w:rPr>
          <w:rFonts w:ascii="Times New Roman" w:hAnsi="Times New Roman" w:cs="Times New Roman"/>
          <w:sz w:val="24"/>
          <w:szCs w:val="24"/>
        </w:rPr>
        <w:t>both the quantitative and qualitative dimensions of performance for a variety of cognitive functions are negatively impacted by generalised slowing</w:t>
      </w:r>
      <w:r w:rsidR="005A48C7">
        <w:rPr>
          <w:rFonts w:ascii="Times New Roman" w:hAnsi="Times New Roman" w:cs="Times New Roman"/>
          <w:sz w:val="24"/>
          <w:szCs w:val="24"/>
        </w:rPr>
        <w:t xml:space="preserve"> of processing speed</w:t>
      </w:r>
      <w:r w:rsidR="005A48C7" w:rsidRPr="005A48C7">
        <w:rPr>
          <w:rFonts w:ascii="Times New Roman" w:hAnsi="Times New Roman" w:cs="Times New Roman"/>
          <w:sz w:val="24"/>
          <w:szCs w:val="24"/>
        </w:rPr>
        <w:t xml:space="preserve">. According to this </w:t>
      </w:r>
      <w:r w:rsidR="005A48C7">
        <w:rPr>
          <w:rFonts w:ascii="Times New Roman" w:hAnsi="Times New Roman" w:cs="Times New Roman"/>
          <w:sz w:val="24"/>
          <w:szCs w:val="24"/>
        </w:rPr>
        <w:t>Stonehouse</w:t>
      </w:r>
      <w:r w:rsidR="005A48C7" w:rsidRPr="005A48C7">
        <w:rPr>
          <w:rFonts w:ascii="Times New Roman" w:hAnsi="Times New Roman" w:cs="Times New Roman"/>
          <w:sz w:val="24"/>
          <w:szCs w:val="24"/>
        </w:rPr>
        <w:t>, delayed processing limits the amount of simultaneously available information required for higher level processing, which in turn results in a degradation in cognitive ability.</w:t>
      </w:r>
      <w:r w:rsidR="00B05996" w:rsidRPr="00B05996">
        <w:rPr>
          <w:rFonts w:ascii="Times New Roman" w:hAnsi="Times New Roman" w:cs="Times New Roman"/>
          <w:sz w:val="24"/>
          <w:szCs w:val="24"/>
        </w:rPr>
        <w:t xml:space="preserve"> </w:t>
      </w:r>
      <w:r w:rsidR="00B05996" w:rsidRPr="00752112">
        <w:rPr>
          <w:rFonts w:ascii="Times New Roman" w:hAnsi="Times New Roman" w:cs="Times New Roman"/>
          <w:sz w:val="24"/>
          <w:szCs w:val="24"/>
        </w:rPr>
        <w:t>(Salthouse, 1996)</w:t>
      </w:r>
      <w:r w:rsidR="00B05996">
        <w:rPr>
          <w:rFonts w:ascii="Times New Roman" w:hAnsi="Times New Roman" w:cs="Times New Roman"/>
          <w:sz w:val="24"/>
          <w:szCs w:val="24"/>
        </w:rPr>
        <w:t>.</w:t>
      </w:r>
    </w:p>
    <w:p w14:paraId="5C598473" w14:textId="06A360BF" w:rsidR="00ED611A" w:rsidRDefault="00904823" w:rsidP="00ED611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O</w:t>
      </w:r>
      <w:r w:rsidR="00ED611A" w:rsidRPr="00340965">
        <w:rPr>
          <w:rFonts w:ascii="Times New Roman" w:hAnsi="Times New Roman" w:cs="Times New Roman"/>
          <w:sz w:val="24"/>
          <w:szCs w:val="24"/>
        </w:rPr>
        <w:t>bservational research has shown that speed of processing is responsible for a sizable percentage of the cognitive deterioration that older person’s experience over time.</w:t>
      </w:r>
      <w:r w:rsidR="00ED611A">
        <w:rPr>
          <w:rFonts w:ascii="Times New Roman" w:hAnsi="Times New Roman" w:cs="Times New Roman"/>
          <w:sz w:val="24"/>
          <w:szCs w:val="24"/>
        </w:rPr>
        <w:t xml:space="preserve"> An example of one of these studies was carried out in 2005. </w:t>
      </w:r>
      <w:r w:rsidR="00ED611A" w:rsidRPr="009F2AD8">
        <w:rPr>
          <w:rFonts w:ascii="Times New Roman" w:hAnsi="Times New Roman" w:cs="Times New Roman"/>
          <w:sz w:val="24"/>
          <w:szCs w:val="24"/>
        </w:rPr>
        <w:t xml:space="preserve">The Interdisciplinary Longitudinal Study on Adult Development data from 474 older individuals </w:t>
      </w:r>
      <w:r w:rsidR="00BD450B">
        <w:rPr>
          <w:rFonts w:ascii="Times New Roman" w:hAnsi="Times New Roman" w:cs="Times New Roman"/>
          <w:sz w:val="24"/>
          <w:szCs w:val="24"/>
        </w:rPr>
        <w:t xml:space="preserve">with an age range of </w:t>
      </w:r>
      <w:r w:rsidR="00ED611A" w:rsidRPr="009F2AD8">
        <w:rPr>
          <w:rFonts w:ascii="Times New Roman" w:hAnsi="Times New Roman" w:cs="Times New Roman"/>
          <w:sz w:val="24"/>
          <w:szCs w:val="24"/>
        </w:rPr>
        <w:t>59-65 years</w:t>
      </w:r>
      <w:r w:rsidR="00BD450B">
        <w:rPr>
          <w:rFonts w:ascii="Times New Roman" w:hAnsi="Times New Roman" w:cs="Times New Roman"/>
          <w:sz w:val="24"/>
          <w:szCs w:val="24"/>
        </w:rPr>
        <w:t xml:space="preserve"> old </w:t>
      </w:r>
      <w:r w:rsidR="00ED611A" w:rsidRPr="009F2AD8">
        <w:rPr>
          <w:rFonts w:ascii="Times New Roman" w:hAnsi="Times New Roman" w:cs="Times New Roman"/>
          <w:sz w:val="24"/>
          <w:szCs w:val="24"/>
        </w:rPr>
        <w:t xml:space="preserve">were utilised in this </w:t>
      </w:r>
      <w:r w:rsidR="00EB7457" w:rsidRPr="009F2AD8">
        <w:rPr>
          <w:rFonts w:ascii="Times New Roman" w:hAnsi="Times New Roman" w:cs="Times New Roman"/>
          <w:sz w:val="24"/>
          <w:szCs w:val="24"/>
        </w:rPr>
        <w:t>research</w:t>
      </w:r>
      <w:r w:rsidR="00ED611A" w:rsidRPr="009F2AD8">
        <w:rPr>
          <w:rFonts w:ascii="Times New Roman" w:hAnsi="Times New Roman" w:cs="Times New Roman"/>
          <w:sz w:val="24"/>
          <w:szCs w:val="24"/>
        </w:rPr>
        <w:t xml:space="preserve"> to </w:t>
      </w:r>
      <w:r w:rsidR="00EB7457" w:rsidRPr="009F2AD8">
        <w:rPr>
          <w:rFonts w:ascii="Times New Roman" w:hAnsi="Times New Roman" w:cs="Times New Roman"/>
          <w:sz w:val="24"/>
          <w:szCs w:val="24"/>
        </w:rPr>
        <w:t>investigate</w:t>
      </w:r>
      <w:r w:rsidR="00ED611A" w:rsidRPr="009F2AD8">
        <w:rPr>
          <w:rFonts w:ascii="Times New Roman" w:hAnsi="Times New Roman" w:cs="Times New Roman"/>
          <w:sz w:val="24"/>
          <w:szCs w:val="24"/>
        </w:rPr>
        <w:t xml:space="preserve"> </w:t>
      </w:r>
      <w:r w:rsidR="002A6FDD" w:rsidRPr="002A6FDD">
        <w:rPr>
          <w:rFonts w:ascii="Times New Roman" w:hAnsi="Times New Roman" w:cs="Times New Roman"/>
          <w:sz w:val="24"/>
          <w:szCs w:val="24"/>
        </w:rPr>
        <w:t>how changes in memory and speed alter over a 4-year period.</w:t>
      </w:r>
      <w:r w:rsidR="00ED611A" w:rsidRPr="009F2AD8">
        <w:rPr>
          <w:rFonts w:ascii="Times New Roman" w:hAnsi="Times New Roman" w:cs="Times New Roman"/>
          <w:sz w:val="24"/>
          <w:szCs w:val="24"/>
        </w:rPr>
        <w:t xml:space="preserve"> Latent change factor models were used to assess performance changes in both constructs. </w:t>
      </w:r>
      <w:r w:rsidR="000139DA" w:rsidRPr="000139DA">
        <w:rPr>
          <w:rFonts w:ascii="Times New Roman" w:hAnsi="Times New Roman" w:cs="Times New Roman"/>
          <w:sz w:val="24"/>
          <w:szCs w:val="24"/>
        </w:rPr>
        <w:t>According to the research, latent changes in processing speed and memory performance are correlated by a factor of 0.61.</w:t>
      </w:r>
      <w:r w:rsidR="00ED611A">
        <w:rPr>
          <w:rFonts w:ascii="Times New Roman" w:hAnsi="Times New Roman" w:cs="Times New Roman"/>
          <w:sz w:val="24"/>
          <w:szCs w:val="24"/>
        </w:rPr>
        <w:t xml:space="preserve"> </w:t>
      </w:r>
      <w:r w:rsidR="007A66B5" w:rsidRPr="007A66B5">
        <w:rPr>
          <w:rFonts w:ascii="Times New Roman" w:hAnsi="Times New Roman" w:cs="Times New Roman"/>
          <w:sz w:val="24"/>
          <w:szCs w:val="24"/>
        </w:rPr>
        <w:t xml:space="preserve">However, compared to what cross-sectional data would have anticipated, this association is </w:t>
      </w:r>
      <w:r w:rsidR="005A3912" w:rsidRPr="007A66B5">
        <w:rPr>
          <w:rFonts w:ascii="Times New Roman" w:hAnsi="Times New Roman" w:cs="Times New Roman"/>
          <w:sz w:val="24"/>
          <w:szCs w:val="24"/>
        </w:rPr>
        <w:t>considerably</w:t>
      </w:r>
      <w:r w:rsidR="007A66B5" w:rsidRPr="007A66B5">
        <w:rPr>
          <w:rFonts w:ascii="Times New Roman" w:hAnsi="Times New Roman" w:cs="Times New Roman"/>
          <w:sz w:val="24"/>
          <w:szCs w:val="24"/>
        </w:rPr>
        <w:t xml:space="preserve"> less significant</w:t>
      </w:r>
      <w:r w:rsidR="00ED611A" w:rsidRPr="00136CD1">
        <w:rPr>
          <w:rFonts w:ascii="Times New Roman" w:hAnsi="Times New Roman" w:cs="Times New Roman"/>
          <w:sz w:val="24"/>
          <w:szCs w:val="24"/>
        </w:rPr>
        <w:t xml:space="preserve"> according to the study's researchers.</w:t>
      </w:r>
      <w:r w:rsidR="00ED611A">
        <w:rPr>
          <w:rFonts w:ascii="Times New Roman" w:hAnsi="Times New Roman" w:cs="Times New Roman"/>
          <w:sz w:val="24"/>
          <w:szCs w:val="24"/>
        </w:rPr>
        <w:t xml:space="preserve"> </w:t>
      </w:r>
      <w:r w:rsidR="00ED611A" w:rsidRPr="00A05E13">
        <w:rPr>
          <w:rFonts w:ascii="Times New Roman" w:hAnsi="Times New Roman" w:cs="Times New Roman"/>
          <w:sz w:val="24"/>
          <w:szCs w:val="24"/>
        </w:rPr>
        <w:t xml:space="preserve">The longitudinal study's findings imply that even if speed changes account for a sizable percentage of the variance in memory changes, </w:t>
      </w:r>
      <w:r w:rsidR="00F30B81">
        <w:rPr>
          <w:rFonts w:ascii="Times New Roman" w:hAnsi="Times New Roman" w:cs="Times New Roman"/>
          <w:sz w:val="24"/>
          <w:szCs w:val="24"/>
        </w:rPr>
        <w:t>t</w:t>
      </w:r>
      <w:r w:rsidR="00F30B81" w:rsidRPr="00F30B81">
        <w:rPr>
          <w:rFonts w:ascii="Times New Roman" w:hAnsi="Times New Roman" w:cs="Times New Roman"/>
          <w:sz w:val="24"/>
          <w:szCs w:val="24"/>
        </w:rPr>
        <w:t>here must be more explanatory elements considered.</w:t>
      </w:r>
      <w:r w:rsidR="00302D57" w:rsidRPr="00302D57">
        <w:t xml:space="preserve"> </w:t>
      </w:r>
      <w:bookmarkStart w:id="0" w:name="_Hlk123914070"/>
      <w:r w:rsidR="00302D57" w:rsidRPr="00302D57">
        <w:rPr>
          <w:rFonts w:ascii="Times New Roman" w:hAnsi="Times New Roman" w:cs="Times New Roman"/>
          <w:sz w:val="24"/>
          <w:szCs w:val="24"/>
        </w:rPr>
        <w:t>(Lemke &amp; Zimprich, 2005)</w:t>
      </w:r>
      <w:bookmarkEnd w:id="0"/>
    </w:p>
    <w:p w14:paraId="1384F5B4" w14:textId="77777777" w:rsidR="0071393C" w:rsidRDefault="00BB4AD1" w:rsidP="00EA65E3">
      <w:pPr>
        <w:spacing w:line="480" w:lineRule="auto"/>
        <w:jc w:val="both"/>
        <w:rPr>
          <w:rFonts w:ascii="Times New Roman" w:hAnsi="Times New Roman" w:cs="Times New Roman"/>
          <w:sz w:val="24"/>
          <w:szCs w:val="24"/>
        </w:rPr>
      </w:pPr>
      <w:r w:rsidRPr="00BB4AD1">
        <w:rPr>
          <w:rFonts w:ascii="Times New Roman" w:hAnsi="Times New Roman" w:cs="Times New Roman"/>
          <w:sz w:val="24"/>
          <w:szCs w:val="24"/>
        </w:rPr>
        <w:t>Two studies were carried out in 1993 to investigate the features of processing related to the speed mediation theory of adult age variations in memory.</w:t>
      </w:r>
      <w:r w:rsidR="00AF3ABE" w:rsidRPr="00AF3ABE">
        <w:t xml:space="preserve"> </w:t>
      </w:r>
      <w:r w:rsidR="00AF3ABE" w:rsidRPr="00AF3ABE">
        <w:rPr>
          <w:rFonts w:ascii="Times New Roman" w:hAnsi="Times New Roman" w:cs="Times New Roman"/>
          <w:sz w:val="24"/>
          <w:szCs w:val="24"/>
        </w:rPr>
        <w:t>In both investigations, participants were given a serial memory task in which they had to recollect material either in the order in which it had been presented initially or in a different order. The findings from both studies showed that older adults' task-specific processing times were longer than those of younger adults</w:t>
      </w:r>
      <w:r w:rsidR="00EA65E3">
        <w:rPr>
          <w:rFonts w:ascii="Times New Roman" w:hAnsi="Times New Roman" w:cs="Times New Roman"/>
          <w:sz w:val="24"/>
          <w:szCs w:val="24"/>
        </w:rPr>
        <w:t xml:space="preserve">. </w:t>
      </w:r>
      <w:r w:rsidR="00EA65E3" w:rsidRPr="00EA65E3">
        <w:rPr>
          <w:rFonts w:ascii="Times New Roman" w:hAnsi="Times New Roman" w:cs="Times New Roman"/>
          <w:sz w:val="24"/>
          <w:szCs w:val="24"/>
        </w:rPr>
        <w:t>These results support the concept that a significant percentage of adult age-related memory variations are linked to a decline in numerous cognitive processes' processing speed with ageing.</w:t>
      </w:r>
      <w:r w:rsidR="001C4BBA" w:rsidRPr="001C4BBA">
        <w:t xml:space="preserve"> </w:t>
      </w:r>
      <w:bookmarkStart w:id="1" w:name="_Hlk123914033"/>
      <w:r w:rsidR="001C4BBA" w:rsidRPr="001C4BBA">
        <w:rPr>
          <w:rFonts w:ascii="Times New Roman" w:hAnsi="Times New Roman" w:cs="Times New Roman"/>
          <w:sz w:val="24"/>
          <w:szCs w:val="24"/>
        </w:rPr>
        <w:t>(Salthouse &amp; Coon, 1993)</w:t>
      </w:r>
      <w:bookmarkEnd w:id="1"/>
    </w:p>
    <w:p w14:paraId="5ED28136" w14:textId="51FDDE63" w:rsidR="00AD05DF" w:rsidRDefault="005F2DA1" w:rsidP="00EA65E3">
      <w:pPr>
        <w:spacing w:line="480" w:lineRule="auto"/>
        <w:jc w:val="both"/>
        <w:rPr>
          <w:rFonts w:ascii="Times New Roman" w:hAnsi="Times New Roman" w:cs="Times New Roman"/>
          <w:sz w:val="24"/>
          <w:szCs w:val="24"/>
        </w:rPr>
      </w:pPr>
      <w:r w:rsidRPr="005F2DA1">
        <w:rPr>
          <w:rFonts w:ascii="Times New Roman" w:hAnsi="Times New Roman" w:cs="Times New Roman"/>
          <w:sz w:val="24"/>
          <w:szCs w:val="24"/>
        </w:rPr>
        <w:t xml:space="preserve">In 2017, </w:t>
      </w:r>
      <w:r w:rsidR="00F818EA">
        <w:rPr>
          <w:rFonts w:ascii="Times New Roman" w:hAnsi="Times New Roman" w:cs="Times New Roman"/>
          <w:sz w:val="24"/>
          <w:szCs w:val="24"/>
        </w:rPr>
        <w:t xml:space="preserve">Research </w:t>
      </w:r>
      <w:r w:rsidRPr="005F2DA1">
        <w:rPr>
          <w:rFonts w:ascii="Times New Roman" w:hAnsi="Times New Roman" w:cs="Times New Roman"/>
          <w:sz w:val="24"/>
          <w:szCs w:val="24"/>
        </w:rPr>
        <w:t>was c</w:t>
      </w:r>
      <w:r w:rsidR="00F818EA">
        <w:rPr>
          <w:rFonts w:ascii="Times New Roman" w:hAnsi="Times New Roman" w:cs="Times New Roman"/>
          <w:sz w:val="24"/>
          <w:szCs w:val="24"/>
        </w:rPr>
        <w:t>arried out</w:t>
      </w:r>
      <w:r w:rsidRPr="005F2DA1">
        <w:rPr>
          <w:rFonts w:ascii="Times New Roman" w:hAnsi="Times New Roman" w:cs="Times New Roman"/>
          <w:sz w:val="24"/>
          <w:szCs w:val="24"/>
        </w:rPr>
        <w:t xml:space="preserve"> to investigate the role of hand motor speed in simple computer-customized non-motor perceptual choice tasks, such as the Inspection Time (IT) task, as well as standard paper-and-pencil measurements of processing speed.</w:t>
      </w:r>
      <w:r w:rsidR="00373036" w:rsidRPr="00373036">
        <w:t xml:space="preserve"> </w:t>
      </w:r>
      <w:r w:rsidR="00732E7E" w:rsidRPr="00732E7E">
        <w:rPr>
          <w:rFonts w:ascii="Times New Roman" w:hAnsi="Times New Roman" w:cs="Times New Roman"/>
          <w:sz w:val="24"/>
          <w:szCs w:val="24"/>
        </w:rPr>
        <w:t xml:space="preserve">Participants included 67 young university students between the ages of 18 and 29, 59 of whom were female, and 40 elderly individuals between the ages of 40 and 81, with 31 of them being female. The majority </w:t>
      </w:r>
      <w:r w:rsidR="00732E7E" w:rsidRPr="00732E7E">
        <w:rPr>
          <w:rFonts w:ascii="Times New Roman" w:hAnsi="Times New Roman" w:cs="Times New Roman"/>
          <w:sz w:val="24"/>
          <w:szCs w:val="24"/>
        </w:rPr>
        <w:lastRenderedPageBreak/>
        <w:t>of individuals had similar educational backgrounds</w:t>
      </w:r>
      <w:r w:rsidR="00313BF9">
        <w:rPr>
          <w:rFonts w:ascii="Times New Roman" w:hAnsi="Times New Roman" w:cs="Times New Roman"/>
          <w:sz w:val="24"/>
          <w:szCs w:val="24"/>
        </w:rPr>
        <w:t xml:space="preserve">. </w:t>
      </w:r>
      <w:r w:rsidR="00A564F7" w:rsidRPr="00A564F7">
        <w:rPr>
          <w:rFonts w:ascii="Times New Roman" w:hAnsi="Times New Roman" w:cs="Times New Roman"/>
          <w:sz w:val="24"/>
          <w:szCs w:val="24"/>
        </w:rPr>
        <w:t>Results showed that age group differences on the motor dexterity, symbol search, and coding tasks were extremely significant, as predicted. However, there were no appreciable variations or relationships between age groups and the straightforward visual perception IT task.</w:t>
      </w:r>
      <w:r w:rsidR="001B4A18">
        <w:rPr>
          <w:rFonts w:ascii="Times New Roman" w:hAnsi="Times New Roman" w:cs="Times New Roman"/>
          <w:sz w:val="24"/>
          <w:szCs w:val="24"/>
        </w:rPr>
        <w:t xml:space="preserve"> </w:t>
      </w:r>
      <w:r w:rsidR="00A77B52" w:rsidRPr="00A77B52">
        <w:rPr>
          <w:rFonts w:ascii="Times New Roman" w:hAnsi="Times New Roman" w:cs="Times New Roman"/>
          <w:sz w:val="24"/>
          <w:szCs w:val="24"/>
        </w:rPr>
        <w:t>Additionally, on the paper and pencil tests, controlling for motor dexterity did not eliminate important age-group disparities. This shows that, despite the fact that the operational measure in the majority of previous studies on cognitive decline with age has been physical reaction times, age variations in cognitive processing on more difficult tasks are still present.</w:t>
      </w:r>
      <w:r w:rsidR="00DC579F" w:rsidRPr="00DC579F">
        <w:t xml:space="preserve"> </w:t>
      </w:r>
      <w:r w:rsidR="00DC579F" w:rsidRPr="00DC579F">
        <w:rPr>
          <w:rFonts w:ascii="Times New Roman" w:hAnsi="Times New Roman" w:cs="Times New Roman"/>
          <w:sz w:val="24"/>
          <w:szCs w:val="24"/>
        </w:rPr>
        <w:t>(Ebaid et al., 2017)</w:t>
      </w:r>
      <w:r w:rsidR="00904823">
        <w:rPr>
          <w:rFonts w:ascii="Times New Roman" w:hAnsi="Times New Roman" w:cs="Times New Roman"/>
          <w:sz w:val="24"/>
          <w:szCs w:val="24"/>
        </w:rPr>
        <w:t xml:space="preserve"> </w:t>
      </w:r>
    </w:p>
    <w:p w14:paraId="608199BC" w14:textId="43ED70ED" w:rsidR="00D56567" w:rsidRDefault="00C836FB" w:rsidP="003375EA">
      <w:pPr>
        <w:spacing w:line="480" w:lineRule="auto"/>
        <w:jc w:val="both"/>
        <w:rPr>
          <w:rFonts w:ascii="Times New Roman" w:hAnsi="Times New Roman" w:cs="Times New Roman"/>
          <w:sz w:val="24"/>
          <w:szCs w:val="24"/>
        </w:rPr>
      </w:pPr>
      <w:r w:rsidRPr="00C836FB">
        <w:rPr>
          <w:rFonts w:ascii="Times New Roman" w:hAnsi="Times New Roman" w:cs="Times New Roman"/>
          <w:sz w:val="24"/>
          <w:szCs w:val="24"/>
        </w:rPr>
        <w:t xml:space="preserve">A study was conducted in 2020 to determine whether slow processing speed could indicate abnormalities associated with </w:t>
      </w:r>
      <w:bookmarkStart w:id="2" w:name="_Hlk123897541"/>
      <w:r w:rsidRPr="00C836FB">
        <w:rPr>
          <w:rFonts w:ascii="Times New Roman" w:hAnsi="Times New Roman" w:cs="Times New Roman"/>
          <w:sz w:val="24"/>
          <w:szCs w:val="24"/>
        </w:rPr>
        <w:t xml:space="preserve">mild cognitive impairment </w:t>
      </w:r>
      <w:bookmarkEnd w:id="2"/>
      <w:r w:rsidRPr="00C836FB">
        <w:rPr>
          <w:rFonts w:ascii="Times New Roman" w:hAnsi="Times New Roman" w:cs="Times New Roman"/>
          <w:sz w:val="24"/>
          <w:szCs w:val="24"/>
        </w:rPr>
        <w:t>across cognitive areas.</w:t>
      </w:r>
      <w:r w:rsidR="00741092">
        <w:rPr>
          <w:rFonts w:ascii="Times New Roman" w:hAnsi="Times New Roman" w:cs="Times New Roman"/>
          <w:sz w:val="24"/>
          <w:szCs w:val="24"/>
        </w:rPr>
        <w:t xml:space="preserve"> </w:t>
      </w:r>
      <w:r w:rsidR="008543F0" w:rsidRPr="008543F0">
        <w:rPr>
          <w:rFonts w:ascii="Times New Roman" w:hAnsi="Times New Roman" w:cs="Times New Roman"/>
          <w:sz w:val="24"/>
          <w:szCs w:val="24"/>
        </w:rPr>
        <w:t>Participants in the study were African American individuals aged 56 to 90. Among the subjects, 61 were cognitively normal, 28 had mild cognitive impairments, and 14 did not have amnesia but still had mild cognitive impairment.</w:t>
      </w:r>
      <w:r w:rsidR="00E04AAA">
        <w:rPr>
          <w:rFonts w:ascii="Times New Roman" w:hAnsi="Times New Roman" w:cs="Times New Roman"/>
          <w:sz w:val="24"/>
          <w:szCs w:val="24"/>
        </w:rPr>
        <w:t xml:space="preserve"> The study found that</w:t>
      </w:r>
      <w:r w:rsidR="008543F0" w:rsidRPr="008543F0">
        <w:rPr>
          <w:rFonts w:ascii="Times New Roman" w:hAnsi="Times New Roman" w:cs="Times New Roman"/>
          <w:sz w:val="24"/>
          <w:szCs w:val="24"/>
        </w:rPr>
        <w:t> </w:t>
      </w:r>
      <w:r w:rsidR="00E04AAA">
        <w:rPr>
          <w:rFonts w:ascii="Times New Roman" w:hAnsi="Times New Roman" w:cs="Times New Roman"/>
          <w:sz w:val="24"/>
          <w:szCs w:val="24"/>
        </w:rPr>
        <w:t>a</w:t>
      </w:r>
      <w:r w:rsidR="00E04AAA" w:rsidRPr="00E04AAA">
        <w:rPr>
          <w:rFonts w:ascii="Times New Roman" w:hAnsi="Times New Roman" w:cs="Times New Roman"/>
          <w:sz w:val="24"/>
          <w:szCs w:val="24"/>
        </w:rPr>
        <w:t xml:space="preserve">bout 36% of the executive function, 16% working memory, and 8% declarative memory deficiencies associated with </w:t>
      </w:r>
      <w:r w:rsidR="001F4DEE" w:rsidRPr="008543F0">
        <w:rPr>
          <w:rFonts w:ascii="Times New Roman" w:hAnsi="Times New Roman" w:cs="Times New Roman"/>
          <w:sz w:val="24"/>
          <w:szCs w:val="24"/>
        </w:rPr>
        <w:t>mild cognitive impairments</w:t>
      </w:r>
      <w:r w:rsidR="001F4DEE" w:rsidRPr="00E04AAA">
        <w:rPr>
          <w:rFonts w:ascii="Times New Roman" w:hAnsi="Times New Roman" w:cs="Times New Roman"/>
          <w:sz w:val="24"/>
          <w:szCs w:val="24"/>
        </w:rPr>
        <w:t xml:space="preserve"> </w:t>
      </w:r>
      <w:r w:rsidR="00E04AAA" w:rsidRPr="00E04AAA">
        <w:rPr>
          <w:rFonts w:ascii="Times New Roman" w:hAnsi="Times New Roman" w:cs="Times New Roman"/>
          <w:sz w:val="24"/>
          <w:szCs w:val="24"/>
        </w:rPr>
        <w:t>were explained by slow processing speed.</w:t>
      </w:r>
      <w:r w:rsidR="00FF44BE">
        <w:rPr>
          <w:rFonts w:ascii="Times New Roman" w:hAnsi="Times New Roman" w:cs="Times New Roman"/>
          <w:sz w:val="24"/>
          <w:szCs w:val="24"/>
        </w:rPr>
        <w:t xml:space="preserve"> The study concluded that </w:t>
      </w:r>
      <w:r w:rsidR="00FF44BE" w:rsidRPr="00FF44BE">
        <w:rPr>
          <w:rFonts w:ascii="Times New Roman" w:hAnsi="Times New Roman" w:cs="Times New Roman"/>
          <w:sz w:val="24"/>
          <w:szCs w:val="24"/>
        </w:rPr>
        <w:t>lower processing speed reflects mild cognitive impairment related deficits across domains and is a factor in ordinary cognitive ageing. Finding processing speed deficiencies may help to understand how mild cognitive impairment develops and may up chances for clinical intervention.</w:t>
      </w:r>
      <w:r w:rsidR="0010655D" w:rsidRPr="0010655D">
        <w:t xml:space="preserve"> </w:t>
      </w:r>
      <w:r w:rsidR="0010655D" w:rsidRPr="0010655D">
        <w:rPr>
          <w:rFonts w:ascii="Times New Roman" w:hAnsi="Times New Roman" w:cs="Times New Roman"/>
          <w:sz w:val="24"/>
          <w:szCs w:val="24"/>
        </w:rPr>
        <w:t>(Daugherty et al., 2020)</w:t>
      </w:r>
    </w:p>
    <w:p w14:paraId="1AAC08DF" w14:textId="53563B1F" w:rsidR="00737DCF" w:rsidRDefault="00F00734" w:rsidP="00737DCF">
      <w:pPr>
        <w:spacing w:line="480" w:lineRule="auto"/>
        <w:jc w:val="both"/>
        <w:rPr>
          <w:rFonts w:ascii="Times New Roman" w:hAnsi="Times New Roman" w:cs="Times New Roman"/>
          <w:sz w:val="24"/>
          <w:szCs w:val="24"/>
        </w:rPr>
      </w:pPr>
      <w:r w:rsidRPr="00F00734">
        <w:rPr>
          <w:rFonts w:ascii="Times New Roman" w:hAnsi="Times New Roman" w:cs="Times New Roman"/>
          <w:sz w:val="24"/>
          <w:szCs w:val="24"/>
        </w:rPr>
        <w:t xml:space="preserve">In 2022, a study was conducted to determine whether the subgroups of successful and typical ageing contributed to the cognitive discrepancy in ageing. Participants ranged in age from 70 to 89 and were a representative sample of healthy older individuals. The study gave four definitions of successful ageing: the absence of sickness, high functioning, active involvement in life, or the combination of all three. By employing group membership as predictors and age, sex, and education as correlates, linear regression analysis was used to examine five domains </w:t>
      </w:r>
      <w:r w:rsidRPr="00F00734">
        <w:rPr>
          <w:rFonts w:ascii="Times New Roman" w:hAnsi="Times New Roman" w:cs="Times New Roman"/>
          <w:sz w:val="24"/>
          <w:szCs w:val="24"/>
        </w:rPr>
        <w:lastRenderedPageBreak/>
        <w:t>of memory and intelligence functions</w:t>
      </w:r>
      <w:r w:rsidR="00DD760A">
        <w:rPr>
          <w:rFonts w:ascii="Times New Roman" w:hAnsi="Times New Roman" w:cs="Times New Roman"/>
          <w:sz w:val="24"/>
          <w:szCs w:val="24"/>
        </w:rPr>
        <w:t xml:space="preserve">. The study found </w:t>
      </w:r>
      <w:r w:rsidR="00737DCF">
        <w:rPr>
          <w:rFonts w:ascii="Times New Roman" w:hAnsi="Times New Roman" w:cs="Times New Roman"/>
          <w:sz w:val="24"/>
          <w:szCs w:val="24"/>
        </w:rPr>
        <w:t>that processing</w:t>
      </w:r>
      <w:r w:rsidR="00737DCF" w:rsidRPr="00737DCF">
        <w:rPr>
          <w:rFonts w:ascii="Times New Roman" w:hAnsi="Times New Roman" w:cs="Times New Roman"/>
          <w:sz w:val="24"/>
          <w:szCs w:val="24"/>
        </w:rPr>
        <w:t xml:space="preserve"> speed performance was linked to the healthy ageing component's absence of disease, younger age, and gender. Processing speed and episodic memory were both positively correlated with being female.</w:t>
      </w:r>
      <w:r w:rsidR="00737DCF">
        <w:rPr>
          <w:rFonts w:ascii="Times New Roman" w:hAnsi="Times New Roman" w:cs="Times New Roman"/>
          <w:sz w:val="24"/>
          <w:szCs w:val="24"/>
        </w:rPr>
        <w:t xml:space="preserve"> </w:t>
      </w:r>
      <w:r w:rsidR="00737DCF" w:rsidRPr="00737DCF">
        <w:rPr>
          <w:rFonts w:ascii="Times New Roman" w:hAnsi="Times New Roman" w:cs="Times New Roman"/>
          <w:sz w:val="24"/>
          <w:szCs w:val="24"/>
        </w:rPr>
        <w:t>When successful ageing was defined as the absence of disease, processing speed was associated with it; however, other successful ageing factors, such as domain-specificity, were not. Other cognitive domains, on the other hand, had no correlation with any aspects of good ageing.</w:t>
      </w:r>
      <w:r w:rsidR="005651C3">
        <w:rPr>
          <w:rFonts w:ascii="Times New Roman" w:hAnsi="Times New Roman" w:cs="Times New Roman"/>
          <w:sz w:val="24"/>
          <w:szCs w:val="24"/>
        </w:rPr>
        <w:t xml:space="preserve"> </w:t>
      </w:r>
      <w:r w:rsidR="005972BA" w:rsidRPr="005972BA">
        <w:rPr>
          <w:rFonts w:ascii="Times New Roman" w:hAnsi="Times New Roman" w:cs="Times New Roman"/>
          <w:sz w:val="24"/>
          <w:szCs w:val="24"/>
        </w:rPr>
        <w:t>(Bosnes et al., 2022)</w:t>
      </w:r>
    </w:p>
    <w:p w14:paraId="0D9A0579" w14:textId="4FF57E99" w:rsidR="00630E10" w:rsidRPr="006A44E2" w:rsidRDefault="000C2E59" w:rsidP="00630E10">
      <w:pPr>
        <w:spacing w:line="480" w:lineRule="auto"/>
        <w:rPr>
          <w:rFonts w:ascii="Times New Roman" w:hAnsi="Times New Roman" w:cs="Times New Roman"/>
          <w:sz w:val="24"/>
          <w:szCs w:val="24"/>
        </w:rPr>
      </w:pPr>
      <w:r>
        <w:rPr>
          <w:rFonts w:ascii="Times New Roman" w:hAnsi="Times New Roman" w:cs="Times New Roman"/>
          <w:sz w:val="24"/>
          <w:szCs w:val="24"/>
        </w:rPr>
        <w:t>To conclude</w:t>
      </w:r>
      <w:r w:rsidR="00137997">
        <w:rPr>
          <w:rFonts w:ascii="Times New Roman" w:hAnsi="Times New Roman" w:cs="Times New Roman"/>
          <w:sz w:val="24"/>
          <w:szCs w:val="24"/>
        </w:rPr>
        <w:t xml:space="preserve"> Processing Speed theory is surrounded by significantly more research </w:t>
      </w:r>
      <w:r w:rsidR="00A61110">
        <w:rPr>
          <w:rFonts w:ascii="Times New Roman" w:hAnsi="Times New Roman" w:cs="Times New Roman"/>
          <w:sz w:val="24"/>
          <w:szCs w:val="24"/>
        </w:rPr>
        <w:t>that supports the theories hypotheses than research t</w:t>
      </w:r>
      <w:r w:rsidR="0024666B">
        <w:rPr>
          <w:rFonts w:ascii="Times New Roman" w:hAnsi="Times New Roman" w:cs="Times New Roman"/>
          <w:sz w:val="24"/>
          <w:szCs w:val="24"/>
        </w:rPr>
        <w:t>hat does not. There is considerably more research that supports the</w:t>
      </w:r>
      <w:r w:rsidR="00DA05A2">
        <w:rPr>
          <w:rFonts w:ascii="Times New Roman" w:hAnsi="Times New Roman" w:cs="Times New Roman"/>
          <w:sz w:val="24"/>
          <w:szCs w:val="24"/>
        </w:rPr>
        <w:t xml:space="preserve"> hypotheses </w:t>
      </w:r>
      <w:r w:rsidR="00346487">
        <w:rPr>
          <w:rFonts w:ascii="Times New Roman" w:hAnsi="Times New Roman" w:cs="Times New Roman"/>
          <w:sz w:val="24"/>
          <w:szCs w:val="24"/>
        </w:rPr>
        <w:t>that growing</w:t>
      </w:r>
      <w:r w:rsidR="00DA05A2" w:rsidRPr="00DA05A2">
        <w:rPr>
          <w:rFonts w:ascii="Times New Roman" w:hAnsi="Times New Roman" w:cs="Times New Roman"/>
          <w:sz w:val="24"/>
          <w:szCs w:val="24"/>
        </w:rPr>
        <w:t xml:space="preserve"> older as an adult is linked to a slowing down of many processing functions, and that this slowing down causes impairments in cognitive performance due to what are known as the limited time mechanism and the simultaneity mechanism</w:t>
      </w:r>
      <w:r w:rsidR="00DA05A2">
        <w:rPr>
          <w:rFonts w:ascii="Times New Roman" w:hAnsi="Times New Roman" w:cs="Times New Roman"/>
          <w:sz w:val="24"/>
          <w:szCs w:val="24"/>
        </w:rPr>
        <w:t xml:space="preserve">. A study that shows this is the before mentioned </w:t>
      </w:r>
      <w:r w:rsidR="00443535">
        <w:rPr>
          <w:rFonts w:ascii="Times New Roman" w:hAnsi="Times New Roman" w:cs="Times New Roman"/>
          <w:sz w:val="24"/>
          <w:szCs w:val="24"/>
        </w:rPr>
        <w:t>2005</w:t>
      </w:r>
      <w:r w:rsidR="00443535" w:rsidRPr="00443535">
        <w:t xml:space="preserve"> </w:t>
      </w:r>
      <w:r w:rsidR="00443535" w:rsidRPr="00443535">
        <w:rPr>
          <w:rFonts w:ascii="Times New Roman" w:hAnsi="Times New Roman" w:cs="Times New Roman"/>
          <w:sz w:val="24"/>
          <w:szCs w:val="24"/>
        </w:rPr>
        <w:t>Lemke &amp; Zimprich</w:t>
      </w:r>
      <w:r w:rsidR="00443535">
        <w:rPr>
          <w:rFonts w:ascii="Times New Roman" w:hAnsi="Times New Roman" w:cs="Times New Roman"/>
          <w:sz w:val="24"/>
          <w:szCs w:val="24"/>
        </w:rPr>
        <w:t xml:space="preserve"> study where the results of the study show</w:t>
      </w:r>
      <w:r w:rsidR="00B818FE">
        <w:rPr>
          <w:rFonts w:ascii="Times New Roman" w:hAnsi="Times New Roman" w:cs="Times New Roman"/>
          <w:sz w:val="24"/>
          <w:szCs w:val="24"/>
        </w:rPr>
        <w:t>ed</w:t>
      </w:r>
      <w:r w:rsidR="00346487">
        <w:rPr>
          <w:rFonts w:ascii="Times New Roman" w:hAnsi="Times New Roman" w:cs="Times New Roman"/>
          <w:sz w:val="24"/>
          <w:szCs w:val="24"/>
        </w:rPr>
        <w:t xml:space="preserve"> that changes in speed processing has an effect on cognitive function.</w:t>
      </w:r>
      <w:r w:rsidR="006102AA" w:rsidRPr="006102AA">
        <w:t xml:space="preserve"> </w:t>
      </w:r>
      <w:r w:rsidR="006102AA" w:rsidRPr="006102AA">
        <w:rPr>
          <w:rFonts w:ascii="Times New Roman" w:hAnsi="Times New Roman" w:cs="Times New Roman"/>
          <w:sz w:val="24"/>
          <w:szCs w:val="24"/>
        </w:rPr>
        <w:t>(Lemke &amp; Zimprich, 2005)</w:t>
      </w:r>
      <w:r w:rsidR="009E5CED">
        <w:rPr>
          <w:rFonts w:ascii="Times New Roman" w:hAnsi="Times New Roman" w:cs="Times New Roman"/>
          <w:sz w:val="24"/>
          <w:szCs w:val="24"/>
        </w:rPr>
        <w:t>.</w:t>
      </w:r>
      <w:r w:rsidR="00346487">
        <w:rPr>
          <w:rFonts w:ascii="Times New Roman" w:hAnsi="Times New Roman" w:cs="Times New Roman"/>
          <w:sz w:val="24"/>
          <w:szCs w:val="24"/>
        </w:rPr>
        <w:t xml:space="preserve"> </w:t>
      </w:r>
      <w:r w:rsidR="006102AA">
        <w:rPr>
          <w:rFonts w:ascii="Times New Roman" w:hAnsi="Times New Roman" w:cs="Times New Roman"/>
          <w:sz w:val="24"/>
          <w:szCs w:val="24"/>
        </w:rPr>
        <w:t>However,</w:t>
      </w:r>
      <w:r w:rsidR="00346487">
        <w:rPr>
          <w:rFonts w:ascii="Times New Roman" w:hAnsi="Times New Roman" w:cs="Times New Roman"/>
          <w:sz w:val="24"/>
          <w:szCs w:val="24"/>
        </w:rPr>
        <w:t xml:space="preserve"> the same study also suggested that slowing of speed processing may just be one cause of cognitive decline and other factors must be considered as well as just </w:t>
      </w:r>
      <w:r w:rsidR="006102AA">
        <w:rPr>
          <w:rFonts w:ascii="Times New Roman" w:hAnsi="Times New Roman" w:cs="Times New Roman"/>
          <w:sz w:val="24"/>
          <w:szCs w:val="24"/>
        </w:rPr>
        <w:t>someone’s</w:t>
      </w:r>
      <w:r w:rsidR="00346487">
        <w:rPr>
          <w:rFonts w:ascii="Times New Roman" w:hAnsi="Times New Roman" w:cs="Times New Roman"/>
          <w:sz w:val="24"/>
          <w:szCs w:val="24"/>
        </w:rPr>
        <w:t xml:space="preserve"> processing speed.</w:t>
      </w:r>
      <w:r w:rsidR="00443535">
        <w:rPr>
          <w:rFonts w:ascii="Times New Roman" w:hAnsi="Times New Roman" w:cs="Times New Roman"/>
          <w:sz w:val="24"/>
          <w:szCs w:val="24"/>
        </w:rPr>
        <w:t xml:space="preserve"> </w:t>
      </w:r>
      <w:r w:rsidR="00630E10">
        <w:rPr>
          <w:rFonts w:ascii="Times New Roman" w:hAnsi="Times New Roman" w:cs="Times New Roman"/>
          <w:sz w:val="24"/>
          <w:szCs w:val="24"/>
        </w:rPr>
        <w:t>Another piece of research that supported the Speed Processing theory was carried out in 1993 by Salthouse and Coon</w:t>
      </w:r>
      <w:r w:rsidR="00C70F75">
        <w:rPr>
          <w:rFonts w:ascii="Times New Roman" w:hAnsi="Times New Roman" w:cs="Times New Roman"/>
          <w:sz w:val="24"/>
          <w:szCs w:val="24"/>
        </w:rPr>
        <w:t xml:space="preserve">. </w:t>
      </w:r>
      <w:r w:rsidR="00630E10" w:rsidRPr="00630E10">
        <w:rPr>
          <w:rFonts w:ascii="Times New Roman" w:hAnsi="Times New Roman" w:cs="Times New Roman"/>
          <w:sz w:val="24"/>
          <w:szCs w:val="24"/>
        </w:rPr>
        <w:t xml:space="preserve">The findings from </w:t>
      </w:r>
      <w:r w:rsidR="00C70F75">
        <w:rPr>
          <w:rFonts w:ascii="Times New Roman" w:hAnsi="Times New Roman" w:cs="Times New Roman"/>
          <w:sz w:val="24"/>
          <w:szCs w:val="24"/>
        </w:rPr>
        <w:t>this</w:t>
      </w:r>
      <w:r w:rsidR="00630E10" w:rsidRPr="00630E10">
        <w:rPr>
          <w:rFonts w:ascii="Times New Roman" w:hAnsi="Times New Roman" w:cs="Times New Roman"/>
          <w:sz w:val="24"/>
          <w:szCs w:val="24"/>
        </w:rPr>
        <w:t xml:space="preserve"> stud</w:t>
      </w:r>
      <w:r w:rsidR="00C70F75">
        <w:rPr>
          <w:rFonts w:ascii="Times New Roman" w:hAnsi="Times New Roman" w:cs="Times New Roman"/>
          <w:sz w:val="24"/>
          <w:szCs w:val="24"/>
        </w:rPr>
        <w:t xml:space="preserve">y </w:t>
      </w:r>
      <w:r w:rsidR="00630E10" w:rsidRPr="00630E10">
        <w:rPr>
          <w:rFonts w:ascii="Times New Roman" w:hAnsi="Times New Roman" w:cs="Times New Roman"/>
          <w:sz w:val="24"/>
          <w:szCs w:val="24"/>
        </w:rPr>
        <w:t xml:space="preserve">showed that older adults' task-specific processing times were longer than those of younger adults. </w:t>
      </w:r>
      <w:r w:rsidR="006102AA" w:rsidRPr="006102AA">
        <w:rPr>
          <w:rFonts w:ascii="Times New Roman" w:hAnsi="Times New Roman" w:cs="Times New Roman"/>
          <w:sz w:val="24"/>
          <w:szCs w:val="24"/>
        </w:rPr>
        <w:t>(Salthouse &amp; Coon, 1993)</w:t>
      </w:r>
      <w:r w:rsidR="006102AA">
        <w:rPr>
          <w:rFonts w:ascii="Times New Roman" w:hAnsi="Times New Roman" w:cs="Times New Roman"/>
          <w:sz w:val="24"/>
          <w:szCs w:val="24"/>
        </w:rPr>
        <w:t xml:space="preserve">. </w:t>
      </w:r>
      <w:r w:rsidR="00C70F75">
        <w:rPr>
          <w:rFonts w:ascii="Times New Roman" w:hAnsi="Times New Roman" w:cs="Times New Roman"/>
          <w:sz w:val="24"/>
          <w:szCs w:val="24"/>
        </w:rPr>
        <w:t xml:space="preserve">This study is pivotal in </w:t>
      </w:r>
      <w:r w:rsidR="00F843A7">
        <w:rPr>
          <w:rFonts w:ascii="Times New Roman" w:hAnsi="Times New Roman" w:cs="Times New Roman"/>
          <w:sz w:val="24"/>
          <w:szCs w:val="24"/>
        </w:rPr>
        <w:t>the support of the Speed Processing theory but is now dated</w:t>
      </w:r>
      <w:r w:rsidR="00191D57">
        <w:rPr>
          <w:rFonts w:ascii="Times New Roman" w:hAnsi="Times New Roman" w:cs="Times New Roman"/>
          <w:sz w:val="24"/>
          <w:szCs w:val="24"/>
        </w:rPr>
        <w:t xml:space="preserve"> and it may be argued that if this study was to be done in modern day there would be better tests </w:t>
      </w:r>
      <w:r w:rsidR="00212B4B">
        <w:rPr>
          <w:rFonts w:ascii="Times New Roman" w:hAnsi="Times New Roman" w:cs="Times New Roman"/>
          <w:sz w:val="24"/>
          <w:szCs w:val="24"/>
        </w:rPr>
        <w:t xml:space="preserve">that could be carried out on participants in order to rule out whether there may be any other factors that are </w:t>
      </w:r>
      <w:r w:rsidR="006102AA">
        <w:rPr>
          <w:rFonts w:ascii="Times New Roman" w:hAnsi="Times New Roman" w:cs="Times New Roman"/>
          <w:sz w:val="24"/>
          <w:szCs w:val="24"/>
        </w:rPr>
        <w:t xml:space="preserve">a part of the reasoning behind a person’s cognitive decline. </w:t>
      </w:r>
    </w:p>
    <w:p w14:paraId="46ECA442" w14:textId="77777777" w:rsidR="00C66655" w:rsidRPr="006A44E2" w:rsidRDefault="00C66655">
      <w:pPr>
        <w:rPr>
          <w:rFonts w:ascii="Times New Roman" w:hAnsi="Times New Roman" w:cs="Times New Roman"/>
          <w:sz w:val="24"/>
          <w:szCs w:val="24"/>
        </w:rPr>
      </w:pPr>
    </w:p>
    <w:p w14:paraId="6F0C5082" w14:textId="77777777" w:rsidR="00C66655" w:rsidRPr="002A0C87" w:rsidRDefault="00C66655" w:rsidP="00785DDD">
      <w:pPr>
        <w:spacing w:line="480" w:lineRule="auto"/>
        <w:rPr>
          <w:rFonts w:ascii="Times New Roman" w:hAnsi="Times New Roman" w:cs="Times New Roman"/>
          <w:b/>
          <w:bCs/>
          <w:sz w:val="24"/>
          <w:szCs w:val="24"/>
          <w:u w:val="single"/>
        </w:rPr>
      </w:pPr>
      <w:r w:rsidRPr="002A0C87">
        <w:rPr>
          <w:rFonts w:ascii="Times New Roman" w:hAnsi="Times New Roman" w:cs="Times New Roman"/>
          <w:b/>
          <w:bCs/>
          <w:sz w:val="24"/>
          <w:szCs w:val="24"/>
          <w:u w:val="single"/>
        </w:rPr>
        <w:lastRenderedPageBreak/>
        <w:t xml:space="preserve">Part 2: Using empirical evidence critically discuss how an individual could slow down cognitive decline. </w:t>
      </w:r>
    </w:p>
    <w:p w14:paraId="5719C22C" w14:textId="38658257" w:rsidR="00784F51" w:rsidRDefault="003D6D37" w:rsidP="00E81C9E">
      <w:pPr>
        <w:pStyle w:val="NormalWeb"/>
        <w:spacing w:line="480" w:lineRule="auto"/>
        <w:jc w:val="both"/>
      </w:pPr>
      <w:r w:rsidRPr="003D6D37">
        <w:rPr>
          <w:rStyle w:val="issue-underline"/>
        </w:rPr>
        <w:t>Education, hobbies, intellectual engagement, and expertise are examples of lifestyle choices that are linked to optimal cognitive ability maintenance.</w:t>
      </w:r>
      <w:r>
        <w:rPr>
          <w:rStyle w:val="issue-underline"/>
        </w:rPr>
        <w:t xml:space="preserve"> </w:t>
      </w:r>
      <w:r w:rsidR="00E02DEA">
        <w:t>Several other factors have been linked to maintaining cognition in aging, including physical activity, diet, and social activity.</w:t>
      </w:r>
      <w:r w:rsidR="00723780">
        <w:t xml:space="preserve"> A study that supports this theory was carried out in 200</w:t>
      </w:r>
      <w:r w:rsidR="002374BD">
        <w:t>2</w:t>
      </w:r>
      <w:r w:rsidR="00CB29B2">
        <w:t xml:space="preserve">. The study found that </w:t>
      </w:r>
      <w:r w:rsidR="009211FD">
        <w:t>a</w:t>
      </w:r>
      <w:r w:rsidR="009211FD" w:rsidRPr="009211FD">
        <w:t xml:space="preserve"> person with a cognitively stimulating job maintains a higher degree of cognitive function as they age. It has been found that college professors, pilots, physicians, musicians, and architects have high cognitive activity levels.</w:t>
      </w:r>
      <w:r w:rsidR="004E1B3D">
        <w:t xml:space="preserve"> </w:t>
      </w:r>
      <w:r w:rsidR="003A1996" w:rsidRPr="003A1996">
        <w:t>A complex occupation, or mental activity requiring independent judgment and thought, has been associated with increased intellectual flexibility, memory, verbal abilities, fluency, and visual spatial abilities as we age.</w:t>
      </w:r>
      <w:r w:rsidR="00784F51">
        <w:t xml:space="preserve"> Despite the fact that older adults perform better in cognitively demanding occupations than their agemates, their performance declines as they get older.</w:t>
      </w:r>
      <w:r w:rsidR="00226EF9">
        <w:t xml:space="preserve"> </w:t>
      </w:r>
      <w:r w:rsidR="002374BD" w:rsidRPr="002374BD">
        <w:t>(Salthouse et al., 2002)</w:t>
      </w:r>
    </w:p>
    <w:p w14:paraId="56E957E8" w14:textId="20956E34" w:rsidR="002230A7" w:rsidRDefault="0067698A" w:rsidP="00E81C9E">
      <w:pPr>
        <w:pStyle w:val="NormalWeb"/>
        <w:spacing w:line="480" w:lineRule="auto"/>
        <w:jc w:val="both"/>
      </w:pPr>
      <w:r>
        <w:t xml:space="preserve">Leisure activities such as chess and bridge require a good deal of brain power and reasoning ability. Compared to </w:t>
      </w:r>
      <w:r>
        <w:rPr>
          <w:rStyle w:val="issue-underline"/>
        </w:rPr>
        <w:t>nonplayers,</w:t>
      </w:r>
      <w:r>
        <w:t xml:space="preserve"> older adults who play bridge perform better on working memory and reasoning </w:t>
      </w:r>
      <w:r w:rsidR="002C290A">
        <w:t>measures and</w:t>
      </w:r>
      <w:r>
        <w:t xml:space="preserve"> working crossword puzzles is also associated with cognitive function (Mireles &amp; Charness, 2002). Despite this, other research on self-selected leisure activities fails to support these results. </w:t>
      </w:r>
      <w:r w:rsidR="002230A7" w:rsidRPr="002230A7">
        <w:t>In a second study, participants who reported engaging in cognitively challenging activities did not demonstrate improved cognitive ability (Salthouse et al., 2002). Even while the bulk of correlational studies point to advantages of cognitively taxing activities, more exacting research methodologies will be required to pinpoint precise causal linkages.</w:t>
      </w:r>
    </w:p>
    <w:p w14:paraId="1FB1914A" w14:textId="47672793" w:rsidR="00B26ABD" w:rsidRDefault="00B26ABD" w:rsidP="00E81C9E">
      <w:pPr>
        <w:pStyle w:val="NormalWeb"/>
        <w:spacing w:line="480" w:lineRule="auto"/>
        <w:jc w:val="both"/>
      </w:pPr>
      <w:r w:rsidRPr="00B26ABD">
        <w:t xml:space="preserve">It has been determined that nutrition plays a crucial role in both healthy cognitive ageing and aberrant cognitive decline, including dementia. Cohort studies are used in the few research in </w:t>
      </w:r>
      <w:r w:rsidRPr="00B26ABD">
        <w:lastRenderedPageBreak/>
        <w:t>this area to determine dietary consumption and metabolic markers associated with aging-related cognitive performance.</w:t>
      </w:r>
    </w:p>
    <w:p w14:paraId="5EA3C9C5" w14:textId="535E41C4" w:rsidR="00CA5B57" w:rsidRDefault="002D6CF6" w:rsidP="00B26ABD">
      <w:pPr>
        <w:pStyle w:val="NormalWeb"/>
        <w:spacing w:line="480" w:lineRule="auto"/>
        <w:jc w:val="both"/>
      </w:pPr>
      <w:r w:rsidRPr="002D6CF6">
        <w:t>A 2007 literature review examined the potential connection between food and age-related cognitive decline and cognitive impairment resulting from both vascular and degenerative causes.</w:t>
      </w:r>
      <w:r w:rsidR="00C900E7">
        <w:t xml:space="preserve"> The results of the review found that </w:t>
      </w:r>
      <w:r w:rsidR="00CA5B57" w:rsidRPr="00CA5B57">
        <w:t>monounsaturated fatty acids</w:t>
      </w:r>
      <w:r w:rsidR="00AC0162" w:rsidRPr="00AC0162">
        <w:t>, grains, and wine, staples of the Mediterranean diet, appear to be preventative against cognitive deterioration. As a result, dietary antioxidants and supplements, particular macronutrients found in the Mediterranean diet, oestrogen, and anti-inflammatory medications may work in concert with other protective factors to slow cognitive loss</w:t>
      </w:r>
      <w:r w:rsidR="00AC0162">
        <w:t>.</w:t>
      </w:r>
      <w:r w:rsidR="00CA5B57">
        <w:t xml:space="preserve"> </w:t>
      </w:r>
      <w:r w:rsidR="003360AD" w:rsidRPr="003360AD">
        <w:t>According to the research, a high energy intake of monounsaturated fatty acids among an older population in southern Italy who followed a normal Mediterranean diet appeared to be linked to a high level of protection against age-related cognitive impairment. The consumption of fish and grains has been proven to lower the prevalence of Alzheimer's disease in European and North American countries, but dietary fat and energy in the elderly appear to be risk factors. The subjects of a French cohort who drank three to four glasses of red wine per day had a lower relative risk of dementia than those who abstained completely.</w:t>
      </w:r>
      <w:r w:rsidR="003360AD">
        <w:t xml:space="preserve"> </w:t>
      </w:r>
      <w:r w:rsidR="00A96BFF" w:rsidRPr="00A96BFF">
        <w:t>(</w:t>
      </w:r>
      <w:r w:rsidR="00A26907">
        <w:t>st</w:t>
      </w:r>
      <w:r w:rsidR="00A96BFF" w:rsidRPr="00A96BFF">
        <w:t xml:space="preserve"> et al., 2004)</w:t>
      </w:r>
    </w:p>
    <w:p w14:paraId="20B0304F" w14:textId="46972313" w:rsidR="00331ED4" w:rsidRDefault="00331ED4" w:rsidP="00E81C9E">
      <w:pPr>
        <w:pStyle w:val="NormalWeb"/>
        <w:spacing w:line="480" w:lineRule="auto"/>
        <w:jc w:val="both"/>
      </w:pPr>
      <w:r w:rsidRPr="00331ED4">
        <w:t>Few studies look at possible cognitive benefits, despite the fact that many have examined the physiological advantages of exercise in ageing.</w:t>
      </w:r>
      <w:r w:rsidR="00DA3B33">
        <w:t xml:space="preserve"> </w:t>
      </w:r>
      <w:r w:rsidR="00DA3B33" w:rsidRPr="00DA3B33">
        <w:t>The health of the brain is linked to living an active lifestyle. Physically active people appear to be less likely than inactive people to have cognitive decline, all-cause dementia, vascular dementia, and Alzheimer's disease.</w:t>
      </w:r>
      <w:r w:rsidR="008302C6">
        <w:t xml:space="preserve"> (</w:t>
      </w:r>
      <w:r w:rsidR="008302C6" w:rsidRPr="008302C6">
        <w:t>Stephen et al., 2017)</w:t>
      </w:r>
      <w:r w:rsidR="008302C6">
        <w:t xml:space="preserve">. </w:t>
      </w:r>
    </w:p>
    <w:p w14:paraId="3E920FEC" w14:textId="42D0C15F" w:rsidR="00282FE5" w:rsidRDefault="00765891" w:rsidP="00E81C9E">
      <w:pPr>
        <w:pStyle w:val="NormalWeb"/>
        <w:spacing w:line="480" w:lineRule="auto"/>
        <w:jc w:val="both"/>
      </w:pPr>
      <w:r w:rsidRPr="00765891">
        <w:t xml:space="preserve">Another study demonstrates the advantages of exercise in older life. Participants were 3.6 times less likely to experience cognitive deterioration if they kept up or increased their physical </w:t>
      </w:r>
      <w:r w:rsidRPr="00765891">
        <w:lastRenderedPageBreak/>
        <w:t xml:space="preserve">exercise (measured by MMSE scores). As they aged, men in the lowest activity quartile had significantly higher chances of cognitive deterioration. </w:t>
      </w:r>
      <w:r w:rsidR="00282FE5" w:rsidRPr="00765891">
        <w:t>(van Gelder et al., 2004).</w:t>
      </w:r>
    </w:p>
    <w:p w14:paraId="02D59A29" w14:textId="77777777" w:rsidR="00955249" w:rsidRDefault="00955249" w:rsidP="00E81C9E">
      <w:pPr>
        <w:pStyle w:val="NormalWeb"/>
        <w:spacing w:line="480" w:lineRule="auto"/>
        <w:jc w:val="both"/>
      </w:pPr>
      <w:r w:rsidRPr="00955249">
        <w:t>The Nurse's Health Study (N=1800) offers more proof that exercise lowers the risk of cognitive deterioration. Age-related cognitive measures were regressed on using computed energy expenditures for reported activities of 70 to 81-year-olds. The risk of dementia and cognitive decline was reduced by 20% in those reporting the highest levels of activity (Weuve et al., 2004).</w:t>
      </w:r>
    </w:p>
    <w:p w14:paraId="1C8AE5E0" w14:textId="1E6B9947" w:rsidR="007D0A2D" w:rsidRDefault="00826D44" w:rsidP="00E81C9E">
      <w:pPr>
        <w:pStyle w:val="NormalWeb"/>
        <w:spacing w:line="480" w:lineRule="auto"/>
        <w:jc w:val="both"/>
      </w:pPr>
      <w:r w:rsidRPr="00826D44">
        <w:t>Research</w:t>
      </w:r>
      <w:r>
        <w:t xml:space="preserve"> has been carried out</w:t>
      </w:r>
      <w:r w:rsidRPr="00826D44">
        <w:t xml:space="preserve"> look</w:t>
      </w:r>
      <w:r>
        <w:t>ing</w:t>
      </w:r>
      <w:r w:rsidRPr="00826D44">
        <w:t xml:space="preserve"> into the impact of social support and participation in social activities on ageing cognition.</w:t>
      </w:r>
      <w:r w:rsidRPr="007D0A2D">
        <w:t xml:space="preserve"> In</w:t>
      </w:r>
      <w:r w:rsidR="007D0A2D" w:rsidRPr="007D0A2D">
        <w:t xml:space="preserve"> a study, 838 people without dementia with a mean age of 80.2</w:t>
      </w:r>
      <w:r w:rsidR="005A660B">
        <w:t xml:space="preserve"> </w:t>
      </w:r>
      <w:r w:rsidR="007D0A2D" w:rsidRPr="007D0A2D">
        <w:t>years were evaluated to determine the relationship between several indicators of social involvement and level of function in various cognitive areas. In linear regression models adjusted for age, sex, education, and other factors, the size of the social network, the frequency of social activity, and the degree of felt social support were measured. While social network size was not significantly correlated with overall cognition, social activity and social support were. The findings show that older adults who are more socially engaged have superior cognitive performance, however the association differs among social engagement areas.</w:t>
      </w:r>
      <w:r w:rsidR="007D0A2D">
        <w:t xml:space="preserve"> </w:t>
      </w:r>
      <w:r w:rsidR="00EF08B7" w:rsidRPr="00EF08B7">
        <w:t>(Krueger et al., 2009)</w:t>
      </w:r>
    </w:p>
    <w:p w14:paraId="16E4E778" w14:textId="196D1D92" w:rsidR="00DF2FFC" w:rsidRDefault="00DF2FFC" w:rsidP="00E81C9E">
      <w:pPr>
        <w:pStyle w:val="NormalWeb"/>
        <w:spacing w:line="480" w:lineRule="auto"/>
        <w:jc w:val="both"/>
      </w:pPr>
      <w:r w:rsidRPr="00DF2FFC">
        <w:t xml:space="preserve">A 1999 study sought to understand the link between older people who live in the community and social isolation and incident cognitive deterioration. In-home interviews were conducted with 2812 non-institutionalized seniors </w:t>
      </w:r>
      <w:r w:rsidR="00491974">
        <w:t xml:space="preserve">who were </w:t>
      </w:r>
      <w:r w:rsidRPr="00DF2FFC">
        <w:t>65 years of age or older</w:t>
      </w:r>
      <w:r w:rsidR="00491974">
        <w:t xml:space="preserve"> </w:t>
      </w:r>
      <w:r w:rsidRPr="00DF2FFC">
        <w:t>in the years 1982, 1985, 1988, and 1994.</w:t>
      </w:r>
      <w:r>
        <w:t xml:space="preserve"> </w:t>
      </w:r>
      <w:r w:rsidRPr="00DF2FFC">
        <w:t>With the use of the Short Portable Mental Status Questionnaire, cognitive function was evaluated. The questionnaire response was given a high, medium, or low score. Transitioning to a lower category was how cognitive decline was described.</w:t>
      </w:r>
      <w:r>
        <w:t xml:space="preserve"> </w:t>
      </w:r>
      <w:r w:rsidRPr="00DF2FFC">
        <w:t xml:space="preserve">After adjusting for variables including age and sex, people with no social relationships had a higher </w:t>
      </w:r>
      <w:r w:rsidRPr="00DF2FFC">
        <w:lastRenderedPageBreak/>
        <w:t>probability of developing incident cognitive deterioration than people with five or six social ties.</w:t>
      </w:r>
      <w:r>
        <w:t xml:space="preserve"> </w:t>
      </w:r>
      <w:r w:rsidRPr="00DF2FFC">
        <w:t>(Bassuk et al., 1999)</w:t>
      </w:r>
    </w:p>
    <w:p w14:paraId="3ACB43BF" w14:textId="0DC724C5" w:rsidR="008909EB" w:rsidRDefault="00DF2FFC" w:rsidP="008909EB">
      <w:pPr>
        <w:pStyle w:val="NormalWeb"/>
        <w:spacing w:line="480" w:lineRule="auto"/>
        <w:jc w:val="both"/>
      </w:pPr>
      <w:r w:rsidRPr="00DF2FFC">
        <w:t xml:space="preserve">In a study that tracked cognitive and social development over a 7-year period, it was shown that maintaining cognitive function in older persons was correlated with social integration, familial bonds, and participation with family. </w:t>
      </w:r>
      <w:r w:rsidR="00950F1C" w:rsidRPr="00DF2FFC">
        <w:t>Participation</w:t>
      </w:r>
      <w:r w:rsidRPr="00DF2FFC">
        <w:t xml:space="preserve"> in community activities, which reflects social integration, was protective of cognitive ability in the oldest age cohorts.</w:t>
      </w:r>
      <w:r>
        <w:t xml:space="preserve"> </w:t>
      </w:r>
      <w:r w:rsidR="00773367" w:rsidRPr="00773367">
        <w:t>(Béland et al., 2005)</w:t>
      </w:r>
    </w:p>
    <w:p w14:paraId="4CA44299" w14:textId="6DB3580B" w:rsidR="00C02FD1" w:rsidRDefault="00B10FEA" w:rsidP="008909EB">
      <w:pPr>
        <w:pStyle w:val="NormalWeb"/>
        <w:spacing w:line="480" w:lineRule="auto"/>
        <w:jc w:val="both"/>
      </w:pPr>
      <w:r w:rsidRPr="00B10FEA">
        <w:t>It has been demonstrated that cognitive training helps older persons' cognitive and daily functioning skills.</w:t>
      </w:r>
      <w:r w:rsidR="00B65DDD">
        <w:t xml:space="preserve"> </w:t>
      </w:r>
      <w:r w:rsidR="00B40B70" w:rsidRPr="00B40B70">
        <w:t>In order to determine the impact of cognitive training on daily function and the longevity of training on cognitive capacities, a study was conducted in 2006. The research involved a randomised controlled single-blind experiment with four therapy groups that had a five-year follow-up. The volunteers, who were selected from senior homes, community centres, hospitals, and clinics, made up a sample of 2832 independent adults living in six US cities.</w:t>
      </w:r>
      <w:r w:rsidR="00B40B70">
        <w:t xml:space="preserve"> </w:t>
      </w:r>
      <w:r w:rsidR="00481C20" w:rsidRPr="00481C20">
        <w:t>67% of the individuals completed the five-year follow-up. A random sample of participants who successfully finished training underwent 10 training sessions for memory, reasoning, or processing speed, as well as 4 sessions of booster training 11 and 35 months later. According to the study's findings, older persons who underwent 10 hours of speed of processing training showed an increase in processing speed over a 5-year period, which slowed cognitive deterioration. Self-reported instrumental daily living activities showed less functional loss as a result of reasoning training. Cognitive training produced better cognitive capacities unique to the abilities trained that maintained 5 years after the start of the intervention as compared to the control group.</w:t>
      </w:r>
      <w:r w:rsidR="00481C20">
        <w:t xml:space="preserve"> </w:t>
      </w:r>
      <w:r w:rsidR="00876FD9" w:rsidRPr="00876FD9">
        <w:t>(Willis et al., 2006)</w:t>
      </w:r>
    </w:p>
    <w:p w14:paraId="161D1F22" w14:textId="77777777" w:rsidR="00BA381A" w:rsidRDefault="00BA381A" w:rsidP="008909EB">
      <w:pPr>
        <w:pStyle w:val="NormalWeb"/>
        <w:spacing w:line="480" w:lineRule="auto"/>
        <w:jc w:val="both"/>
      </w:pPr>
    </w:p>
    <w:p w14:paraId="555B506D" w14:textId="37997B54" w:rsidR="00E663BB" w:rsidRDefault="00E663BB" w:rsidP="008909EB">
      <w:pPr>
        <w:pStyle w:val="NormalWeb"/>
        <w:spacing w:line="480" w:lineRule="auto"/>
        <w:jc w:val="both"/>
      </w:pPr>
      <w:r>
        <w:lastRenderedPageBreak/>
        <w:t>References:</w:t>
      </w:r>
    </w:p>
    <w:p w14:paraId="7A343879" w14:textId="3B831CD6" w:rsidR="00DF2FFC" w:rsidRDefault="00DF2FFC" w:rsidP="00BA381A">
      <w:pPr>
        <w:pStyle w:val="NormalWeb"/>
        <w:spacing w:line="480" w:lineRule="auto"/>
      </w:pPr>
      <w:r w:rsidRPr="00DF2FFC">
        <w:t>Bassuk, S. S., Glass, T. A., &amp; Berkman, L. F. (1999). Social Disengagement and Incident Cognitive Decline in Community-Dwelling Elderly Persons. Annals of Internal Medicine, 131(3), 165. https://doi.org/10.7326/0003-4819-131-3-199908030-00002</w:t>
      </w:r>
      <w:r>
        <w:t xml:space="preserve"> </w:t>
      </w:r>
    </w:p>
    <w:p w14:paraId="2FF62359" w14:textId="6933CFEA" w:rsidR="008941B7" w:rsidRDefault="008941B7" w:rsidP="00BA381A">
      <w:pPr>
        <w:pStyle w:val="NormalWeb"/>
        <w:spacing w:line="480" w:lineRule="auto"/>
        <w:rPr>
          <w:rStyle w:val="Hyperlink"/>
        </w:rPr>
      </w:pPr>
      <w:r w:rsidRPr="008941B7">
        <w:t xml:space="preserve">Béland, F., Zunzunegui, M.-V., Alvarado, B., Otero, A., &amp; Del Ser, T. (2005). Trajectories of cognitive decline and social relations. The Journals of Gerontology. Series B, Psychological Sciences and Social Sciences, 60(6), P320–P330. </w:t>
      </w:r>
      <w:hyperlink r:id="rId4" w:history="1">
        <w:r w:rsidR="008909EB" w:rsidRPr="00F5440A">
          <w:rPr>
            <w:rStyle w:val="Hyperlink"/>
          </w:rPr>
          <w:t>https://doi.org/10.1093/geronb/60.6.p320</w:t>
        </w:r>
      </w:hyperlink>
    </w:p>
    <w:p w14:paraId="03BC42DE" w14:textId="0FF67804" w:rsidR="00383135" w:rsidRDefault="00383135" w:rsidP="00BA381A">
      <w:pPr>
        <w:pStyle w:val="NormalWeb"/>
        <w:spacing w:line="480" w:lineRule="auto"/>
      </w:pPr>
      <w:r w:rsidRPr="00383135">
        <w:t>Bosnes, I., Bosnes, O., Stordal, E., Nordahl, H. M., Myklebust, T. Å., &amp; Almkvist, O. (2022). Processing speed and working memory are predicted by components of successful aging: a HUNT study. BMC Psychology, 10(1). https://doi.org/10.1186/s40359-022-00718-7</w:t>
      </w:r>
    </w:p>
    <w:p w14:paraId="46D2265A" w14:textId="1459F7CC" w:rsidR="00232AD9" w:rsidRDefault="00232AD9" w:rsidP="00BA381A">
      <w:pPr>
        <w:pStyle w:val="NormalWeb"/>
        <w:spacing w:line="480" w:lineRule="auto"/>
      </w:pPr>
      <w:r w:rsidRPr="00232AD9">
        <w:t>Daugherty, A. M., Shair, S., Kavcic, V., &amp; Giordani, B. (2020). Slowed processing speed contributes to cognitive deficits in amnestic and non‐amnestic mild cognitive impairment. Alzheimer’s &amp; Dementia, 16(S6). https://doi.org/10.1002/alz.043163</w:t>
      </w:r>
    </w:p>
    <w:p w14:paraId="3684CD18" w14:textId="1BE1E2BC" w:rsidR="008909EB" w:rsidRDefault="008909EB" w:rsidP="00BA381A">
      <w:pPr>
        <w:pStyle w:val="NormalWeb"/>
        <w:spacing w:line="480" w:lineRule="auto"/>
      </w:pPr>
      <w:r w:rsidRPr="008909EB">
        <w:t xml:space="preserve">Deary, I. J., Corley, J., Gow, A. J., Harris, S. E., Houlihan, L. M., Marioni, R. E., Penke, L., Rafnsson, S. B., &amp; Starr, J. M. (2009). Age-associated cognitive decline. British Medical Bulletin, 92(1), 135–152. </w:t>
      </w:r>
      <w:hyperlink r:id="rId5" w:history="1">
        <w:r w:rsidR="000A397C" w:rsidRPr="00C131CA">
          <w:rPr>
            <w:rStyle w:val="Hyperlink"/>
          </w:rPr>
          <w:t>https://doi.org/10.1093/bmb/ldp033</w:t>
        </w:r>
      </w:hyperlink>
    </w:p>
    <w:p w14:paraId="45B28B6E" w14:textId="77777777" w:rsidR="000A397C" w:rsidRDefault="000A397C" w:rsidP="00BA381A">
      <w:pPr>
        <w:pStyle w:val="NormalWeb"/>
        <w:spacing w:before="0" w:beforeAutospacing="0" w:after="0" w:afterAutospacing="0" w:line="480" w:lineRule="auto"/>
      </w:pPr>
      <w:r>
        <w:t xml:space="preserve">Ebaid, D., Crewther, S. G., MacCalman, K., Brown, A., &amp; Crewther, D. P. (2017). Cognitive Processing Speed across the Lifespan: Beyond the Influence of Motor Speed. </w:t>
      </w:r>
      <w:r>
        <w:rPr>
          <w:i/>
          <w:iCs/>
        </w:rPr>
        <w:t>Frontiers in Aging Neuroscience</w:t>
      </w:r>
      <w:r>
        <w:t xml:space="preserve">, </w:t>
      </w:r>
      <w:r>
        <w:rPr>
          <w:i/>
          <w:iCs/>
        </w:rPr>
        <w:t>9</w:t>
      </w:r>
      <w:r>
        <w:t>. https://doi.org/10.3389/fnagi.2017.00062</w:t>
      </w:r>
    </w:p>
    <w:p w14:paraId="5B9E7D98" w14:textId="77777777" w:rsidR="000A397C" w:rsidRDefault="000A397C" w:rsidP="00784F51">
      <w:pPr>
        <w:pStyle w:val="NormalWeb"/>
      </w:pPr>
    </w:p>
    <w:p w14:paraId="2A667B3A" w14:textId="4FBDE828" w:rsidR="00CC71A0" w:rsidRDefault="00CC71A0" w:rsidP="00BA381A">
      <w:pPr>
        <w:pStyle w:val="NormalWeb"/>
        <w:spacing w:line="480" w:lineRule="auto"/>
        <w:jc w:val="both"/>
      </w:pPr>
      <w:r w:rsidRPr="00CC71A0">
        <w:lastRenderedPageBreak/>
        <w:t xml:space="preserve">Krueger, K. R., Wilson, R. S., Kamenetsky, J. M., Barnes, L. L., Bienias, J. L., &amp; Bennett, D. A. (2009). Social Engagement and Cognitive Function in Old Age. Experimental Aging Research, 35(1), 45–60. </w:t>
      </w:r>
      <w:hyperlink r:id="rId6" w:history="1">
        <w:r w:rsidR="001B4A0E" w:rsidRPr="00C131CA">
          <w:rPr>
            <w:rStyle w:val="Hyperlink"/>
          </w:rPr>
          <w:t>https://doi.org/10.1080/03610730802545028</w:t>
        </w:r>
      </w:hyperlink>
    </w:p>
    <w:p w14:paraId="4E3CB0EC" w14:textId="051B0E8F" w:rsidR="001B4A0E" w:rsidRDefault="001B4A0E" w:rsidP="00BA381A">
      <w:pPr>
        <w:pStyle w:val="NormalWeb"/>
        <w:spacing w:line="480" w:lineRule="auto"/>
        <w:jc w:val="both"/>
      </w:pPr>
      <w:r w:rsidRPr="001B4A0E">
        <w:t>Lemke, U., &amp; Zimprich, D. (2005). Longitudinal Changes in Memory Performance and Processing Speed in Old Age abstract Keywords. Aging, Neuropsychology, and Cognition, 12(1), 57–77. https://doi.org/10.1080/13825580590925116</w:t>
      </w:r>
    </w:p>
    <w:p w14:paraId="658CB30F" w14:textId="0AA01DC4" w:rsidR="00774E41" w:rsidRDefault="00774E41" w:rsidP="00BA381A">
      <w:pPr>
        <w:pStyle w:val="NormalWeb"/>
        <w:spacing w:line="480" w:lineRule="auto"/>
        <w:jc w:val="both"/>
      </w:pPr>
      <w:r w:rsidRPr="00774E41">
        <w:t xml:space="preserve">Mireles, D. E., &amp; Charness, N. (2002). Computational explorations of the influence of structured knowledge on age-related cognitive decline. Psychology and Aging, 17(2), 245–259. </w:t>
      </w:r>
      <w:hyperlink r:id="rId7" w:history="1">
        <w:r w:rsidRPr="00F5440A">
          <w:rPr>
            <w:rStyle w:val="Hyperlink"/>
          </w:rPr>
          <w:t>https://doi.org/10.1037/0882-7974.17.2.245</w:t>
        </w:r>
      </w:hyperlink>
    </w:p>
    <w:p w14:paraId="3BA29BAE" w14:textId="7540D714" w:rsidR="001D18DA" w:rsidRDefault="001D18DA" w:rsidP="00BA381A">
      <w:pPr>
        <w:pStyle w:val="NormalWeb"/>
        <w:spacing w:line="480" w:lineRule="auto"/>
        <w:jc w:val="both"/>
      </w:pPr>
      <w:r w:rsidRPr="001D18DA">
        <w:t xml:space="preserve">Murman, D. (2015). The Impact of Age on Cognition. Seminars in Hearing, 36(03), 111–121. </w:t>
      </w:r>
      <w:hyperlink r:id="rId8" w:history="1">
        <w:r w:rsidRPr="00F5440A">
          <w:rPr>
            <w:rStyle w:val="Hyperlink"/>
          </w:rPr>
          <w:t>https://doi.org/10.1055/s-0035-1555115</w:t>
        </w:r>
      </w:hyperlink>
      <w:r>
        <w:t xml:space="preserve"> </w:t>
      </w:r>
    </w:p>
    <w:p w14:paraId="6FD3E191" w14:textId="6D907C24" w:rsidR="00992A3A" w:rsidRDefault="00992A3A" w:rsidP="00BA381A">
      <w:pPr>
        <w:pStyle w:val="NormalWeb"/>
        <w:spacing w:line="480" w:lineRule="auto"/>
        <w:jc w:val="both"/>
      </w:pPr>
      <w:r w:rsidRPr="00992A3A">
        <w:t xml:space="preserve">Panza, F., Solfrizzi, V., Colacicco, A., D’Introno, A., Capurso, C., Torres, F., Del Parigi, A., Capurso, S., &amp; Capurso, A. (2004). Mediterranean diet and cognitive decline. Public Health Nutrition, 7(7), 959–963. </w:t>
      </w:r>
      <w:hyperlink r:id="rId9" w:history="1">
        <w:r w:rsidR="00F05259" w:rsidRPr="00F5440A">
          <w:rPr>
            <w:rStyle w:val="Hyperlink"/>
          </w:rPr>
          <w:t>https://doi.org/10.1079/phn2004561</w:t>
        </w:r>
      </w:hyperlink>
    </w:p>
    <w:p w14:paraId="11A2379F" w14:textId="77777777" w:rsidR="00F05259" w:rsidRDefault="00F05259" w:rsidP="00BA381A">
      <w:pPr>
        <w:pStyle w:val="NormalWeb"/>
        <w:spacing w:before="0" w:beforeAutospacing="0" w:after="0" w:afterAutospacing="0" w:line="480" w:lineRule="auto"/>
        <w:ind w:left="720" w:hanging="720"/>
        <w:jc w:val="both"/>
      </w:pPr>
    </w:p>
    <w:p w14:paraId="03FB9014" w14:textId="7FFC6B02" w:rsidR="00F05259" w:rsidRDefault="00F05259" w:rsidP="00BA381A">
      <w:pPr>
        <w:pStyle w:val="NormalWeb"/>
        <w:spacing w:before="0" w:beforeAutospacing="0" w:after="0" w:afterAutospacing="0" w:line="480" w:lineRule="auto"/>
        <w:jc w:val="both"/>
      </w:pPr>
      <w:r>
        <w:t xml:space="preserve">Salthouse, T. A. (1996). The processing-speed theory of adult age differences in cognition. </w:t>
      </w:r>
      <w:r>
        <w:rPr>
          <w:i/>
          <w:iCs/>
        </w:rPr>
        <w:t>Psychological Review</w:t>
      </w:r>
      <w:r>
        <w:t xml:space="preserve">, </w:t>
      </w:r>
      <w:r>
        <w:rPr>
          <w:i/>
          <w:iCs/>
        </w:rPr>
        <w:t>103</w:t>
      </w:r>
      <w:r>
        <w:t xml:space="preserve">(3), 403–428. </w:t>
      </w:r>
      <w:hyperlink r:id="rId10" w:history="1">
        <w:r w:rsidRPr="00F5440A">
          <w:rPr>
            <w:rStyle w:val="Hyperlink"/>
          </w:rPr>
          <w:t>https://doi.org/10.1037/0033-295x.103.3.403</w:t>
        </w:r>
      </w:hyperlink>
    </w:p>
    <w:p w14:paraId="58080522" w14:textId="77777777" w:rsidR="00F05259" w:rsidRDefault="00F05259" w:rsidP="00BA381A">
      <w:pPr>
        <w:pStyle w:val="NormalWeb"/>
        <w:spacing w:before="0" w:beforeAutospacing="0" w:after="0" w:afterAutospacing="0" w:line="480" w:lineRule="auto"/>
        <w:ind w:left="720" w:hanging="720"/>
        <w:jc w:val="both"/>
      </w:pPr>
    </w:p>
    <w:p w14:paraId="248B5308" w14:textId="5A7D100E" w:rsidR="00E663BB" w:rsidRDefault="00E663BB" w:rsidP="00BA381A">
      <w:pPr>
        <w:pStyle w:val="NormalWeb"/>
        <w:spacing w:before="0" w:beforeAutospacing="0" w:after="0" w:afterAutospacing="0" w:line="480" w:lineRule="auto"/>
        <w:jc w:val="both"/>
      </w:pPr>
      <w:r>
        <w:t xml:space="preserve">Salthouse, T. A., Berish, D. E., &amp; Miles, J. D. (2002). The role of cognitive stimulation on the relations between age and cognitive functioning. </w:t>
      </w:r>
      <w:r>
        <w:rPr>
          <w:i/>
          <w:iCs/>
        </w:rPr>
        <w:t>Psychology and Aging</w:t>
      </w:r>
      <w:r>
        <w:t xml:space="preserve">, </w:t>
      </w:r>
      <w:r>
        <w:rPr>
          <w:i/>
          <w:iCs/>
        </w:rPr>
        <w:t>17</w:t>
      </w:r>
      <w:r>
        <w:t xml:space="preserve">(4), 548–557. </w:t>
      </w:r>
      <w:hyperlink r:id="rId11" w:history="1">
        <w:r w:rsidR="004940B5" w:rsidRPr="00F5440A">
          <w:rPr>
            <w:rStyle w:val="Hyperlink"/>
          </w:rPr>
          <w:t>https://doi.org/10.1037/0882-7974.17.4.548</w:t>
        </w:r>
      </w:hyperlink>
    </w:p>
    <w:p w14:paraId="4F3FCC70" w14:textId="77777777" w:rsidR="00A23FFC" w:rsidRPr="00A23FFC" w:rsidRDefault="00A23FFC" w:rsidP="00BA381A">
      <w:pPr>
        <w:pStyle w:val="NormalWeb"/>
        <w:spacing w:line="480" w:lineRule="auto"/>
        <w:jc w:val="both"/>
      </w:pPr>
      <w:r w:rsidRPr="00A23FFC">
        <w:lastRenderedPageBreak/>
        <w:t xml:space="preserve">Salthouse, T. A., &amp; Coon, V. E. (1993). Influence of Task-Specific Processing Speed on Age Differences in Memory. </w:t>
      </w:r>
      <w:r w:rsidRPr="00A23FFC">
        <w:rPr>
          <w:i/>
          <w:iCs/>
        </w:rPr>
        <w:t>Journal of Gerontology</w:t>
      </w:r>
      <w:r w:rsidRPr="00A23FFC">
        <w:t xml:space="preserve">, </w:t>
      </w:r>
      <w:r w:rsidRPr="00A23FFC">
        <w:rPr>
          <w:i/>
          <w:iCs/>
        </w:rPr>
        <w:t>48</w:t>
      </w:r>
      <w:r w:rsidRPr="00A23FFC">
        <w:t>(5), P245–P255. https://doi.org/10.1093/geronj/48.5.p245</w:t>
      </w:r>
    </w:p>
    <w:p w14:paraId="671128BF" w14:textId="77777777" w:rsidR="00992A3A" w:rsidRDefault="00992A3A" w:rsidP="00BA381A">
      <w:pPr>
        <w:pStyle w:val="NormalWeb"/>
        <w:spacing w:before="0" w:beforeAutospacing="0" w:after="0" w:afterAutospacing="0" w:line="480" w:lineRule="auto"/>
        <w:ind w:left="720" w:hanging="720"/>
        <w:jc w:val="both"/>
      </w:pPr>
    </w:p>
    <w:p w14:paraId="7E2C8E61" w14:textId="3B3B2542" w:rsidR="004940B5" w:rsidRDefault="004940B5" w:rsidP="00BA381A">
      <w:pPr>
        <w:pStyle w:val="NormalWeb"/>
        <w:spacing w:before="0" w:beforeAutospacing="0" w:after="0" w:afterAutospacing="0" w:line="480" w:lineRule="auto"/>
        <w:jc w:val="both"/>
      </w:pPr>
      <w:r>
        <w:t xml:space="preserve">Stephen, R., Hongisto, K., Solomon, A., &amp; Lönnroos, E. (2017). Physical Activity and Alzheimer’s Disease: A Systematic Review. </w:t>
      </w:r>
      <w:r>
        <w:rPr>
          <w:i/>
          <w:iCs/>
        </w:rPr>
        <w:t>The Journals of Gerontology Series A: Biological Sciences and Medical Sciences</w:t>
      </w:r>
      <w:r>
        <w:t xml:space="preserve">, glw251. </w:t>
      </w:r>
      <w:hyperlink r:id="rId12" w:history="1">
        <w:r w:rsidR="00614585" w:rsidRPr="00F5440A">
          <w:rPr>
            <w:rStyle w:val="Hyperlink"/>
          </w:rPr>
          <w:t>https://doi.org/10.1093/gerona/glw251</w:t>
        </w:r>
      </w:hyperlink>
    </w:p>
    <w:p w14:paraId="0390AC3C" w14:textId="77777777" w:rsidR="00BA381A" w:rsidRDefault="00BA381A" w:rsidP="00BA381A">
      <w:pPr>
        <w:pStyle w:val="NormalWeb"/>
        <w:spacing w:before="0" w:beforeAutospacing="0" w:after="0" w:afterAutospacing="0" w:line="480" w:lineRule="auto"/>
        <w:jc w:val="both"/>
      </w:pPr>
    </w:p>
    <w:p w14:paraId="2878F5F6" w14:textId="1ED2443D" w:rsidR="00614585" w:rsidRDefault="00614585" w:rsidP="00BA381A">
      <w:pPr>
        <w:pStyle w:val="NormalWeb"/>
        <w:spacing w:before="0" w:beforeAutospacing="0" w:after="0" w:afterAutospacing="0" w:line="480" w:lineRule="auto"/>
        <w:jc w:val="both"/>
      </w:pPr>
      <w:r w:rsidRPr="00614585">
        <w:t xml:space="preserve">van Gelder, B. M., Tijhuis, M. A. R., Kalmijn, S., Giampaoli, S., Nissinen, A., &amp; Kromhout, D. (2004). Physical activity in relation to cognitive decline in elderly men: The FINE Study. Neurology, 63(12), 2316–2321. </w:t>
      </w:r>
      <w:hyperlink r:id="rId13" w:history="1">
        <w:r w:rsidR="00296F1B" w:rsidRPr="00F5440A">
          <w:rPr>
            <w:rStyle w:val="Hyperlink"/>
          </w:rPr>
          <w:t>https://doi.org/10.1212/01.wnl.0000147474.29994.35</w:t>
        </w:r>
      </w:hyperlink>
    </w:p>
    <w:p w14:paraId="02B2D94A" w14:textId="77777777" w:rsidR="00BA381A" w:rsidRDefault="00BA381A" w:rsidP="00BA381A">
      <w:pPr>
        <w:pStyle w:val="NormalWeb"/>
        <w:spacing w:before="0" w:beforeAutospacing="0" w:after="0" w:afterAutospacing="0" w:line="480" w:lineRule="auto"/>
        <w:jc w:val="both"/>
      </w:pPr>
    </w:p>
    <w:p w14:paraId="5BB07E70" w14:textId="2B1C95FD" w:rsidR="00BA381A" w:rsidRPr="00BA381A" w:rsidRDefault="00296F1B" w:rsidP="00BA381A">
      <w:pPr>
        <w:pStyle w:val="NormalWeb"/>
        <w:spacing w:before="0" w:beforeAutospacing="0" w:after="0" w:afterAutospacing="0" w:line="480" w:lineRule="auto"/>
        <w:jc w:val="both"/>
        <w:rPr>
          <w:color w:val="0000FF"/>
          <w:u w:val="single"/>
        </w:rPr>
      </w:pPr>
      <w:r w:rsidRPr="00296F1B">
        <w:t xml:space="preserve">Weuve, J. (2004). Physical Activity, Including Walking, and Cognitive Function in Older Women. JAMA, 292(12), 1454. </w:t>
      </w:r>
      <w:hyperlink r:id="rId14" w:history="1">
        <w:r w:rsidR="0032039C" w:rsidRPr="00C131CA">
          <w:rPr>
            <w:rStyle w:val="Hyperlink"/>
          </w:rPr>
          <w:t>https://doi.org/10.1001/jama.292.12.1454</w:t>
        </w:r>
      </w:hyperlink>
    </w:p>
    <w:p w14:paraId="18AC754C" w14:textId="77777777" w:rsidR="00BA381A" w:rsidRDefault="00BA381A" w:rsidP="00BA381A">
      <w:pPr>
        <w:pStyle w:val="NormalWeb"/>
        <w:spacing w:before="0" w:beforeAutospacing="0" w:after="0" w:afterAutospacing="0" w:line="480" w:lineRule="auto"/>
        <w:jc w:val="both"/>
      </w:pPr>
    </w:p>
    <w:p w14:paraId="37DF5E48" w14:textId="602C25A1" w:rsidR="0032039C" w:rsidRDefault="0032039C" w:rsidP="00BA381A">
      <w:pPr>
        <w:pStyle w:val="NormalWeb"/>
        <w:spacing w:before="0" w:beforeAutospacing="0" w:after="0" w:afterAutospacing="0" w:line="480" w:lineRule="auto"/>
        <w:jc w:val="both"/>
      </w:pPr>
      <w:r w:rsidRPr="0032039C">
        <w:t>Willis, S. L., Tennstedt, S. L., Marsiske, M., Ball, K., Elias, J., Koepke, K. M., Morris, J. N.,</w:t>
      </w:r>
      <w:r w:rsidR="00A41CDA">
        <w:t xml:space="preserve"> </w:t>
      </w:r>
      <w:r w:rsidRPr="0032039C">
        <w:t>Rebok, G. W., Unverzagt, F. W., Stoddard, A. M., Wright, E., &amp; ACTIVE Study Group. (2006). Long-term Effects of Cognitive Training on Everyday Functional Outcomes in Older Adults. JAMA, 296(23), 2805. https://doi.org/10.1001/jama.296.23.2805</w:t>
      </w:r>
    </w:p>
    <w:p w14:paraId="09623771" w14:textId="77777777" w:rsidR="004940B5" w:rsidRDefault="004940B5" w:rsidP="002374BD">
      <w:pPr>
        <w:pStyle w:val="NormalWeb"/>
        <w:spacing w:before="0" w:beforeAutospacing="0" w:after="0" w:afterAutospacing="0" w:line="480" w:lineRule="auto"/>
        <w:ind w:left="720" w:hanging="720"/>
      </w:pPr>
    </w:p>
    <w:p w14:paraId="76C6FAC0" w14:textId="77777777" w:rsidR="00E663BB" w:rsidRDefault="00E663BB" w:rsidP="00784F51">
      <w:pPr>
        <w:pStyle w:val="NormalWeb"/>
      </w:pPr>
    </w:p>
    <w:p w14:paraId="4ED643CC" w14:textId="123B08E6" w:rsidR="00462592" w:rsidRDefault="00462592" w:rsidP="00723780">
      <w:pPr>
        <w:pStyle w:val="NormalWeb"/>
      </w:pPr>
    </w:p>
    <w:p w14:paraId="16B7730F" w14:textId="16C5B26F" w:rsidR="00723780" w:rsidRDefault="00723780"/>
    <w:p w14:paraId="395B17B4" w14:textId="2877090A" w:rsidR="00723780" w:rsidRDefault="00723780"/>
    <w:sectPr w:rsidR="00723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655"/>
    <w:rsid w:val="00011879"/>
    <w:rsid w:val="000139DA"/>
    <w:rsid w:val="000511E0"/>
    <w:rsid w:val="0005387E"/>
    <w:rsid w:val="000A397C"/>
    <w:rsid w:val="000A7679"/>
    <w:rsid w:val="000C2E59"/>
    <w:rsid w:val="000C4C87"/>
    <w:rsid w:val="000D190D"/>
    <w:rsid w:val="0010655D"/>
    <w:rsid w:val="00131AB5"/>
    <w:rsid w:val="001339D1"/>
    <w:rsid w:val="00136CD1"/>
    <w:rsid w:val="00137997"/>
    <w:rsid w:val="00157D96"/>
    <w:rsid w:val="001602B7"/>
    <w:rsid w:val="00190876"/>
    <w:rsid w:val="00191D57"/>
    <w:rsid w:val="001A293C"/>
    <w:rsid w:val="001B074D"/>
    <w:rsid w:val="001B4A0E"/>
    <w:rsid w:val="001B4A18"/>
    <w:rsid w:val="001C4BBA"/>
    <w:rsid w:val="001D18DA"/>
    <w:rsid w:val="001E7440"/>
    <w:rsid w:val="001F4DEE"/>
    <w:rsid w:val="00200CCA"/>
    <w:rsid w:val="00212B4B"/>
    <w:rsid w:val="002230A7"/>
    <w:rsid w:val="00226EF9"/>
    <w:rsid w:val="00232AD9"/>
    <w:rsid w:val="002374BD"/>
    <w:rsid w:val="0024666B"/>
    <w:rsid w:val="00253D8D"/>
    <w:rsid w:val="00254FF0"/>
    <w:rsid w:val="00261679"/>
    <w:rsid w:val="00282FE5"/>
    <w:rsid w:val="00293931"/>
    <w:rsid w:val="00296F1B"/>
    <w:rsid w:val="002A0C87"/>
    <w:rsid w:val="002A6FDD"/>
    <w:rsid w:val="002B204F"/>
    <w:rsid w:val="002C290A"/>
    <w:rsid w:val="002D16A3"/>
    <w:rsid w:val="002D5889"/>
    <w:rsid w:val="002D6CF6"/>
    <w:rsid w:val="00302D57"/>
    <w:rsid w:val="0030632A"/>
    <w:rsid w:val="00313BF9"/>
    <w:rsid w:val="0032039C"/>
    <w:rsid w:val="003259BA"/>
    <w:rsid w:val="00326B85"/>
    <w:rsid w:val="0033067F"/>
    <w:rsid w:val="00331ED4"/>
    <w:rsid w:val="003360AD"/>
    <w:rsid w:val="003375EA"/>
    <w:rsid w:val="00340965"/>
    <w:rsid w:val="003456C3"/>
    <w:rsid w:val="00346487"/>
    <w:rsid w:val="0035096A"/>
    <w:rsid w:val="00373036"/>
    <w:rsid w:val="00380027"/>
    <w:rsid w:val="00383135"/>
    <w:rsid w:val="00397B5A"/>
    <w:rsid w:val="003A1996"/>
    <w:rsid w:val="003C7C25"/>
    <w:rsid w:val="003D6D37"/>
    <w:rsid w:val="003E735D"/>
    <w:rsid w:val="00436825"/>
    <w:rsid w:val="00437AD7"/>
    <w:rsid w:val="00443535"/>
    <w:rsid w:val="0045624F"/>
    <w:rsid w:val="00462592"/>
    <w:rsid w:val="00481C20"/>
    <w:rsid w:val="00491974"/>
    <w:rsid w:val="004940B5"/>
    <w:rsid w:val="004C087F"/>
    <w:rsid w:val="004C14C4"/>
    <w:rsid w:val="004E1B3D"/>
    <w:rsid w:val="0054425F"/>
    <w:rsid w:val="005651C3"/>
    <w:rsid w:val="005769B2"/>
    <w:rsid w:val="005861B5"/>
    <w:rsid w:val="005972BA"/>
    <w:rsid w:val="005A3912"/>
    <w:rsid w:val="005A48C7"/>
    <w:rsid w:val="005A660B"/>
    <w:rsid w:val="005A72DE"/>
    <w:rsid w:val="005C2ADB"/>
    <w:rsid w:val="005F2DA1"/>
    <w:rsid w:val="005F51B3"/>
    <w:rsid w:val="005F6CFD"/>
    <w:rsid w:val="006102AA"/>
    <w:rsid w:val="00614585"/>
    <w:rsid w:val="00630E10"/>
    <w:rsid w:val="0067698A"/>
    <w:rsid w:val="00680A19"/>
    <w:rsid w:val="006947B1"/>
    <w:rsid w:val="006A44E2"/>
    <w:rsid w:val="006F089E"/>
    <w:rsid w:val="006F5B24"/>
    <w:rsid w:val="006F6FE8"/>
    <w:rsid w:val="007108AF"/>
    <w:rsid w:val="00712594"/>
    <w:rsid w:val="0071393C"/>
    <w:rsid w:val="00713C86"/>
    <w:rsid w:val="00723780"/>
    <w:rsid w:val="00723FAB"/>
    <w:rsid w:val="0072498B"/>
    <w:rsid w:val="00732E7E"/>
    <w:rsid w:val="00737DCF"/>
    <w:rsid w:val="00741092"/>
    <w:rsid w:val="00741251"/>
    <w:rsid w:val="00752112"/>
    <w:rsid w:val="00763CAD"/>
    <w:rsid w:val="00765891"/>
    <w:rsid w:val="00773367"/>
    <w:rsid w:val="00774E41"/>
    <w:rsid w:val="0077767F"/>
    <w:rsid w:val="00782225"/>
    <w:rsid w:val="00784F51"/>
    <w:rsid w:val="00785DDD"/>
    <w:rsid w:val="007A66B5"/>
    <w:rsid w:val="007C2D20"/>
    <w:rsid w:val="007D0A2D"/>
    <w:rsid w:val="00812D7B"/>
    <w:rsid w:val="00815FCA"/>
    <w:rsid w:val="00823455"/>
    <w:rsid w:val="00826985"/>
    <w:rsid w:val="00826D44"/>
    <w:rsid w:val="008302C6"/>
    <w:rsid w:val="008543F0"/>
    <w:rsid w:val="00876FD9"/>
    <w:rsid w:val="008909EB"/>
    <w:rsid w:val="008941B7"/>
    <w:rsid w:val="008A0764"/>
    <w:rsid w:val="008B4B4C"/>
    <w:rsid w:val="008B53E6"/>
    <w:rsid w:val="008C1B36"/>
    <w:rsid w:val="008E6C00"/>
    <w:rsid w:val="00904823"/>
    <w:rsid w:val="009211FD"/>
    <w:rsid w:val="009309A4"/>
    <w:rsid w:val="009337CC"/>
    <w:rsid w:val="00944E75"/>
    <w:rsid w:val="00946B69"/>
    <w:rsid w:val="00950F1C"/>
    <w:rsid w:val="00955249"/>
    <w:rsid w:val="00986E5F"/>
    <w:rsid w:val="009923B8"/>
    <w:rsid w:val="00992A3A"/>
    <w:rsid w:val="009A1776"/>
    <w:rsid w:val="009B0952"/>
    <w:rsid w:val="009B74B8"/>
    <w:rsid w:val="009C5C38"/>
    <w:rsid w:val="009D6909"/>
    <w:rsid w:val="009E5CED"/>
    <w:rsid w:val="009F2AD8"/>
    <w:rsid w:val="00A031B2"/>
    <w:rsid w:val="00A05E13"/>
    <w:rsid w:val="00A22329"/>
    <w:rsid w:val="00A23FFC"/>
    <w:rsid w:val="00A26907"/>
    <w:rsid w:val="00A31F66"/>
    <w:rsid w:val="00A41CDA"/>
    <w:rsid w:val="00A564F7"/>
    <w:rsid w:val="00A61110"/>
    <w:rsid w:val="00A77B52"/>
    <w:rsid w:val="00A96BFF"/>
    <w:rsid w:val="00AC0162"/>
    <w:rsid w:val="00AD05DF"/>
    <w:rsid w:val="00AF2A5F"/>
    <w:rsid w:val="00AF3ABE"/>
    <w:rsid w:val="00B05996"/>
    <w:rsid w:val="00B10FEA"/>
    <w:rsid w:val="00B1589B"/>
    <w:rsid w:val="00B20358"/>
    <w:rsid w:val="00B26ABD"/>
    <w:rsid w:val="00B27EFC"/>
    <w:rsid w:val="00B40B70"/>
    <w:rsid w:val="00B5624E"/>
    <w:rsid w:val="00B56E6D"/>
    <w:rsid w:val="00B577FE"/>
    <w:rsid w:val="00B6171F"/>
    <w:rsid w:val="00B65DDD"/>
    <w:rsid w:val="00B707C5"/>
    <w:rsid w:val="00B818FE"/>
    <w:rsid w:val="00B82421"/>
    <w:rsid w:val="00B85ABB"/>
    <w:rsid w:val="00B962DC"/>
    <w:rsid w:val="00BA381A"/>
    <w:rsid w:val="00BA49F4"/>
    <w:rsid w:val="00BA7711"/>
    <w:rsid w:val="00BB4AD1"/>
    <w:rsid w:val="00BC1248"/>
    <w:rsid w:val="00BC78B1"/>
    <w:rsid w:val="00BD450B"/>
    <w:rsid w:val="00BD7A2E"/>
    <w:rsid w:val="00C02FD1"/>
    <w:rsid w:val="00C141DC"/>
    <w:rsid w:val="00C20DE1"/>
    <w:rsid w:val="00C26788"/>
    <w:rsid w:val="00C36729"/>
    <w:rsid w:val="00C41323"/>
    <w:rsid w:val="00C63468"/>
    <w:rsid w:val="00C65741"/>
    <w:rsid w:val="00C66655"/>
    <w:rsid w:val="00C70F75"/>
    <w:rsid w:val="00C7310F"/>
    <w:rsid w:val="00C836FB"/>
    <w:rsid w:val="00C900E7"/>
    <w:rsid w:val="00C94499"/>
    <w:rsid w:val="00CA0128"/>
    <w:rsid w:val="00CA5B57"/>
    <w:rsid w:val="00CB29B2"/>
    <w:rsid w:val="00CB2BDD"/>
    <w:rsid w:val="00CC71A0"/>
    <w:rsid w:val="00D07DF1"/>
    <w:rsid w:val="00D14AEF"/>
    <w:rsid w:val="00D17CEB"/>
    <w:rsid w:val="00D41F9D"/>
    <w:rsid w:val="00D5574E"/>
    <w:rsid w:val="00D56567"/>
    <w:rsid w:val="00D62C9A"/>
    <w:rsid w:val="00D65226"/>
    <w:rsid w:val="00DA05A2"/>
    <w:rsid w:val="00DA3B33"/>
    <w:rsid w:val="00DC1215"/>
    <w:rsid w:val="00DC579F"/>
    <w:rsid w:val="00DD6319"/>
    <w:rsid w:val="00DD760A"/>
    <w:rsid w:val="00DF2FFC"/>
    <w:rsid w:val="00E02DEA"/>
    <w:rsid w:val="00E04AAA"/>
    <w:rsid w:val="00E24FF0"/>
    <w:rsid w:val="00E62AFA"/>
    <w:rsid w:val="00E663BB"/>
    <w:rsid w:val="00E81C9E"/>
    <w:rsid w:val="00E85C64"/>
    <w:rsid w:val="00EA65E3"/>
    <w:rsid w:val="00EB1B6D"/>
    <w:rsid w:val="00EB7457"/>
    <w:rsid w:val="00EC040F"/>
    <w:rsid w:val="00EC5328"/>
    <w:rsid w:val="00ED611A"/>
    <w:rsid w:val="00EF08B7"/>
    <w:rsid w:val="00F00734"/>
    <w:rsid w:val="00F05259"/>
    <w:rsid w:val="00F202EC"/>
    <w:rsid w:val="00F24E3A"/>
    <w:rsid w:val="00F30B81"/>
    <w:rsid w:val="00F43C31"/>
    <w:rsid w:val="00F4709F"/>
    <w:rsid w:val="00F579BB"/>
    <w:rsid w:val="00F65927"/>
    <w:rsid w:val="00F818EA"/>
    <w:rsid w:val="00F83486"/>
    <w:rsid w:val="00F843A7"/>
    <w:rsid w:val="00F908E7"/>
    <w:rsid w:val="00F94055"/>
    <w:rsid w:val="00FA5A02"/>
    <w:rsid w:val="00FB0D0A"/>
    <w:rsid w:val="00FF4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95585"/>
  <w15:chartTrackingRefBased/>
  <w15:docId w15:val="{57A95E78-4851-44AD-91C7-3665345F3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2D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ssue-underline">
    <w:name w:val="issue-underline"/>
    <w:basedOn w:val="DefaultParagraphFont"/>
    <w:rsid w:val="00E02DEA"/>
  </w:style>
  <w:style w:type="character" w:styleId="Hyperlink">
    <w:name w:val="Hyperlink"/>
    <w:basedOn w:val="DefaultParagraphFont"/>
    <w:uiPriority w:val="99"/>
    <w:unhideWhenUsed/>
    <w:rsid w:val="00723780"/>
    <w:rPr>
      <w:color w:val="0000FF"/>
      <w:u w:val="single"/>
    </w:rPr>
  </w:style>
  <w:style w:type="character" w:styleId="UnresolvedMention">
    <w:name w:val="Unresolved Mention"/>
    <w:basedOn w:val="DefaultParagraphFont"/>
    <w:uiPriority w:val="99"/>
    <w:semiHidden/>
    <w:unhideWhenUsed/>
    <w:rsid w:val="004940B5"/>
    <w:rPr>
      <w:color w:val="605E5C"/>
      <w:shd w:val="clear" w:color="auto" w:fill="E1DFDD"/>
    </w:rPr>
  </w:style>
  <w:style w:type="paragraph" w:styleId="Revision">
    <w:name w:val="Revision"/>
    <w:hidden/>
    <w:uiPriority w:val="99"/>
    <w:semiHidden/>
    <w:rsid w:val="00DF2F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2514">
      <w:bodyDiv w:val="1"/>
      <w:marLeft w:val="0"/>
      <w:marRight w:val="0"/>
      <w:marTop w:val="0"/>
      <w:marBottom w:val="0"/>
      <w:divBdr>
        <w:top w:val="none" w:sz="0" w:space="0" w:color="auto"/>
        <w:left w:val="none" w:sz="0" w:space="0" w:color="auto"/>
        <w:bottom w:val="none" w:sz="0" w:space="0" w:color="auto"/>
        <w:right w:val="none" w:sz="0" w:space="0" w:color="auto"/>
      </w:divBdr>
      <w:divsChild>
        <w:div w:id="70471572">
          <w:marLeft w:val="0"/>
          <w:marRight w:val="0"/>
          <w:marTop w:val="0"/>
          <w:marBottom w:val="0"/>
          <w:divBdr>
            <w:top w:val="none" w:sz="0" w:space="0" w:color="auto"/>
            <w:left w:val="none" w:sz="0" w:space="0" w:color="auto"/>
            <w:bottom w:val="none" w:sz="0" w:space="0" w:color="auto"/>
            <w:right w:val="none" w:sz="0" w:space="0" w:color="auto"/>
          </w:divBdr>
        </w:div>
      </w:divsChild>
    </w:div>
    <w:div w:id="593783777">
      <w:bodyDiv w:val="1"/>
      <w:marLeft w:val="0"/>
      <w:marRight w:val="0"/>
      <w:marTop w:val="0"/>
      <w:marBottom w:val="0"/>
      <w:divBdr>
        <w:top w:val="none" w:sz="0" w:space="0" w:color="auto"/>
        <w:left w:val="none" w:sz="0" w:space="0" w:color="auto"/>
        <w:bottom w:val="none" w:sz="0" w:space="0" w:color="auto"/>
        <w:right w:val="none" w:sz="0" w:space="0" w:color="auto"/>
      </w:divBdr>
      <w:divsChild>
        <w:div w:id="1874465704">
          <w:marLeft w:val="0"/>
          <w:marRight w:val="0"/>
          <w:marTop w:val="0"/>
          <w:marBottom w:val="0"/>
          <w:divBdr>
            <w:top w:val="none" w:sz="0" w:space="0" w:color="auto"/>
            <w:left w:val="none" w:sz="0" w:space="0" w:color="auto"/>
            <w:bottom w:val="none" w:sz="0" w:space="0" w:color="auto"/>
            <w:right w:val="none" w:sz="0" w:space="0" w:color="auto"/>
          </w:divBdr>
        </w:div>
      </w:divsChild>
    </w:div>
    <w:div w:id="666594993">
      <w:bodyDiv w:val="1"/>
      <w:marLeft w:val="0"/>
      <w:marRight w:val="0"/>
      <w:marTop w:val="0"/>
      <w:marBottom w:val="0"/>
      <w:divBdr>
        <w:top w:val="none" w:sz="0" w:space="0" w:color="auto"/>
        <w:left w:val="none" w:sz="0" w:space="0" w:color="auto"/>
        <w:bottom w:val="none" w:sz="0" w:space="0" w:color="auto"/>
        <w:right w:val="none" w:sz="0" w:space="0" w:color="auto"/>
      </w:divBdr>
    </w:div>
    <w:div w:id="680205040">
      <w:bodyDiv w:val="1"/>
      <w:marLeft w:val="0"/>
      <w:marRight w:val="0"/>
      <w:marTop w:val="0"/>
      <w:marBottom w:val="0"/>
      <w:divBdr>
        <w:top w:val="none" w:sz="0" w:space="0" w:color="auto"/>
        <w:left w:val="none" w:sz="0" w:space="0" w:color="auto"/>
        <w:bottom w:val="none" w:sz="0" w:space="0" w:color="auto"/>
        <w:right w:val="none" w:sz="0" w:space="0" w:color="auto"/>
      </w:divBdr>
      <w:divsChild>
        <w:div w:id="608247191">
          <w:marLeft w:val="0"/>
          <w:marRight w:val="0"/>
          <w:marTop w:val="0"/>
          <w:marBottom w:val="0"/>
          <w:divBdr>
            <w:top w:val="none" w:sz="0" w:space="0" w:color="auto"/>
            <w:left w:val="none" w:sz="0" w:space="0" w:color="auto"/>
            <w:bottom w:val="none" w:sz="0" w:space="0" w:color="auto"/>
            <w:right w:val="none" w:sz="0" w:space="0" w:color="auto"/>
          </w:divBdr>
        </w:div>
      </w:divsChild>
    </w:div>
    <w:div w:id="1037509170">
      <w:bodyDiv w:val="1"/>
      <w:marLeft w:val="0"/>
      <w:marRight w:val="0"/>
      <w:marTop w:val="0"/>
      <w:marBottom w:val="0"/>
      <w:divBdr>
        <w:top w:val="none" w:sz="0" w:space="0" w:color="auto"/>
        <w:left w:val="none" w:sz="0" w:space="0" w:color="auto"/>
        <w:bottom w:val="none" w:sz="0" w:space="0" w:color="auto"/>
        <w:right w:val="none" w:sz="0" w:space="0" w:color="auto"/>
      </w:divBdr>
    </w:div>
    <w:div w:id="1254047421">
      <w:bodyDiv w:val="1"/>
      <w:marLeft w:val="0"/>
      <w:marRight w:val="0"/>
      <w:marTop w:val="0"/>
      <w:marBottom w:val="0"/>
      <w:divBdr>
        <w:top w:val="none" w:sz="0" w:space="0" w:color="auto"/>
        <w:left w:val="none" w:sz="0" w:space="0" w:color="auto"/>
        <w:bottom w:val="none" w:sz="0" w:space="0" w:color="auto"/>
        <w:right w:val="none" w:sz="0" w:space="0" w:color="auto"/>
      </w:divBdr>
      <w:divsChild>
        <w:div w:id="408161256">
          <w:marLeft w:val="0"/>
          <w:marRight w:val="0"/>
          <w:marTop w:val="0"/>
          <w:marBottom w:val="0"/>
          <w:divBdr>
            <w:top w:val="none" w:sz="0" w:space="0" w:color="auto"/>
            <w:left w:val="none" w:sz="0" w:space="0" w:color="auto"/>
            <w:bottom w:val="none" w:sz="0" w:space="0" w:color="auto"/>
            <w:right w:val="none" w:sz="0" w:space="0" w:color="auto"/>
          </w:divBdr>
        </w:div>
      </w:divsChild>
    </w:div>
    <w:div w:id="1284267448">
      <w:bodyDiv w:val="1"/>
      <w:marLeft w:val="0"/>
      <w:marRight w:val="0"/>
      <w:marTop w:val="0"/>
      <w:marBottom w:val="0"/>
      <w:divBdr>
        <w:top w:val="none" w:sz="0" w:space="0" w:color="auto"/>
        <w:left w:val="none" w:sz="0" w:space="0" w:color="auto"/>
        <w:bottom w:val="none" w:sz="0" w:space="0" w:color="auto"/>
        <w:right w:val="none" w:sz="0" w:space="0" w:color="auto"/>
      </w:divBdr>
      <w:divsChild>
        <w:div w:id="1538734646">
          <w:marLeft w:val="0"/>
          <w:marRight w:val="0"/>
          <w:marTop w:val="0"/>
          <w:marBottom w:val="0"/>
          <w:divBdr>
            <w:top w:val="none" w:sz="0" w:space="0" w:color="auto"/>
            <w:left w:val="none" w:sz="0" w:space="0" w:color="auto"/>
            <w:bottom w:val="none" w:sz="0" w:space="0" w:color="auto"/>
            <w:right w:val="none" w:sz="0" w:space="0" w:color="auto"/>
          </w:divBdr>
        </w:div>
      </w:divsChild>
    </w:div>
    <w:div w:id="1330257850">
      <w:bodyDiv w:val="1"/>
      <w:marLeft w:val="0"/>
      <w:marRight w:val="0"/>
      <w:marTop w:val="0"/>
      <w:marBottom w:val="0"/>
      <w:divBdr>
        <w:top w:val="none" w:sz="0" w:space="0" w:color="auto"/>
        <w:left w:val="none" w:sz="0" w:space="0" w:color="auto"/>
        <w:bottom w:val="none" w:sz="0" w:space="0" w:color="auto"/>
        <w:right w:val="none" w:sz="0" w:space="0" w:color="auto"/>
      </w:divBdr>
    </w:div>
    <w:div w:id="1368069125">
      <w:bodyDiv w:val="1"/>
      <w:marLeft w:val="0"/>
      <w:marRight w:val="0"/>
      <w:marTop w:val="0"/>
      <w:marBottom w:val="0"/>
      <w:divBdr>
        <w:top w:val="none" w:sz="0" w:space="0" w:color="auto"/>
        <w:left w:val="none" w:sz="0" w:space="0" w:color="auto"/>
        <w:bottom w:val="none" w:sz="0" w:space="0" w:color="auto"/>
        <w:right w:val="none" w:sz="0" w:space="0" w:color="auto"/>
      </w:divBdr>
      <w:divsChild>
        <w:div w:id="44311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55/s-0035-1555115" TargetMode="External"/><Relationship Id="rId13" Type="http://schemas.openxmlformats.org/officeDocument/2006/relationships/hyperlink" Target="https://doi.org/10.1212/01.wnl.0000147474.29994.35" TargetMode="External"/><Relationship Id="rId3" Type="http://schemas.openxmlformats.org/officeDocument/2006/relationships/webSettings" Target="webSettings.xml"/><Relationship Id="rId7" Type="http://schemas.openxmlformats.org/officeDocument/2006/relationships/hyperlink" Target="https://doi.org/10.1037/0882-7974.17.2.245" TargetMode="External"/><Relationship Id="rId12" Type="http://schemas.openxmlformats.org/officeDocument/2006/relationships/hyperlink" Target="https://doi.org/10.1093/gerona/glw251"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080/03610730802545028" TargetMode="External"/><Relationship Id="rId11" Type="http://schemas.openxmlformats.org/officeDocument/2006/relationships/hyperlink" Target="https://doi.org/10.1037/0882-7974.17.4.548" TargetMode="External"/><Relationship Id="rId5" Type="http://schemas.openxmlformats.org/officeDocument/2006/relationships/hyperlink" Target="https://doi.org/10.1093/bmb/ldp033" TargetMode="External"/><Relationship Id="rId15" Type="http://schemas.openxmlformats.org/officeDocument/2006/relationships/fontTable" Target="fontTable.xml"/><Relationship Id="rId10" Type="http://schemas.openxmlformats.org/officeDocument/2006/relationships/hyperlink" Target="https://doi.org/10.1037/0033-295x.103.3.403" TargetMode="External"/><Relationship Id="rId4" Type="http://schemas.openxmlformats.org/officeDocument/2006/relationships/hyperlink" Target="https://doi.org/10.1093/geronb/60.6.p320" TargetMode="External"/><Relationship Id="rId9" Type="http://schemas.openxmlformats.org/officeDocument/2006/relationships/hyperlink" Target="https://doi.org/10.1079/phn2004561" TargetMode="External"/><Relationship Id="rId14" Type="http://schemas.openxmlformats.org/officeDocument/2006/relationships/hyperlink" Target="https://doi.org/10.1001/jama.292.12.1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4362</TotalTime>
  <Pages>11</Pages>
  <Words>3155</Words>
  <Characters>17984</Characters>
  <Application>Microsoft Office Word</Application>
  <DocSecurity>0</DocSecurity>
  <Lines>149</Lines>
  <Paragraphs>42</Paragraphs>
  <ScaleCrop>false</ScaleCrop>
  <Company/>
  <LinksUpToDate>false</LinksUpToDate>
  <CharactersWithSpaces>21097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Lewis</dc:creator>
  <cp:keywords/>
  <dc:description/>
  <cp:lastModifiedBy>Daniel Lewis</cp:lastModifiedBy>
  <cp:revision>262</cp:revision>
  <dcterms:created xsi:type="dcterms:W3CDTF">2023-01-03T09:49:00Z</dcterms:created>
  <dcterms:modified xsi:type="dcterms:W3CDTF">2023-01-09T10:34:00Z</dcterms:modified>
</cp:coreProperties>
</file>