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5EC243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8761FE">
              <w:rPr>
                <w:rFonts w:ascii="Times New Roman" w:hAnsi="Times New Roman" w:cs="Times New Roman"/>
                <w:color w:val="auto"/>
                <w:sz w:val="48"/>
              </w:rPr>
              <w:t xml:space="preserve"> Gethin Davies</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866555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761FE">
              <w:rPr>
                <w:rFonts w:ascii="Times New Roman" w:hAnsi="Times New Roman" w:cs="Times New Roman"/>
                <w:color w:val="auto"/>
                <w:sz w:val="48"/>
              </w:rPr>
              <w:t xml:space="preserve"> Gethin.davies@conwy.gov.uk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93A722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761FE" w:rsidRPr="00BC408B">
              <w:rPr>
                <w:sz w:val="32"/>
                <w:szCs w:val="32"/>
              </w:rPr>
              <w:t xml:space="preserve"> 2319563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1FEBF2DB" w:rsidR="008D5999" w:rsidRDefault="008D5999" w:rsidP="00064063">
            <w:pPr>
              <w:jc w:val="both"/>
              <w:rPr>
                <w:sz w:val="24"/>
                <w:szCs w:val="24"/>
              </w:rPr>
            </w:pPr>
          </w:p>
          <w:p w14:paraId="39D07E9F" w14:textId="36BAC4F9" w:rsidR="0000074C" w:rsidRDefault="0000074C" w:rsidP="00064063">
            <w:pPr>
              <w:jc w:val="both"/>
              <w:rPr>
                <w:rFonts w:asciiTheme="minorHAnsi" w:hAnsiTheme="minorHAnsi" w:cstheme="minorHAnsi"/>
                <w:sz w:val="24"/>
                <w:szCs w:val="24"/>
              </w:rPr>
            </w:pPr>
            <w:r w:rsidRPr="0000074C">
              <w:rPr>
                <w:rFonts w:asciiTheme="minorHAnsi" w:hAnsiTheme="minorHAnsi" w:cstheme="minorHAnsi"/>
                <w:sz w:val="24"/>
                <w:szCs w:val="24"/>
              </w:rPr>
              <w:t>A</w:t>
            </w:r>
            <w:r>
              <w:rPr>
                <w:rFonts w:asciiTheme="minorHAnsi" w:hAnsiTheme="minorHAnsi" w:cstheme="minorHAnsi"/>
                <w:sz w:val="24"/>
                <w:szCs w:val="24"/>
              </w:rPr>
              <w:t xml:space="preserve">dult one is a Caucasian female, in her late </w:t>
            </w:r>
            <w:r w:rsidR="00BF2EB1">
              <w:rPr>
                <w:rFonts w:asciiTheme="minorHAnsi" w:hAnsiTheme="minorHAnsi" w:cstheme="minorHAnsi"/>
                <w:sz w:val="24"/>
                <w:szCs w:val="24"/>
              </w:rPr>
              <w:t xml:space="preserve">fifties. Adult one is, and describes herself as, a ‘foundling’. This is a term to describe babies abandoned by their birth parents and then found. Although unsure of where she was born, Adult one was raised in a Welsh town by Welsh adoptive parents and her first language was Welsh. She lives with her partner, male in his late fifties, who is originally from the North of England. Prior to the </w:t>
            </w:r>
            <w:proofErr w:type="spellStart"/>
            <w:r w:rsidR="00BF2EB1">
              <w:rPr>
                <w:rFonts w:asciiTheme="minorHAnsi" w:hAnsiTheme="minorHAnsi" w:cstheme="minorHAnsi"/>
                <w:sz w:val="24"/>
                <w:szCs w:val="24"/>
              </w:rPr>
              <w:t>Covid</w:t>
            </w:r>
            <w:proofErr w:type="spellEnd"/>
            <w:r w:rsidR="00BF2EB1">
              <w:rPr>
                <w:rFonts w:asciiTheme="minorHAnsi" w:hAnsiTheme="minorHAnsi" w:cstheme="minorHAnsi"/>
                <w:sz w:val="24"/>
                <w:szCs w:val="24"/>
              </w:rPr>
              <w:t xml:space="preserve"> lockdown, the couple moved into a warden control</w:t>
            </w:r>
            <w:r w:rsidR="00DB622C">
              <w:rPr>
                <w:rFonts w:asciiTheme="minorHAnsi" w:hAnsiTheme="minorHAnsi" w:cstheme="minorHAnsi"/>
                <w:sz w:val="24"/>
                <w:szCs w:val="24"/>
              </w:rPr>
              <w:t>, housing association</w:t>
            </w:r>
            <w:r w:rsidR="00BF2EB1">
              <w:rPr>
                <w:rFonts w:asciiTheme="minorHAnsi" w:hAnsiTheme="minorHAnsi" w:cstheme="minorHAnsi"/>
                <w:sz w:val="24"/>
                <w:szCs w:val="24"/>
              </w:rPr>
              <w:t xml:space="preserve"> sheltered accommodation in Wales</w:t>
            </w:r>
            <w:r w:rsidR="00DB622C">
              <w:rPr>
                <w:rFonts w:asciiTheme="minorHAnsi" w:hAnsiTheme="minorHAnsi" w:cstheme="minorHAnsi"/>
                <w:sz w:val="24"/>
                <w:szCs w:val="24"/>
              </w:rPr>
              <w:t xml:space="preserve">. The housing association supported the couple to move to alternative accommodation due to issues of self-neglect. The couple have minimal support network, elderly parent living in Scotland and they don’t interact with the other tenants at the sheltered accommodation. The area where they now live does have </w:t>
            </w:r>
            <w:r w:rsidR="00B26E86">
              <w:rPr>
                <w:rFonts w:asciiTheme="minorHAnsi" w:hAnsiTheme="minorHAnsi" w:cstheme="minorHAnsi"/>
                <w:sz w:val="24"/>
                <w:szCs w:val="24"/>
              </w:rPr>
              <w:t xml:space="preserve">issues with anti-social behaviour, which may be a factor in why they rarely leave the property. </w:t>
            </w:r>
            <w:r w:rsidR="003155A5">
              <w:rPr>
                <w:rFonts w:asciiTheme="minorHAnsi" w:hAnsiTheme="minorHAnsi" w:cstheme="minorHAnsi"/>
                <w:sz w:val="24"/>
                <w:szCs w:val="24"/>
              </w:rPr>
              <w:t>Anti-Social behaviour in Wales makes up 16% of all reported crimes, and the number has decreased by 7.5% from 2023-2024 (plumpot,2024)</w:t>
            </w:r>
          </w:p>
          <w:p w14:paraId="3623462C" w14:textId="5A4F074F" w:rsidR="00314484" w:rsidRDefault="00314484" w:rsidP="00064063">
            <w:pPr>
              <w:jc w:val="both"/>
              <w:rPr>
                <w:rFonts w:asciiTheme="minorHAnsi" w:hAnsiTheme="minorHAnsi" w:cstheme="minorHAnsi"/>
                <w:sz w:val="24"/>
                <w:szCs w:val="24"/>
              </w:rPr>
            </w:pPr>
          </w:p>
          <w:p w14:paraId="708BB58F" w14:textId="13F16179" w:rsidR="00B26E86" w:rsidRDefault="00B26E86" w:rsidP="00064063">
            <w:pPr>
              <w:jc w:val="both"/>
              <w:rPr>
                <w:rFonts w:asciiTheme="minorHAnsi" w:hAnsiTheme="minorHAnsi" w:cstheme="minorHAnsi"/>
                <w:sz w:val="24"/>
                <w:szCs w:val="24"/>
              </w:rPr>
            </w:pPr>
            <w:r>
              <w:rPr>
                <w:rFonts w:asciiTheme="minorHAnsi" w:hAnsiTheme="minorHAnsi" w:cstheme="minorHAnsi"/>
                <w:sz w:val="24"/>
                <w:szCs w:val="24"/>
              </w:rPr>
              <w:t xml:space="preserve">Adult one has an undiagnosed type of dementia, where she has excellent long term memory but very poor short term which </w:t>
            </w:r>
            <w:r w:rsidR="00BC2391">
              <w:rPr>
                <w:rFonts w:asciiTheme="minorHAnsi" w:hAnsiTheme="minorHAnsi" w:cstheme="minorHAnsi"/>
                <w:sz w:val="24"/>
                <w:szCs w:val="24"/>
              </w:rPr>
              <w:t>resulted from</w:t>
            </w:r>
            <w:r>
              <w:rPr>
                <w:rFonts w:asciiTheme="minorHAnsi" w:hAnsiTheme="minorHAnsi" w:cstheme="minorHAnsi"/>
                <w:sz w:val="24"/>
                <w:szCs w:val="24"/>
              </w:rPr>
              <w:t xml:space="preserve"> a blood infection. Adult one also has a number of physical health issues that impact upon her mobility.</w:t>
            </w:r>
            <w:r w:rsidR="00A54530">
              <w:rPr>
                <w:rFonts w:asciiTheme="minorHAnsi" w:hAnsiTheme="minorHAnsi" w:cstheme="minorHAnsi"/>
                <w:sz w:val="24"/>
                <w:szCs w:val="24"/>
              </w:rPr>
              <w:t xml:space="preserve"> She is described as an ‘Adult at Risk’, </w:t>
            </w:r>
            <w:r w:rsidR="00CF73B2">
              <w:rPr>
                <w:rFonts w:asciiTheme="minorHAnsi" w:hAnsiTheme="minorHAnsi" w:cstheme="minorHAnsi"/>
                <w:sz w:val="24"/>
                <w:szCs w:val="24"/>
              </w:rPr>
              <w:t xml:space="preserve">which under </w:t>
            </w:r>
            <w:r w:rsidR="00A54530">
              <w:rPr>
                <w:rFonts w:asciiTheme="minorHAnsi" w:hAnsiTheme="minorHAnsi" w:cstheme="minorHAnsi"/>
                <w:sz w:val="24"/>
                <w:szCs w:val="24"/>
              </w:rPr>
              <w:t xml:space="preserve">Section 126 (1) of the Social Services and Wellbeing (Wales) Act 2014 defines this as someone who is </w:t>
            </w:r>
          </w:p>
          <w:p w14:paraId="093ACE21" w14:textId="77777777" w:rsidR="00F9371A" w:rsidRDefault="00F9371A" w:rsidP="00064063">
            <w:pPr>
              <w:jc w:val="both"/>
              <w:rPr>
                <w:rFonts w:asciiTheme="minorHAnsi" w:hAnsiTheme="minorHAnsi" w:cstheme="minorHAnsi"/>
                <w:sz w:val="24"/>
                <w:szCs w:val="24"/>
              </w:rPr>
            </w:pPr>
          </w:p>
          <w:p w14:paraId="033CFE0D" w14:textId="4E22F024" w:rsidR="00A54530" w:rsidRPr="00A54530" w:rsidRDefault="00A54530" w:rsidP="00A54530">
            <w:pPr>
              <w:pStyle w:val="ListParagraph"/>
              <w:numPr>
                <w:ilvl w:val="0"/>
                <w:numId w:val="54"/>
              </w:numPr>
              <w:jc w:val="both"/>
              <w:rPr>
                <w:rFonts w:asciiTheme="minorHAnsi" w:hAnsiTheme="minorHAnsi" w:cstheme="minorHAnsi"/>
                <w:sz w:val="24"/>
                <w:szCs w:val="24"/>
              </w:rPr>
            </w:pPr>
            <w:r w:rsidRPr="00A54530">
              <w:rPr>
                <w:rFonts w:asciiTheme="minorHAnsi" w:hAnsiTheme="minorHAnsi" w:cstheme="minorHAnsi"/>
                <w:sz w:val="24"/>
                <w:szCs w:val="24"/>
              </w:rPr>
              <w:t>“Experiencing or at risk of abuse or neglect</w:t>
            </w:r>
          </w:p>
          <w:p w14:paraId="6B570717" w14:textId="46DB6B23" w:rsidR="00A54530" w:rsidRPr="00A54530" w:rsidRDefault="00A54530" w:rsidP="00A54530">
            <w:pPr>
              <w:pStyle w:val="ListParagraph"/>
              <w:numPr>
                <w:ilvl w:val="0"/>
                <w:numId w:val="54"/>
              </w:numPr>
              <w:jc w:val="both"/>
              <w:rPr>
                <w:rFonts w:asciiTheme="minorHAnsi" w:hAnsiTheme="minorHAnsi" w:cstheme="minorHAnsi"/>
                <w:sz w:val="24"/>
                <w:szCs w:val="24"/>
              </w:rPr>
            </w:pPr>
            <w:r w:rsidRPr="00A54530">
              <w:rPr>
                <w:rFonts w:asciiTheme="minorHAnsi" w:hAnsiTheme="minorHAnsi" w:cstheme="minorHAnsi"/>
                <w:sz w:val="24"/>
                <w:szCs w:val="24"/>
              </w:rPr>
              <w:t xml:space="preserve">Has care and support </w:t>
            </w:r>
            <w:r w:rsidR="00CF73B2">
              <w:rPr>
                <w:rFonts w:asciiTheme="minorHAnsi" w:hAnsiTheme="minorHAnsi" w:cstheme="minorHAnsi"/>
                <w:sz w:val="24"/>
                <w:szCs w:val="24"/>
              </w:rPr>
              <w:t xml:space="preserve">needs … </w:t>
            </w:r>
            <w:r w:rsidRPr="00A54530">
              <w:rPr>
                <w:rFonts w:asciiTheme="minorHAnsi" w:hAnsiTheme="minorHAnsi" w:cstheme="minorHAnsi"/>
                <w:sz w:val="24"/>
                <w:szCs w:val="24"/>
              </w:rPr>
              <w:t xml:space="preserve">whether or not the </w:t>
            </w:r>
            <w:r w:rsidR="00CF73B2">
              <w:rPr>
                <w:rFonts w:asciiTheme="minorHAnsi" w:hAnsiTheme="minorHAnsi" w:cstheme="minorHAnsi"/>
                <w:sz w:val="24"/>
                <w:szCs w:val="24"/>
              </w:rPr>
              <w:t xml:space="preserve">local </w:t>
            </w:r>
            <w:r w:rsidRPr="00A54530">
              <w:rPr>
                <w:rFonts w:asciiTheme="minorHAnsi" w:hAnsiTheme="minorHAnsi" w:cstheme="minorHAnsi"/>
                <w:sz w:val="24"/>
                <w:szCs w:val="24"/>
              </w:rPr>
              <w:t>authority is meeting those ne</w:t>
            </w:r>
            <w:r>
              <w:rPr>
                <w:rFonts w:asciiTheme="minorHAnsi" w:hAnsiTheme="minorHAnsi" w:cstheme="minorHAnsi"/>
                <w:sz w:val="24"/>
                <w:szCs w:val="24"/>
              </w:rPr>
              <w:t>e</w:t>
            </w:r>
            <w:r w:rsidR="00CF73B2">
              <w:rPr>
                <w:rFonts w:asciiTheme="minorHAnsi" w:hAnsiTheme="minorHAnsi" w:cstheme="minorHAnsi"/>
                <w:sz w:val="24"/>
                <w:szCs w:val="24"/>
              </w:rPr>
              <w:t>ds</w:t>
            </w:r>
          </w:p>
          <w:p w14:paraId="487AC6DC" w14:textId="52D326B7" w:rsidR="00A54530" w:rsidRDefault="00A54530" w:rsidP="00A54530">
            <w:pPr>
              <w:pStyle w:val="ListParagraph"/>
              <w:numPr>
                <w:ilvl w:val="0"/>
                <w:numId w:val="54"/>
              </w:numPr>
              <w:jc w:val="both"/>
              <w:rPr>
                <w:rFonts w:asciiTheme="minorHAnsi" w:hAnsiTheme="minorHAnsi" w:cstheme="minorHAnsi"/>
                <w:sz w:val="24"/>
                <w:szCs w:val="24"/>
              </w:rPr>
            </w:pPr>
            <w:r w:rsidRPr="00A54530">
              <w:rPr>
                <w:rFonts w:asciiTheme="minorHAnsi" w:hAnsiTheme="minorHAnsi" w:cstheme="minorHAnsi"/>
                <w:sz w:val="24"/>
                <w:szCs w:val="24"/>
              </w:rPr>
              <w:t>Unable to protect themselves against the abuse or neglect or risk of it.”</w:t>
            </w:r>
          </w:p>
          <w:p w14:paraId="0981123A" w14:textId="77777777" w:rsidR="00F9371A" w:rsidRDefault="00F9371A" w:rsidP="00F9371A">
            <w:pPr>
              <w:pStyle w:val="ListParagraph"/>
              <w:jc w:val="both"/>
              <w:rPr>
                <w:rFonts w:asciiTheme="minorHAnsi" w:hAnsiTheme="minorHAnsi" w:cstheme="minorHAnsi"/>
                <w:sz w:val="24"/>
                <w:szCs w:val="24"/>
              </w:rPr>
            </w:pPr>
          </w:p>
          <w:p w14:paraId="3FBC36B7" w14:textId="18379E77" w:rsidR="00802CAF" w:rsidRPr="00802CAF" w:rsidRDefault="00802CAF" w:rsidP="00802CAF">
            <w:pPr>
              <w:jc w:val="both"/>
              <w:rPr>
                <w:rFonts w:asciiTheme="minorHAnsi" w:hAnsiTheme="minorHAnsi" w:cstheme="minorHAnsi"/>
                <w:sz w:val="24"/>
                <w:szCs w:val="24"/>
              </w:rPr>
            </w:pPr>
            <w:r>
              <w:rPr>
                <w:rFonts w:asciiTheme="minorHAnsi" w:hAnsiTheme="minorHAnsi" w:cstheme="minorHAnsi"/>
                <w:sz w:val="24"/>
                <w:szCs w:val="24"/>
              </w:rPr>
              <w:lastRenderedPageBreak/>
              <w:t xml:space="preserve">Interestingly the Canadian Adult Protection Act 1989 defines an adult at risk as a person </w:t>
            </w:r>
            <w:r w:rsidR="00CF73B2">
              <w:rPr>
                <w:rFonts w:asciiTheme="minorHAnsi" w:hAnsiTheme="minorHAnsi" w:cstheme="minorHAnsi"/>
                <w:sz w:val="24"/>
                <w:szCs w:val="24"/>
              </w:rPr>
              <w:t xml:space="preserve">who is </w:t>
            </w:r>
            <w:r>
              <w:rPr>
                <w:rFonts w:asciiTheme="minorHAnsi" w:hAnsiTheme="minorHAnsi" w:cstheme="minorHAnsi"/>
                <w:sz w:val="24"/>
                <w:szCs w:val="24"/>
              </w:rPr>
              <w:t>sixteen</w:t>
            </w:r>
            <w:r w:rsidR="00CF73B2">
              <w:rPr>
                <w:rFonts w:asciiTheme="minorHAnsi" w:hAnsiTheme="minorHAnsi" w:cstheme="minorHAnsi"/>
                <w:sz w:val="24"/>
                <w:szCs w:val="24"/>
              </w:rPr>
              <w:t xml:space="preserve"> years old</w:t>
            </w:r>
            <w:r>
              <w:rPr>
                <w:rFonts w:asciiTheme="minorHAnsi" w:hAnsiTheme="minorHAnsi" w:cstheme="minorHAnsi"/>
                <w:sz w:val="24"/>
                <w:szCs w:val="24"/>
              </w:rPr>
              <w:t xml:space="preserve"> and over who is in need of protection in the premises that they reside. </w:t>
            </w:r>
            <w:r w:rsidR="00B4025C">
              <w:rPr>
                <w:rFonts w:asciiTheme="minorHAnsi" w:hAnsiTheme="minorHAnsi" w:cstheme="minorHAnsi"/>
                <w:sz w:val="24"/>
                <w:szCs w:val="24"/>
              </w:rPr>
              <w:t>Ireland, as part of the European Union, defines an ‘Adult at risk’, “a person over eighteen who needs help to protect themselves or their interests at a particular point in time, whether due to personal characteristics or circumstances and is at risk of experiencing harm” (Ireland Department of Health</w:t>
            </w:r>
            <w:r w:rsidR="00F52CB0">
              <w:rPr>
                <w:rFonts w:asciiTheme="minorHAnsi" w:hAnsiTheme="minorHAnsi" w:cstheme="minorHAnsi"/>
                <w:sz w:val="24"/>
                <w:szCs w:val="24"/>
              </w:rPr>
              <w:t>, 2024</w:t>
            </w:r>
            <w:r w:rsidR="00B4025C">
              <w:rPr>
                <w:rFonts w:asciiTheme="minorHAnsi" w:hAnsiTheme="minorHAnsi" w:cstheme="minorHAnsi"/>
                <w:sz w:val="24"/>
                <w:szCs w:val="24"/>
              </w:rPr>
              <w:t>).</w:t>
            </w:r>
            <w:r w:rsidR="00EE51FB">
              <w:rPr>
                <w:rFonts w:asciiTheme="minorHAnsi" w:hAnsiTheme="minorHAnsi" w:cstheme="minorHAnsi"/>
                <w:sz w:val="24"/>
                <w:szCs w:val="24"/>
              </w:rPr>
              <w:t xml:space="preserve"> It would appear that generally the definition for ‘adult at risk’ are very similar, but the age considered an adult can vary between countries.</w:t>
            </w:r>
          </w:p>
          <w:p w14:paraId="17316B71" w14:textId="77777777" w:rsidR="00A54530" w:rsidRDefault="00A54530" w:rsidP="00064063">
            <w:pPr>
              <w:jc w:val="both"/>
              <w:rPr>
                <w:rFonts w:asciiTheme="minorHAnsi" w:hAnsiTheme="minorHAnsi" w:cstheme="minorHAnsi"/>
                <w:sz w:val="24"/>
                <w:szCs w:val="24"/>
              </w:rPr>
            </w:pPr>
            <w:bookmarkStart w:id="0" w:name="_GoBack"/>
            <w:bookmarkEnd w:id="0"/>
          </w:p>
          <w:p w14:paraId="46F579E7" w14:textId="0E73FDC4" w:rsidR="004376FB" w:rsidRDefault="00E902F3" w:rsidP="00064063">
            <w:pPr>
              <w:jc w:val="both"/>
              <w:rPr>
                <w:rFonts w:asciiTheme="minorHAnsi" w:hAnsiTheme="minorHAnsi" w:cstheme="minorHAnsi"/>
                <w:sz w:val="24"/>
                <w:szCs w:val="24"/>
              </w:rPr>
            </w:pPr>
            <w:r>
              <w:rPr>
                <w:rFonts w:asciiTheme="minorHAnsi" w:hAnsiTheme="minorHAnsi" w:cstheme="minorHAnsi"/>
                <w:sz w:val="24"/>
                <w:szCs w:val="24"/>
              </w:rPr>
              <w:t xml:space="preserve">Part 7 of the </w:t>
            </w:r>
            <w:proofErr w:type="gramStart"/>
            <w:r>
              <w:rPr>
                <w:rFonts w:asciiTheme="minorHAnsi" w:hAnsiTheme="minorHAnsi" w:cstheme="minorHAnsi"/>
                <w:sz w:val="24"/>
                <w:szCs w:val="24"/>
              </w:rPr>
              <w:t>SSWB(</w:t>
            </w:r>
            <w:proofErr w:type="gramEnd"/>
            <w:r>
              <w:rPr>
                <w:rFonts w:asciiTheme="minorHAnsi" w:hAnsiTheme="minorHAnsi" w:cstheme="minorHAnsi"/>
                <w:sz w:val="24"/>
                <w:szCs w:val="24"/>
              </w:rPr>
              <w:t>W)A 2014 details the legislated duties and principles a Local Authority in Wales must adhere to when an Adult Safeguarding Report has been received. The Act also contains the legal requirements for the National Independent Safeguarding Board, Wales is split in to 6 regions with a Safeguarding Board designated to each area. The Board developed ‘Wales Safeguarding Procedures’, which detail the role and responsibilities for practitioners</w:t>
            </w:r>
            <w:r w:rsidR="0007051D">
              <w:rPr>
                <w:rFonts w:asciiTheme="minorHAnsi" w:hAnsiTheme="minorHAnsi" w:cstheme="minorHAnsi"/>
                <w:sz w:val="24"/>
                <w:szCs w:val="24"/>
              </w:rPr>
              <w:t xml:space="preserve"> around the safeguarding of adults and children.</w:t>
            </w:r>
            <w:r w:rsidR="00FF3775">
              <w:rPr>
                <w:rFonts w:asciiTheme="minorHAnsi" w:hAnsiTheme="minorHAnsi" w:cstheme="minorHAnsi"/>
                <w:sz w:val="24"/>
                <w:szCs w:val="24"/>
              </w:rPr>
              <w:t xml:space="preserve"> </w:t>
            </w:r>
            <w:r w:rsidR="00194C95">
              <w:rPr>
                <w:rFonts w:asciiTheme="minorHAnsi" w:hAnsiTheme="minorHAnsi" w:cstheme="minorHAnsi"/>
                <w:sz w:val="24"/>
                <w:szCs w:val="24"/>
              </w:rPr>
              <w:t>They are designed to standardise practice</w:t>
            </w:r>
            <w:r w:rsidR="00B83E51">
              <w:rPr>
                <w:rFonts w:asciiTheme="minorHAnsi" w:hAnsiTheme="minorHAnsi" w:cstheme="minorHAnsi"/>
                <w:sz w:val="24"/>
                <w:szCs w:val="24"/>
              </w:rPr>
              <w:t xml:space="preserve">, and between agencies across Wales (Social Care Wales, 2022). </w:t>
            </w:r>
            <w:r w:rsidR="00FF3775">
              <w:rPr>
                <w:rFonts w:asciiTheme="minorHAnsi" w:hAnsiTheme="minorHAnsi" w:cstheme="minorHAnsi"/>
                <w:sz w:val="24"/>
                <w:szCs w:val="24"/>
              </w:rPr>
              <w:t xml:space="preserve">The procedures are available to practitioners via a mobile phone application which our local authority encourages every worker to download so we can refer to through our daily duties and be </w:t>
            </w:r>
            <w:r w:rsidR="00CF73B2">
              <w:rPr>
                <w:rFonts w:asciiTheme="minorHAnsi" w:hAnsiTheme="minorHAnsi" w:cstheme="minorHAnsi"/>
                <w:sz w:val="24"/>
                <w:szCs w:val="24"/>
              </w:rPr>
              <w:t xml:space="preserve">kept up to date and </w:t>
            </w:r>
            <w:r w:rsidR="00FF3775">
              <w:rPr>
                <w:rFonts w:asciiTheme="minorHAnsi" w:hAnsiTheme="minorHAnsi" w:cstheme="minorHAnsi"/>
                <w:sz w:val="24"/>
                <w:szCs w:val="24"/>
              </w:rPr>
              <w:t xml:space="preserve">made aware of any changes to policy or legislation. </w:t>
            </w:r>
          </w:p>
          <w:p w14:paraId="6B01701F" w14:textId="144E37D2" w:rsidR="002E70F9" w:rsidRDefault="002E70F9" w:rsidP="00064063">
            <w:pPr>
              <w:jc w:val="both"/>
              <w:rPr>
                <w:rFonts w:asciiTheme="minorHAnsi" w:hAnsiTheme="minorHAnsi" w:cstheme="minorHAnsi"/>
                <w:sz w:val="24"/>
                <w:szCs w:val="24"/>
              </w:rPr>
            </w:pPr>
          </w:p>
          <w:p w14:paraId="58EB9FD3" w14:textId="2FE64715" w:rsidR="002E70F9" w:rsidRDefault="002E70F9" w:rsidP="002E70F9">
            <w:pPr>
              <w:jc w:val="both"/>
              <w:rPr>
                <w:rFonts w:asciiTheme="minorHAnsi" w:hAnsiTheme="minorHAnsi"/>
                <w:sz w:val="24"/>
                <w:szCs w:val="24"/>
              </w:rPr>
            </w:pPr>
            <w:r>
              <w:rPr>
                <w:rFonts w:asciiTheme="minorHAnsi" w:hAnsiTheme="minorHAnsi"/>
                <w:sz w:val="24"/>
                <w:szCs w:val="24"/>
              </w:rPr>
              <w:t>More than words Five Year Plan 2022-27 highlights the need to promote the Welsh language in social care settings (Welsh Government). As Practitioners it is important to deliver the ‘Active Offer’, which is providing a service in Welsh without the individual having to request it. When I first met Adult one, I was aware that they were brought up and educated in a rural area of Wales where 64% (</w:t>
            </w:r>
            <w:r w:rsidR="006435A4">
              <w:rPr>
                <w:rFonts w:asciiTheme="minorHAnsi" w:hAnsiTheme="minorHAnsi"/>
                <w:sz w:val="24"/>
                <w:szCs w:val="24"/>
              </w:rPr>
              <w:t>Census, 2024</w:t>
            </w:r>
            <w:r>
              <w:rPr>
                <w:rFonts w:asciiTheme="minorHAnsi" w:hAnsiTheme="minorHAnsi"/>
                <w:sz w:val="24"/>
                <w:szCs w:val="24"/>
              </w:rPr>
              <w:t>) of that counties population speak Welsh. Although their partner identified as English and spoke English, I was aware that research suggests individuals with dementia revert back to the ‘mother tongue’ (Davis, 2014). I was led by Adult one and would alternate between languages as they would thus ensuring communication was person centred. Wright (2016) pointed out that age related changes in a person’s cognition can impact upon their language functions, so it was important to be mindful that as a first language Welsh speaker, Adult one may converse more effectively in her mother tongue.</w:t>
            </w:r>
          </w:p>
          <w:p w14:paraId="625F40A9" w14:textId="77777777" w:rsidR="002E70F9" w:rsidRDefault="002E70F9" w:rsidP="002E70F9">
            <w:pPr>
              <w:jc w:val="both"/>
              <w:rPr>
                <w:rFonts w:asciiTheme="minorHAnsi" w:hAnsiTheme="minorHAnsi"/>
                <w:sz w:val="24"/>
                <w:szCs w:val="24"/>
              </w:rPr>
            </w:pPr>
          </w:p>
          <w:p w14:paraId="7B407985" w14:textId="5C93823F" w:rsidR="002E70F9" w:rsidRDefault="002E70F9" w:rsidP="002E70F9">
            <w:pPr>
              <w:jc w:val="both"/>
              <w:rPr>
                <w:rFonts w:asciiTheme="minorHAnsi" w:hAnsiTheme="minorHAnsi"/>
                <w:sz w:val="24"/>
                <w:szCs w:val="24"/>
              </w:rPr>
            </w:pPr>
            <w:r>
              <w:rPr>
                <w:rFonts w:asciiTheme="minorHAnsi" w:hAnsiTheme="minorHAnsi"/>
                <w:sz w:val="24"/>
                <w:szCs w:val="24"/>
              </w:rPr>
              <w:t xml:space="preserve">The Wellbeing of Future Generations (Wales) Act 2015, unique to Wales, gives public bodies the legal obligation to consider the impact of their decisions and to work in co-operation with individuals to tackle longstanding problems, including inequalities. Local Authorities must consider this piece of legislation and the seven wellbeing goals when making decisions. Practitioners in Wales must involve individuals to make sustainable decisions within Safeguarding and take preventative measures. </w:t>
            </w:r>
          </w:p>
          <w:p w14:paraId="2AC6386D" w14:textId="77777777" w:rsidR="002E70F9" w:rsidRDefault="002E70F9" w:rsidP="002E70F9">
            <w:pPr>
              <w:jc w:val="both"/>
              <w:rPr>
                <w:rFonts w:asciiTheme="minorHAnsi" w:hAnsiTheme="minorHAnsi"/>
                <w:sz w:val="24"/>
                <w:szCs w:val="24"/>
              </w:rPr>
            </w:pPr>
          </w:p>
          <w:p w14:paraId="116F777B" w14:textId="77777777" w:rsidR="002E70F9" w:rsidRDefault="002E70F9" w:rsidP="002E70F9">
            <w:pPr>
              <w:jc w:val="both"/>
              <w:rPr>
                <w:rFonts w:asciiTheme="minorHAnsi" w:hAnsiTheme="minorHAnsi"/>
                <w:sz w:val="24"/>
                <w:szCs w:val="24"/>
              </w:rPr>
            </w:pPr>
            <w:r w:rsidRPr="004227F1">
              <w:rPr>
                <w:rFonts w:asciiTheme="minorHAnsi" w:hAnsiTheme="minorHAnsi"/>
                <w:sz w:val="24"/>
                <w:szCs w:val="24"/>
              </w:rPr>
              <w:t xml:space="preserve">The </w:t>
            </w:r>
            <w:r>
              <w:rPr>
                <w:rFonts w:asciiTheme="minorHAnsi" w:hAnsiTheme="minorHAnsi"/>
                <w:sz w:val="24"/>
                <w:szCs w:val="24"/>
              </w:rPr>
              <w:t>Welsh Language (Wales) Measures 2011 was brought into to update the framework around using the Welsh language when delivering services to the public. The legislation established the Welsh Language Commissioner who role is to ensure Welsh is treated equally to that of English and has the powers to investigate when individuals have been denied the freedom to use Welsh.</w:t>
            </w:r>
          </w:p>
          <w:p w14:paraId="552C64BC" w14:textId="77777777" w:rsidR="002E70F9" w:rsidRDefault="002E70F9" w:rsidP="00B93B8F">
            <w:pPr>
              <w:jc w:val="both"/>
              <w:rPr>
                <w:rFonts w:asciiTheme="minorHAnsi" w:hAnsiTheme="minorHAnsi" w:cstheme="minorHAnsi"/>
                <w:sz w:val="24"/>
                <w:szCs w:val="24"/>
              </w:rPr>
            </w:pPr>
          </w:p>
          <w:p w14:paraId="31022920" w14:textId="2E6FD9A8" w:rsidR="002E70F9" w:rsidRDefault="00582941" w:rsidP="00B93B8F">
            <w:pPr>
              <w:jc w:val="both"/>
              <w:rPr>
                <w:rFonts w:asciiTheme="minorHAnsi" w:hAnsiTheme="minorHAnsi"/>
                <w:sz w:val="24"/>
                <w:szCs w:val="24"/>
              </w:rPr>
            </w:pPr>
            <w:r>
              <w:rPr>
                <w:rFonts w:asciiTheme="minorHAnsi" w:hAnsiTheme="minorHAnsi" w:cstheme="minorHAnsi"/>
                <w:sz w:val="24"/>
                <w:szCs w:val="24"/>
              </w:rPr>
              <w:t>A CID16 form was received from the Police citing concerns for Adult two, detailing evidence of on-line scamming and concerns as to whether Adult two had the Mental Capacity to understand the financial situation of these actions</w:t>
            </w:r>
            <w:r w:rsidR="00BC2391">
              <w:rPr>
                <w:rFonts w:asciiTheme="minorHAnsi" w:hAnsiTheme="minorHAnsi" w:cstheme="minorHAnsi"/>
                <w:sz w:val="24"/>
                <w:szCs w:val="24"/>
              </w:rPr>
              <w:t xml:space="preserve">. Upon looking at historic records, I could see over the last 5 years there had </w:t>
            </w:r>
            <w:proofErr w:type="gramStart"/>
            <w:r w:rsidR="00BC2391">
              <w:rPr>
                <w:rFonts w:asciiTheme="minorHAnsi" w:hAnsiTheme="minorHAnsi" w:cstheme="minorHAnsi"/>
                <w:sz w:val="24"/>
                <w:szCs w:val="24"/>
              </w:rPr>
              <w:lastRenderedPageBreak/>
              <w:t>been</w:t>
            </w:r>
            <w:proofErr w:type="gramEnd"/>
            <w:r w:rsidR="00BC2391">
              <w:rPr>
                <w:rFonts w:asciiTheme="minorHAnsi" w:hAnsiTheme="minorHAnsi" w:cstheme="minorHAnsi"/>
                <w:sz w:val="24"/>
                <w:szCs w:val="24"/>
              </w:rPr>
              <w:t xml:space="preserve"> various CID16’s reporting similar incidents</w:t>
            </w:r>
            <w:r>
              <w:rPr>
                <w:rFonts w:asciiTheme="minorHAnsi" w:hAnsiTheme="minorHAnsi" w:cstheme="minorHAnsi"/>
                <w:sz w:val="24"/>
                <w:szCs w:val="24"/>
              </w:rPr>
              <w:t xml:space="preserve">. </w:t>
            </w:r>
            <w:r w:rsidR="00EE51FB">
              <w:rPr>
                <w:rFonts w:asciiTheme="minorHAnsi" w:hAnsiTheme="minorHAnsi"/>
                <w:sz w:val="24"/>
                <w:szCs w:val="24"/>
              </w:rPr>
              <w:t xml:space="preserve">The Mental Capacity Act 2005 is a statutory framework to protect and empower individuals who are unable to make decisions for themselves. The Act has five key principles, significantly that as practitioners we should assume someone has capacity, until this has been assessed otherwise. The Act lays out guidelines for practitioners to support the individual with decision making, ensuring the decision must be in the best interest of the individual and the path for the least restrictive option has been taken. The Wales Safeguarding Procedures require practitioners to ensure that the five principles of the Mental Capacity Act 2005 are embedded in practice when working with adults at risk </w:t>
            </w:r>
            <w:r w:rsidR="00BC2391">
              <w:rPr>
                <w:rFonts w:asciiTheme="minorHAnsi" w:hAnsiTheme="minorHAnsi"/>
                <w:sz w:val="24"/>
                <w:szCs w:val="24"/>
              </w:rPr>
              <w:t>(</w:t>
            </w:r>
            <w:r w:rsidR="00EE51FB">
              <w:rPr>
                <w:rFonts w:asciiTheme="minorHAnsi" w:hAnsiTheme="minorHAnsi"/>
                <w:sz w:val="24"/>
                <w:szCs w:val="24"/>
              </w:rPr>
              <w:t xml:space="preserve">SCW, 2022). </w:t>
            </w:r>
          </w:p>
          <w:p w14:paraId="13FDD6C7" w14:textId="77777777" w:rsidR="002E70F9" w:rsidRDefault="002E70F9" w:rsidP="00B93B8F">
            <w:pPr>
              <w:jc w:val="both"/>
              <w:rPr>
                <w:rFonts w:asciiTheme="minorHAnsi" w:hAnsiTheme="minorHAnsi"/>
                <w:sz w:val="24"/>
                <w:szCs w:val="24"/>
              </w:rPr>
            </w:pPr>
          </w:p>
          <w:p w14:paraId="5F5ADB9D" w14:textId="31A7AA94" w:rsidR="00656F80" w:rsidRDefault="002E70F9" w:rsidP="004822F7">
            <w:pPr>
              <w:jc w:val="both"/>
              <w:rPr>
                <w:rFonts w:asciiTheme="minorHAnsi" w:hAnsiTheme="minorHAnsi" w:cstheme="minorHAnsi"/>
                <w:sz w:val="24"/>
                <w:szCs w:val="24"/>
              </w:rPr>
            </w:pPr>
            <w:r>
              <w:rPr>
                <w:rFonts w:asciiTheme="minorHAnsi" w:hAnsiTheme="minorHAnsi" w:cstheme="minorHAnsi"/>
                <w:sz w:val="24"/>
                <w:szCs w:val="24"/>
              </w:rPr>
              <w:t xml:space="preserve">A Mental Capacity assessment, as detailed within the Mental Capacity Act 2005 was completed with adult one to assess her capacity to understand and manage her finances. </w:t>
            </w:r>
            <w:r w:rsidR="00656F80">
              <w:rPr>
                <w:rFonts w:asciiTheme="minorHAnsi" w:hAnsiTheme="minorHAnsi" w:cstheme="minorHAnsi"/>
                <w:sz w:val="24"/>
                <w:szCs w:val="24"/>
              </w:rPr>
              <w:t xml:space="preserve"> Prior to the assessment I had undertaken some research around ‘Executive Functioning’ (</w:t>
            </w:r>
            <w:proofErr w:type="spellStart"/>
            <w:r>
              <w:rPr>
                <w:rFonts w:asciiTheme="minorHAnsi" w:hAnsiTheme="minorHAnsi" w:cstheme="minorHAnsi"/>
                <w:sz w:val="24"/>
                <w:szCs w:val="24"/>
              </w:rPr>
              <w:t>Balmford</w:t>
            </w:r>
            <w:proofErr w:type="spellEnd"/>
            <w:r>
              <w:rPr>
                <w:rFonts w:asciiTheme="minorHAnsi" w:hAnsiTheme="minorHAnsi" w:cstheme="minorHAnsi"/>
                <w:sz w:val="24"/>
                <w:szCs w:val="24"/>
              </w:rPr>
              <w:t>, 2023) were the individual is able to provide coherent answers to questions asked</w:t>
            </w:r>
            <w:r w:rsidR="00656F80">
              <w:rPr>
                <w:rFonts w:asciiTheme="minorHAnsi" w:hAnsiTheme="minorHAnsi" w:cstheme="minorHAnsi"/>
                <w:sz w:val="24"/>
                <w:szCs w:val="24"/>
              </w:rPr>
              <w:t xml:space="preserve">. However, </w:t>
            </w:r>
            <w:r>
              <w:rPr>
                <w:rFonts w:asciiTheme="minorHAnsi" w:hAnsiTheme="minorHAnsi" w:cstheme="minorHAnsi"/>
                <w:sz w:val="24"/>
                <w:szCs w:val="24"/>
              </w:rPr>
              <w:t>their actions are unable to mirror the intentions in the answers provided</w:t>
            </w:r>
            <w:r w:rsidR="00656F80">
              <w:rPr>
                <w:rFonts w:asciiTheme="minorHAnsi" w:hAnsiTheme="minorHAnsi" w:cstheme="minorHAnsi"/>
                <w:sz w:val="24"/>
                <w:szCs w:val="24"/>
              </w:rPr>
              <w:t>.</w:t>
            </w:r>
            <w:r>
              <w:rPr>
                <w:rFonts w:asciiTheme="minorHAnsi" w:hAnsiTheme="minorHAnsi" w:cstheme="minorHAnsi"/>
                <w:sz w:val="24"/>
                <w:szCs w:val="24"/>
              </w:rPr>
              <w:t xml:space="preserve"> </w:t>
            </w:r>
            <w:r w:rsidR="00656F80">
              <w:rPr>
                <w:rFonts w:asciiTheme="minorHAnsi" w:hAnsiTheme="minorHAnsi" w:cstheme="minorHAnsi"/>
                <w:sz w:val="24"/>
                <w:szCs w:val="24"/>
              </w:rPr>
              <w:t>Evidence</w:t>
            </w:r>
            <w:r>
              <w:rPr>
                <w:rFonts w:asciiTheme="minorHAnsi" w:hAnsiTheme="minorHAnsi" w:cstheme="minorHAnsi"/>
                <w:sz w:val="24"/>
                <w:szCs w:val="24"/>
              </w:rPr>
              <w:t xml:space="preserve"> of executive functioning is not evidence of lack of capacity. </w:t>
            </w:r>
            <w:r w:rsidR="00656F80">
              <w:rPr>
                <w:rFonts w:asciiTheme="minorHAnsi" w:hAnsiTheme="minorHAnsi" w:cstheme="minorHAnsi"/>
                <w:sz w:val="24"/>
                <w:szCs w:val="24"/>
              </w:rPr>
              <w:t xml:space="preserve">Due to the complexity of Adult one’s cognition I felt that I had observed evidence of her displaying this function in other circumstances. </w:t>
            </w:r>
            <w:r w:rsidR="007450B2">
              <w:rPr>
                <w:rFonts w:asciiTheme="minorHAnsi" w:hAnsiTheme="minorHAnsi" w:cstheme="minorHAnsi"/>
                <w:sz w:val="24"/>
                <w:szCs w:val="24"/>
              </w:rPr>
              <w:t>Mental Capacity assessments are also time and decision specific, and decision making requires different cognitive abilities to undertake complex processes when decision making (Mack</w:t>
            </w:r>
            <w:r w:rsidR="00596012">
              <w:rPr>
                <w:rFonts w:asciiTheme="minorHAnsi" w:hAnsiTheme="minorHAnsi" w:cstheme="minorHAnsi"/>
                <w:sz w:val="24"/>
                <w:szCs w:val="24"/>
              </w:rPr>
              <w:t>enzie, 2020</w:t>
            </w:r>
            <w:r w:rsidR="007450B2">
              <w:rPr>
                <w:rFonts w:asciiTheme="minorHAnsi" w:hAnsiTheme="minorHAnsi" w:cstheme="minorHAnsi"/>
                <w:sz w:val="24"/>
                <w:szCs w:val="24"/>
              </w:rPr>
              <w:t>). When preparing for the assessment I used my knowledge and research on the effect of cognition on mental capacity, to plan out the times and days that I would visit. I ensured I met with adult one bo</w:t>
            </w:r>
            <w:r w:rsidR="00596012">
              <w:rPr>
                <w:rFonts w:asciiTheme="minorHAnsi" w:hAnsiTheme="minorHAnsi" w:cstheme="minorHAnsi"/>
                <w:sz w:val="24"/>
                <w:szCs w:val="24"/>
              </w:rPr>
              <w:t>th in the morning and afternoon, I was mindful not to present in a formal interview style, and also to collate ‘real world’ observations from carers and other professionals involved (Cameron, 2020).</w:t>
            </w:r>
            <w:r w:rsidR="003817AD">
              <w:rPr>
                <w:rFonts w:asciiTheme="minorHAnsi" w:hAnsiTheme="minorHAnsi" w:cstheme="minorHAnsi"/>
                <w:sz w:val="24"/>
                <w:szCs w:val="24"/>
              </w:rPr>
              <w:t xml:space="preserve"> Reflecting on the assessment, I could argue that my judgement was somewhat bias when using the information gathered from Adult two regarding his partner’s mental capacity, due to their involvement in the abuse. However, the history provided about his partner was beneficial to the assessment, therefore not all information given should be dismissed casually. </w:t>
            </w:r>
          </w:p>
          <w:p w14:paraId="5423EA4C" w14:textId="77777777" w:rsidR="00656F80" w:rsidRDefault="00656F80" w:rsidP="004822F7">
            <w:pPr>
              <w:jc w:val="both"/>
              <w:rPr>
                <w:rFonts w:asciiTheme="minorHAnsi" w:hAnsiTheme="minorHAnsi" w:cstheme="minorHAnsi"/>
                <w:sz w:val="24"/>
                <w:szCs w:val="24"/>
              </w:rPr>
            </w:pPr>
          </w:p>
          <w:p w14:paraId="1F63BAC4" w14:textId="5FC5F1B4" w:rsidR="00295B83" w:rsidRDefault="00295B83" w:rsidP="00295B83">
            <w:pPr>
              <w:jc w:val="both"/>
              <w:rPr>
                <w:rFonts w:asciiTheme="minorHAnsi" w:hAnsiTheme="minorHAnsi"/>
                <w:sz w:val="24"/>
                <w:szCs w:val="24"/>
              </w:rPr>
            </w:pPr>
            <w:r w:rsidRPr="001E18F5">
              <w:rPr>
                <w:rFonts w:asciiTheme="minorHAnsi" w:hAnsiTheme="minorHAnsi" w:cstheme="minorHAnsi"/>
                <w:sz w:val="24"/>
                <w:szCs w:val="24"/>
              </w:rPr>
              <w:t xml:space="preserve">The </w:t>
            </w:r>
            <w:r>
              <w:rPr>
                <w:rFonts w:asciiTheme="minorHAnsi" w:hAnsiTheme="minorHAnsi" w:cstheme="minorHAnsi"/>
                <w:sz w:val="24"/>
                <w:szCs w:val="24"/>
              </w:rPr>
              <w:t xml:space="preserve">Equality Act 2010 is an important piece of legislation pivotal in safeguarding procedures. The Act unified various anti-discrimination laws for individuals with protected characteristics, such as disability, which would be applicable to Adult one. The Code of Professional Practice for Social Care together with the Code of Ethics for Social Workers specify that practitioners must promote equality and demonstrate anti-discrimination practice (British Association of Social Workers, 2021). </w:t>
            </w:r>
            <w:r>
              <w:rPr>
                <w:rFonts w:asciiTheme="minorHAnsi" w:hAnsiTheme="minorHAnsi"/>
                <w:sz w:val="24"/>
                <w:szCs w:val="24"/>
              </w:rPr>
              <w:t>Wales and the UK have signed up to the European Convention on Human Rights (ECHR), which contains articles protecting basic rights. The Human Rights Act 1998 has incorporated these rights into domestic law. The Wales Safeguarding Procedures list articles 2 (Right to life) 3 (prohibition of degrading treatment of punishment), 5 (Right to liberty and security</w:t>
            </w:r>
            <w:proofErr w:type="gramStart"/>
            <w:r>
              <w:rPr>
                <w:rFonts w:asciiTheme="minorHAnsi" w:hAnsiTheme="minorHAnsi"/>
                <w:sz w:val="24"/>
                <w:szCs w:val="24"/>
              </w:rPr>
              <w:t>) ,</w:t>
            </w:r>
            <w:proofErr w:type="gramEnd"/>
            <w:r>
              <w:rPr>
                <w:rFonts w:asciiTheme="minorHAnsi" w:hAnsiTheme="minorHAnsi"/>
                <w:sz w:val="24"/>
                <w:szCs w:val="24"/>
              </w:rPr>
              <w:t xml:space="preserve"> 6 (right to a hearing without bias) and 8 (right to a private and family life, with the protection of the rights and freedoms of others) and particularly relevant to adult safeguarding (CSW, 2022). In 2016, the then UK Prime Minister, committed to withdrawing from the ECHR to change Human Rights law in the UK (</w:t>
            </w:r>
            <w:proofErr w:type="spellStart"/>
            <w:r>
              <w:rPr>
                <w:rFonts w:asciiTheme="minorHAnsi" w:hAnsiTheme="minorHAnsi"/>
                <w:sz w:val="24"/>
                <w:szCs w:val="24"/>
              </w:rPr>
              <w:t>Senedd</w:t>
            </w:r>
            <w:proofErr w:type="spellEnd"/>
            <w:r>
              <w:rPr>
                <w:rFonts w:asciiTheme="minorHAnsi" w:hAnsiTheme="minorHAnsi"/>
                <w:sz w:val="24"/>
                <w:szCs w:val="24"/>
              </w:rPr>
              <w:t xml:space="preserve"> Research, 2024) </w:t>
            </w:r>
          </w:p>
          <w:p w14:paraId="47D667F2" w14:textId="77777777" w:rsidR="00295B83" w:rsidRDefault="00295B83" w:rsidP="00295B83">
            <w:pPr>
              <w:jc w:val="both"/>
              <w:rPr>
                <w:rFonts w:asciiTheme="minorHAnsi" w:hAnsiTheme="minorHAnsi"/>
                <w:sz w:val="24"/>
                <w:szCs w:val="24"/>
              </w:rPr>
            </w:pPr>
          </w:p>
          <w:p w14:paraId="5000C619" w14:textId="77777777" w:rsidR="00295B83" w:rsidRDefault="00295B83" w:rsidP="00295B83">
            <w:pPr>
              <w:jc w:val="both"/>
              <w:rPr>
                <w:rFonts w:asciiTheme="minorHAnsi" w:hAnsiTheme="minorHAnsi" w:cstheme="minorHAnsi"/>
                <w:sz w:val="24"/>
                <w:szCs w:val="24"/>
              </w:rPr>
            </w:pPr>
            <w:r>
              <w:rPr>
                <w:rFonts w:asciiTheme="minorHAnsi" w:hAnsiTheme="minorHAnsi" w:cstheme="minorHAnsi"/>
                <w:sz w:val="24"/>
                <w:szCs w:val="24"/>
              </w:rPr>
              <w:t>The United Nations Convention on the Rights of Persons with Disabilities (2006) is an important piece of human rights legislation in my field of work. It reaffirms that those with disabilities must have their human rights and freedoms protected. The Welsh Government (</w:t>
            </w:r>
            <w:proofErr w:type="spellStart"/>
            <w:r>
              <w:rPr>
                <w:rFonts w:asciiTheme="minorHAnsi" w:hAnsiTheme="minorHAnsi" w:cstheme="minorHAnsi"/>
                <w:sz w:val="24"/>
                <w:szCs w:val="24"/>
              </w:rPr>
              <w:t>Gov</w:t>
            </w:r>
            <w:proofErr w:type="spellEnd"/>
            <w:r>
              <w:rPr>
                <w:rFonts w:asciiTheme="minorHAnsi" w:hAnsiTheme="minorHAnsi" w:cstheme="minorHAnsi"/>
                <w:sz w:val="24"/>
                <w:szCs w:val="24"/>
              </w:rPr>
              <w:t xml:space="preserve"> Wales) are working to incorporate this convention into Welsh law, which would have a positive impact on Social Worker </w:t>
            </w:r>
            <w:r>
              <w:rPr>
                <w:rFonts w:asciiTheme="minorHAnsi" w:hAnsiTheme="minorHAnsi" w:cstheme="minorHAnsi"/>
                <w:sz w:val="24"/>
                <w:szCs w:val="24"/>
              </w:rPr>
              <w:lastRenderedPageBreak/>
              <w:t>practices in Wales. The UNCRPD argues supported decision making is most effective method to safeguard the autonomy of those individuals with impaired capacity (</w:t>
            </w:r>
            <w:proofErr w:type="spellStart"/>
            <w:r>
              <w:rPr>
                <w:rFonts w:asciiTheme="minorHAnsi" w:hAnsiTheme="minorHAnsi" w:cstheme="minorHAnsi"/>
                <w:sz w:val="24"/>
                <w:szCs w:val="24"/>
              </w:rPr>
              <w:t>MacIntyre</w:t>
            </w:r>
            <w:proofErr w:type="spellEnd"/>
            <w:r>
              <w:rPr>
                <w:rFonts w:asciiTheme="minorHAnsi" w:hAnsiTheme="minorHAnsi" w:cstheme="minorHAnsi"/>
                <w:sz w:val="24"/>
                <w:szCs w:val="24"/>
              </w:rPr>
              <w:t>, 2018)</w:t>
            </w:r>
          </w:p>
          <w:p w14:paraId="37D05032" w14:textId="0E968559" w:rsidR="002E70F9" w:rsidRDefault="002E70F9" w:rsidP="00B93B8F">
            <w:pPr>
              <w:jc w:val="both"/>
              <w:rPr>
                <w:rFonts w:asciiTheme="minorHAnsi" w:hAnsiTheme="minorHAnsi"/>
                <w:sz w:val="24"/>
                <w:szCs w:val="24"/>
              </w:rPr>
            </w:pPr>
          </w:p>
          <w:p w14:paraId="07311A6E" w14:textId="764AF750" w:rsidR="00B93B8F" w:rsidRDefault="00D57FC9" w:rsidP="00B93B8F">
            <w:pPr>
              <w:jc w:val="both"/>
              <w:rPr>
                <w:rFonts w:asciiTheme="minorHAnsi" w:hAnsiTheme="minorHAnsi" w:cstheme="minorHAnsi"/>
                <w:sz w:val="24"/>
                <w:szCs w:val="24"/>
              </w:rPr>
            </w:pPr>
            <w:r>
              <w:rPr>
                <w:rFonts w:asciiTheme="minorHAnsi" w:hAnsiTheme="minorHAnsi"/>
                <w:sz w:val="24"/>
                <w:szCs w:val="24"/>
              </w:rPr>
              <w:t xml:space="preserve">It was agreed at the Multi-disciplinary meeting that educating Adult two around on-line scams would minimise the risks plus some more intervention from the finance team around budgeting. </w:t>
            </w:r>
            <w:r w:rsidR="00B93B8F">
              <w:rPr>
                <w:rFonts w:asciiTheme="minorHAnsi" w:hAnsiTheme="minorHAnsi" w:cstheme="minorHAnsi"/>
                <w:sz w:val="24"/>
                <w:szCs w:val="24"/>
              </w:rPr>
              <w:t xml:space="preserve">Oliver (2023) highlights that within the </w:t>
            </w:r>
            <w:proofErr w:type="gramStart"/>
            <w:r w:rsidR="00B93B8F">
              <w:rPr>
                <w:rFonts w:asciiTheme="minorHAnsi" w:hAnsiTheme="minorHAnsi" w:cstheme="minorHAnsi"/>
                <w:sz w:val="24"/>
                <w:szCs w:val="24"/>
              </w:rPr>
              <w:t>SSWB(</w:t>
            </w:r>
            <w:proofErr w:type="gramEnd"/>
            <w:r w:rsidR="00B93B8F">
              <w:rPr>
                <w:rFonts w:asciiTheme="minorHAnsi" w:hAnsiTheme="minorHAnsi" w:cstheme="minorHAnsi"/>
                <w:sz w:val="24"/>
                <w:szCs w:val="24"/>
              </w:rPr>
              <w:t>W)A 2014, scamming would be considered abuse and not an unwise decision as some would suggest. Research (</w:t>
            </w:r>
            <w:proofErr w:type="spellStart"/>
            <w:r w:rsidR="00B93B8F">
              <w:t>Rosenorn</w:t>
            </w:r>
            <w:proofErr w:type="spellEnd"/>
            <w:r w:rsidR="00B93B8F">
              <w:t>-Lang</w:t>
            </w:r>
            <w:r w:rsidR="00B93B8F">
              <w:rPr>
                <w:rFonts w:asciiTheme="minorHAnsi" w:hAnsiTheme="minorHAnsi" w:cstheme="minorHAnsi"/>
                <w:sz w:val="24"/>
                <w:szCs w:val="24"/>
              </w:rPr>
              <w:t>, 2020) shows that scamming can impact an individual’s health and wellbeing, by going without food or experiencing a decline in health.</w:t>
            </w:r>
            <w:r w:rsidR="004D1CD9">
              <w:rPr>
                <w:rFonts w:asciiTheme="minorHAnsi" w:hAnsiTheme="minorHAnsi" w:cstheme="minorHAnsi"/>
                <w:sz w:val="24"/>
                <w:szCs w:val="24"/>
              </w:rPr>
              <w:t xml:space="preserve"> There was some conflict around this decision as I felt there was sufficient evidence to suggest financial abuse towards adult one. On reflection I could have advocated more for adult one, however the other professionals involved </w:t>
            </w:r>
            <w:r w:rsidR="0018083A">
              <w:rPr>
                <w:rFonts w:asciiTheme="minorHAnsi" w:hAnsiTheme="minorHAnsi" w:cstheme="minorHAnsi"/>
                <w:sz w:val="24"/>
                <w:szCs w:val="24"/>
              </w:rPr>
              <w:t xml:space="preserve">felt the risks had been minimised. </w:t>
            </w:r>
            <w:r w:rsidR="004D1CD9">
              <w:rPr>
                <w:rFonts w:asciiTheme="minorHAnsi" w:hAnsiTheme="minorHAnsi" w:cstheme="minorHAnsi"/>
                <w:sz w:val="24"/>
                <w:szCs w:val="24"/>
              </w:rPr>
              <w:t xml:space="preserve"> </w:t>
            </w:r>
          </w:p>
          <w:p w14:paraId="40ABEF95" w14:textId="77777777" w:rsidR="002E70F9" w:rsidRDefault="002E70F9" w:rsidP="00B93B8F">
            <w:pPr>
              <w:jc w:val="both"/>
              <w:rPr>
                <w:rFonts w:asciiTheme="minorHAnsi" w:hAnsiTheme="minorHAnsi" w:cstheme="minorHAnsi"/>
                <w:sz w:val="24"/>
                <w:szCs w:val="24"/>
              </w:rPr>
            </w:pPr>
          </w:p>
          <w:p w14:paraId="72286BE1" w14:textId="46052407" w:rsidR="00EE51FB" w:rsidRPr="00353398" w:rsidRDefault="00EF7800" w:rsidP="00EE51FB">
            <w:pPr>
              <w:jc w:val="both"/>
              <w:rPr>
                <w:rFonts w:asciiTheme="minorHAnsi" w:hAnsiTheme="minorHAnsi" w:cstheme="minorHAnsi"/>
                <w:sz w:val="24"/>
                <w:szCs w:val="24"/>
              </w:rPr>
            </w:pPr>
            <w:r w:rsidRPr="00353398">
              <w:rPr>
                <w:rFonts w:asciiTheme="minorHAnsi" w:hAnsiTheme="minorHAnsi" w:cstheme="minorHAnsi"/>
                <w:sz w:val="24"/>
                <w:szCs w:val="24"/>
              </w:rPr>
              <w:t>Following raised concerns of lack of food and electric again. I was concerned that these incidents were becoming more frequent, therefore influenced by my professional judgement</w:t>
            </w:r>
            <w:r w:rsidR="00353398">
              <w:rPr>
                <w:rFonts w:asciiTheme="minorHAnsi" w:hAnsiTheme="minorHAnsi" w:cstheme="minorHAnsi"/>
                <w:sz w:val="24"/>
                <w:szCs w:val="24"/>
              </w:rPr>
              <w:t>,</w:t>
            </w:r>
            <w:r w:rsidRPr="00353398">
              <w:rPr>
                <w:rFonts w:asciiTheme="minorHAnsi" w:hAnsiTheme="minorHAnsi" w:cstheme="minorHAnsi"/>
                <w:sz w:val="24"/>
                <w:szCs w:val="24"/>
              </w:rPr>
              <w:t xml:space="preserve"> I supported the housing association warden to submit an Adult Safeguarding Report to submit to the </w:t>
            </w:r>
            <w:r w:rsidR="00BB271E" w:rsidRPr="00353398">
              <w:rPr>
                <w:rFonts w:asciiTheme="minorHAnsi" w:hAnsiTheme="minorHAnsi" w:cstheme="minorHAnsi"/>
                <w:sz w:val="24"/>
                <w:szCs w:val="24"/>
              </w:rPr>
              <w:t>Multi Agency Safeguarding Hub</w:t>
            </w:r>
            <w:r w:rsidRPr="00353398">
              <w:rPr>
                <w:rFonts w:asciiTheme="minorHAnsi" w:hAnsiTheme="minorHAnsi" w:cstheme="minorHAnsi"/>
                <w:sz w:val="24"/>
                <w:szCs w:val="24"/>
              </w:rPr>
              <w:t xml:space="preserve">. </w:t>
            </w:r>
            <w:r w:rsidR="00FF2B49" w:rsidRPr="00353398">
              <w:rPr>
                <w:rFonts w:asciiTheme="minorHAnsi" w:hAnsiTheme="minorHAnsi" w:cstheme="minorHAnsi"/>
                <w:sz w:val="24"/>
                <w:szCs w:val="24"/>
              </w:rPr>
              <w:t>Taylor (20</w:t>
            </w:r>
            <w:r w:rsidR="00BB271E" w:rsidRPr="00353398">
              <w:rPr>
                <w:rFonts w:asciiTheme="minorHAnsi" w:hAnsiTheme="minorHAnsi" w:cstheme="minorHAnsi"/>
                <w:sz w:val="24"/>
                <w:szCs w:val="24"/>
              </w:rPr>
              <w:t>17</w:t>
            </w:r>
            <w:r w:rsidR="00FF2B49" w:rsidRPr="00353398">
              <w:rPr>
                <w:rFonts w:asciiTheme="minorHAnsi" w:hAnsiTheme="minorHAnsi" w:cstheme="minorHAnsi"/>
                <w:sz w:val="24"/>
                <w:szCs w:val="24"/>
              </w:rPr>
              <w:t>) re</w:t>
            </w:r>
            <w:r w:rsidR="003608D8" w:rsidRPr="00353398">
              <w:rPr>
                <w:rFonts w:asciiTheme="minorHAnsi" w:hAnsiTheme="minorHAnsi" w:cstheme="minorHAnsi"/>
                <w:sz w:val="24"/>
                <w:szCs w:val="24"/>
              </w:rPr>
              <w:t xml:space="preserve">minds me that we need to be careful of bias in professional judgement, but use the knowledge available to make those risk decisions. </w:t>
            </w:r>
            <w:r w:rsidR="00EE51FB" w:rsidRPr="00353398">
              <w:rPr>
                <w:rFonts w:asciiTheme="minorHAnsi" w:hAnsiTheme="minorHAnsi" w:cstheme="minorHAnsi"/>
                <w:sz w:val="24"/>
                <w:szCs w:val="24"/>
              </w:rPr>
              <w:t xml:space="preserve">Section 128 (1) SSWB(W)A 2014 states relevant partners must inform the local authority if they suspect a person is an adult at risk. </w:t>
            </w:r>
          </w:p>
          <w:p w14:paraId="60898F7D" w14:textId="72745DD8" w:rsidR="00CC2B6A" w:rsidRDefault="00CC2B6A" w:rsidP="00EE51FB">
            <w:pPr>
              <w:jc w:val="both"/>
              <w:rPr>
                <w:rFonts w:asciiTheme="minorHAnsi" w:hAnsiTheme="minorHAnsi" w:cstheme="minorHAnsi"/>
                <w:sz w:val="24"/>
                <w:szCs w:val="24"/>
              </w:rPr>
            </w:pPr>
          </w:p>
          <w:p w14:paraId="72DC2492" w14:textId="1C4D47A0" w:rsidR="00CC2B6A" w:rsidRDefault="00CC2B6A" w:rsidP="00CC2B6A">
            <w:pPr>
              <w:jc w:val="both"/>
              <w:rPr>
                <w:rFonts w:asciiTheme="minorHAnsi" w:hAnsiTheme="minorHAnsi" w:cstheme="minorHAnsi"/>
                <w:sz w:val="24"/>
                <w:szCs w:val="24"/>
              </w:rPr>
            </w:pPr>
            <w:r>
              <w:rPr>
                <w:rFonts w:asciiTheme="minorHAnsi" w:hAnsiTheme="minorHAnsi" w:cstheme="minorHAnsi"/>
                <w:sz w:val="24"/>
                <w:szCs w:val="24"/>
              </w:rPr>
              <w:t>Gaining consent is important, as this creates trust and effective partnership working (</w:t>
            </w:r>
            <w:proofErr w:type="spellStart"/>
            <w:r>
              <w:rPr>
                <w:rFonts w:asciiTheme="minorHAnsi" w:hAnsiTheme="minorHAnsi" w:cstheme="minorHAnsi"/>
                <w:sz w:val="24"/>
                <w:szCs w:val="24"/>
              </w:rPr>
              <w:t>Spreadbury</w:t>
            </w:r>
            <w:proofErr w:type="spellEnd"/>
            <w:r>
              <w:rPr>
                <w:rFonts w:asciiTheme="minorHAnsi" w:hAnsiTheme="minorHAnsi" w:cstheme="minorHAnsi"/>
                <w:sz w:val="24"/>
                <w:szCs w:val="24"/>
              </w:rPr>
              <w:t>, 2020) however there are concerns that raising a safeguarding concern can impact on the relationship between the individual and Social Worker. It is important to have these discussions with the Safeguarding team to discuss the implications. However, Section two of the Wales Safeguarding Procedures state that consent is not required when a family member is identified as the alleged abuser (SCW, 2022) and practitioner should discuss the appropriateness of consent with the local authority safeguarding team</w:t>
            </w:r>
            <w:r w:rsidR="003E6D8D">
              <w:rPr>
                <w:rFonts w:asciiTheme="minorHAnsi" w:hAnsiTheme="minorHAnsi" w:cstheme="minorHAnsi"/>
                <w:sz w:val="24"/>
                <w:szCs w:val="24"/>
              </w:rPr>
              <w:t xml:space="preserve">. </w:t>
            </w:r>
            <w:r w:rsidR="00BB271E">
              <w:rPr>
                <w:rFonts w:asciiTheme="minorHAnsi" w:hAnsiTheme="minorHAnsi" w:cstheme="minorHAnsi"/>
                <w:sz w:val="24"/>
                <w:szCs w:val="24"/>
              </w:rPr>
              <w:t xml:space="preserve">I revisited adult one to gain consent to make further enquiries and explained my concerns and how we can make them safe and minimise risk of further abuse. Naturally, Adult one had concerns, </w:t>
            </w:r>
            <w:r w:rsidR="00D87CB4">
              <w:rPr>
                <w:rFonts w:asciiTheme="minorHAnsi" w:hAnsiTheme="minorHAnsi" w:cstheme="minorHAnsi"/>
                <w:sz w:val="24"/>
                <w:szCs w:val="24"/>
              </w:rPr>
              <w:t>r</w:t>
            </w:r>
            <w:r w:rsidR="00BB271E" w:rsidRPr="00BB271E">
              <w:rPr>
                <w:rFonts w:asciiTheme="minorHAnsi" w:hAnsiTheme="minorHAnsi" w:cstheme="minorHAnsi"/>
                <w:sz w:val="24"/>
                <w:szCs w:val="24"/>
              </w:rPr>
              <w:t>esearch undertaken by Pritchard (2000) highlighted financial abuse of older women in later life was exacerbated by lack of service and support when the disclosure was made. Older women were left with feelings of worthlessness and self-blame.</w:t>
            </w:r>
            <w:r w:rsidR="003E6D8D">
              <w:rPr>
                <w:rFonts w:asciiTheme="minorHAnsi" w:hAnsiTheme="minorHAnsi" w:cstheme="minorHAnsi"/>
                <w:sz w:val="24"/>
                <w:szCs w:val="24"/>
              </w:rPr>
              <w:t xml:space="preserve">  </w:t>
            </w:r>
            <w:r w:rsidR="00D87CB4">
              <w:rPr>
                <w:rFonts w:asciiTheme="minorHAnsi" w:hAnsiTheme="minorHAnsi" w:cstheme="minorHAnsi"/>
                <w:sz w:val="24"/>
                <w:szCs w:val="24"/>
              </w:rPr>
              <w:t xml:space="preserve">However, </w:t>
            </w:r>
            <w:r w:rsidR="008D6F9A">
              <w:rPr>
                <w:rFonts w:asciiTheme="minorHAnsi" w:hAnsiTheme="minorHAnsi" w:cstheme="minorHAnsi"/>
                <w:sz w:val="24"/>
                <w:szCs w:val="24"/>
              </w:rPr>
              <w:t xml:space="preserve">Dixon (2023) </w:t>
            </w:r>
            <w:r w:rsidR="00D87CB4">
              <w:rPr>
                <w:rFonts w:asciiTheme="minorHAnsi" w:hAnsiTheme="minorHAnsi" w:cstheme="minorHAnsi"/>
                <w:sz w:val="24"/>
                <w:szCs w:val="24"/>
              </w:rPr>
              <w:t>adds</w:t>
            </w:r>
            <w:r w:rsidR="008D6F9A">
              <w:rPr>
                <w:rFonts w:asciiTheme="minorHAnsi" w:hAnsiTheme="minorHAnsi" w:cstheme="minorHAnsi"/>
                <w:sz w:val="24"/>
                <w:szCs w:val="24"/>
              </w:rPr>
              <w:t xml:space="preserve"> that service user involvement during safeguarding builds trust and is a core element of risk work. He also </w:t>
            </w:r>
            <w:r w:rsidR="00D87CB4">
              <w:rPr>
                <w:rFonts w:asciiTheme="minorHAnsi" w:hAnsiTheme="minorHAnsi" w:cstheme="minorHAnsi"/>
                <w:sz w:val="24"/>
                <w:szCs w:val="24"/>
              </w:rPr>
              <w:t>pointed out</w:t>
            </w:r>
            <w:r w:rsidR="008D6F9A">
              <w:rPr>
                <w:rFonts w:asciiTheme="minorHAnsi" w:hAnsiTheme="minorHAnsi" w:cstheme="minorHAnsi"/>
                <w:sz w:val="24"/>
                <w:szCs w:val="24"/>
              </w:rPr>
              <w:t xml:space="preserve"> that the way the risk is explained to the individual will either build that trust or alienate them.</w:t>
            </w:r>
          </w:p>
          <w:p w14:paraId="75411D2E" w14:textId="77777777" w:rsidR="00CC2B6A" w:rsidRDefault="00CC2B6A" w:rsidP="00EE51FB">
            <w:pPr>
              <w:jc w:val="both"/>
              <w:rPr>
                <w:rFonts w:asciiTheme="minorHAnsi" w:hAnsiTheme="minorHAnsi" w:cstheme="minorHAnsi"/>
                <w:sz w:val="24"/>
                <w:szCs w:val="24"/>
              </w:rPr>
            </w:pPr>
          </w:p>
          <w:p w14:paraId="788038DE" w14:textId="40B2D27C" w:rsidR="00CC2B6A" w:rsidRDefault="001C6340" w:rsidP="00CC2B6A">
            <w:pPr>
              <w:jc w:val="both"/>
              <w:rPr>
                <w:rFonts w:asciiTheme="minorHAnsi" w:hAnsiTheme="minorHAnsi" w:cstheme="minorHAnsi"/>
                <w:sz w:val="24"/>
                <w:szCs w:val="24"/>
              </w:rPr>
            </w:pPr>
            <w:r>
              <w:rPr>
                <w:rFonts w:asciiTheme="minorHAnsi" w:hAnsiTheme="minorHAnsi" w:cstheme="minorHAnsi"/>
                <w:sz w:val="24"/>
                <w:szCs w:val="24"/>
              </w:rPr>
              <w:t xml:space="preserve">Once a report has been received by the Safeguarding team, there is a duty by the Local Authority to make enquiries and collect further information to ascertain whether the adult is, or might be at risk (SCW, 2022). In this local authority, the Safeguarding team is responsible to making these initial enquiries, and part of their processes in this case was to speak to me direct for additional information. The screening stage should be finalised within seven working days and there are three possible outcomes to this enquiry. The first, there is no further outcome for safeguarding, where no evidence of abuse or harm has been identified. The second outcome, there is cause to believe abuse or neglect has occurred therefore further enquires are needed. The third outcome is the adult has been identified as having care and support needs. Under Part three </w:t>
            </w:r>
            <w:proofErr w:type="gramStart"/>
            <w:r>
              <w:rPr>
                <w:rFonts w:asciiTheme="minorHAnsi" w:hAnsiTheme="minorHAnsi" w:cstheme="minorHAnsi"/>
                <w:sz w:val="24"/>
                <w:szCs w:val="24"/>
              </w:rPr>
              <w:t>SSWB(</w:t>
            </w:r>
            <w:proofErr w:type="gramEnd"/>
            <w:r>
              <w:rPr>
                <w:rFonts w:asciiTheme="minorHAnsi" w:hAnsiTheme="minorHAnsi" w:cstheme="minorHAnsi"/>
                <w:sz w:val="24"/>
                <w:szCs w:val="24"/>
              </w:rPr>
              <w:t xml:space="preserve">W)A 2014 the individual should </w:t>
            </w:r>
            <w:r>
              <w:rPr>
                <w:rFonts w:asciiTheme="minorHAnsi" w:hAnsiTheme="minorHAnsi" w:cstheme="minorHAnsi"/>
                <w:sz w:val="24"/>
                <w:szCs w:val="24"/>
              </w:rPr>
              <w:lastRenderedPageBreak/>
              <w:t xml:space="preserve">be assessed, which can be completed alongside those safeguarding enquires (SCW, 2022). Interestingly, </w:t>
            </w:r>
            <w:r w:rsidRPr="001E7F0B">
              <w:rPr>
                <w:rFonts w:asciiTheme="minorHAnsi" w:hAnsiTheme="minorHAnsi" w:cstheme="minorHAnsi"/>
                <w:sz w:val="24"/>
                <w:szCs w:val="24"/>
              </w:rPr>
              <w:t>Ca</w:t>
            </w:r>
            <w:r>
              <w:rPr>
                <w:rFonts w:asciiTheme="minorHAnsi" w:hAnsiTheme="minorHAnsi" w:cstheme="minorHAnsi"/>
                <w:sz w:val="24"/>
                <w:szCs w:val="24"/>
              </w:rPr>
              <w:t>nadian legislation is detailed in the Adult Protection Act (1989). All safeguarding enquires must be followed up on the same working day, once allocated to a Protection worker (Social Worker) enquires must be completed within twenty-four hours. Canada has assessment time scales based on level of risk. Extreme risk within one day, moderate risk within five days (Adult protection policy, 2011). The republic of Ireland has similar time scales, where the safeguarding team is notified within one day of concern arising and primary screening is completed within three days.</w:t>
            </w:r>
            <w:r w:rsidR="002E70F9">
              <w:rPr>
                <w:rFonts w:asciiTheme="minorHAnsi" w:hAnsiTheme="minorHAnsi" w:cstheme="minorHAnsi"/>
                <w:sz w:val="24"/>
                <w:szCs w:val="24"/>
              </w:rPr>
              <w:t xml:space="preserve"> </w:t>
            </w:r>
            <w:r w:rsidR="00CC2B6A">
              <w:rPr>
                <w:rFonts w:asciiTheme="minorHAnsi" w:hAnsiTheme="minorHAnsi" w:cstheme="minorHAnsi"/>
                <w:sz w:val="24"/>
                <w:szCs w:val="24"/>
              </w:rPr>
              <w:t xml:space="preserve">The outcome of my safeguarding report was that under Section 126 (2) </w:t>
            </w:r>
            <w:proofErr w:type="gramStart"/>
            <w:r w:rsidR="00CC2B6A">
              <w:rPr>
                <w:rFonts w:asciiTheme="minorHAnsi" w:hAnsiTheme="minorHAnsi" w:cstheme="minorHAnsi"/>
                <w:sz w:val="24"/>
                <w:szCs w:val="24"/>
              </w:rPr>
              <w:t>SSWB(</w:t>
            </w:r>
            <w:proofErr w:type="gramEnd"/>
            <w:r w:rsidR="00CC2B6A">
              <w:rPr>
                <w:rFonts w:asciiTheme="minorHAnsi" w:hAnsiTheme="minorHAnsi" w:cstheme="minorHAnsi"/>
                <w:sz w:val="24"/>
                <w:szCs w:val="24"/>
              </w:rPr>
              <w:t>W)A 2014 further enquires were required as there was cause to believe adult one was at risk of abuse.</w:t>
            </w:r>
          </w:p>
          <w:p w14:paraId="3DADD431" w14:textId="26175D9A" w:rsidR="001C6340" w:rsidRDefault="001C6340" w:rsidP="001C6340">
            <w:pPr>
              <w:jc w:val="both"/>
              <w:rPr>
                <w:rFonts w:asciiTheme="minorHAnsi" w:hAnsiTheme="minorHAnsi" w:cstheme="minorHAnsi"/>
                <w:sz w:val="24"/>
                <w:szCs w:val="24"/>
              </w:rPr>
            </w:pPr>
          </w:p>
          <w:p w14:paraId="264C1396" w14:textId="36D28EE1" w:rsidR="003817AD" w:rsidRDefault="003E6D8D" w:rsidP="00B8522C">
            <w:pPr>
              <w:jc w:val="both"/>
              <w:rPr>
                <w:rFonts w:asciiTheme="minorHAnsi" w:hAnsiTheme="minorHAnsi"/>
                <w:sz w:val="24"/>
                <w:szCs w:val="24"/>
              </w:rPr>
            </w:pPr>
            <w:r>
              <w:rPr>
                <w:rFonts w:asciiTheme="minorHAnsi" w:hAnsiTheme="minorHAnsi"/>
                <w:sz w:val="24"/>
                <w:szCs w:val="24"/>
              </w:rPr>
              <w:t>The outcome of the S</w:t>
            </w:r>
            <w:r w:rsidR="002E70F9">
              <w:rPr>
                <w:rFonts w:asciiTheme="minorHAnsi" w:hAnsiTheme="minorHAnsi"/>
                <w:sz w:val="24"/>
                <w:szCs w:val="24"/>
              </w:rPr>
              <w:t>ection 126</w:t>
            </w:r>
            <w:r>
              <w:rPr>
                <w:rFonts w:asciiTheme="minorHAnsi" w:hAnsiTheme="minorHAnsi"/>
                <w:sz w:val="24"/>
                <w:szCs w:val="24"/>
              </w:rPr>
              <w:t xml:space="preserve"> enquiries was to hold a strategy meeting with all relevant professionals. </w:t>
            </w:r>
            <w:r w:rsidR="00C62017">
              <w:rPr>
                <w:rFonts w:asciiTheme="minorHAnsi" w:hAnsiTheme="minorHAnsi"/>
                <w:sz w:val="24"/>
                <w:szCs w:val="24"/>
              </w:rPr>
              <w:t xml:space="preserve">Some of the main </w:t>
            </w:r>
            <w:r>
              <w:rPr>
                <w:rFonts w:asciiTheme="minorHAnsi" w:hAnsiTheme="minorHAnsi"/>
                <w:sz w:val="24"/>
                <w:szCs w:val="24"/>
              </w:rPr>
              <w:t>purpose</w:t>
            </w:r>
            <w:r w:rsidR="00C62017">
              <w:rPr>
                <w:rFonts w:asciiTheme="minorHAnsi" w:hAnsiTheme="minorHAnsi"/>
                <w:sz w:val="24"/>
                <w:szCs w:val="24"/>
              </w:rPr>
              <w:t>s</w:t>
            </w:r>
            <w:r>
              <w:rPr>
                <w:rFonts w:asciiTheme="minorHAnsi" w:hAnsiTheme="minorHAnsi"/>
                <w:sz w:val="24"/>
                <w:szCs w:val="24"/>
              </w:rPr>
              <w:t xml:space="preserve"> of the meeting is to </w:t>
            </w:r>
            <w:r w:rsidR="00C62017">
              <w:rPr>
                <w:rFonts w:asciiTheme="minorHAnsi" w:hAnsiTheme="minorHAnsi"/>
                <w:sz w:val="24"/>
                <w:szCs w:val="24"/>
              </w:rPr>
              <w:t>ensure the co-ordination of adult protection, to share all relevant information and consider a course of action to protect the adult at risk (SCW, 22)</w:t>
            </w:r>
            <w:r w:rsidR="00295A4E">
              <w:rPr>
                <w:rFonts w:asciiTheme="minorHAnsi" w:hAnsiTheme="minorHAnsi"/>
                <w:sz w:val="24"/>
                <w:szCs w:val="24"/>
              </w:rPr>
              <w:t>. Multi-Disciplinary Team meeting can result in tensions and conflict but to minimise these tensions it’s important to ensure effective collaboration by fostering good communication and an understanding of roles and responsibilities (</w:t>
            </w:r>
            <w:proofErr w:type="spellStart"/>
            <w:r w:rsidR="00295A4E">
              <w:rPr>
                <w:rFonts w:asciiTheme="minorHAnsi" w:hAnsiTheme="minorHAnsi"/>
                <w:sz w:val="24"/>
                <w:szCs w:val="24"/>
              </w:rPr>
              <w:t>Koubel</w:t>
            </w:r>
            <w:proofErr w:type="spellEnd"/>
            <w:r w:rsidR="00295A4E">
              <w:rPr>
                <w:rFonts w:asciiTheme="minorHAnsi" w:hAnsiTheme="minorHAnsi"/>
                <w:sz w:val="24"/>
                <w:szCs w:val="24"/>
              </w:rPr>
              <w:t>, 2017).</w:t>
            </w:r>
            <w:r w:rsidR="00B8522C">
              <w:rPr>
                <w:rFonts w:asciiTheme="minorHAnsi" w:hAnsiTheme="minorHAnsi"/>
                <w:sz w:val="24"/>
                <w:szCs w:val="24"/>
              </w:rPr>
              <w:t xml:space="preserve"> </w:t>
            </w:r>
            <w:r w:rsidR="003817AD">
              <w:rPr>
                <w:rFonts w:asciiTheme="minorHAnsi" w:hAnsiTheme="minorHAnsi"/>
                <w:sz w:val="24"/>
                <w:szCs w:val="24"/>
              </w:rPr>
              <w:t>Tensions arose when there was confusion about who was responsible for what and delays in tasks being completed. It was important to maintain communication outside of the MDT and I would update my co-worker on a regular basis in regard to my work with adult one. It was important for me to pass on any information which may be pivotal to their ongoing work with adult two, and could have impact on any decision they may be making.</w:t>
            </w:r>
            <w:r w:rsidR="008F296A">
              <w:rPr>
                <w:rFonts w:asciiTheme="minorHAnsi" w:hAnsiTheme="minorHAnsi"/>
                <w:sz w:val="24"/>
                <w:szCs w:val="24"/>
              </w:rPr>
              <w:t xml:space="preserve"> I also felt it important to prioritise regular attendance at the MDT’s rather than send in apologies and updates, this fosters effective communication and creates discussions when tensions arise. </w:t>
            </w:r>
          </w:p>
          <w:p w14:paraId="6DB53AA9" w14:textId="77777777" w:rsidR="003817AD" w:rsidRDefault="003817AD" w:rsidP="00B8522C">
            <w:pPr>
              <w:jc w:val="both"/>
              <w:rPr>
                <w:rFonts w:asciiTheme="minorHAnsi" w:hAnsiTheme="minorHAnsi"/>
                <w:sz w:val="24"/>
                <w:szCs w:val="24"/>
              </w:rPr>
            </w:pPr>
          </w:p>
          <w:p w14:paraId="595ED613" w14:textId="4BC50837" w:rsidR="00B8522C" w:rsidRPr="001E7F0B" w:rsidRDefault="00353398" w:rsidP="00B8522C">
            <w:pPr>
              <w:jc w:val="both"/>
              <w:rPr>
                <w:rFonts w:asciiTheme="minorHAnsi" w:hAnsiTheme="minorHAnsi" w:cstheme="minorHAnsi"/>
                <w:sz w:val="24"/>
                <w:szCs w:val="24"/>
              </w:rPr>
            </w:pPr>
            <w:r>
              <w:rPr>
                <w:rFonts w:asciiTheme="minorHAnsi" w:hAnsiTheme="minorHAnsi" w:cstheme="minorHAnsi"/>
                <w:sz w:val="24"/>
                <w:szCs w:val="24"/>
              </w:rPr>
              <w:t xml:space="preserve">Being part of an MDT, it is important to consider the </w:t>
            </w:r>
            <w:r w:rsidR="00B8522C">
              <w:rPr>
                <w:rFonts w:asciiTheme="minorHAnsi" w:hAnsiTheme="minorHAnsi" w:cstheme="minorHAnsi"/>
                <w:sz w:val="24"/>
                <w:szCs w:val="24"/>
              </w:rPr>
              <w:t>General Data Protection Regulation 2018</w:t>
            </w:r>
            <w:r>
              <w:rPr>
                <w:rFonts w:asciiTheme="minorHAnsi" w:hAnsiTheme="minorHAnsi" w:cstheme="minorHAnsi"/>
                <w:sz w:val="24"/>
                <w:szCs w:val="24"/>
              </w:rPr>
              <w:t>, which</w:t>
            </w:r>
            <w:r w:rsidR="00B8522C">
              <w:rPr>
                <w:rFonts w:asciiTheme="minorHAnsi" w:hAnsiTheme="minorHAnsi" w:cstheme="minorHAnsi"/>
                <w:sz w:val="24"/>
                <w:szCs w:val="24"/>
              </w:rPr>
              <w:t xml:space="preserve"> is pivotal framework when public bodies share confidential and personal information. However, where there is safeguarding concern regarding an adult at risk, then this regulation allows for lawful information sharing between professional bodies (SCW, 2022).</w:t>
            </w:r>
          </w:p>
          <w:p w14:paraId="3E340FA3" w14:textId="031110C0" w:rsidR="00295A4E" w:rsidRDefault="00295A4E" w:rsidP="00295A4E">
            <w:pPr>
              <w:jc w:val="both"/>
              <w:rPr>
                <w:rFonts w:asciiTheme="minorHAnsi" w:hAnsiTheme="minorHAnsi"/>
                <w:sz w:val="24"/>
                <w:szCs w:val="24"/>
              </w:rPr>
            </w:pPr>
          </w:p>
          <w:p w14:paraId="3B53B46D" w14:textId="364C7B88" w:rsidR="00CF06C4" w:rsidRDefault="00393ACC" w:rsidP="00C62017">
            <w:pPr>
              <w:jc w:val="both"/>
              <w:rPr>
                <w:rFonts w:asciiTheme="minorHAnsi" w:hAnsiTheme="minorHAnsi" w:cstheme="minorHAnsi"/>
                <w:sz w:val="24"/>
                <w:szCs w:val="24"/>
              </w:rPr>
            </w:pPr>
            <w:r>
              <w:rPr>
                <w:rFonts w:asciiTheme="minorHAnsi" w:hAnsiTheme="minorHAnsi" w:cstheme="minorHAnsi"/>
                <w:sz w:val="24"/>
                <w:szCs w:val="24"/>
              </w:rPr>
              <w:t xml:space="preserve">Professional discussions within the strategy meeting agreed that an outcome should be an </w:t>
            </w:r>
            <w:r w:rsidR="00C62017">
              <w:rPr>
                <w:rFonts w:asciiTheme="minorHAnsi" w:hAnsiTheme="minorHAnsi" w:cstheme="minorHAnsi"/>
                <w:sz w:val="24"/>
                <w:szCs w:val="24"/>
              </w:rPr>
              <w:t xml:space="preserve">application to the Court of Protection for deputyship over finances. Adult one had requested her partner take on the role of lasting power of attorney, </w:t>
            </w:r>
            <w:r w:rsidR="00353398">
              <w:rPr>
                <w:rFonts w:asciiTheme="minorHAnsi" w:hAnsiTheme="minorHAnsi" w:cstheme="minorHAnsi"/>
                <w:sz w:val="24"/>
                <w:szCs w:val="24"/>
              </w:rPr>
              <w:t>but</w:t>
            </w:r>
            <w:r w:rsidR="00C62017">
              <w:rPr>
                <w:rFonts w:asciiTheme="minorHAnsi" w:hAnsiTheme="minorHAnsi" w:cstheme="minorHAnsi"/>
                <w:sz w:val="24"/>
                <w:szCs w:val="24"/>
              </w:rPr>
              <w:t xml:space="preserve"> could not identify the risks this would bring should adult two have full control over their finances. A ‘Best Interest’ assessment was undertaken which is ‘rights’ focused and collaborative which provides  thorough research into the adults rights, views, and impact of risk on their independence (</w:t>
            </w:r>
            <w:proofErr w:type="spellStart"/>
            <w:r w:rsidR="00C62017">
              <w:rPr>
                <w:rFonts w:asciiTheme="minorHAnsi" w:hAnsiTheme="minorHAnsi" w:cstheme="minorHAnsi"/>
                <w:sz w:val="24"/>
                <w:szCs w:val="24"/>
              </w:rPr>
              <w:t>Spreadbury</w:t>
            </w:r>
            <w:proofErr w:type="spellEnd"/>
            <w:r w:rsidR="00C62017">
              <w:rPr>
                <w:rFonts w:asciiTheme="minorHAnsi" w:hAnsiTheme="minorHAnsi" w:cstheme="minorHAnsi"/>
                <w:sz w:val="24"/>
                <w:szCs w:val="24"/>
              </w:rPr>
              <w:t>, 2020)</w:t>
            </w:r>
            <w:r w:rsidR="005B7D01">
              <w:rPr>
                <w:rFonts w:asciiTheme="minorHAnsi" w:hAnsiTheme="minorHAnsi" w:cstheme="minorHAnsi"/>
                <w:sz w:val="24"/>
                <w:szCs w:val="24"/>
              </w:rPr>
              <w:t xml:space="preserve">. </w:t>
            </w:r>
            <w:r w:rsidR="002E70F9">
              <w:rPr>
                <w:rFonts w:asciiTheme="minorHAnsi" w:hAnsiTheme="minorHAnsi" w:cstheme="minorHAnsi"/>
                <w:sz w:val="24"/>
                <w:szCs w:val="24"/>
              </w:rPr>
              <w:t>In safeguarding, balancing the individual’s wishes, rights, needs and risk is complex (</w:t>
            </w:r>
            <w:proofErr w:type="spellStart"/>
            <w:r w:rsidR="002E70F9">
              <w:rPr>
                <w:rFonts w:asciiTheme="minorHAnsi" w:hAnsiTheme="minorHAnsi" w:cstheme="minorHAnsi"/>
                <w:sz w:val="24"/>
                <w:szCs w:val="24"/>
              </w:rPr>
              <w:t>Spreadbury</w:t>
            </w:r>
            <w:proofErr w:type="spellEnd"/>
            <w:r w:rsidR="002E70F9">
              <w:rPr>
                <w:rFonts w:asciiTheme="minorHAnsi" w:hAnsiTheme="minorHAnsi" w:cstheme="minorHAnsi"/>
                <w:sz w:val="24"/>
                <w:szCs w:val="24"/>
              </w:rPr>
              <w:t xml:space="preserve">, 2020). Adult one view is they want and need their partner (alleged abuser) involved in their life. Adult one doesn’t have the mental capacity to understand the risks involved, nor able to weigh up and consider </w:t>
            </w:r>
            <w:r w:rsidR="00353398">
              <w:rPr>
                <w:rFonts w:asciiTheme="minorHAnsi" w:hAnsiTheme="minorHAnsi" w:cstheme="minorHAnsi"/>
                <w:sz w:val="24"/>
                <w:szCs w:val="24"/>
              </w:rPr>
              <w:t>t</w:t>
            </w:r>
            <w:r w:rsidR="002E70F9">
              <w:rPr>
                <w:rFonts w:asciiTheme="minorHAnsi" w:hAnsiTheme="minorHAnsi" w:cstheme="minorHAnsi"/>
                <w:sz w:val="24"/>
                <w:szCs w:val="24"/>
              </w:rPr>
              <w:t xml:space="preserve">he risks that adult two has to their wellbeing, i.e. lack of food, electricity etc. </w:t>
            </w:r>
            <w:r w:rsidR="005B7D01">
              <w:rPr>
                <w:rFonts w:asciiTheme="minorHAnsi" w:hAnsiTheme="minorHAnsi" w:cstheme="minorHAnsi"/>
                <w:sz w:val="24"/>
                <w:szCs w:val="24"/>
              </w:rPr>
              <w:t>Reflecting in supervision with my manager, I had some conflict with this decision, adult one was reliant on her partner and, due to her cognition, was unaware that her finances were being used for gambling. However, she wanted him to continue to manage the finances with little outside interference. It was important to consider her voice, however, there was history of reoccurring financial abuse and involving deputyship minimised the risk of further abuse.</w:t>
            </w:r>
          </w:p>
          <w:p w14:paraId="6181D771" w14:textId="539EC863" w:rsidR="00C62017" w:rsidRDefault="00CF06C4" w:rsidP="00C62017">
            <w:pPr>
              <w:jc w:val="both"/>
              <w:rPr>
                <w:rFonts w:asciiTheme="minorHAnsi" w:hAnsiTheme="minorHAnsi" w:cstheme="minorHAnsi"/>
                <w:sz w:val="24"/>
                <w:szCs w:val="24"/>
              </w:rPr>
            </w:pPr>
            <w:r>
              <w:rPr>
                <w:rFonts w:asciiTheme="minorHAnsi" w:hAnsiTheme="minorHAnsi" w:cstheme="minorHAnsi"/>
                <w:sz w:val="24"/>
                <w:szCs w:val="24"/>
              </w:rPr>
              <w:lastRenderedPageBreak/>
              <w:t xml:space="preserve">It was important to use my professional judgement on this decision based on the history and my knowledge on the couple. </w:t>
            </w:r>
            <w:r w:rsidR="005B7D01">
              <w:rPr>
                <w:rFonts w:asciiTheme="minorHAnsi" w:hAnsiTheme="minorHAnsi" w:cstheme="minorHAnsi"/>
                <w:sz w:val="24"/>
                <w:szCs w:val="24"/>
              </w:rPr>
              <w:t xml:space="preserve"> </w:t>
            </w:r>
            <w:r w:rsidR="000D3047">
              <w:rPr>
                <w:rFonts w:asciiTheme="minorHAnsi" w:hAnsiTheme="minorHAnsi" w:cstheme="minorHAnsi"/>
                <w:sz w:val="24"/>
                <w:szCs w:val="24"/>
              </w:rPr>
              <w:t xml:space="preserve">Adult one did inform me that her partner has explored a Lasting Power of Attorney, however he was declared bankrupt some year ago which disqualified him from the role (Gov.UK, 2024). However, the Office of Public Guardian and Court of Protection can investigate the LPA if they are suspected of misusing the </w:t>
            </w:r>
            <w:r w:rsidR="00E179BC">
              <w:rPr>
                <w:rFonts w:asciiTheme="minorHAnsi" w:hAnsiTheme="minorHAnsi" w:cstheme="minorHAnsi"/>
                <w:sz w:val="24"/>
                <w:szCs w:val="24"/>
              </w:rPr>
              <w:t>individual’s</w:t>
            </w:r>
            <w:r w:rsidR="000D3047">
              <w:rPr>
                <w:rFonts w:asciiTheme="minorHAnsi" w:hAnsiTheme="minorHAnsi" w:cstheme="minorHAnsi"/>
                <w:sz w:val="24"/>
                <w:szCs w:val="24"/>
              </w:rPr>
              <w:t xml:space="preserve"> finances.</w:t>
            </w:r>
          </w:p>
          <w:p w14:paraId="3017F245" w14:textId="77777777" w:rsidR="00C62017" w:rsidRDefault="00C62017" w:rsidP="00EE51FB">
            <w:pPr>
              <w:jc w:val="both"/>
              <w:rPr>
                <w:rFonts w:asciiTheme="minorHAnsi" w:hAnsiTheme="minorHAnsi"/>
                <w:sz w:val="24"/>
                <w:szCs w:val="24"/>
              </w:rPr>
            </w:pPr>
          </w:p>
          <w:p w14:paraId="2D1FC5E2" w14:textId="77777777" w:rsidR="00951EDA" w:rsidRPr="00951EDA" w:rsidRDefault="00295B83" w:rsidP="00951EDA">
            <w:pPr>
              <w:jc w:val="both"/>
              <w:rPr>
                <w:rFonts w:asciiTheme="minorHAnsi" w:hAnsiTheme="minorHAnsi" w:cstheme="minorHAnsi"/>
                <w:sz w:val="24"/>
                <w:szCs w:val="24"/>
              </w:rPr>
            </w:pPr>
            <w:r>
              <w:rPr>
                <w:rFonts w:asciiTheme="minorHAnsi" w:hAnsiTheme="minorHAnsi" w:cstheme="minorHAnsi"/>
                <w:sz w:val="24"/>
                <w:szCs w:val="24"/>
              </w:rPr>
              <w:t xml:space="preserve">The strategy recommended updating the </w:t>
            </w:r>
            <w:r w:rsidR="00A25528">
              <w:rPr>
                <w:rFonts w:asciiTheme="minorHAnsi" w:hAnsiTheme="minorHAnsi" w:cstheme="minorHAnsi"/>
                <w:sz w:val="24"/>
                <w:szCs w:val="24"/>
              </w:rPr>
              <w:t>Safeguarding risk assessments</w:t>
            </w:r>
            <w:r>
              <w:rPr>
                <w:rFonts w:asciiTheme="minorHAnsi" w:hAnsiTheme="minorHAnsi" w:cstheme="minorHAnsi"/>
                <w:sz w:val="24"/>
                <w:szCs w:val="24"/>
              </w:rPr>
              <w:t>, these</w:t>
            </w:r>
            <w:r w:rsidR="00A25528">
              <w:rPr>
                <w:rFonts w:asciiTheme="minorHAnsi" w:hAnsiTheme="minorHAnsi" w:cstheme="minorHAnsi"/>
                <w:sz w:val="24"/>
                <w:szCs w:val="24"/>
              </w:rPr>
              <w:t xml:space="preserve"> are living documents and as such should be updated regularly as the situation changes and develops (Dixon, 2023) Collaboration between social workers is common practice, however, this can be blighted by poor sharing of information and communication. Risk assessments can address these issues and improve collaborative working (Keenan, 2012). </w:t>
            </w:r>
            <w:r w:rsidR="000948F8">
              <w:rPr>
                <w:rFonts w:asciiTheme="minorHAnsi" w:hAnsiTheme="minorHAnsi" w:cstheme="minorHAnsi"/>
                <w:sz w:val="24"/>
                <w:szCs w:val="24"/>
              </w:rPr>
              <w:t xml:space="preserve">My colleague and I undertook joint visits with the couple to go through the risk assessment, adult one was able to express their views regarding the content. I felt, to reduce any power imbalance, it was important to demonstrate inclusion with adult one, recognising her voice and to help her fully understand the risks. </w:t>
            </w:r>
            <w:r w:rsidR="00951EDA" w:rsidRPr="00951EDA">
              <w:rPr>
                <w:rFonts w:asciiTheme="minorHAnsi" w:hAnsiTheme="minorHAnsi" w:cstheme="minorHAnsi"/>
                <w:sz w:val="24"/>
                <w:szCs w:val="24"/>
              </w:rPr>
              <w:t>Practitioners who have a philosophy of empowering individuals can improve practice by demonstrating to colleagues the value of collaborative working (Gorman, 2019).</w:t>
            </w:r>
          </w:p>
          <w:p w14:paraId="53C77EBE" w14:textId="77777777" w:rsidR="000948F8" w:rsidRDefault="000948F8" w:rsidP="00582941">
            <w:pPr>
              <w:jc w:val="both"/>
              <w:rPr>
                <w:rFonts w:asciiTheme="minorHAnsi" w:hAnsiTheme="minorHAnsi" w:cstheme="minorHAnsi"/>
                <w:sz w:val="24"/>
                <w:szCs w:val="24"/>
              </w:rPr>
            </w:pPr>
          </w:p>
          <w:p w14:paraId="230A036D" w14:textId="0EEA7642" w:rsidR="00EE51FB" w:rsidRDefault="00295B83" w:rsidP="00582941">
            <w:pPr>
              <w:jc w:val="both"/>
              <w:rPr>
                <w:rFonts w:asciiTheme="minorHAnsi" w:hAnsiTheme="minorHAnsi"/>
                <w:sz w:val="24"/>
                <w:szCs w:val="24"/>
              </w:rPr>
            </w:pPr>
            <w:r>
              <w:rPr>
                <w:rFonts w:asciiTheme="minorHAnsi" w:hAnsiTheme="minorHAnsi" w:cstheme="minorHAnsi"/>
                <w:sz w:val="24"/>
                <w:szCs w:val="24"/>
              </w:rPr>
              <w:t xml:space="preserve">Adult one has identified care and support needs, and as such she was assessed as requiring care to support with her physical disabilities. The daily support also formed part of the risk assessment as ‘someone’ would be visiting and could feedback if there were further signs of neglect. However, </w:t>
            </w:r>
            <w:r>
              <w:rPr>
                <w:rFonts w:asciiTheme="minorHAnsi" w:hAnsiTheme="minorHAnsi"/>
                <w:sz w:val="24"/>
                <w:szCs w:val="24"/>
              </w:rPr>
              <w:t xml:space="preserve">Thompson (2024) highlights the significant challenges Wales has attracting workers into social care, which include low pay, status and long hours. Adult one lives in a part of the county which care agencies struggle to attract workers, which they attribute to the remoteness of the location and poor road infrastructure, often made worse during the winter months when conditions deteriorate. Due to the staff shortages, local agencies are hiring individuals from across the Welsh boarder. This has a significant impact on the availability of the welsh language to those individuals requiring services. </w:t>
            </w:r>
          </w:p>
          <w:p w14:paraId="14AFBA08" w14:textId="071F9CB2" w:rsidR="007D3FB9" w:rsidRDefault="007D3FB9" w:rsidP="00582941">
            <w:pPr>
              <w:jc w:val="both"/>
              <w:rPr>
                <w:rFonts w:asciiTheme="minorHAnsi" w:hAnsiTheme="minorHAnsi"/>
                <w:sz w:val="24"/>
                <w:szCs w:val="24"/>
              </w:rPr>
            </w:pPr>
          </w:p>
          <w:p w14:paraId="5C299E94" w14:textId="77777777" w:rsidR="008D6F9A" w:rsidRDefault="008E1F36" w:rsidP="008D6F9A">
            <w:pPr>
              <w:jc w:val="both"/>
              <w:rPr>
                <w:rFonts w:asciiTheme="minorHAnsi" w:hAnsiTheme="minorHAnsi" w:cstheme="minorHAnsi"/>
                <w:sz w:val="24"/>
                <w:szCs w:val="24"/>
              </w:rPr>
            </w:pPr>
            <w:r>
              <w:rPr>
                <w:rFonts w:asciiTheme="minorHAnsi" w:hAnsiTheme="minorHAnsi" w:cstheme="minorHAnsi"/>
                <w:sz w:val="24"/>
                <w:szCs w:val="24"/>
              </w:rPr>
              <w:t xml:space="preserve">When I was preparing to begin working with adult one in terms of safeguarding and assessing care and support needs, I utilised </w:t>
            </w:r>
            <w:r w:rsidR="004057E3" w:rsidRPr="00963370">
              <w:rPr>
                <w:rFonts w:asciiTheme="minorHAnsi" w:hAnsiTheme="minorHAnsi" w:cstheme="minorHAnsi"/>
                <w:sz w:val="24"/>
                <w:szCs w:val="24"/>
              </w:rPr>
              <w:t>Pat Collingwood</w:t>
            </w:r>
            <w:r w:rsidR="004057E3">
              <w:rPr>
                <w:rFonts w:asciiTheme="minorHAnsi" w:hAnsiTheme="minorHAnsi" w:cstheme="minorHAnsi"/>
                <w:sz w:val="24"/>
                <w:szCs w:val="24"/>
              </w:rPr>
              <w:t xml:space="preserve"> (2008)</w:t>
            </w:r>
            <w:r w:rsidR="004057E3" w:rsidRPr="00963370">
              <w:rPr>
                <w:rFonts w:asciiTheme="minorHAnsi" w:hAnsiTheme="minorHAnsi" w:cstheme="minorHAnsi"/>
                <w:sz w:val="24"/>
                <w:szCs w:val="24"/>
              </w:rPr>
              <w:t xml:space="preserve"> </w:t>
            </w:r>
            <w:r w:rsidR="004057E3">
              <w:rPr>
                <w:rFonts w:asciiTheme="minorHAnsi" w:hAnsiTheme="minorHAnsi" w:cstheme="minorHAnsi"/>
                <w:sz w:val="24"/>
                <w:szCs w:val="24"/>
              </w:rPr>
              <w:t>three</w:t>
            </w:r>
            <w:r w:rsidR="004057E3" w:rsidRPr="00963370">
              <w:rPr>
                <w:rFonts w:asciiTheme="minorHAnsi" w:hAnsiTheme="minorHAnsi" w:cstheme="minorHAnsi"/>
                <w:sz w:val="24"/>
                <w:szCs w:val="24"/>
              </w:rPr>
              <w:t xml:space="preserve"> stage theory framework</w:t>
            </w:r>
            <w:r>
              <w:rPr>
                <w:rFonts w:asciiTheme="minorHAnsi" w:hAnsiTheme="minorHAnsi" w:cstheme="minorHAnsi"/>
                <w:sz w:val="24"/>
                <w:szCs w:val="24"/>
              </w:rPr>
              <w:t>. The first stage is a process of gathering information, as per safeguarding enquiries and then considering what further information is required as part of the assessment. Stage two links theories into my practice, helping me to understand how and why adult one and two find themselves in this situation which produces a more informed assessment. The third stage identifies the theory that shapes the intervention used with the couple to achieve those person centred outcomes. T</w:t>
            </w:r>
            <w:r w:rsidR="006707EE">
              <w:rPr>
                <w:rFonts w:asciiTheme="minorHAnsi" w:hAnsiTheme="minorHAnsi" w:cstheme="minorHAnsi"/>
                <w:sz w:val="24"/>
                <w:szCs w:val="24"/>
              </w:rPr>
              <w:t xml:space="preserve">he ‘exchange model’ as defined by </w:t>
            </w:r>
            <w:proofErr w:type="spellStart"/>
            <w:r w:rsidR="006707EE">
              <w:rPr>
                <w:rFonts w:asciiTheme="minorHAnsi" w:hAnsiTheme="minorHAnsi" w:cstheme="minorHAnsi"/>
                <w:sz w:val="24"/>
                <w:szCs w:val="24"/>
              </w:rPr>
              <w:t>Smale</w:t>
            </w:r>
            <w:proofErr w:type="spellEnd"/>
            <w:r w:rsidR="006707EE">
              <w:rPr>
                <w:rFonts w:asciiTheme="minorHAnsi" w:hAnsiTheme="minorHAnsi" w:cstheme="minorHAnsi"/>
                <w:sz w:val="24"/>
                <w:szCs w:val="24"/>
              </w:rPr>
              <w:t xml:space="preserve"> (1993</w:t>
            </w:r>
            <w:r>
              <w:rPr>
                <w:rFonts w:asciiTheme="minorHAnsi" w:hAnsiTheme="minorHAnsi" w:cstheme="minorHAnsi"/>
                <w:sz w:val="24"/>
                <w:szCs w:val="24"/>
              </w:rPr>
              <w:t xml:space="preserve">) I felt was more person focused. The model </w:t>
            </w:r>
            <w:r w:rsidR="006707EE">
              <w:rPr>
                <w:rFonts w:asciiTheme="minorHAnsi" w:hAnsiTheme="minorHAnsi" w:cstheme="minorHAnsi"/>
                <w:sz w:val="24"/>
                <w:szCs w:val="24"/>
              </w:rPr>
              <w:t>asserts the individual has a better understanding of their situation and how it affects them.</w:t>
            </w:r>
            <w:r>
              <w:rPr>
                <w:rFonts w:asciiTheme="minorHAnsi" w:hAnsiTheme="minorHAnsi" w:cstheme="minorHAnsi"/>
                <w:sz w:val="24"/>
                <w:szCs w:val="24"/>
              </w:rPr>
              <w:t xml:space="preserve"> Although Adult one has cognitive loss, they were still able to offer a perspective and how their condition effects them to inform the assessment. </w:t>
            </w:r>
            <w:r w:rsidR="008D6F9A">
              <w:rPr>
                <w:rFonts w:asciiTheme="minorHAnsi" w:hAnsiTheme="minorHAnsi" w:cstheme="minorHAnsi"/>
                <w:sz w:val="24"/>
                <w:szCs w:val="24"/>
              </w:rPr>
              <w:t xml:space="preserve">Building relationships with the adult with cognition problems is imperative for effective safeguarding and risk assessment. It is also important to take a person-centred approach to empower the individual to identify their outcomes and wishes (Metcalf, 2023). </w:t>
            </w:r>
          </w:p>
          <w:p w14:paraId="0820F2C2" w14:textId="72C8CB2F" w:rsidR="006707EE" w:rsidRDefault="006707EE" w:rsidP="004057E3">
            <w:pPr>
              <w:jc w:val="both"/>
              <w:rPr>
                <w:rFonts w:asciiTheme="minorHAnsi" w:hAnsiTheme="minorHAnsi" w:cstheme="minorHAnsi"/>
                <w:sz w:val="24"/>
                <w:szCs w:val="24"/>
              </w:rPr>
            </w:pPr>
          </w:p>
          <w:p w14:paraId="40EDF851" w14:textId="6A4AAD0E" w:rsidR="004057E3" w:rsidRDefault="00C91DA0" w:rsidP="004057E3">
            <w:pPr>
              <w:jc w:val="both"/>
              <w:rPr>
                <w:rFonts w:asciiTheme="minorHAnsi" w:hAnsiTheme="minorHAnsi" w:cstheme="minorHAnsi"/>
                <w:sz w:val="24"/>
                <w:szCs w:val="24"/>
              </w:rPr>
            </w:pPr>
            <w:r>
              <w:rPr>
                <w:rFonts w:asciiTheme="minorHAnsi" w:hAnsiTheme="minorHAnsi" w:cstheme="minorHAnsi"/>
                <w:sz w:val="24"/>
                <w:szCs w:val="24"/>
              </w:rPr>
              <w:t>The Social work theory which help informed me on the situation was Bowlby ‘Attachment Theory’.</w:t>
            </w:r>
            <w:r w:rsidR="00076C39">
              <w:rPr>
                <w:rFonts w:asciiTheme="minorHAnsi" w:hAnsiTheme="minorHAnsi" w:cstheme="minorHAnsi"/>
                <w:sz w:val="24"/>
                <w:szCs w:val="24"/>
              </w:rPr>
              <w:t xml:space="preserve"> Adult one was abandoned as a child, which can have an impact on that individual forming relationships into Adulthood. Bowlby also pointed to the individual could be</w:t>
            </w:r>
            <w:r w:rsidR="00AE368F">
              <w:rPr>
                <w:rFonts w:asciiTheme="minorHAnsi" w:hAnsiTheme="minorHAnsi" w:cstheme="minorHAnsi"/>
                <w:sz w:val="24"/>
                <w:szCs w:val="24"/>
              </w:rPr>
              <w:t xml:space="preserve">come dependent on another adult, </w:t>
            </w:r>
            <w:r w:rsidR="00AE368F">
              <w:rPr>
                <w:rFonts w:asciiTheme="minorHAnsi" w:hAnsiTheme="minorHAnsi" w:cstheme="minorHAnsi"/>
                <w:sz w:val="24"/>
                <w:szCs w:val="24"/>
              </w:rPr>
              <w:lastRenderedPageBreak/>
              <w:t>even though Adult one is aware that their finances were being mismanaged, they still feel they want their partner to continue caring for them.</w:t>
            </w:r>
            <w:r w:rsidR="004057E3">
              <w:rPr>
                <w:rFonts w:asciiTheme="minorHAnsi" w:hAnsiTheme="minorHAnsi" w:cstheme="minorHAnsi"/>
                <w:sz w:val="24"/>
                <w:szCs w:val="24"/>
              </w:rPr>
              <w:t xml:space="preserve"> </w:t>
            </w:r>
            <w:r>
              <w:rPr>
                <w:rFonts w:asciiTheme="minorHAnsi" w:hAnsiTheme="minorHAnsi" w:cstheme="minorHAnsi"/>
                <w:sz w:val="24"/>
                <w:szCs w:val="24"/>
              </w:rPr>
              <w:t>I felt this theory helped explain why Adult one was reluctant for ‘another person’ to intervene in their finances</w:t>
            </w:r>
            <w:r w:rsidR="00720BE5">
              <w:rPr>
                <w:rFonts w:asciiTheme="minorHAnsi" w:hAnsiTheme="minorHAnsi" w:cstheme="minorHAnsi"/>
                <w:sz w:val="24"/>
                <w:szCs w:val="24"/>
              </w:rPr>
              <w:t xml:space="preserve"> in replacement of her partner and it wasn’t because she didn’t fully understand what was happening to her.</w:t>
            </w:r>
            <w:r w:rsidR="00353398">
              <w:rPr>
                <w:rFonts w:asciiTheme="minorHAnsi" w:hAnsiTheme="minorHAnsi" w:cstheme="minorHAnsi"/>
                <w:sz w:val="24"/>
                <w:szCs w:val="24"/>
              </w:rPr>
              <w:t xml:space="preserve"> Adult one had concerns that she would be removed into a care home, and it was important that I communicated this was not the intentions.</w:t>
            </w:r>
          </w:p>
          <w:p w14:paraId="31FAFA8C" w14:textId="72BD693A" w:rsidR="006A2D30" w:rsidRDefault="006A2D30" w:rsidP="004057E3">
            <w:pPr>
              <w:jc w:val="both"/>
              <w:rPr>
                <w:rFonts w:asciiTheme="minorHAnsi" w:hAnsiTheme="minorHAnsi" w:cstheme="minorHAnsi"/>
                <w:sz w:val="24"/>
                <w:szCs w:val="24"/>
              </w:rPr>
            </w:pPr>
          </w:p>
          <w:p w14:paraId="677AC317" w14:textId="2B97A5A9" w:rsidR="006A2D30" w:rsidRDefault="00720BE5" w:rsidP="004057E3">
            <w:pPr>
              <w:jc w:val="both"/>
              <w:rPr>
                <w:rFonts w:asciiTheme="minorHAnsi" w:hAnsiTheme="minorHAnsi" w:cstheme="minorHAnsi"/>
                <w:sz w:val="24"/>
                <w:szCs w:val="24"/>
              </w:rPr>
            </w:pPr>
            <w:r>
              <w:rPr>
                <w:rFonts w:asciiTheme="minorHAnsi" w:hAnsiTheme="minorHAnsi" w:cstheme="minorHAnsi"/>
                <w:sz w:val="24"/>
                <w:szCs w:val="24"/>
              </w:rPr>
              <w:t xml:space="preserve">I felt it important to understand the perspective of Adult two and how he found himself in this situation, because it was evident that the two individuals did care for each other. I considered </w:t>
            </w:r>
            <w:r w:rsidR="006A2D30">
              <w:rPr>
                <w:rFonts w:asciiTheme="minorHAnsi" w:hAnsiTheme="minorHAnsi" w:cstheme="minorHAnsi"/>
                <w:sz w:val="24"/>
                <w:szCs w:val="24"/>
              </w:rPr>
              <w:t>Systems Theory (</w:t>
            </w:r>
            <w:proofErr w:type="spellStart"/>
            <w:r w:rsidR="006A2D30">
              <w:rPr>
                <w:rFonts w:asciiTheme="minorHAnsi" w:hAnsiTheme="minorHAnsi" w:cstheme="minorHAnsi"/>
                <w:sz w:val="24"/>
                <w:szCs w:val="24"/>
              </w:rPr>
              <w:t>Bronfenbrnner</w:t>
            </w:r>
            <w:proofErr w:type="spellEnd"/>
            <w:r w:rsidR="00CC7726">
              <w:rPr>
                <w:rFonts w:asciiTheme="minorHAnsi" w:hAnsiTheme="minorHAnsi" w:cstheme="minorHAnsi"/>
                <w:sz w:val="24"/>
                <w:szCs w:val="24"/>
              </w:rPr>
              <w:t>,</w:t>
            </w:r>
            <w:r w:rsidR="006A2D30">
              <w:rPr>
                <w:rFonts w:asciiTheme="minorHAnsi" w:hAnsiTheme="minorHAnsi" w:cstheme="minorHAnsi"/>
                <w:sz w:val="24"/>
                <w:szCs w:val="24"/>
              </w:rPr>
              <w:t xml:space="preserve"> 1994) which explains how a </w:t>
            </w:r>
            <w:r w:rsidR="00BE2862">
              <w:rPr>
                <w:rFonts w:asciiTheme="minorHAnsi" w:hAnsiTheme="minorHAnsi" w:cstheme="minorHAnsi"/>
                <w:sz w:val="24"/>
                <w:szCs w:val="24"/>
              </w:rPr>
              <w:t>per</w:t>
            </w:r>
            <w:r w:rsidR="002D3AF2">
              <w:rPr>
                <w:rFonts w:asciiTheme="minorHAnsi" w:hAnsiTheme="minorHAnsi" w:cstheme="minorHAnsi"/>
                <w:sz w:val="24"/>
                <w:szCs w:val="24"/>
              </w:rPr>
              <w:t>s</w:t>
            </w:r>
            <w:r w:rsidR="00BE2862">
              <w:rPr>
                <w:rFonts w:asciiTheme="minorHAnsi" w:hAnsiTheme="minorHAnsi" w:cstheme="minorHAnsi"/>
                <w:sz w:val="24"/>
                <w:szCs w:val="24"/>
              </w:rPr>
              <w:t>on’s</w:t>
            </w:r>
            <w:r w:rsidR="006A2D30">
              <w:rPr>
                <w:rFonts w:asciiTheme="minorHAnsi" w:hAnsiTheme="minorHAnsi" w:cstheme="minorHAnsi"/>
                <w:sz w:val="24"/>
                <w:szCs w:val="24"/>
              </w:rPr>
              <w:t xml:space="preserve"> support network can be placed under increased pressures due to a change in circumstances. The change could be a progressively deteriorating disability, like adult one, which could explain changes in adult two’s behaviours.</w:t>
            </w:r>
            <w:r w:rsidR="00D57FC9">
              <w:rPr>
                <w:rFonts w:asciiTheme="minorHAnsi" w:hAnsiTheme="minorHAnsi" w:cstheme="minorHAnsi"/>
                <w:sz w:val="24"/>
                <w:szCs w:val="24"/>
              </w:rPr>
              <w:t xml:space="preserve"> Adult one and two live an isolated existence with little interaction with the other residents nor having an extended social network. The impact upon Adult two seeing his long term partner experience a deterioration in her overall health would be significant on his overall wellbeing.</w:t>
            </w:r>
            <w:r w:rsidR="00D54CA9">
              <w:rPr>
                <w:rFonts w:asciiTheme="minorHAnsi" w:hAnsiTheme="minorHAnsi" w:cstheme="minorHAnsi"/>
                <w:sz w:val="24"/>
                <w:szCs w:val="24"/>
              </w:rPr>
              <w:t xml:space="preserve"> Polices that have been implemented to relieve pressure on un-paid carers and been impacted by severe cuts to services which needs to be a consideration when addressing the risk assessment (Lloyd, 2023).</w:t>
            </w:r>
            <w:r w:rsidR="00FD0D55">
              <w:rPr>
                <w:rFonts w:asciiTheme="minorHAnsi" w:hAnsiTheme="minorHAnsi" w:cstheme="minorHAnsi"/>
                <w:sz w:val="24"/>
                <w:szCs w:val="24"/>
              </w:rPr>
              <w:t xml:space="preserve"> I feel this theory helped me understand that adult two motives were not necessarily for unscrupulous gain, but rather an effect of watching his long term partner’s health deteriorate to a point where he almost doesn’t recognise her.</w:t>
            </w:r>
          </w:p>
          <w:p w14:paraId="38185BF7" w14:textId="43D9572E" w:rsidR="00700EE3" w:rsidRDefault="00700EE3" w:rsidP="004057E3">
            <w:pPr>
              <w:jc w:val="both"/>
              <w:rPr>
                <w:rFonts w:asciiTheme="minorHAnsi" w:hAnsiTheme="minorHAnsi" w:cstheme="minorHAnsi"/>
                <w:sz w:val="24"/>
                <w:szCs w:val="24"/>
              </w:rPr>
            </w:pPr>
          </w:p>
          <w:p w14:paraId="4BB9F158" w14:textId="48A6A215" w:rsidR="008F0693" w:rsidRDefault="00D42513" w:rsidP="00064063">
            <w:pPr>
              <w:jc w:val="both"/>
              <w:rPr>
                <w:rFonts w:asciiTheme="minorHAnsi" w:hAnsiTheme="minorHAnsi" w:cstheme="minorHAnsi"/>
                <w:sz w:val="24"/>
                <w:szCs w:val="24"/>
              </w:rPr>
            </w:pPr>
            <w:r>
              <w:rPr>
                <w:rFonts w:asciiTheme="minorHAnsi" w:hAnsiTheme="minorHAnsi" w:cstheme="minorHAnsi"/>
                <w:sz w:val="24"/>
                <w:szCs w:val="24"/>
              </w:rPr>
              <w:t xml:space="preserve">I have used supervision to reflect upon this case, and found the process useful when faced with complex or difficult cases. </w:t>
            </w:r>
            <w:r w:rsidR="004666F2">
              <w:rPr>
                <w:rFonts w:asciiTheme="minorHAnsi" w:hAnsiTheme="minorHAnsi" w:cstheme="minorHAnsi"/>
                <w:sz w:val="24"/>
                <w:szCs w:val="24"/>
              </w:rPr>
              <w:t xml:space="preserve">I found Gibbs (1998) reflective model useful to reflect back upon this Safeguarding case. The model </w:t>
            </w:r>
            <w:r w:rsidR="008F0693">
              <w:rPr>
                <w:rFonts w:asciiTheme="minorHAnsi" w:hAnsiTheme="minorHAnsi" w:cstheme="minorHAnsi"/>
                <w:sz w:val="24"/>
                <w:szCs w:val="24"/>
              </w:rPr>
              <w:t>first two stage</w:t>
            </w:r>
            <w:r w:rsidR="00B92283">
              <w:rPr>
                <w:rFonts w:asciiTheme="minorHAnsi" w:hAnsiTheme="minorHAnsi" w:cstheme="minorHAnsi"/>
                <w:sz w:val="24"/>
                <w:szCs w:val="24"/>
              </w:rPr>
              <w:t>s</w:t>
            </w:r>
            <w:r w:rsidR="008F0693">
              <w:rPr>
                <w:rFonts w:asciiTheme="minorHAnsi" w:hAnsiTheme="minorHAnsi" w:cstheme="minorHAnsi"/>
                <w:sz w:val="24"/>
                <w:szCs w:val="24"/>
              </w:rPr>
              <w:t xml:space="preserve"> </w:t>
            </w:r>
            <w:r w:rsidR="00B92283">
              <w:rPr>
                <w:rFonts w:asciiTheme="minorHAnsi" w:hAnsiTheme="minorHAnsi" w:cstheme="minorHAnsi"/>
                <w:sz w:val="24"/>
                <w:szCs w:val="24"/>
              </w:rPr>
              <w:t>allow</w:t>
            </w:r>
            <w:r w:rsidR="008F0693">
              <w:rPr>
                <w:rFonts w:asciiTheme="minorHAnsi" w:hAnsiTheme="minorHAnsi" w:cstheme="minorHAnsi"/>
                <w:sz w:val="24"/>
                <w:szCs w:val="24"/>
              </w:rPr>
              <w:t xml:space="preserve"> me to consider and</w:t>
            </w:r>
            <w:r w:rsidR="004666F2">
              <w:rPr>
                <w:rFonts w:asciiTheme="minorHAnsi" w:hAnsiTheme="minorHAnsi" w:cstheme="minorHAnsi"/>
                <w:sz w:val="24"/>
                <w:szCs w:val="24"/>
              </w:rPr>
              <w:t xml:space="preserve"> describe the experience and then explore </w:t>
            </w:r>
            <w:r w:rsidR="00B92283">
              <w:rPr>
                <w:rFonts w:asciiTheme="minorHAnsi" w:hAnsiTheme="minorHAnsi" w:cstheme="minorHAnsi"/>
                <w:sz w:val="24"/>
                <w:szCs w:val="24"/>
              </w:rPr>
              <w:t>my</w:t>
            </w:r>
            <w:r w:rsidR="004666F2">
              <w:rPr>
                <w:rFonts w:asciiTheme="minorHAnsi" w:hAnsiTheme="minorHAnsi" w:cstheme="minorHAnsi"/>
                <w:sz w:val="24"/>
                <w:szCs w:val="24"/>
              </w:rPr>
              <w:t xml:space="preserve"> thoughts and feelings throughout that experience.  </w:t>
            </w:r>
            <w:r w:rsidR="008F0693">
              <w:rPr>
                <w:rFonts w:asciiTheme="minorHAnsi" w:hAnsiTheme="minorHAnsi" w:cstheme="minorHAnsi"/>
                <w:sz w:val="24"/>
                <w:szCs w:val="24"/>
              </w:rPr>
              <w:t xml:space="preserve">I was able to use reflection to question what was being presented and explore further to ascertain the actual </w:t>
            </w:r>
            <w:r w:rsidR="0002148A">
              <w:rPr>
                <w:rFonts w:asciiTheme="minorHAnsi" w:hAnsiTheme="minorHAnsi" w:cstheme="minorHAnsi"/>
                <w:sz w:val="24"/>
                <w:szCs w:val="24"/>
              </w:rPr>
              <w:t>situation</w:t>
            </w:r>
            <w:r w:rsidR="008F0693">
              <w:rPr>
                <w:rFonts w:asciiTheme="minorHAnsi" w:hAnsiTheme="minorHAnsi" w:cstheme="minorHAnsi"/>
                <w:sz w:val="24"/>
                <w:szCs w:val="24"/>
              </w:rPr>
              <w:t>.</w:t>
            </w:r>
          </w:p>
          <w:p w14:paraId="16623CA8" w14:textId="77777777" w:rsidR="008F0693" w:rsidRDefault="008F0693" w:rsidP="00064063">
            <w:pPr>
              <w:jc w:val="both"/>
              <w:rPr>
                <w:rFonts w:asciiTheme="minorHAnsi" w:hAnsiTheme="minorHAnsi" w:cstheme="minorHAnsi"/>
                <w:sz w:val="24"/>
                <w:szCs w:val="24"/>
              </w:rPr>
            </w:pPr>
          </w:p>
          <w:p w14:paraId="20CF292B" w14:textId="5F1F0726" w:rsidR="0002148A" w:rsidRDefault="004666F2" w:rsidP="00064063">
            <w:pPr>
              <w:jc w:val="both"/>
              <w:rPr>
                <w:rFonts w:asciiTheme="minorHAnsi" w:hAnsiTheme="minorHAnsi" w:cstheme="minorHAnsi"/>
                <w:sz w:val="24"/>
                <w:szCs w:val="24"/>
              </w:rPr>
            </w:pPr>
            <w:r>
              <w:rPr>
                <w:rFonts w:asciiTheme="minorHAnsi" w:hAnsiTheme="minorHAnsi" w:cstheme="minorHAnsi"/>
                <w:sz w:val="24"/>
                <w:szCs w:val="24"/>
              </w:rPr>
              <w:t>The third stage evaluates the experience, both the good and the bad elements</w:t>
            </w:r>
            <w:r w:rsidR="00F713F2">
              <w:rPr>
                <w:rFonts w:asciiTheme="minorHAnsi" w:hAnsiTheme="minorHAnsi" w:cstheme="minorHAnsi"/>
                <w:sz w:val="24"/>
                <w:szCs w:val="24"/>
              </w:rPr>
              <w:t xml:space="preserve">. I felt that a strengths based approach allowed the voice and wishes of Adult one to be heard in the safeguarding arena, as well as build a co-productive relationship with Adult one. A negative experience was the joint working with the other Social Work team and the tensions around my expectations of what they should be doing and the timescales in which they should be done. </w:t>
            </w:r>
          </w:p>
          <w:p w14:paraId="446220E9" w14:textId="77777777" w:rsidR="0002148A" w:rsidRDefault="0002148A" w:rsidP="00064063">
            <w:pPr>
              <w:jc w:val="both"/>
              <w:rPr>
                <w:rFonts w:asciiTheme="minorHAnsi" w:hAnsiTheme="minorHAnsi" w:cstheme="minorHAnsi"/>
                <w:sz w:val="24"/>
                <w:szCs w:val="24"/>
              </w:rPr>
            </w:pPr>
          </w:p>
          <w:p w14:paraId="10670A2D" w14:textId="4C19F8A8" w:rsidR="00602AA9" w:rsidRDefault="004666F2" w:rsidP="00602AA9">
            <w:pPr>
              <w:jc w:val="both"/>
              <w:rPr>
                <w:rFonts w:asciiTheme="minorHAnsi" w:hAnsiTheme="minorHAnsi" w:cstheme="minorHAnsi"/>
                <w:sz w:val="24"/>
                <w:szCs w:val="24"/>
              </w:rPr>
            </w:pPr>
            <w:r>
              <w:rPr>
                <w:rFonts w:asciiTheme="minorHAnsi" w:hAnsiTheme="minorHAnsi" w:cstheme="minorHAnsi"/>
                <w:sz w:val="24"/>
                <w:szCs w:val="24"/>
              </w:rPr>
              <w:t>The Analysis stage enable me to make sense of what’s happened</w:t>
            </w:r>
            <w:r w:rsidR="00F713F2">
              <w:rPr>
                <w:rFonts w:asciiTheme="minorHAnsi" w:hAnsiTheme="minorHAnsi" w:cstheme="minorHAnsi"/>
                <w:sz w:val="24"/>
                <w:szCs w:val="24"/>
              </w:rPr>
              <w:t>, and theory enable me to have a good understanding of the couples situation and how event transcribed</w:t>
            </w:r>
            <w:r w:rsidR="00F37E80">
              <w:rPr>
                <w:rFonts w:asciiTheme="minorHAnsi" w:hAnsiTheme="minorHAnsi" w:cstheme="minorHAnsi"/>
                <w:sz w:val="24"/>
                <w:szCs w:val="24"/>
              </w:rPr>
              <w:t>. The fifth stage, conclusion, explores what I have learnt and could do differently whilst the last stage allows me to reflect on how I would manage a similar experience going forward.</w:t>
            </w:r>
            <w:r w:rsidR="00F713F2">
              <w:rPr>
                <w:rFonts w:asciiTheme="minorHAnsi" w:hAnsiTheme="minorHAnsi" w:cstheme="minorHAnsi"/>
                <w:sz w:val="24"/>
                <w:szCs w:val="24"/>
              </w:rPr>
              <w:t xml:space="preserve"> I have learnt that Safeguarding </w:t>
            </w:r>
            <w:r w:rsidR="0002148A">
              <w:rPr>
                <w:rFonts w:asciiTheme="minorHAnsi" w:hAnsiTheme="minorHAnsi" w:cstheme="minorHAnsi"/>
                <w:sz w:val="24"/>
                <w:szCs w:val="24"/>
              </w:rPr>
              <w:t xml:space="preserve">and risk management is not about removing the risk completely but instead looking to reduce the likelihood of </w:t>
            </w:r>
            <w:r w:rsidR="00D1171E">
              <w:rPr>
                <w:rFonts w:asciiTheme="minorHAnsi" w:hAnsiTheme="minorHAnsi" w:cstheme="minorHAnsi"/>
                <w:sz w:val="24"/>
                <w:szCs w:val="24"/>
              </w:rPr>
              <w:t>the events happening again or to reduce the impact upon the individual should it happen again (</w:t>
            </w:r>
            <w:proofErr w:type="spellStart"/>
            <w:r w:rsidR="00D1171E">
              <w:rPr>
                <w:rFonts w:asciiTheme="minorHAnsi" w:hAnsiTheme="minorHAnsi" w:cstheme="minorHAnsi"/>
                <w:sz w:val="24"/>
                <w:szCs w:val="24"/>
              </w:rPr>
              <w:t>Kemshall</w:t>
            </w:r>
            <w:proofErr w:type="spellEnd"/>
            <w:r w:rsidR="00D1171E">
              <w:rPr>
                <w:rFonts w:asciiTheme="minorHAnsi" w:hAnsiTheme="minorHAnsi" w:cstheme="minorHAnsi"/>
                <w:sz w:val="24"/>
                <w:szCs w:val="24"/>
              </w:rPr>
              <w:t>, 2011).</w:t>
            </w:r>
            <w:r w:rsidR="00602AA9">
              <w:rPr>
                <w:rFonts w:asciiTheme="minorHAnsi" w:hAnsiTheme="minorHAnsi" w:cstheme="minorHAnsi"/>
                <w:sz w:val="24"/>
                <w:szCs w:val="24"/>
              </w:rPr>
              <w:t xml:space="preserve"> </w:t>
            </w:r>
            <w:r w:rsidR="00602AA9">
              <w:rPr>
                <w:rFonts w:asciiTheme="minorHAnsi" w:hAnsiTheme="minorHAnsi"/>
                <w:sz w:val="24"/>
                <w:szCs w:val="24"/>
              </w:rPr>
              <w:t>A misconception is, within the realms of safeguarding, social workers will try and break up relationships to eliminate risk. However, the role of the social worker isn’t straightforward and is underpinned by complex legality (Mandelstam</w:t>
            </w:r>
            <w:r w:rsidR="00CC7726">
              <w:rPr>
                <w:rFonts w:asciiTheme="minorHAnsi" w:hAnsiTheme="minorHAnsi"/>
                <w:sz w:val="24"/>
                <w:szCs w:val="24"/>
              </w:rPr>
              <w:t>, 2019</w:t>
            </w:r>
            <w:r w:rsidR="00602AA9">
              <w:rPr>
                <w:rFonts w:asciiTheme="minorHAnsi" w:hAnsiTheme="minorHAnsi"/>
                <w:sz w:val="24"/>
                <w:szCs w:val="24"/>
              </w:rPr>
              <w:t xml:space="preserve">). I was surprised how engaging Adult two was throughout the process, even though he at one point thought his partner would be removed and placed in a residential home. I questioned whether the initial </w:t>
            </w:r>
            <w:proofErr w:type="gramStart"/>
            <w:r w:rsidR="00602AA9">
              <w:rPr>
                <w:rFonts w:asciiTheme="minorHAnsi" w:hAnsiTheme="minorHAnsi"/>
                <w:sz w:val="24"/>
                <w:szCs w:val="24"/>
              </w:rPr>
              <w:t>building  of</w:t>
            </w:r>
            <w:proofErr w:type="gramEnd"/>
            <w:r w:rsidR="00602AA9">
              <w:rPr>
                <w:rFonts w:asciiTheme="minorHAnsi" w:hAnsiTheme="minorHAnsi"/>
                <w:sz w:val="24"/>
                <w:szCs w:val="24"/>
              </w:rPr>
              <w:t xml:space="preserve"> a relationship and developing the trust has an impact on his perception and willingness to work with social services.</w:t>
            </w:r>
          </w:p>
          <w:p w14:paraId="18514C8D" w14:textId="7C7FBBCE" w:rsidR="0002148A" w:rsidRDefault="0002148A" w:rsidP="00064063">
            <w:pPr>
              <w:jc w:val="both"/>
              <w:rPr>
                <w:rFonts w:asciiTheme="minorHAnsi" w:hAnsiTheme="minorHAnsi" w:cstheme="minorHAnsi"/>
                <w:sz w:val="24"/>
                <w:szCs w:val="24"/>
              </w:rPr>
            </w:pPr>
          </w:p>
          <w:p w14:paraId="71B055FF" w14:textId="3C0A936A" w:rsidR="008D6F9A" w:rsidRDefault="00A25528" w:rsidP="008D6F9A">
            <w:pPr>
              <w:jc w:val="both"/>
              <w:rPr>
                <w:rFonts w:asciiTheme="minorHAnsi" w:hAnsiTheme="minorHAnsi" w:cstheme="minorHAnsi"/>
                <w:sz w:val="24"/>
                <w:szCs w:val="24"/>
              </w:rPr>
            </w:pPr>
            <w:proofErr w:type="spellStart"/>
            <w:r>
              <w:rPr>
                <w:rFonts w:asciiTheme="minorHAnsi" w:hAnsiTheme="minorHAnsi" w:cstheme="minorHAnsi"/>
                <w:sz w:val="24"/>
                <w:szCs w:val="24"/>
              </w:rPr>
              <w:t>Speadbury</w:t>
            </w:r>
            <w:proofErr w:type="spellEnd"/>
            <w:r>
              <w:rPr>
                <w:rFonts w:asciiTheme="minorHAnsi" w:hAnsiTheme="minorHAnsi" w:cstheme="minorHAnsi"/>
                <w:sz w:val="24"/>
                <w:szCs w:val="24"/>
              </w:rPr>
              <w:t xml:space="preserve"> (2024) argues that although there are legal / policy frameworks and statutory guidance to support safeguarding decisions, this should not be a reason to exclude professional judgement. She added that Professional curiosity should be used to explore and understand a situation instead of accepting the picture at face value. </w:t>
            </w:r>
            <w:r w:rsidR="00CF06C4">
              <w:rPr>
                <w:rFonts w:asciiTheme="minorHAnsi" w:hAnsiTheme="minorHAnsi" w:cstheme="minorHAnsi"/>
                <w:sz w:val="24"/>
                <w:szCs w:val="24"/>
              </w:rPr>
              <w:t>I felt I demonstrated this curiosity by listening and exploring</w:t>
            </w:r>
            <w:r>
              <w:rPr>
                <w:rFonts w:asciiTheme="minorHAnsi" w:hAnsiTheme="minorHAnsi" w:cstheme="minorHAnsi"/>
                <w:sz w:val="24"/>
                <w:szCs w:val="24"/>
              </w:rPr>
              <w:t xml:space="preserve"> through critical</w:t>
            </w:r>
            <w:r w:rsidR="00CF06C4">
              <w:rPr>
                <w:rFonts w:asciiTheme="minorHAnsi" w:hAnsiTheme="minorHAnsi" w:cstheme="minorHAnsi"/>
                <w:sz w:val="24"/>
                <w:szCs w:val="24"/>
              </w:rPr>
              <w:t>ly and evaluating</w:t>
            </w:r>
            <w:r>
              <w:rPr>
                <w:rFonts w:asciiTheme="minorHAnsi" w:hAnsiTheme="minorHAnsi" w:cstheme="minorHAnsi"/>
                <w:sz w:val="24"/>
                <w:szCs w:val="24"/>
              </w:rPr>
              <w:t xml:space="preserve"> the information available. On reflection, taking adult two at face value would indicate he is a victim of online scammers, however, by using professional curiosity and exploring further by liaising with other professionals, it became apparent that adult one’s finances were being uses for gambling purposes and buying explicit pictures of women on the internet. </w:t>
            </w:r>
            <w:r w:rsidR="00951EDA">
              <w:rPr>
                <w:rFonts w:asciiTheme="minorHAnsi" w:hAnsiTheme="minorHAnsi" w:cstheme="minorHAnsi"/>
                <w:sz w:val="24"/>
                <w:szCs w:val="24"/>
              </w:rPr>
              <w:t xml:space="preserve">Reflecting upon professional judgement I developed a positive relationship with adult one with </w:t>
            </w:r>
            <w:r w:rsidR="001D1003">
              <w:rPr>
                <w:rFonts w:asciiTheme="minorHAnsi" w:hAnsiTheme="minorHAnsi" w:cstheme="minorHAnsi"/>
                <w:sz w:val="24"/>
                <w:szCs w:val="24"/>
              </w:rPr>
              <w:t xml:space="preserve">resulted in them engaging with myself and other professionals involved to reduce the risks involved and promoting her safety, whilst respecting adults one’s wishes to remain living with her partner. </w:t>
            </w:r>
          </w:p>
          <w:p w14:paraId="2FD79B8D" w14:textId="43BE34DC" w:rsidR="00A25528" w:rsidRDefault="00A25528" w:rsidP="00AD1C29">
            <w:pPr>
              <w:jc w:val="both"/>
              <w:rPr>
                <w:rFonts w:asciiTheme="minorHAnsi" w:hAnsiTheme="minorHAnsi" w:cstheme="minorHAnsi"/>
                <w:sz w:val="24"/>
                <w:szCs w:val="24"/>
              </w:rPr>
            </w:pPr>
          </w:p>
          <w:p w14:paraId="4FA73E23" w14:textId="4D1BFC9E" w:rsidR="0072495C" w:rsidRDefault="0072495C" w:rsidP="00064063">
            <w:pPr>
              <w:jc w:val="both"/>
              <w:rPr>
                <w:rFonts w:asciiTheme="minorHAnsi" w:hAnsiTheme="minorHAnsi" w:cstheme="minorHAnsi"/>
                <w:sz w:val="24"/>
                <w:szCs w:val="24"/>
              </w:rPr>
            </w:pPr>
            <w:r>
              <w:rPr>
                <w:rFonts w:asciiTheme="minorHAnsi" w:hAnsiTheme="minorHAnsi" w:cstheme="minorHAnsi"/>
                <w:sz w:val="24"/>
                <w:szCs w:val="24"/>
              </w:rPr>
              <w:t>Social Work practice is based upon professional ethics which were demonstrated through my practice working with adult one. The British Association of Social Workers (2021) has a Code of Ethics which all members sign up to. The code has three ethical principles; human rights, social justice and professional integrity. The code has guidance for practicing ethically, which during this case I demonstrated though developing relationships, assessing and managing risk,</w:t>
            </w:r>
            <w:r w:rsidR="000009E7">
              <w:rPr>
                <w:rFonts w:asciiTheme="minorHAnsi" w:hAnsiTheme="minorHAnsi" w:cstheme="minorHAnsi"/>
                <w:sz w:val="24"/>
                <w:szCs w:val="24"/>
              </w:rPr>
              <w:t xml:space="preserve"> ensuring adult one was empowered to make choices and decisions, to ensure accurate details are recorded and that professional supervision was used to reflect and make professional judgments. </w:t>
            </w:r>
            <w:r w:rsidR="00B92283">
              <w:rPr>
                <w:rFonts w:asciiTheme="minorHAnsi" w:hAnsiTheme="minorHAnsi" w:cstheme="minorHAnsi"/>
                <w:sz w:val="24"/>
                <w:szCs w:val="24"/>
              </w:rPr>
              <w:t xml:space="preserve"> I feel that though out this case study I demonstrated the National Occupational Standards were woven throughout my practice, particularly in terms of personal centred approaches and outcomes and assessing needs and risks.</w:t>
            </w:r>
            <w:r w:rsidR="00951EDA">
              <w:rPr>
                <w:rFonts w:asciiTheme="minorHAnsi" w:hAnsiTheme="minorHAnsi" w:cstheme="minorHAnsi"/>
                <w:sz w:val="24"/>
                <w:szCs w:val="24"/>
              </w:rPr>
              <w:t xml:space="preserve"> I feel that my knowledge of safeguarding policies and procedures have developed significantly throughout this case study as well as the skills required to implement them through practice.</w:t>
            </w:r>
          </w:p>
          <w:p w14:paraId="4CB4DF29" w14:textId="53378683" w:rsidR="00C62017" w:rsidRDefault="00E179BC" w:rsidP="00064063">
            <w:pPr>
              <w:jc w:val="both"/>
              <w:rPr>
                <w:rFonts w:asciiTheme="minorHAnsi" w:hAnsiTheme="minorHAnsi" w:cstheme="minorHAnsi"/>
                <w:sz w:val="24"/>
                <w:szCs w:val="24"/>
              </w:rPr>
            </w:pPr>
            <w:r>
              <w:rPr>
                <w:rFonts w:asciiTheme="minorHAnsi" w:hAnsiTheme="minorHAnsi" w:cstheme="minorHAnsi"/>
                <w:sz w:val="24"/>
                <w:szCs w:val="24"/>
              </w:rPr>
              <w:t xml:space="preserve"> </w:t>
            </w:r>
          </w:p>
          <w:p w14:paraId="14302516" w14:textId="19871F7E" w:rsidR="005F629F" w:rsidRPr="005F629F" w:rsidRDefault="005F629F" w:rsidP="00064063">
            <w:pPr>
              <w:jc w:val="both"/>
              <w:rPr>
                <w:rFonts w:asciiTheme="minorHAnsi" w:hAnsiTheme="minorHAnsi" w:cstheme="minorHAnsi"/>
                <w:b/>
                <w:sz w:val="24"/>
                <w:szCs w:val="24"/>
              </w:rPr>
            </w:pPr>
            <w:r w:rsidRPr="005F629F">
              <w:rPr>
                <w:rFonts w:asciiTheme="minorHAnsi" w:hAnsiTheme="minorHAnsi" w:cstheme="minorHAnsi"/>
                <w:b/>
                <w:sz w:val="24"/>
                <w:szCs w:val="24"/>
              </w:rPr>
              <w:t>Words - 4</w:t>
            </w:r>
            <w:r w:rsidR="00CF73B2">
              <w:rPr>
                <w:rFonts w:asciiTheme="minorHAnsi" w:hAnsiTheme="minorHAnsi" w:cstheme="minorHAnsi"/>
                <w:b/>
                <w:sz w:val="24"/>
                <w:szCs w:val="24"/>
              </w:rPr>
              <w:t>204</w:t>
            </w:r>
          </w:p>
          <w:p w14:paraId="32C29095" w14:textId="77777777" w:rsidR="004951FF" w:rsidRDefault="004951FF" w:rsidP="00064063">
            <w:pPr>
              <w:jc w:val="both"/>
              <w:rPr>
                <w:rFonts w:asciiTheme="minorHAnsi" w:hAnsiTheme="minorHAnsi" w:cstheme="minorHAnsi"/>
                <w:sz w:val="24"/>
                <w:szCs w:val="24"/>
              </w:rPr>
            </w:pPr>
          </w:p>
          <w:p w14:paraId="51AF4546" w14:textId="3E269CE4"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sectPr w:rsidR="00D3442D"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1C627D" w14:textId="77777777" w:rsidR="009A7AFD" w:rsidRDefault="009A7AFD">
      <w:r>
        <w:separator/>
      </w:r>
    </w:p>
  </w:endnote>
  <w:endnote w:type="continuationSeparator" w:id="0">
    <w:p w14:paraId="42081CA0" w14:textId="77777777" w:rsidR="009A7AFD" w:rsidRDefault="009A7A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5D2B6DA" w:rsidR="00C91DA0" w:rsidRDefault="00C91DA0">
    <w:pPr>
      <w:pStyle w:val="Footer"/>
      <w:jc w:val="right"/>
    </w:pPr>
    <w:r>
      <w:fldChar w:fldCharType="begin"/>
    </w:r>
    <w:r>
      <w:instrText xml:space="preserve"> PAGE   \* MERGEFORMAT </w:instrText>
    </w:r>
    <w:r>
      <w:fldChar w:fldCharType="separate"/>
    </w:r>
    <w:r w:rsidR="00F52CB0">
      <w:rPr>
        <w:noProof/>
      </w:rPr>
      <w:t>9</w:t>
    </w:r>
    <w:r>
      <w:rPr>
        <w:noProof/>
      </w:rPr>
      <w:fldChar w:fldCharType="end"/>
    </w:r>
  </w:p>
  <w:p w14:paraId="5CA2AEEC" w14:textId="77777777" w:rsidR="00C91DA0" w:rsidRPr="00E60F42" w:rsidRDefault="00C91DA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7DDCF5" w14:textId="77777777" w:rsidR="009A7AFD" w:rsidRDefault="009A7AFD">
      <w:r>
        <w:separator/>
      </w:r>
    </w:p>
  </w:footnote>
  <w:footnote w:type="continuationSeparator" w:id="0">
    <w:p w14:paraId="65351390" w14:textId="77777777" w:rsidR="009A7AFD" w:rsidRDefault="009A7A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C91DA0" w:rsidRDefault="00C91DA0">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DF21A0"/>
    <w:multiLevelType w:val="hybridMultilevel"/>
    <w:tmpl w:val="7A7C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7"/>
  </w:num>
  <w:num w:numId="4">
    <w:abstractNumId w:val="49"/>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1"/>
  </w:num>
  <w:num w:numId="23">
    <w:abstractNumId w:val="29"/>
  </w:num>
  <w:num w:numId="24">
    <w:abstractNumId w:val="20"/>
  </w:num>
  <w:num w:numId="25">
    <w:abstractNumId w:val="43"/>
  </w:num>
  <w:num w:numId="26">
    <w:abstractNumId w:val="36"/>
  </w:num>
  <w:num w:numId="27">
    <w:abstractNumId w:val="42"/>
  </w:num>
  <w:num w:numId="28">
    <w:abstractNumId w:val="21"/>
  </w:num>
  <w:num w:numId="29">
    <w:abstractNumId w:val="45"/>
  </w:num>
  <w:num w:numId="30">
    <w:abstractNumId w:val="32"/>
  </w:num>
  <w:num w:numId="31">
    <w:abstractNumId w:val="13"/>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6"/>
  </w:num>
  <w:num w:numId="42">
    <w:abstractNumId w:val="7"/>
  </w:num>
  <w:num w:numId="43">
    <w:abstractNumId w:val="3"/>
  </w:num>
  <w:num w:numId="44">
    <w:abstractNumId w:val="40"/>
  </w:num>
  <w:num w:numId="45">
    <w:abstractNumId w:val="0"/>
  </w:num>
  <w:num w:numId="46">
    <w:abstractNumId w:val="15"/>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2"/>
  </w:num>
  <w:num w:numId="53">
    <w:abstractNumId w:val="2"/>
  </w:num>
  <w:num w:numId="54">
    <w:abstractNumId w:val="12"/>
  </w:num>
  <w:num w:numId="55">
    <w:abstractNumId w:val="37"/>
    <w:lvlOverride w:ilvl="0">
      <w:startOverride w:val="1"/>
    </w:lvlOverride>
    <w:lvlOverride w:ilvl="1"/>
    <w:lvlOverride w:ilvl="2"/>
    <w:lvlOverride w:ilvl="3"/>
    <w:lvlOverride w:ilvl="4"/>
    <w:lvlOverride w:ilvl="5"/>
    <w:lvlOverride w:ilvl="6"/>
    <w:lvlOverride w:ilvl="7"/>
    <w:lvlOverride w:ilv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74C"/>
    <w:rsid w:val="000009E7"/>
    <w:rsid w:val="0000138E"/>
    <w:rsid w:val="00002C7A"/>
    <w:rsid w:val="000045B8"/>
    <w:rsid w:val="00007AF9"/>
    <w:rsid w:val="000101D9"/>
    <w:rsid w:val="00011E2B"/>
    <w:rsid w:val="00012B16"/>
    <w:rsid w:val="00020EEC"/>
    <w:rsid w:val="0002148A"/>
    <w:rsid w:val="0002440E"/>
    <w:rsid w:val="0002759A"/>
    <w:rsid w:val="00027B1F"/>
    <w:rsid w:val="0003088B"/>
    <w:rsid w:val="0003111C"/>
    <w:rsid w:val="000325D9"/>
    <w:rsid w:val="000372B2"/>
    <w:rsid w:val="0004079F"/>
    <w:rsid w:val="00040A8D"/>
    <w:rsid w:val="00043543"/>
    <w:rsid w:val="00045B87"/>
    <w:rsid w:val="00045C07"/>
    <w:rsid w:val="00045C40"/>
    <w:rsid w:val="00046033"/>
    <w:rsid w:val="00046861"/>
    <w:rsid w:val="000548DA"/>
    <w:rsid w:val="00054A07"/>
    <w:rsid w:val="000551E7"/>
    <w:rsid w:val="00055D43"/>
    <w:rsid w:val="00056FAC"/>
    <w:rsid w:val="00057751"/>
    <w:rsid w:val="00062E39"/>
    <w:rsid w:val="00064063"/>
    <w:rsid w:val="0006581A"/>
    <w:rsid w:val="00066858"/>
    <w:rsid w:val="0007051D"/>
    <w:rsid w:val="00074461"/>
    <w:rsid w:val="000766EC"/>
    <w:rsid w:val="00076C39"/>
    <w:rsid w:val="00080E58"/>
    <w:rsid w:val="00083D99"/>
    <w:rsid w:val="000848C2"/>
    <w:rsid w:val="00084DA6"/>
    <w:rsid w:val="00085699"/>
    <w:rsid w:val="00087D65"/>
    <w:rsid w:val="00090160"/>
    <w:rsid w:val="00091F52"/>
    <w:rsid w:val="00092970"/>
    <w:rsid w:val="00093720"/>
    <w:rsid w:val="000938E6"/>
    <w:rsid w:val="00093B3C"/>
    <w:rsid w:val="0009488C"/>
    <w:rsid w:val="000948F8"/>
    <w:rsid w:val="00095C1B"/>
    <w:rsid w:val="00096DEA"/>
    <w:rsid w:val="000A4240"/>
    <w:rsid w:val="000A469A"/>
    <w:rsid w:val="000A584A"/>
    <w:rsid w:val="000A6458"/>
    <w:rsid w:val="000C378F"/>
    <w:rsid w:val="000C6892"/>
    <w:rsid w:val="000C6FFE"/>
    <w:rsid w:val="000D0BB6"/>
    <w:rsid w:val="000D2ED2"/>
    <w:rsid w:val="000D3047"/>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2C8E"/>
    <w:rsid w:val="001347F8"/>
    <w:rsid w:val="001359EE"/>
    <w:rsid w:val="00136527"/>
    <w:rsid w:val="00137BB5"/>
    <w:rsid w:val="00137E05"/>
    <w:rsid w:val="001447F6"/>
    <w:rsid w:val="001465CF"/>
    <w:rsid w:val="00147DE3"/>
    <w:rsid w:val="00150794"/>
    <w:rsid w:val="00151DA6"/>
    <w:rsid w:val="001608C4"/>
    <w:rsid w:val="00164832"/>
    <w:rsid w:val="00171418"/>
    <w:rsid w:val="001772BF"/>
    <w:rsid w:val="001772DE"/>
    <w:rsid w:val="0018083A"/>
    <w:rsid w:val="001838A8"/>
    <w:rsid w:val="0019496C"/>
    <w:rsid w:val="00194C95"/>
    <w:rsid w:val="001961CF"/>
    <w:rsid w:val="001A59BB"/>
    <w:rsid w:val="001A607E"/>
    <w:rsid w:val="001A6A51"/>
    <w:rsid w:val="001A79C4"/>
    <w:rsid w:val="001B331A"/>
    <w:rsid w:val="001B7D61"/>
    <w:rsid w:val="001C0237"/>
    <w:rsid w:val="001C0E74"/>
    <w:rsid w:val="001C4973"/>
    <w:rsid w:val="001C4DB8"/>
    <w:rsid w:val="001C50B8"/>
    <w:rsid w:val="001C6340"/>
    <w:rsid w:val="001D1003"/>
    <w:rsid w:val="001D229F"/>
    <w:rsid w:val="001D340B"/>
    <w:rsid w:val="001E070F"/>
    <w:rsid w:val="001E18F5"/>
    <w:rsid w:val="001E2EB6"/>
    <w:rsid w:val="001E7F0B"/>
    <w:rsid w:val="001F4552"/>
    <w:rsid w:val="002019EB"/>
    <w:rsid w:val="00204B58"/>
    <w:rsid w:val="00205051"/>
    <w:rsid w:val="0020540E"/>
    <w:rsid w:val="00211F65"/>
    <w:rsid w:val="002135D5"/>
    <w:rsid w:val="00214047"/>
    <w:rsid w:val="00214764"/>
    <w:rsid w:val="00216563"/>
    <w:rsid w:val="0021792F"/>
    <w:rsid w:val="00220D06"/>
    <w:rsid w:val="002246A0"/>
    <w:rsid w:val="00230439"/>
    <w:rsid w:val="00232A09"/>
    <w:rsid w:val="00235176"/>
    <w:rsid w:val="00236061"/>
    <w:rsid w:val="002366A3"/>
    <w:rsid w:val="0024100E"/>
    <w:rsid w:val="00241C1B"/>
    <w:rsid w:val="0024288B"/>
    <w:rsid w:val="002432F9"/>
    <w:rsid w:val="00243DB0"/>
    <w:rsid w:val="00247265"/>
    <w:rsid w:val="00260663"/>
    <w:rsid w:val="002657E9"/>
    <w:rsid w:val="0026665E"/>
    <w:rsid w:val="0027147E"/>
    <w:rsid w:val="00273A73"/>
    <w:rsid w:val="002761F4"/>
    <w:rsid w:val="00276EFF"/>
    <w:rsid w:val="002775E1"/>
    <w:rsid w:val="00277979"/>
    <w:rsid w:val="00277F92"/>
    <w:rsid w:val="00284113"/>
    <w:rsid w:val="00291ADD"/>
    <w:rsid w:val="002920DF"/>
    <w:rsid w:val="00292F3D"/>
    <w:rsid w:val="00295A4E"/>
    <w:rsid w:val="00295B83"/>
    <w:rsid w:val="00295CA1"/>
    <w:rsid w:val="002A0E51"/>
    <w:rsid w:val="002A1A44"/>
    <w:rsid w:val="002A291A"/>
    <w:rsid w:val="002A2C54"/>
    <w:rsid w:val="002A4E2E"/>
    <w:rsid w:val="002A5604"/>
    <w:rsid w:val="002B1701"/>
    <w:rsid w:val="002B23C3"/>
    <w:rsid w:val="002B36D0"/>
    <w:rsid w:val="002B443A"/>
    <w:rsid w:val="002B5B35"/>
    <w:rsid w:val="002B7AEE"/>
    <w:rsid w:val="002C2536"/>
    <w:rsid w:val="002C256A"/>
    <w:rsid w:val="002C3031"/>
    <w:rsid w:val="002C4233"/>
    <w:rsid w:val="002C496D"/>
    <w:rsid w:val="002D05EB"/>
    <w:rsid w:val="002D11A8"/>
    <w:rsid w:val="002D2F29"/>
    <w:rsid w:val="002D3AF2"/>
    <w:rsid w:val="002D46C0"/>
    <w:rsid w:val="002D5A92"/>
    <w:rsid w:val="002D65D2"/>
    <w:rsid w:val="002D6B31"/>
    <w:rsid w:val="002E2067"/>
    <w:rsid w:val="002E3497"/>
    <w:rsid w:val="002E6D17"/>
    <w:rsid w:val="002E7017"/>
    <w:rsid w:val="002E70F9"/>
    <w:rsid w:val="002E7F2C"/>
    <w:rsid w:val="002F1FC7"/>
    <w:rsid w:val="002F2185"/>
    <w:rsid w:val="002F4F6E"/>
    <w:rsid w:val="003015C3"/>
    <w:rsid w:val="003042D8"/>
    <w:rsid w:val="003106DB"/>
    <w:rsid w:val="0031350A"/>
    <w:rsid w:val="00314484"/>
    <w:rsid w:val="003155A5"/>
    <w:rsid w:val="00316815"/>
    <w:rsid w:val="003168CA"/>
    <w:rsid w:val="00321255"/>
    <w:rsid w:val="0032230D"/>
    <w:rsid w:val="00322A0B"/>
    <w:rsid w:val="00330881"/>
    <w:rsid w:val="00331CD2"/>
    <w:rsid w:val="00332426"/>
    <w:rsid w:val="00335C41"/>
    <w:rsid w:val="00335FC5"/>
    <w:rsid w:val="0033771E"/>
    <w:rsid w:val="00337FEF"/>
    <w:rsid w:val="00352B1B"/>
    <w:rsid w:val="00353398"/>
    <w:rsid w:val="00354B6D"/>
    <w:rsid w:val="00355210"/>
    <w:rsid w:val="00355CFD"/>
    <w:rsid w:val="003608D8"/>
    <w:rsid w:val="00365DF9"/>
    <w:rsid w:val="0037066E"/>
    <w:rsid w:val="00371E7C"/>
    <w:rsid w:val="00372DB4"/>
    <w:rsid w:val="00373A36"/>
    <w:rsid w:val="0037419E"/>
    <w:rsid w:val="00375AF5"/>
    <w:rsid w:val="003761BD"/>
    <w:rsid w:val="00377448"/>
    <w:rsid w:val="00377884"/>
    <w:rsid w:val="003817AD"/>
    <w:rsid w:val="003826BD"/>
    <w:rsid w:val="00385414"/>
    <w:rsid w:val="00390074"/>
    <w:rsid w:val="0039262A"/>
    <w:rsid w:val="00392F73"/>
    <w:rsid w:val="00393600"/>
    <w:rsid w:val="00393ACC"/>
    <w:rsid w:val="0039748C"/>
    <w:rsid w:val="0039762B"/>
    <w:rsid w:val="003A0C37"/>
    <w:rsid w:val="003A1861"/>
    <w:rsid w:val="003A1B6B"/>
    <w:rsid w:val="003A46C0"/>
    <w:rsid w:val="003A600E"/>
    <w:rsid w:val="003A6513"/>
    <w:rsid w:val="003A695F"/>
    <w:rsid w:val="003B16C7"/>
    <w:rsid w:val="003B29BC"/>
    <w:rsid w:val="003B3115"/>
    <w:rsid w:val="003C19F1"/>
    <w:rsid w:val="003C3C67"/>
    <w:rsid w:val="003C4186"/>
    <w:rsid w:val="003C6185"/>
    <w:rsid w:val="003D0D2D"/>
    <w:rsid w:val="003D1885"/>
    <w:rsid w:val="003D1BC0"/>
    <w:rsid w:val="003D20F1"/>
    <w:rsid w:val="003D4710"/>
    <w:rsid w:val="003E16D7"/>
    <w:rsid w:val="003E1885"/>
    <w:rsid w:val="003E197E"/>
    <w:rsid w:val="003E4B70"/>
    <w:rsid w:val="003E54CF"/>
    <w:rsid w:val="003E5FBA"/>
    <w:rsid w:val="003E6D8D"/>
    <w:rsid w:val="003F1233"/>
    <w:rsid w:val="003F67A4"/>
    <w:rsid w:val="00400786"/>
    <w:rsid w:val="00401FDA"/>
    <w:rsid w:val="004046F0"/>
    <w:rsid w:val="004057E3"/>
    <w:rsid w:val="0040668F"/>
    <w:rsid w:val="00411EF7"/>
    <w:rsid w:val="00412677"/>
    <w:rsid w:val="004227F1"/>
    <w:rsid w:val="00425160"/>
    <w:rsid w:val="004276D4"/>
    <w:rsid w:val="00430DE3"/>
    <w:rsid w:val="004348AE"/>
    <w:rsid w:val="004376C0"/>
    <w:rsid w:val="004376FB"/>
    <w:rsid w:val="0044223A"/>
    <w:rsid w:val="00450B67"/>
    <w:rsid w:val="00451851"/>
    <w:rsid w:val="0045189A"/>
    <w:rsid w:val="00453343"/>
    <w:rsid w:val="004538C3"/>
    <w:rsid w:val="00456DE2"/>
    <w:rsid w:val="004608B9"/>
    <w:rsid w:val="004624C7"/>
    <w:rsid w:val="00463B55"/>
    <w:rsid w:val="00465947"/>
    <w:rsid w:val="004666F2"/>
    <w:rsid w:val="004667B1"/>
    <w:rsid w:val="00466F08"/>
    <w:rsid w:val="004679AC"/>
    <w:rsid w:val="00467F66"/>
    <w:rsid w:val="00470461"/>
    <w:rsid w:val="00470BB1"/>
    <w:rsid w:val="00473153"/>
    <w:rsid w:val="0047350F"/>
    <w:rsid w:val="00473BB8"/>
    <w:rsid w:val="00473C6D"/>
    <w:rsid w:val="004743AF"/>
    <w:rsid w:val="004822F7"/>
    <w:rsid w:val="00482C17"/>
    <w:rsid w:val="00482DA5"/>
    <w:rsid w:val="00484501"/>
    <w:rsid w:val="00484CE3"/>
    <w:rsid w:val="00485425"/>
    <w:rsid w:val="004911B4"/>
    <w:rsid w:val="0049196A"/>
    <w:rsid w:val="004923DA"/>
    <w:rsid w:val="00492EEB"/>
    <w:rsid w:val="00493434"/>
    <w:rsid w:val="004942AF"/>
    <w:rsid w:val="004951FF"/>
    <w:rsid w:val="004968E2"/>
    <w:rsid w:val="004A2A49"/>
    <w:rsid w:val="004A5A64"/>
    <w:rsid w:val="004B5553"/>
    <w:rsid w:val="004B600B"/>
    <w:rsid w:val="004B6822"/>
    <w:rsid w:val="004B69F6"/>
    <w:rsid w:val="004C2D3A"/>
    <w:rsid w:val="004D03C4"/>
    <w:rsid w:val="004D0BF1"/>
    <w:rsid w:val="004D0F4E"/>
    <w:rsid w:val="004D1CD9"/>
    <w:rsid w:val="004D3278"/>
    <w:rsid w:val="004D35A4"/>
    <w:rsid w:val="004D445F"/>
    <w:rsid w:val="004E087B"/>
    <w:rsid w:val="004E247F"/>
    <w:rsid w:val="004E44A4"/>
    <w:rsid w:val="004E5265"/>
    <w:rsid w:val="004E7B8B"/>
    <w:rsid w:val="004E7BDD"/>
    <w:rsid w:val="004F1966"/>
    <w:rsid w:val="004F1E21"/>
    <w:rsid w:val="004F2542"/>
    <w:rsid w:val="004F4E33"/>
    <w:rsid w:val="004F740D"/>
    <w:rsid w:val="004F7B8F"/>
    <w:rsid w:val="00500748"/>
    <w:rsid w:val="005011D6"/>
    <w:rsid w:val="00502A14"/>
    <w:rsid w:val="005042F1"/>
    <w:rsid w:val="0050481B"/>
    <w:rsid w:val="005108A5"/>
    <w:rsid w:val="005113D4"/>
    <w:rsid w:val="0051287D"/>
    <w:rsid w:val="00513C7D"/>
    <w:rsid w:val="00521123"/>
    <w:rsid w:val="00521221"/>
    <w:rsid w:val="0052250B"/>
    <w:rsid w:val="005305C6"/>
    <w:rsid w:val="0053265C"/>
    <w:rsid w:val="00536B51"/>
    <w:rsid w:val="00540EEC"/>
    <w:rsid w:val="005414F4"/>
    <w:rsid w:val="005421BF"/>
    <w:rsid w:val="00546187"/>
    <w:rsid w:val="00547B11"/>
    <w:rsid w:val="0055248E"/>
    <w:rsid w:val="00557D77"/>
    <w:rsid w:val="00562EAA"/>
    <w:rsid w:val="00563B58"/>
    <w:rsid w:val="005640C4"/>
    <w:rsid w:val="0056684C"/>
    <w:rsid w:val="00574A0C"/>
    <w:rsid w:val="0057780F"/>
    <w:rsid w:val="00581E0A"/>
    <w:rsid w:val="00582941"/>
    <w:rsid w:val="00586D89"/>
    <w:rsid w:val="005877C8"/>
    <w:rsid w:val="00587923"/>
    <w:rsid w:val="00594F9F"/>
    <w:rsid w:val="00596012"/>
    <w:rsid w:val="005A1B4C"/>
    <w:rsid w:val="005A545C"/>
    <w:rsid w:val="005B271A"/>
    <w:rsid w:val="005B3A2D"/>
    <w:rsid w:val="005B5D8B"/>
    <w:rsid w:val="005B7D01"/>
    <w:rsid w:val="005C1567"/>
    <w:rsid w:val="005C28D3"/>
    <w:rsid w:val="005C6CE5"/>
    <w:rsid w:val="005D3F07"/>
    <w:rsid w:val="005D4A1E"/>
    <w:rsid w:val="005D4F72"/>
    <w:rsid w:val="005E13EA"/>
    <w:rsid w:val="005E17F1"/>
    <w:rsid w:val="005E2952"/>
    <w:rsid w:val="005F629F"/>
    <w:rsid w:val="005F64AA"/>
    <w:rsid w:val="005F7851"/>
    <w:rsid w:val="00602AA9"/>
    <w:rsid w:val="00606E27"/>
    <w:rsid w:val="006108C9"/>
    <w:rsid w:val="00614DF7"/>
    <w:rsid w:val="006179BB"/>
    <w:rsid w:val="0062158D"/>
    <w:rsid w:val="006223FD"/>
    <w:rsid w:val="006326D1"/>
    <w:rsid w:val="00632E0A"/>
    <w:rsid w:val="00633165"/>
    <w:rsid w:val="006435A4"/>
    <w:rsid w:val="006447DE"/>
    <w:rsid w:val="00644889"/>
    <w:rsid w:val="00646F41"/>
    <w:rsid w:val="0065276E"/>
    <w:rsid w:val="00654329"/>
    <w:rsid w:val="00654CEC"/>
    <w:rsid w:val="00655507"/>
    <w:rsid w:val="00656F80"/>
    <w:rsid w:val="006579FD"/>
    <w:rsid w:val="006635E3"/>
    <w:rsid w:val="006669F3"/>
    <w:rsid w:val="006707EE"/>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D30"/>
    <w:rsid w:val="006B4496"/>
    <w:rsid w:val="006B5E67"/>
    <w:rsid w:val="006B6612"/>
    <w:rsid w:val="006C2EB5"/>
    <w:rsid w:val="006D06CB"/>
    <w:rsid w:val="006D18A3"/>
    <w:rsid w:val="006D5970"/>
    <w:rsid w:val="006E481E"/>
    <w:rsid w:val="006E795F"/>
    <w:rsid w:val="006F0862"/>
    <w:rsid w:val="006F1438"/>
    <w:rsid w:val="006F2A9E"/>
    <w:rsid w:val="006F5ED3"/>
    <w:rsid w:val="00700249"/>
    <w:rsid w:val="00700EE3"/>
    <w:rsid w:val="00705D61"/>
    <w:rsid w:val="007069CD"/>
    <w:rsid w:val="00706BB5"/>
    <w:rsid w:val="00711D77"/>
    <w:rsid w:val="0071231A"/>
    <w:rsid w:val="00712E90"/>
    <w:rsid w:val="00713B7E"/>
    <w:rsid w:val="00713B86"/>
    <w:rsid w:val="00720BE5"/>
    <w:rsid w:val="0072495C"/>
    <w:rsid w:val="0072678F"/>
    <w:rsid w:val="00726E0F"/>
    <w:rsid w:val="007276E5"/>
    <w:rsid w:val="00727C4C"/>
    <w:rsid w:val="00734809"/>
    <w:rsid w:val="0073714E"/>
    <w:rsid w:val="007374EF"/>
    <w:rsid w:val="007406E1"/>
    <w:rsid w:val="00743E40"/>
    <w:rsid w:val="00745016"/>
    <w:rsid w:val="007450B2"/>
    <w:rsid w:val="00746E4A"/>
    <w:rsid w:val="0075031F"/>
    <w:rsid w:val="00751263"/>
    <w:rsid w:val="007544FC"/>
    <w:rsid w:val="00755427"/>
    <w:rsid w:val="00756548"/>
    <w:rsid w:val="0075673A"/>
    <w:rsid w:val="0075704F"/>
    <w:rsid w:val="00763B2D"/>
    <w:rsid w:val="00764C84"/>
    <w:rsid w:val="00766A38"/>
    <w:rsid w:val="007710AD"/>
    <w:rsid w:val="00772924"/>
    <w:rsid w:val="00780EBC"/>
    <w:rsid w:val="0078112D"/>
    <w:rsid w:val="007872F2"/>
    <w:rsid w:val="007873F9"/>
    <w:rsid w:val="007908E0"/>
    <w:rsid w:val="00793EB3"/>
    <w:rsid w:val="00794205"/>
    <w:rsid w:val="0079422A"/>
    <w:rsid w:val="007A1F6A"/>
    <w:rsid w:val="007A628F"/>
    <w:rsid w:val="007B0DE3"/>
    <w:rsid w:val="007B1BFD"/>
    <w:rsid w:val="007B2486"/>
    <w:rsid w:val="007B7191"/>
    <w:rsid w:val="007C1D94"/>
    <w:rsid w:val="007C556F"/>
    <w:rsid w:val="007C5ABE"/>
    <w:rsid w:val="007C6A87"/>
    <w:rsid w:val="007D07BA"/>
    <w:rsid w:val="007D0A07"/>
    <w:rsid w:val="007D0F11"/>
    <w:rsid w:val="007D133D"/>
    <w:rsid w:val="007D3EB4"/>
    <w:rsid w:val="007D3F16"/>
    <w:rsid w:val="007D3FB9"/>
    <w:rsid w:val="007F10BD"/>
    <w:rsid w:val="007F312E"/>
    <w:rsid w:val="007F3F7E"/>
    <w:rsid w:val="007F4BA4"/>
    <w:rsid w:val="007F5738"/>
    <w:rsid w:val="00802CA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91E"/>
    <w:rsid w:val="00844D98"/>
    <w:rsid w:val="00846D84"/>
    <w:rsid w:val="00847A1C"/>
    <w:rsid w:val="00850233"/>
    <w:rsid w:val="0085230E"/>
    <w:rsid w:val="008550A1"/>
    <w:rsid w:val="00861038"/>
    <w:rsid w:val="0086349A"/>
    <w:rsid w:val="00865B58"/>
    <w:rsid w:val="00866B50"/>
    <w:rsid w:val="00867A63"/>
    <w:rsid w:val="008708F1"/>
    <w:rsid w:val="00871960"/>
    <w:rsid w:val="0087369F"/>
    <w:rsid w:val="008761FE"/>
    <w:rsid w:val="00880539"/>
    <w:rsid w:val="008859E8"/>
    <w:rsid w:val="00885A5B"/>
    <w:rsid w:val="0088737B"/>
    <w:rsid w:val="00891078"/>
    <w:rsid w:val="00892716"/>
    <w:rsid w:val="00893067"/>
    <w:rsid w:val="008933DE"/>
    <w:rsid w:val="00895FCE"/>
    <w:rsid w:val="00897F3E"/>
    <w:rsid w:val="008A21B4"/>
    <w:rsid w:val="008B07DE"/>
    <w:rsid w:val="008B1309"/>
    <w:rsid w:val="008B28E7"/>
    <w:rsid w:val="008B67F6"/>
    <w:rsid w:val="008B7E1F"/>
    <w:rsid w:val="008C14C7"/>
    <w:rsid w:val="008C2FFB"/>
    <w:rsid w:val="008C633F"/>
    <w:rsid w:val="008C6EEA"/>
    <w:rsid w:val="008C7770"/>
    <w:rsid w:val="008C79C7"/>
    <w:rsid w:val="008D03B0"/>
    <w:rsid w:val="008D2150"/>
    <w:rsid w:val="008D5813"/>
    <w:rsid w:val="008D5999"/>
    <w:rsid w:val="008D634E"/>
    <w:rsid w:val="008D6F9A"/>
    <w:rsid w:val="008D778A"/>
    <w:rsid w:val="008D78C9"/>
    <w:rsid w:val="008E1F36"/>
    <w:rsid w:val="008E3195"/>
    <w:rsid w:val="008E5A35"/>
    <w:rsid w:val="008F0693"/>
    <w:rsid w:val="008F127E"/>
    <w:rsid w:val="008F296A"/>
    <w:rsid w:val="008F32D9"/>
    <w:rsid w:val="00902A65"/>
    <w:rsid w:val="00903932"/>
    <w:rsid w:val="009079BD"/>
    <w:rsid w:val="00912BD9"/>
    <w:rsid w:val="00916FB2"/>
    <w:rsid w:val="00920E5B"/>
    <w:rsid w:val="00926436"/>
    <w:rsid w:val="00926C53"/>
    <w:rsid w:val="0093018C"/>
    <w:rsid w:val="009414DA"/>
    <w:rsid w:val="0094495F"/>
    <w:rsid w:val="00951EDA"/>
    <w:rsid w:val="00952836"/>
    <w:rsid w:val="009544C0"/>
    <w:rsid w:val="00954FA4"/>
    <w:rsid w:val="00956AE9"/>
    <w:rsid w:val="00957234"/>
    <w:rsid w:val="00963370"/>
    <w:rsid w:val="00964CC6"/>
    <w:rsid w:val="00967BFA"/>
    <w:rsid w:val="00971D49"/>
    <w:rsid w:val="0098262C"/>
    <w:rsid w:val="0098427C"/>
    <w:rsid w:val="00986B43"/>
    <w:rsid w:val="00986C0B"/>
    <w:rsid w:val="00986D46"/>
    <w:rsid w:val="00991FDA"/>
    <w:rsid w:val="00992ACA"/>
    <w:rsid w:val="009A392C"/>
    <w:rsid w:val="009A5F3B"/>
    <w:rsid w:val="009A5F79"/>
    <w:rsid w:val="009A6F87"/>
    <w:rsid w:val="009A7AFD"/>
    <w:rsid w:val="009B0B61"/>
    <w:rsid w:val="009B21F7"/>
    <w:rsid w:val="009B28C0"/>
    <w:rsid w:val="009B3178"/>
    <w:rsid w:val="009B3E46"/>
    <w:rsid w:val="009B7136"/>
    <w:rsid w:val="009C337F"/>
    <w:rsid w:val="009C53AB"/>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C57"/>
    <w:rsid w:val="00A23F3B"/>
    <w:rsid w:val="00A24406"/>
    <w:rsid w:val="00A25528"/>
    <w:rsid w:val="00A25F64"/>
    <w:rsid w:val="00A275F6"/>
    <w:rsid w:val="00A303B9"/>
    <w:rsid w:val="00A37416"/>
    <w:rsid w:val="00A40ED6"/>
    <w:rsid w:val="00A418B6"/>
    <w:rsid w:val="00A47621"/>
    <w:rsid w:val="00A479CD"/>
    <w:rsid w:val="00A50CFC"/>
    <w:rsid w:val="00A54530"/>
    <w:rsid w:val="00A54D67"/>
    <w:rsid w:val="00A55A3F"/>
    <w:rsid w:val="00A5656A"/>
    <w:rsid w:val="00A60103"/>
    <w:rsid w:val="00A652F6"/>
    <w:rsid w:val="00A65861"/>
    <w:rsid w:val="00A717A8"/>
    <w:rsid w:val="00A732EA"/>
    <w:rsid w:val="00A7489E"/>
    <w:rsid w:val="00A8015F"/>
    <w:rsid w:val="00A85039"/>
    <w:rsid w:val="00A906AA"/>
    <w:rsid w:val="00A94C5E"/>
    <w:rsid w:val="00A96A53"/>
    <w:rsid w:val="00AA252C"/>
    <w:rsid w:val="00AA666E"/>
    <w:rsid w:val="00AA7960"/>
    <w:rsid w:val="00AB5518"/>
    <w:rsid w:val="00AC3A0E"/>
    <w:rsid w:val="00AC4A04"/>
    <w:rsid w:val="00AC563F"/>
    <w:rsid w:val="00AC5679"/>
    <w:rsid w:val="00AD1C29"/>
    <w:rsid w:val="00AD336F"/>
    <w:rsid w:val="00AE134C"/>
    <w:rsid w:val="00AE1868"/>
    <w:rsid w:val="00AE2564"/>
    <w:rsid w:val="00AE301F"/>
    <w:rsid w:val="00AE3302"/>
    <w:rsid w:val="00AE368F"/>
    <w:rsid w:val="00AE470C"/>
    <w:rsid w:val="00AE5BA6"/>
    <w:rsid w:val="00AE6231"/>
    <w:rsid w:val="00AE7077"/>
    <w:rsid w:val="00AE7ED9"/>
    <w:rsid w:val="00AF0354"/>
    <w:rsid w:val="00AF61C2"/>
    <w:rsid w:val="00AF6CC6"/>
    <w:rsid w:val="00B0296A"/>
    <w:rsid w:val="00B037B0"/>
    <w:rsid w:val="00B07E79"/>
    <w:rsid w:val="00B12295"/>
    <w:rsid w:val="00B137BE"/>
    <w:rsid w:val="00B15998"/>
    <w:rsid w:val="00B17FA0"/>
    <w:rsid w:val="00B2292C"/>
    <w:rsid w:val="00B22C3C"/>
    <w:rsid w:val="00B24344"/>
    <w:rsid w:val="00B26769"/>
    <w:rsid w:val="00B26E86"/>
    <w:rsid w:val="00B2754B"/>
    <w:rsid w:val="00B31C91"/>
    <w:rsid w:val="00B3747F"/>
    <w:rsid w:val="00B4025C"/>
    <w:rsid w:val="00B42E76"/>
    <w:rsid w:val="00B43194"/>
    <w:rsid w:val="00B436BF"/>
    <w:rsid w:val="00B47734"/>
    <w:rsid w:val="00B47D1A"/>
    <w:rsid w:val="00B50FBA"/>
    <w:rsid w:val="00B558EB"/>
    <w:rsid w:val="00B577D3"/>
    <w:rsid w:val="00B60466"/>
    <w:rsid w:val="00B6548F"/>
    <w:rsid w:val="00B71A32"/>
    <w:rsid w:val="00B739F2"/>
    <w:rsid w:val="00B7502A"/>
    <w:rsid w:val="00B77305"/>
    <w:rsid w:val="00B774BD"/>
    <w:rsid w:val="00B82CC2"/>
    <w:rsid w:val="00B83E51"/>
    <w:rsid w:val="00B84A89"/>
    <w:rsid w:val="00B8522C"/>
    <w:rsid w:val="00B92283"/>
    <w:rsid w:val="00B9256C"/>
    <w:rsid w:val="00B92BEF"/>
    <w:rsid w:val="00B93B8F"/>
    <w:rsid w:val="00B94443"/>
    <w:rsid w:val="00B95F59"/>
    <w:rsid w:val="00B9689A"/>
    <w:rsid w:val="00B97056"/>
    <w:rsid w:val="00BA531E"/>
    <w:rsid w:val="00BA68AC"/>
    <w:rsid w:val="00BA728B"/>
    <w:rsid w:val="00BB06CB"/>
    <w:rsid w:val="00BB261F"/>
    <w:rsid w:val="00BB271E"/>
    <w:rsid w:val="00BB2887"/>
    <w:rsid w:val="00BB3B56"/>
    <w:rsid w:val="00BB5EAA"/>
    <w:rsid w:val="00BB5F11"/>
    <w:rsid w:val="00BB6638"/>
    <w:rsid w:val="00BB7FD2"/>
    <w:rsid w:val="00BC04FA"/>
    <w:rsid w:val="00BC1C22"/>
    <w:rsid w:val="00BC2391"/>
    <w:rsid w:val="00BC460B"/>
    <w:rsid w:val="00BC4ED3"/>
    <w:rsid w:val="00BC5725"/>
    <w:rsid w:val="00BC7A80"/>
    <w:rsid w:val="00BD30B1"/>
    <w:rsid w:val="00BD4197"/>
    <w:rsid w:val="00BE0F7B"/>
    <w:rsid w:val="00BE10C2"/>
    <w:rsid w:val="00BE2862"/>
    <w:rsid w:val="00BF0D6C"/>
    <w:rsid w:val="00BF2EB1"/>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017"/>
    <w:rsid w:val="00C63CAB"/>
    <w:rsid w:val="00C63D00"/>
    <w:rsid w:val="00C6441B"/>
    <w:rsid w:val="00C6478A"/>
    <w:rsid w:val="00C65921"/>
    <w:rsid w:val="00C7108B"/>
    <w:rsid w:val="00C75883"/>
    <w:rsid w:val="00C77FA5"/>
    <w:rsid w:val="00C8089F"/>
    <w:rsid w:val="00C835FE"/>
    <w:rsid w:val="00C836CC"/>
    <w:rsid w:val="00C852D6"/>
    <w:rsid w:val="00C87A74"/>
    <w:rsid w:val="00C91DA0"/>
    <w:rsid w:val="00C92C71"/>
    <w:rsid w:val="00C93E8D"/>
    <w:rsid w:val="00C93F8F"/>
    <w:rsid w:val="00C945E3"/>
    <w:rsid w:val="00C95F53"/>
    <w:rsid w:val="00CA0894"/>
    <w:rsid w:val="00CA3593"/>
    <w:rsid w:val="00CA438C"/>
    <w:rsid w:val="00CA5726"/>
    <w:rsid w:val="00CA7E6A"/>
    <w:rsid w:val="00CB258E"/>
    <w:rsid w:val="00CB3C8F"/>
    <w:rsid w:val="00CC02F1"/>
    <w:rsid w:val="00CC1122"/>
    <w:rsid w:val="00CC11A6"/>
    <w:rsid w:val="00CC135E"/>
    <w:rsid w:val="00CC2B6A"/>
    <w:rsid w:val="00CC7226"/>
    <w:rsid w:val="00CC7726"/>
    <w:rsid w:val="00CD0735"/>
    <w:rsid w:val="00CD0C65"/>
    <w:rsid w:val="00CD45E3"/>
    <w:rsid w:val="00CD4771"/>
    <w:rsid w:val="00CD5089"/>
    <w:rsid w:val="00CD5D3F"/>
    <w:rsid w:val="00CD7E1F"/>
    <w:rsid w:val="00CE4BC4"/>
    <w:rsid w:val="00CE7DA2"/>
    <w:rsid w:val="00CF06C4"/>
    <w:rsid w:val="00CF2F8A"/>
    <w:rsid w:val="00CF3DB3"/>
    <w:rsid w:val="00CF73B2"/>
    <w:rsid w:val="00D0274B"/>
    <w:rsid w:val="00D0503D"/>
    <w:rsid w:val="00D052BC"/>
    <w:rsid w:val="00D07026"/>
    <w:rsid w:val="00D07FDE"/>
    <w:rsid w:val="00D1171E"/>
    <w:rsid w:val="00D146AE"/>
    <w:rsid w:val="00D22C8F"/>
    <w:rsid w:val="00D3203C"/>
    <w:rsid w:val="00D33491"/>
    <w:rsid w:val="00D3442D"/>
    <w:rsid w:val="00D36F00"/>
    <w:rsid w:val="00D42513"/>
    <w:rsid w:val="00D44B67"/>
    <w:rsid w:val="00D44F8E"/>
    <w:rsid w:val="00D51FD5"/>
    <w:rsid w:val="00D54CA9"/>
    <w:rsid w:val="00D55DE0"/>
    <w:rsid w:val="00D57FC9"/>
    <w:rsid w:val="00D607EF"/>
    <w:rsid w:val="00D60F88"/>
    <w:rsid w:val="00D646BD"/>
    <w:rsid w:val="00D65558"/>
    <w:rsid w:val="00D71201"/>
    <w:rsid w:val="00D720C7"/>
    <w:rsid w:val="00D73E6F"/>
    <w:rsid w:val="00D84841"/>
    <w:rsid w:val="00D876E6"/>
    <w:rsid w:val="00D87CB4"/>
    <w:rsid w:val="00D90958"/>
    <w:rsid w:val="00DA1025"/>
    <w:rsid w:val="00DA22EC"/>
    <w:rsid w:val="00DA5682"/>
    <w:rsid w:val="00DA5860"/>
    <w:rsid w:val="00DA5C0C"/>
    <w:rsid w:val="00DB2767"/>
    <w:rsid w:val="00DB622C"/>
    <w:rsid w:val="00DB7C6F"/>
    <w:rsid w:val="00DC1B10"/>
    <w:rsid w:val="00DC2924"/>
    <w:rsid w:val="00DC4729"/>
    <w:rsid w:val="00DD31C5"/>
    <w:rsid w:val="00DD5020"/>
    <w:rsid w:val="00DD63BE"/>
    <w:rsid w:val="00DE4296"/>
    <w:rsid w:val="00DF2469"/>
    <w:rsid w:val="00DF7899"/>
    <w:rsid w:val="00E0524C"/>
    <w:rsid w:val="00E15751"/>
    <w:rsid w:val="00E17160"/>
    <w:rsid w:val="00E179BC"/>
    <w:rsid w:val="00E17D41"/>
    <w:rsid w:val="00E231D1"/>
    <w:rsid w:val="00E27834"/>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2F3"/>
    <w:rsid w:val="00E9107A"/>
    <w:rsid w:val="00E91F62"/>
    <w:rsid w:val="00E929FD"/>
    <w:rsid w:val="00E93240"/>
    <w:rsid w:val="00E9479B"/>
    <w:rsid w:val="00E94E22"/>
    <w:rsid w:val="00E95F08"/>
    <w:rsid w:val="00E97171"/>
    <w:rsid w:val="00EA4D48"/>
    <w:rsid w:val="00EA7ADF"/>
    <w:rsid w:val="00EB2173"/>
    <w:rsid w:val="00EB62E6"/>
    <w:rsid w:val="00EB695F"/>
    <w:rsid w:val="00EC0BEB"/>
    <w:rsid w:val="00EC1E03"/>
    <w:rsid w:val="00EC3A85"/>
    <w:rsid w:val="00EC4B89"/>
    <w:rsid w:val="00EC59A5"/>
    <w:rsid w:val="00EC6E15"/>
    <w:rsid w:val="00ED1B30"/>
    <w:rsid w:val="00ED5D03"/>
    <w:rsid w:val="00EE01ED"/>
    <w:rsid w:val="00EE1AC1"/>
    <w:rsid w:val="00EE39D6"/>
    <w:rsid w:val="00EE51FB"/>
    <w:rsid w:val="00EE52AD"/>
    <w:rsid w:val="00EE5BC3"/>
    <w:rsid w:val="00EE6FAB"/>
    <w:rsid w:val="00EF328C"/>
    <w:rsid w:val="00EF68BB"/>
    <w:rsid w:val="00EF7800"/>
    <w:rsid w:val="00F01F92"/>
    <w:rsid w:val="00F030D4"/>
    <w:rsid w:val="00F04053"/>
    <w:rsid w:val="00F06573"/>
    <w:rsid w:val="00F10A08"/>
    <w:rsid w:val="00F15354"/>
    <w:rsid w:val="00F22AC5"/>
    <w:rsid w:val="00F254D1"/>
    <w:rsid w:val="00F32B82"/>
    <w:rsid w:val="00F34C86"/>
    <w:rsid w:val="00F37E80"/>
    <w:rsid w:val="00F4043E"/>
    <w:rsid w:val="00F41795"/>
    <w:rsid w:val="00F41BBC"/>
    <w:rsid w:val="00F444F0"/>
    <w:rsid w:val="00F446FF"/>
    <w:rsid w:val="00F45521"/>
    <w:rsid w:val="00F50847"/>
    <w:rsid w:val="00F52CB0"/>
    <w:rsid w:val="00F53F27"/>
    <w:rsid w:val="00F546D1"/>
    <w:rsid w:val="00F54A42"/>
    <w:rsid w:val="00F60281"/>
    <w:rsid w:val="00F66272"/>
    <w:rsid w:val="00F709C0"/>
    <w:rsid w:val="00F713F2"/>
    <w:rsid w:val="00F7542D"/>
    <w:rsid w:val="00F81FEC"/>
    <w:rsid w:val="00F927A1"/>
    <w:rsid w:val="00F92E4D"/>
    <w:rsid w:val="00F9371A"/>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44F"/>
    <w:rsid w:val="00FC51F9"/>
    <w:rsid w:val="00FC5B40"/>
    <w:rsid w:val="00FC5FF8"/>
    <w:rsid w:val="00FD0D55"/>
    <w:rsid w:val="00FD271B"/>
    <w:rsid w:val="00FD3D7C"/>
    <w:rsid w:val="00FD4F8F"/>
    <w:rsid w:val="00FE0C16"/>
    <w:rsid w:val="00FE14B1"/>
    <w:rsid w:val="00FE4D97"/>
    <w:rsid w:val="00FE5F90"/>
    <w:rsid w:val="00FF0070"/>
    <w:rsid w:val="00FF07C3"/>
    <w:rsid w:val="00FF2B49"/>
    <w:rsid w:val="00FF377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B26E86"/>
    <w:rPr>
      <w:color w:val="954F72" w:themeColor="followedHyperlink"/>
      <w:u w:val="single"/>
    </w:rPr>
  </w:style>
  <w:style w:type="paragraph" w:styleId="ListParagraph">
    <w:name w:val="List Paragraph"/>
    <w:basedOn w:val="Normal"/>
    <w:uiPriority w:val="34"/>
    <w:qFormat/>
    <w:rsid w:val="00A545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789061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25E6AD-DB47-4BD1-B7EE-10A3A7882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4188</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Gethin Davies</cp:lastModifiedBy>
  <cp:revision>3</cp:revision>
  <cp:lastPrinted>2020-02-11T19:20:00Z</cp:lastPrinted>
  <dcterms:created xsi:type="dcterms:W3CDTF">2024-10-08T06:25:00Z</dcterms:created>
  <dcterms:modified xsi:type="dcterms:W3CDTF">2024-10-08T06:26:00Z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