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97C05" w:rsidRPr="0083422B" w:rsidRDefault="00C97C05">
      <w:pPr>
        <w:spacing w:line="360" w:lineRule="auto"/>
        <w:jc w:val="center"/>
        <w:rPr>
          <w:rFonts w:eastAsia="Times New Roman"/>
          <w:b/>
          <w:bCs/>
        </w:rPr>
      </w:pPr>
    </w:p>
    <w:p w14:paraId="00000002" w14:textId="77777777" w:rsidR="00C97C05" w:rsidRPr="0083422B" w:rsidRDefault="00C97C05">
      <w:pPr>
        <w:spacing w:line="360" w:lineRule="auto"/>
        <w:jc w:val="center"/>
        <w:rPr>
          <w:rFonts w:eastAsia="Times New Roman"/>
          <w:b/>
          <w:bCs/>
        </w:rPr>
      </w:pPr>
    </w:p>
    <w:p w14:paraId="00000003" w14:textId="77777777" w:rsidR="00C97C05" w:rsidRPr="0083422B" w:rsidRDefault="00C97C05">
      <w:pPr>
        <w:spacing w:line="360" w:lineRule="auto"/>
        <w:jc w:val="center"/>
        <w:rPr>
          <w:rFonts w:eastAsia="Times New Roman"/>
          <w:b/>
          <w:bCs/>
        </w:rPr>
      </w:pPr>
    </w:p>
    <w:p w14:paraId="00000004" w14:textId="77777777" w:rsidR="00C97C05" w:rsidRPr="0083422B" w:rsidRDefault="00C97C05">
      <w:pPr>
        <w:spacing w:line="360" w:lineRule="auto"/>
        <w:jc w:val="center"/>
        <w:rPr>
          <w:rFonts w:eastAsia="Times New Roman"/>
          <w:b/>
          <w:bCs/>
        </w:rPr>
      </w:pPr>
    </w:p>
    <w:p w14:paraId="00000005" w14:textId="77777777" w:rsidR="00C97C05" w:rsidRPr="0083422B" w:rsidRDefault="00C97C05">
      <w:pPr>
        <w:spacing w:line="360" w:lineRule="auto"/>
        <w:jc w:val="center"/>
        <w:rPr>
          <w:rFonts w:eastAsia="Times New Roman"/>
          <w:b/>
          <w:bCs/>
        </w:rPr>
      </w:pPr>
    </w:p>
    <w:p w14:paraId="00000006" w14:textId="77777777" w:rsidR="00C97C05" w:rsidRPr="0083422B" w:rsidRDefault="00C97C05">
      <w:pPr>
        <w:spacing w:line="360" w:lineRule="auto"/>
        <w:jc w:val="center"/>
        <w:rPr>
          <w:rFonts w:eastAsia="Times New Roman"/>
          <w:b/>
          <w:bCs/>
        </w:rPr>
      </w:pPr>
    </w:p>
    <w:p w14:paraId="00000007" w14:textId="77777777" w:rsidR="00C97C05" w:rsidRPr="0083422B" w:rsidRDefault="00393622">
      <w:pPr>
        <w:spacing w:line="360" w:lineRule="auto"/>
        <w:jc w:val="center"/>
        <w:rPr>
          <w:rFonts w:eastAsia="Times New Roman"/>
          <w:b/>
          <w:bCs/>
          <w:sz w:val="32"/>
        </w:rPr>
      </w:pPr>
      <w:r w:rsidRPr="0083422B">
        <w:rPr>
          <w:rFonts w:eastAsia="Times New Roman"/>
          <w:b/>
          <w:bCs/>
          <w:sz w:val="32"/>
        </w:rPr>
        <w:t>BMHP5016</w:t>
      </w:r>
    </w:p>
    <w:p w14:paraId="00000009" w14:textId="62C86D6E" w:rsidR="00C97C05" w:rsidRPr="0083422B" w:rsidRDefault="00393622" w:rsidP="0083422B">
      <w:pPr>
        <w:spacing w:line="360" w:lineRule="auto"/>
        <w:jc w:val="center"/>
        <w:rPr>
          <w:rFonts w:eastAsia="Times New Roman"/>
          <w:b/>
          <w:bCs/>
          <w:sz w:val="32"/>
        </w:rPr>
      </w:pPr>
      <w:r w:rsidRPr="0083422B">
        <w:rPr>
          <w:rFonts w:eastAsia="Times New Roman"/>
          <w:b/>
          <w:bCs/>
          <w:sz w:val="32"/>
        </w:rPr>
        <w:t>Principles of Health and Social Care Practice</w:t>
      </w:r>
    </w:p>
    <w:p w14:paraId="0000000A" w14:textId="77777777" w:rsidR="00C97C05" w:rsidRDefault="00393622">
      <w:pPr>
        <w:spacing w:line="360" w:lineRule="auto"/>
        <w:jc w:val="center"/>
        <w:rPr>
          <w:rFonts w:eastAsia="Times New Roman"/>
          <w:b/>
          <w:bCs/>
          <w:sz w:val="32"/>
        </w:rPr>
      </w:pPr>
      <w:r w:rsidRPr="0083422B">
        <w:rPr>
          <w:rFonts w:eastAsia="Times New Roman"/>
          <w:b/>
          <w:bCs/>
          <w:sz w:val="32"/>
        </w:rPr>
        <w:t>Component 2: Written Assignment</w:t>
      </w:r>
    </w:p>
    <w:p w14:paraId="3E1B00B5" w14:textId="52AED040" w:rsidR="0083422B" w:rsidRDefault="00393622">
      <w:pPr>
        <w:spacing w:line="360" w:lineRule="auto"/>
        <w:jc w:val="center"/>
        <w:rPr>
          <w:rFonts w:eastAsia="Times New Roman"/>
          <w:b/>
          <w:bCs/>
          <w:sz w:val="32"/>
        </w:rPr>
      </w:pPr>
      <w:r w:rsidRPr="0083422B">
        <w:rPr>
          <w:rFonts w:eastAsia="Times New Roman"/>
          <w:b/>
          <w:bCs/>
          <w:sz w:val="32"/>
        </w:rPr>
        <w:t>Person Centred Care and Partnership Working Report</w:t>
      </w:r>
    </w:p>
    <w:p w14:paraId="17780B6F" w14:textId="77777777" w:rsidR="0083422B" w:rsidRDefault="0083422B">
      <w:pPr>
        <w:spacing w:line="360" w:lineRule="auto"/>
        <w:jc w:val="center"/>
        <w:rPr>
          <w:rFonts w:eastAsia="Times New Roman"/>
          <w:b/>
          <w:bCs/>
          <w:sz w:val="32"/>
        </w:rPr>
      </w:pPr>
    </w:p>
    <w:p w14:paraId="59ED4F71" w14:textId="3A93CC37" w:rsidR="0083422B" w:rsidRDefault="00393622">
      <w:pPr>
        <w:spacing w:line="360" w:lineRule="auto"/>
        <w:jc w:val="center"/>
        <w:rPr>
          <w:rFonts w:eastAsia="Times New Roman"/>
          <w:b/>
          <w:bCs/>
          <w:sz w:val="32"/>
        </w:rPr>
      </w:pPr>
      <w:r>
        <w:rPr>
          <w:rFonts w:eastAsia="Times New Roman"/>
          <w:b/>
          <w:bCs/>
          <w:sz w:val="32"/>
        </w:rPr>
        <w:t>Name:</w:t>
      </w:r>
      <w:r w:rsidR="00333236">
        <w:rPr>
          <w:rFonts w:eastAsia="Times New Roman"/>
          <w:b/>
          <w:bCs/>
          <w:sz w:val="32"/>
        </w:rPr>
        <w:t xml:space="preserve"> Abraham Andom</w:t>
      </w:r>
    </w:p>
    <w:p w14:paraId="22F0BBBA" w14:textId="754A49FC" w:rsidR="0083422B" w:rsidRDefault="00393622">
      <w:pPr>
        <w:spacing w:line="360" w:lineRule="auto"/>
        <w:jc w:val="center"/>
        <w:rPr>
          <w:rFonts w:eastAsia="Times New Roman"/>
          <w:b/>
          <w:bCs/>
          <w:sz w:val="32"/>
        </w:rPr>
      </w:pPr>
      <w:r>
        <w:rPr>
          <w:rFonts w:eastAsia="Times New Roman"/>
          <w:b/>
          <w:bCs/>
          <w:sz w:val="32"/>
        </w:rPr>
        <w:t>Student Number:</w:t>
      </w:r>
      <w:r w:rsidR="00333236">
        <w:rPr>
          <w:rFonts w:eastAsia="Times New Roman"/>
          <w:b/>
          <w:bCs/>
          <w:sz w:val="32"/>
        </w:rPr>
        <w:t xml:space="preserve"> 2414479</w:t>
      </w:r>
    </w:p>
    <w:p w14:paraId="73CB0EC6" w14:textId="5094FC01" w:rsidR="0083422B" w:rsidRPr="0083422B" w:rsidRDefault="0083422B">
      <w:pPr>
        <w:spacing w:line="360" w:lineRule="auto"/>
        <w:jc w:val="center"/>
        <w:rPr>
          <w:rFonts w:eastAsia="Times New Roman"/>
          <w:b/>
          <w:bCs/>
          <w:sz w:val="32"/>
        </w:rPr>
      </w:pPr>
    </w:p>
    <w:p w14:paraId="0000000B" w14:textId="77777777" w:rsidR="00C97C05" w:rsidRPr="0083422B" w:rsidRDefault="00C97C05">
      <w:pPr>
        <w:spacing w:line="360" w:lineRule="auto"/>
        <w:jc w:val="center"/>
        <w:rPr>
          <w:rFonts w:eastAsia="Times New Roman"/>
          <w:b/>
          <w:bCs/>
        </w:rPr>
      </w:pPr>
    </w:p>
    <w:p w14:paraId="0000000C" w14:textId="77777777" w:rsidR="00C97C05" w:rsidRPr="0083422B" w:rsidRDefault="00C97C05">
      <w:pPr>
        <w:spacing w:line="360" w:lineRule="auto"/>
        <w:jc w:val="center"/>
        <w:rPr>
          <w:rFonts w:eastAsia="Times New Roman"/>
          <w:b/>
          <w:bCs/>
        </w:rPr>
      </w:pPr>
    </w:p>
    <w:p w14:paraId="0000000D" w14:textId="77777777" w:rsidR="00C97C05" w:rsidRPr="0083422B" w:rsidRDefault="00C97C05">
      <w:pPr>
        <w:spacing w:line="360" w:lineRule="auto"/>
        <w:jc w:val="center"/>
        <w:rPr>
          <w:rFonts w:eastAsia="Times New Roman"/>
          <w:b/>
          <w:bCs/>
        </w:rPr>
      </w:pPr>
    </w:p>
    <w:p w14:paraId="0000000E" w14:textId="77777777" w:rsidR="00C97C05" w:rsidRPr="0083422B" w:rsidRDefault="00C97C05">
      <w:pPr>
        <w:spacing w:line="360" w:lineRule="auto"/>
        <w:jc w:val="center"/>
        <w:rPr>
          <w:rFonts w:eastAsia="Times New Roman"/>
          <w:b/>
          <w:bCs/>
        </w:rPr>
      </w:pPr>
    </w:p>
    <w:p w14:paraId="0000000F" w14:textId="77777777" w:rsidR="00C97C05" w:rsidRPr="0083422B" w:rsidRDefault="00C97C05">
      <w:pPr>
        <w:spacing w:line="360" w:lineRule="auto"/>
        <w:jc w:val="center"/>
        <w:rPr>
          <w:rFonts w:eastAsia="Times New Roman"/>
          <w:b/>
          <w:bCs/>
        </w:rPr>
      </w:pPr>
    </w:p>
    <w:p w14:paraId="00000010" w14:textId="77777777" w:rsidR="00C97C05" w:rsidRPr="0083422B" w:rsidRDefault="00C97C05">
      <w:pPr>
        <w:spacing w:line="360" w:lineRule="auto"/>
        <w:jc w:val="center"/>
        <w:rPr>
          <w:rFonts w:eastAsia="Times New Roman"/>
          <w:b/>
          <w:bCs/>
        </w:rPr>
      </w:pPr>
    </w:p>
    <w:p w14:paraId="00000011" w14:textId="77777777" w:rsidR="00C97C05" w:rsidRPr="0083422B" w:rsidRDefault="00C97C05">
      <w:pPr>
        <w:spacing w:line="360" w:lineRule="auto"/>
        <w:jc w:val="center"/>
        <w:rPr>
          <w:rFonts w:eastAsia="Times New Roman"/>
          <w:b/>
          <w:bCs/>
        </w:rPr>
      </w:pPr>
    </w:p>
    <w:p w14:paraId="00000012" w14:textId="77777777" w:rsidR="00C97C05" w:rsidRDefault="00C97C05">
      <w:pPr>
        <w:spacing w:line="360" w:lineRule="auto"/>
        <w:jc w:val="center"/>
        <w:rPr>
          <w:rFonts w:eastAsia="Times New Roman"/>
          <w:b/>
          <w:bCs/>
        </w:rPr>
      </w:pPr>
    </w:p>
    <w:p w14:paraId="7D57E43E" w14:textId="77777777" w:rsidR="0083422B" w:rsidRDefault="0083422B">
      <w:pPr>
        <w:spacing w:line="360" w:lineRule="auto"/>
        <w:jc w:val="center"/>
        <w:rPr>
          <w:rFonts w:eastAsia="Times New Roman"/>
          <w:b/>
          <w:bCs/>
        </w:rPr>
      </w:pPr>
    </w:p>
    <w:p w14:paraId="2FDC29F7" w14:textId="77777777" w:rsidR="0083422B" w:rsidRDefault="0083422B">
      <w:pPr>
        <w:spacing w:line="360" w:lineRule="auto"/>
        <w:jc w:val="center"/>
        <w:rPr>
          <w:rFonts w:eastAsia="Times New Roman"/>
          <w:b/>
          <w:bCs/>
        </w:rPr>
      </w:pPr>
    </w:p>
    <w:p w14:paraId="2C42C3EB" w14:textId="77777777" w:rsidR="0083422B" w:rsidRDefault="0083422B">
      <w:pPr>
        <w:spacing w:line="360" w:lineRule="auto"/>
        <w:jc w:val="center"/>
        <w:rPr>
          <w:rFonts w:eastAsia="Times New Roman"/>
          <w:b/>
          <w:bCs/>
        </w:rPr>
      </w:pPr>
    </w:p>
    <w:p w14:paraId="1862EA63" w14:textId="77777777" w:rsidR="0083422B" w:rsidRDefault="0083422B">
      <w:pPr>
        <w:spacing w:line="360" w:lineRule="auto"/>
        <w:jc w:val="center"/>
        <w:rPr>
          <w:rFonts w:eastAsia="Times New Roman"/>
          <w:b/>
          <w:bCs/>
        </w:rPr>
      </w:pPr>
    </w:p>
    <w:p w14:paraId="25C68D8A" w14:textId="77777777" w:rsidR="0083422B" w:rsidRDefault="0083422B">
      <w:pPr>
        <w:spacing w:line="360" w:lineRule="auto"/>
        <w:jc w:val="center"/>
        <w:rPr>
          <w:rFonts w:eastAsia="Times New Roman"/>
          <w:b/>
          <w:bCs/>
        </w:rPr>
      </w:pPr>
    </w:p>
    <w:p w14:paraId="4D30BC1A" w14:textId="77777777" w:rsidR="0083422B" w:rsidRDefault="0083422B">
      <w:pPr>
        <w:spacing w:line="360" w:lineRule="auto"/>
        <w:jc w:val="center"/>
        <w:rPr>
          <w:rFonts w:eastAsia="Times New Roman"/>
          <w:b/>
          <w:bCs/>
        </w:rPr>
      </w:pPr>
    </w:p>
    <w:p w14:paraId="72B9A2CD" w14:textId="77777777" w:rsidR="0083422B" w:rsidRPr="0083422B" w:rsidRDefault="0083422B" w:rsidP="0083422B">
      <w:pPr>
        <w:spacing w:line="360" w:lineRule="auto"/>
        <w:rPr>
          <w:rFonts w:eastAsia="Times New Roman"/>
          <w:b/>
          <w:bCs/>
        </w:rPr>
      </w:pPr>
    </w:p>
    <w:p w14:paraId="00000017" w14:textId="77777777" w:rsidR="00C97C05" w:rsidRPr="0083422B" w:rsidRDefault="00C97C05">
      <w:pPr>
        <w:spacing w:line="360" w:lineRule="auto"/>
        <w:rPr>
          <w:rFonts w:eastAsia="Times New Roman"/>
          <w:b/>
          <w:bCs/>
        </w:rPr>
      </w:pPr>
    </w:p>
    <w:p w14:paraId="00000018" w14:textId="4DA18E41" w:rsidR="00C97C05" w:rsidRPr="0083422B" w:rsidRDefault="00393622">
      <w:pPr>
        <w:spacing w:line="360" w:lineRule="auto"/>
        <w:jc w:val="center"/>
        <w:rPr>
          <w:rFonts w:eastAsia="Times New Roman"/>
          <w:b/>
          <w:bCs/>
          <w:sz w:val="28"/>
        </w:rPr>
      </w:pPr>
      <w:r w:rsidRPr="0083422B">
        <w:rPr>
          <w:rFonts w:eastAsia="Times New Roman"/>
          <w:b/>
          <w:bCs/>
          <w:sz w:val="28"/>
        </w:rPr>
        <w:lastRenderedPageBreak/>
        <w:t>Abstract</w:t>
      </w:r>
    </w:p>
    <w:p w14:paraId="7AD46C44" w14:textId="5820B88F" w:rsidR="0083422B" w:rsidRDefault="00393622">
      <w:pPr>
        <w:spacing w:line="360" w:lineRule="auto"/>
        <w:jc w:val="both"/>
        <w:rPr>
          <w:rFonts w:eastAsia="Times New Roman"/>
        </w:rPr>
      </w:pPr>
      <w:r w:rsidRPr="0083422B">
        <w:rPr>
          <w:rFonts w:eastAsia="Times New Roman"/>
        </w:rPr>
        <w:t>This report covers both the concepts of Person-Centred Care (PCC) and Partnership Working (PW) within the context of Health and Social Care, including definitions, theories, ethical considerations and practical applications for each. PCC is an approach to care that places the individual at the centre of their care. It emphasises the involvement of the individual in decision-making about their care and considers the indiv</w:t>
      </w:r>
      <w:r>
        <w:rPr>
          <w:rFonts w:eastAsia="Times New Roman"/>
        </w:rPr>
        <w:t xml:space="preserve">idual's preferences and values. </w:t>
      </w:r>
      <w:r w:rsidRPr="0083422B">
        <w:rPr>
          <w:rFonts w:eastAsia="Times New Roman"/>
        </w:rPr>
        <w:t xml:space="preserve">PW is about working collaboratively with people who use health and social care services, their families and other stakeholders to deliver coordinated and comprehensive care. The report will explore the benefits of PCC and PW, including improved patient outcomes and satisfaction, as well as the challenges, such as communication </w:t>
      </w:r>
      <w:r>
        <w:rPr>
          <w:rFonts w:eastAsia="Times New Roman"/>
        </w:rPr>
        <w:t>barriers and limited resources.</w:t>
      </w:r>
    </w:p>
    <w:p w14:paraId="00000019" w14:textId="5ECFD33A" w:rsidR="00C97C05" w:rsidRDefault="00393622">
      <w:pPr>
        <w:spacing w:line="360" w:lineRule="auto"/>
        <w:jc w:val="both"/>
        <w:rPr>
          <w:rFonts w:eastAsia="Times New Roman"/>
        </w:rPr>
      </w:pPr>
      <w:r w:rsidRPr="0083422B">
        <w:rPr>
          <w:rFonts w:eastAsia="Times New Roman"/>
        </w:rPr>
        <w:t xml:space="preserve">To support PCC and PW, three theories will be explored: Carl Rogers' Person-Centred Theory, </w:t>
      </w:r>
      <w:r w:rsidR="0017626D">
        <w:rPr>
          <w:rFonts w:eastAsia="Times New Roman"/>
        </w:rPr>
        <w:t xml:space="preserve">Maslow's Hierarchy of Needs </w:t>
      </w:r>
      <w:r w:rsidRPr="0083422B">
        <w:rPr>
          <w:rFonts w:eastAsia="Times New Roman"/>
        </w:rPr>
        <w:t xml:space="preserve">and </w:t>
      </w:r>
      <w:r w:rsidR="00456CD4">
        <w:rPr>
          <w:rFonts w:eastAsia="Times New Roman"/>
        </w:rPr>
        <w:t>Social Model of Health</w:t>
      </w:r>
      <w:r w:rsidRPr="0083422B">
        <w:rPr>
          <w:rFonts w:eastAsia="Times New Roman"/>
        </w:rPr>
        <w:t>. The ethical prin</w:t>
      </w:r>
      <w:r w:rsidR="0017626D">
        <w:rPr>
          <w:rFonts w:eastAsia="Times New Roman"/>
        </w:rPr>
        <w:t xml:space="preserve">ciples of autonomy, beneficence, non-maleficence </w:t>
      </w:r>
      <w:r w:rsidRPr="0083422B">
        <w:rPr>
          <w:rFonts w:eastAsia="Times New Roman"/>
        </w:rPr>
        <w:t>and justice are discussed, with a focus on the use of these principles in PCC and PW to provide respectful and effective care for individuals. The report provides recommendations for enhancing implementation of PCC and PW, including workforce training, integrating technology in care delivery and strengthening integrated care systems</w:t>
      </w:r>
      <w:r w:rsidR="00EF5196">
        <w:rPr>
          <w:rFonts w:eastAsia="Times New Roman"/>
        </w:rPr>
        <w:t>.</w:t>
      </w:r>
    </w:p>
    <w:p w14:paraId="3D77775F" w14:textId="77777777" w:rsidR="00EF5196" w:rsidRDefault="00EF5196">
      <w:pPr>
        <w:spacing w:line="360" w:lineRule="auto"/>
        <w:jc w:val="both"/>
        <w:rPr>
          <w:rFonts w:eastAsia="Times New Roman"/>
        </w:rPr>
      </w:pPr>
    </w:p>
    <w:p w14:paraId="2B2B5F97" w14:textId="77777777" w:rsidR="00EF5196" w:rsidRDefault="00EF5196">
      <w:pPr>
        <w:spacing w:line="360" w:lineRule="auto"/>
        <w:jc w:val="both"/>
        <w:rPr>
          <w:rFonts w:eastAsia="Times New Roman"/>
        </w:rPr>
      </w:pPr>
    </w:p>
    <w:p w14:paraId="39FEE2CC" w14:textId="77777777" w:rsidR="00EF5196" w:rsidRPr="0083422B" w:rsidRDefault="00EF5196">
      <w:pPr>
        <w:spacing w:line="360" w:lineRule="auto"/>
        <w:jc w:val="both"/>
        <w:rPr>
          <w:rFonts w:eastAsia="Times New Roman"/>
        </w:rPr>
      </w:pPr>
    </w:p>
    <w:p w14:paraId="0000001A" w14:textId="77777777" w:rsidR="00C97C05" w:rsidRDefault="00C97C05">
      <w:pPr>
        <w:spacing w:line="360" w:lineRule="auto"/>
        <w:jc w:val="center"/>
        <w:rPr>
          <w:rFonts w:eastAsia="Times New Roman"/>
          <w:b/>
          <w:bCs/>
        </w:rPr>
      </w:pPr>
    </w:p>
    <w:p w14:paraId="7A553092" w14:textId="77777777" w:rsidR="0017626D" w:rsidRPr="0083422B" w:rsidRDefault="0017626D">
      <w:pPr>
        <w:spacing w:line="360" w:lineRule="auto"/>
        <w:jc w:val="center"/>
        <w:rPr>
          <w:rFonts w:eastAsia="Times New Roman"/>
          <w:b/>
          <w:bCs/>
        </w:rPr>
      </w:pPr>
    </w:p>
    <w:p w14:paraId="0000001B" w14:textId="77777777" w:rsidR="00C97C05" w:rsidRDefault="00C97C05">
      <w:pPr>
        <w:spacing w:line="360" w:lineRule="auto"/>
        <w:jc w:val="center"/>
        <w:rPr>
          <w:rFonts w:eastAsia="Times New Roman"/>
          <w:b/>
          <w:bCs/>
        </w:rPr>
      </w:pPr>
    </w:p>
    <w:p w14:paraId="14726DC1" w14:textId="77777777" w:rsidR="0017626D" w:rsidRPr="0083422B" w:rsidRDefault="0017626D">
      <w:pPr>
        <w:spacing w:line="360" w:lineRule="auto"/>
        <w:jc w:val="center"/>
        <w:rPr>
          <w:rFonts w:eastAsia="Times New Roman"/>
          <w:b/>
          <w:bCs/>
        </w:rPr>
      </w:pPr>
    </w:p>
    <w:p w14:paraId="0000001C" w14:textId="77777777" w:rsidR="00C97C05" w:rsidRPr="0083422B" w:rsidRDefault="00C97C05">
      <w:pPr>
        <w:spacing w:line="360" w:lineRule="auto"/>
        <w:jc w:val="center"/>
        <w:rPr>
          <w:rFonts w:eastAsia="Times New Roman"/>
          <w:b/>
          <w:bCs/>
        </w:rPr>
      </w:pPr>
    </w:p>
    <w:p w14:paraId="0000001D" w14:textId="77777777" w:rsidR="00C97C05" w:rsidRDefault="00C97C05">
      <w:pPr>
        <w:spacing w:line="360" w:lineRule="auto"/>
        <w:jc w:val="center"/>
        <w:rPr>
          <w:rFonts w:eastAsia="Times New Roman"/>
          <w:b/>
          <w:bCs/>
        </w:rPr>
      </w:pPr>
    </w:p>
    <w:p w14:paraId="5CF3B807" w14:textId="77777777" w:rsidR="002D6C91" w:rsidRDefault="002D6C91">
      <w:pPr>
        <w:spacing w:line="360" w:lineRule="auto"/>
        <w:jc w:val="center"/>
        <w:rPr>
          <w:rFonts w:eastAsia="Times New Roman"/>
          <w:b/>
          <w:bCs/>
        </w:rPr>
      </w:pPr>
    </w:p>
    <w:p w14:paraId="0CE7BB63" w14:textId="77777777" w:rsidR="002D6C91" w:rsidRDefault="002D6C91">
      <w:pPr>
        <w:spacing w:line="360" w:lineRule="auto"/>
        <w:jc w:val="center"/>
        <w:rPr>
          <w:rFonts w:eastAsia="Times New Roman"/>
          <w:b/>
          <w:bCs/>
        </w:rPr>
      </w:pPr>
    </w:p>
    <w:p w14:paraId="310C8C73" w14:textId="77777777" w:rsidR="002D6C91" w:rsidRDefault="002D6C91">
      <w:pPr>
        <w:spacing w:line="360" w:lineRule="auto"/>
        <w:jc w:val="center"/>
        <w:rPr>
          <w:rFonts w:eastAsia="Times New Roman"/>
          <w:b/>
          <w:bCs/>
        </w:rPr>
      </w:pPr>
    </w:p>
    <w:p w14:paraId="4974D631" w14:textId="77777777" w:rsidR="002D6C91" w:rsidRDefault="002D6C91">
      <w:pPr>
        <w:spacing w:line="360" w:lineRule="auto"/>
        <w:jc w:val="center"/>
        <w:rPr>
          <w:rFonts w:eastAsia="Times New Roman"/>
          <w:b/>
          <w:bCs/>
        </w:rPr>
      </w:pPr>
    </w:p>
    <w:p w14:paraId="2249FB68" w14:textId="77777777" w:rsidR="002D6C91" w:rsidRDefault="002D6C91">
      <w:pPr>
        <w:spacing w:line="360" w:lineRule="auto"/>
        <w:jc w:val="center"/>
        <w:rPr>
          <w:rFonts w:eastAsia="Times New Roman"/>
          <w:b/>
          <w:bCs/>
        </w:rPr>
      </w:pPr>
    </w:p>
    <w:p w14:paraId="0B3E83F3" w14:textId="77777777" w:rsidR="002D6C91" w:rsidRDefault="002D6C91">
      <w:pPr>
        <w:spacing w:line="360" w:lineRule="auto"/>
        <w:jc w:val="center"/>
        <w:rPr>
          <w:rFonts w:eastAsia="Times New Roman"/>
          <w:b/>
          <w:bCs/>
        </w:rPr>
      </w:pPr>
    </w:p>
    <w:p w14:paraId="7858B978" w14:textId="77777777" w:rsidR="002D6C91" w:rsidRDefault="002D6C91">
      <w:pPr>
        <w:spacing w:line="360" w:lineRule="auto"/>
        <w:jc w:val="center"/>
        <w:rPr>
          <w:rFonts w:eastAsia="Times New Roman"/>
          <w:b/>
          <w:bCs/>
        </w:rPr>
      </w:pPr>
    </w:p>
    <w:p w14:paraId="7ED039A2" w14:textId="77777777" w:rsidR="002D6C91" w:rsidRDefault="002D6C91">
      <w:pPr>
        <w:spacing w:line="360" w:lineRule="auto"/>
        <w:jc w:val="center"/>
        <w:rPr>
          <w:rFonts w:eastAsia="Times New Roman"/>
          <w:b/>
          <w:bCs/>
        </w:rPr>
      </w:pPr>
    </w:p>
    <w:p w14:paraId="15400499" w14:textId="77777777" w:rsidR="002D6C91" w:rsidRDefault="002D6C91">
      <w:pPr>
        <w:spacing w:line="360" w:lineRule="auto"/>
        <w:jc w:val="center"/>
        <w:rPr>
          <w:rFonts w:eastAsia="Times New Roman"/>
          <w:b/>
          <w:bCs/>
        </w:rPr>
      </w:pPr>
    </w:p>
    <w:sdt>
      <w:sdtPr>
        <w:rPr>
          <w:rFonts w:ascii="Arial" w:eastAsia="Arial" w:hAnsi="Arial" w:cs="Arial"/>
          <w:b w:val="0"/>
          <w:bCs w:val="0"/>
          <w:color w:val="auto"/>
          <w:sz w:val="32"/>
          <w:szCs w:val="22"/>
          <w:lang w:val="en-GB" w:eastAsia="en-GB"/>
        </w:rPr>
        <w:id w:val="999079858"/>
        <w:docPartObj>
          <w:docPartGallery w:val="Table of Contents"/>
          <w:docPartUnique/>
        </w:docPartObj>
      </w:sdtPr>
      <w:sdtEndPr>
        <w:rPr>
          <w:noProof/>
          <w:sz w:val="22"/>
        </w:rPr>
      </w:sdtEndPr>
      <w:sdtContent>
        <w:p w14:paraId="709CD8D8" w14:textId="1A5D2D23" w:rsidR="002D6C91" w:rsidRPr="002D6C91" w:rsidRDefault="00393622" w:rsidP="002D6C91">
          <w:pPr>
            <w:pStyle w:val="TOCHeading"/>
            <w:spacing w:line="360" w:lineRule="auto"/>
            <w:jc w:val="center"/>
            <w:rPr>
              <w:rFonts w:ascii="Arial" w:hAnsi="Arial" w:cs="Arial"/>
              <w:color w:val="000000" w:themeColor="text1"/>
              <w:szCs w:val="24"/>
            </w:rPr>
          </w:pPr>
          <w:r w:rsidRPr="002D6C91">
            <w:rPr>
              <w:rFonts w:ascii="Arial" w:hAnsi="Arial" w:cs="Arial"/>
              <w:color w:val="000000" w:themeColor="text1"/>
              <w:szCs w:val="24"/>
            </w:rPr>
            <w:t>Table of Contents</w:t>
          </w:r>
        </w:p>
        <w:p w14:paraId="459048BD"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r w:rsidRPr="002D6C91">
            <w:rPr>
              <w:color w:val="000000" w:themeColor="text1"/>
              <w:sz w:val="24"/>
              <w:szCs w:val="24"/>
            </w:rPr>
            <w:fldChar w:fldCharType="begin"/>
          </w:r>
          <w:r w:rsidRPr="002D6C91">
            <w:rPr>
              <w:color w:val="000000" w:themeColor="text1"/>
              <w:sz w:val="24"/>
              <w:szCs w:val="24"/>
            </w:rPr>
            <w:instrText xml:space="preserve"> TOC \o "1-3" \h \z \u </w:instrText>
          </w:r>
          <w:r w:rsidRPr="002D6C91">
            <w:rPr>
              <w:color w:val="000000" w:themeColor="text1"/>
              <w:sz w:val="24"/>
              <w:szCs w:val="24"/>
            </w:rPr>
            <w:fldChar w:fldCharType="separate"/>
          </w:r>
          <w:hyperlink w:anchor="_Toc224663935" w:history="1">
            <w:r w:rsidRPr="002D6C91">
              <w:rPr>
                <w:rStyle w:val="Hyperlink"/>
                <w:noProof/>
                <w:color w:val="000000" w:themeColor="text1"/>
                <w:sz w:val="24"/>
                <w:szCs w:val="24"/>
              </w:rPr>
              <w:t>1.0 Introduction</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_Toc224663935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4</w:t>
            </w:r>
            <w:r w:rsidRPr="002D6C91">
              <w:rPr>
                <w:noProof/>
                <w:webHidden/>
                <w:color w:val="000000" w:themeColor="text1"/>
                <w:sz w:val="24"/>
                <w:szCs w:val="24"/>
              </w:rPr>
              <w:fldChar w:fldCharType="end"/>
            </w:r>
          </w:hyperlink>
        </w:p>
        <w:p w14:paraId="4B435E3D"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36" w:history="1">
            <w:r w:rsidRPr="002D6C91">
              <w:rPr>
                <w:rStyle w:val="Hyperlink"/>
                <w:noProof/>
                <w:color w:val="000000" w:themeColor="text1"/>
                <w:sz w:val="24"/>
                <w:szCs w:val="24"/>
              </w:rPr>
              <w:t>2.0 Definition of PCC</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_Toc224663936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4</w:t>
            </w:r>
            <w:r w:rsidRPr="002D6C91">
              <w:rPr>
                <w:noProof/>
                <w:webHidden/>
                <w:color w:val="000000" w:themeColor="text1"/>
                <w:sz w:val="24"/>
                <w:szCs w:val="24"/>
              </w:rPr>
              <w:fldChar w:fldCharType="end"/>
            </w:r>
          </w:hyperlink>
        </w:p>
        <w:p w14:paraId="7283335B"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37" w:history="1">
            <w:r w:rsidRPr="002D6C91">
              <w:rPr>
                <w:rStyle w:val="Hyperlink"/>
                <w:noProof/>
                <w:color w:val="000000" w:themeColor="text1"/>
                <w:sz w:val="24"/>
                <w:szCs w:val="24"/>
              </w:rPr>
              <w:t>3.0 Relevant Theories</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_Toc224663937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5</w:t>
            </w:r>
            <w:r w:rsidRPr="002D6C91">
              <w:rPr>
                <w:noProof/>
                <w:webHidden/>
                <w:color w:val="000000" w:themeColor="text1"/>
                <w:sz w:val="24"/>
                <w:szCs w:val="24"/>
              </w:rPr>
              <w:fldChar w:fldCharType="end"/>
            </w:r>
          </w:hyperlink>
        </w:p>
        <w:p w14:paraId="2E562B29"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38" w:history="1">
            <w:r w:rsidRPr="002D6C91">
              <w:rPr>
                <w:rStyle w:val="Hyperlink"/>
                <w:noProof/>
                <w:color w:val="000000" w:themeColor="text1"/>
                <w:sz w:val="24"/>
                <w:szCs w:val="24"/>
              </w:rPr>
              <w:t>4.0 Ethical Fundamentals</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_Toc224663938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6</w:t>
            </w:r>
            <w:r w:rsidRPr="002D6C91">
              <w:rPr>
                <w:noProof/>
                <w:webHidden/>
                <w:color w:val="000000" w:themeColor="text1"/>
                <w:sz w:val="24"/>
                <w:szCs w:val="24"/>
              </w:rPr>
              <w:fldChar w:fldCharType="end"/>
            </w:r>
          </w:hyperlink>
        </w:p>
        <w:p w14:paraId="3AC29C89"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39" w:history="1">
            <w:r w:rsidRPr="002D6C91">
              <w:rPr>
                <w:rStyle w:val="Hyperlink"/>
                <w:noProof/>
                <w:color w:val="000000" w:themeColor="text1"/>
                <w:sz w:val="24"/>
                <w:szCs w:val="24"/>
              </w:rPr>
              <w:t>5.0 Evaluation of Partnership working</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_Toc224663939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6</w:t>
            </w:r>
            <w:r w:rsidRPr="002D6C91">
              <w:rPr>
                <w:noProof/>
                <w:webHidden/>
                <w:color w:val="000000" w:themeColor="text1"/>
                <w:sz w:val="24"/>
                <w:szCs w:val="24"/>
              </w:rPr>
              <w:fldChar w:fldCharType="end"/>
            </w:r>
          </w:hyperlink>
        </w:p>
        <w:p w14:paraId="56FC0909"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40" w:history="1">
            <w:r w:rsidRPr="002D6C91">
              <w:rPr>
                <w:rStyle w:val="Hyperlink"/>
                <w:noProof/>
                <w:color w:val="000000" w:themeColor="text1"/>
                <w:sz w:val="24"/>
                <w:szCs w:val="24"/>
              </w:rPr>
              <w:t>6.0 Policy and Legislation</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_Toc224663940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7</w:t>
            </w:r>
            <w:r w:rsidRPr="002D6C91">
              <w:rPr>
                <w:noProof/>
                <w:webHidden/>
                <w:color w:val="000000" w:themeColor="text1"/>
                <w:sz w:val="24"/>
                <w:szCs w:val="24"/>
              </w:rPr>
              <w:fldChar w:fldCharType="end"/>
            </w:r>
          </w:hyperlink>
        </w:p>
        <w:p w14:paraId="1DF3933C"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41" w:history="1">
            <w:r w:rsidRPr="002D6C91">
              <w:rPr>
                <w:rStyle w:val="Hyperlink"/>
                <w:noProof/>
                <w:color w:val="000000" w:themeColor="text1"/>
                <w:sz w:val="24"/>
                <w:szCs w:val="24"/>
              </w:rPr>
              <w:t>7.0 Recommendations</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_Toc224663941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8</w:t>
            </w:r>
            <w:r w:rsidRPr="002D6C91">
              <w:rPr>
                <w:noProof/>
                <w:webHidden/>
                <w:color w:val="000000" w:themeColor="text1"/>
                <w:sz w:val="24"/>
                <w:szCs w:val="24"/>
              </w:rPr>
              <w:fldChar w:fldCharType="end"/>
            </w:r>
          </w:hyperlink>
        </w:p>
        <w:p w14:paraId="24642D08"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42" w:history="1">
            <w:r w:rsidRPr="002D6C91">
              <w:rPr>
                <w:rStyle w:val="Hyperlink"/>
                <w:noProof/>
                <w:color w:val="000000" w:themeColor="text1"/>
                <w:sz w:val="24"/>
                <w:szCs w:val="24"/>
              </w:rPr>
              <w:t>8.0 Conclusion</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_Toc224663942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9</w:t>
            </w:r>
            <w:r w:rsidRPr="002D6C91">
              <w:rPr>
                <w:noProof/>
                <w:webHidden/>
                <w:color w:val="000000" w:themeColor="text1"/>
                <w:sz w:val="24"/>
                <w:szCs w:val="24"/>
              </w:rPr>
              <w:fldChar w:fldCharType="end"/>
            </w:r>
          </w:hyperlink>
        </w:p>
        <w:p w14:paraId="32204348" w14:textId="77777777" w:rsidR="002D6C91" w:rsidRPr="002D6C91" w:rsidRDefault="00393622" w:rsidP="002D6C91">
          <w:pPr>
            <w:pStyle w:val="TOC1"/>
            <w:tabs>
              <w:tab w:val="right" w:leader="dot" w:pos="9350"/>
            </w:tabs>
            <w:spacing w:line="360" w:lineRule="auto"/>
            <w:jc w:val="center"/>
            <w:rPr>
              <w:noProof/>
              <w:color w:val="000000" w:themeColor="text1"/>
              <w:sz w:val="24"/>
              <w:szCs w:val="24"/>
            </w:rPr>
          </w:pPr>
          <w:hyperlink w:anchor="_Toc224663943" w:history="1">
            <w:r w:rsidRPr="002D6C91">
              <w:rPr>
                <w:rStyle w:val="Hyperlink"/>
                <w:noProof/>
                <w:color w:val="000000" w:themeColor="text1"/>
                <w:sz w:val="24"/>
                <w:szCs w:val="24"/>
              </w:rPr>
              <w:t>References</w:t>
            </w:r>
            <w:r w:rsidRPr="002D6C91">
              <w:rPr>
                <w:noProof/>
                <w:webHidden/>
                <w:color w:val="000000" w:themeColor="text1"/>
                <w:sz w:val="24"/>
                <w:szCs w:val="24"/>
              </w:rPr>
              <w:tab/>
            </w:r>
            <w:r w:rsidRPr="002D6C91">
              <w:rPr>
                <w:noProof/>
                <w:webHidden/>
                <w:color w:val="000000" w:themeColor="text1"/>
                <w:sz w:val="24"/>
                <w:szCs w:val="24"/>
              </w:rPr>
              <w:fldChar w:fldCharType="begin"/>
            </w:r>
            <w:r w:rsidRPr="002D6C91">
              <w:rPr>
                <w:noProof/>
                <w:webHidden/>
                <w:color w:val="000000" w:themeColor="text1"/>
                <w:sz w:val="24"/>
                <w:szCs w:val="24"/>
              </w:rPr>
              <w:instrText xml:space="preserve"> PAGEREF _Toc224663943 \h </w:instrText>
            </w:r>
            <w:r w:rsidRPr="002D6C91">
              <w:rPr>
                <w:noProof/>
                <w:webHidden/>
                <w:color w:val="000000" w:themeColor="text1"/>
                <w:sz w:val="24"/>
                <w:szCs w:val="24"/>
              </w:rPr>
            </w:r>
            <w:r w:rsidRPr="002D6C91">
              <w:rPr>
                <w:noProof/>
                <w:webHidden/>
                <w:color w:val="000000" w:themeColor="text1"/>
                <w:sz w:val="24"/>
                <w:szCs w:val="24"/>
              </w:rPr>
              <w:fldChar w:fldCharType="separate"/>
            </w:r>
            <w:r w:rsidR="00456CD4">
              <w:rPr>
                <w:noProof/>
                <w:webHidden/>
                <w:color w:val="000000" w:themeColor="text1"/>
                <w:sz w:val="24"/>
                <w:szCs w:val="24"/>
              </w:rPr>
              <w:t>10</w:t>
            </w:r>
            <w:r w:rsidRPr="002D6C91">
              <w:rPr>
                <w:noProof/>
                <w:webHidden/>
                <w:color w:val="000000" w:themeColor="text1"/>
                <w:sz w:val="24"/>
                <w:szCs w:val="24"/>
              </w:rPr>
              <w:fldChar w:fldCharType="end"/>
            </w:r>
          </w:hyperlink>
        </w:p>
        <w:p w14:paraId="4C37D672" w14:textId="1AC1DD8D" w:rsidR="002D6C91" w:rsidRDefault="00393622" w:rsidP="002D6C91">
          <w:pPr>
            <w:spacing w:line="360" w:lineRule="auto"/>
            <w:jc w:val="center"/>
          </w:pPr>
          <w:r w:rsidRPr="002D6C91">
            <w:rPr>
              <w:b/>
              <w:bCs/>
              <w:noProof/>
              <w:color w:val="000000" w:themeColor="text1"/>
              <w:sz w:val="24"/>
              <w:szCs w:val="24"/>
            </w:rPr>
            <w:fldChar w:fldCharType="end"/>
          </w:r>
        </w:p>
      </w:sdtContent>
    </w:sdt>
    <w:p w14:paraId="53FD2817" w14:textId="77777777" w:rsidR="002D6C91" w:rsidRDefault="002D6C91">
      <w:pPr>
        <w:spacing w:line="360" w:lineRule="auto"/>
        <w:jc w:val="center"/>
        <w:rPr>
          <w:rFonts w:eastAsia="Times New Roman"/>
          <w:b/>
          <w:bCs/>
        </w:rPr>
      </w:pPr>
    </w:p>
    <w:p w14:paraId="31F7D146" w14:textId="77777777" w:rsidR="002D6C91" w:rsidRDefault="002D6C91">
      <w:pPr>
        <w:spacing w:line="360" w:lineRule="auto"/>
        <w:jc w:val="center"/>
        <w:rPr>
          <w:rFonts w:eastAsia="Times New Roman"/>
          <w:b/>
          <w:bCs/>
        </w:rPr>
      </w:pPr>
    </w:p>
    <w:p w14:paraId="0B2438E2" w14:textId="77777777" w:rsidR="002D6C91" w:rsidRDefault="002D6C91">
      <w:pPr>
        <w:spacing w:line="360" w:lineRule="auto"/>
        <w:jc w:val="center"/>
        <w:rPr>
          <w:rFonts w:eastAsia="Times New Roman"/>
          <w:b/>
          <w:bCs/>
        </w:rPr>
      </w:pPr>
    </w:p>
    <w:p w14:paraId="07A6F066" w14:textId="77777777" w:rsidR="002D6C91" w:rsidRDefault="002D6C91">
      <w:pPr>
        <w:spacing w:line="360" w:lineRule="auto"/>
        <w:jc w:val="center"/>
        <w:rPr>
          <w:rFonts w:eastAsia="Times New Roman"/>
          <w:b/>
          <w:bCs/>
        </w:rPr>
      </w:pPr>
    </w:p>
    <w:p w14:paraId="2A6138AC" w14:textId="77777777" w:rsidR="002D6C91" w:rsidRDefault="002D6C91">
      <w:pPr>
        <w:spacing w:line="360" w:lineRule="auto"/>
        <w:jc w:val="center"/>
        <w:rPr>
          <w:rFonts w:eastAsia="Times New Roman"/>
          <w:b/>
          <w:bCs/>
        </w:rPr>
      </w:pPr>
    </w:p>
    <w:p w14:paraId="6EC7DA20" w14:textId="77777777" w:rsidR="002D6C91" w:rsidRDefault="002D6C91">
      <w:pPr>
        <w:spacing w:line="360" w:lineRule="auto"/>
        <w:jc w:val="center"/>
        <w:rPr>
          <w:rFonts w:eastAsia="Times New Roman"/>
          <w:b/>
          <w:bCs/>
        </w:rPr>
      </w:pPr>
    </w:p>
    <w:p w14:paraId="0407EDF2" w14:textId="77777777" w:rsidR="002D6C91" w:rsidRDefault="002D6C91">
      <w:pPr>
        <w:spacing w:line="360" w:lineRule="auto"/>
        <w:jc w:val="center"/>
        <w:rPr>
          <w:rFonts w:eastAsia="Times New Roman"/>
          <w:b/>
          <w:bCs/>
        </w:rPr>
      </w:pPr>
    </w:p>
    <w:p w14:paraId="3F401B2E" w14:textId="77777777" w:rsidR="002D6C91" w:rsidRDefault="002D6C91">
      <w:pPr>
        <w:spacing w:line="360" w:lineRule="auto"/>
        <w:jc w:val="center"/>
        <w:rPr>
          <w:rFonts w:eastAsia="Times New Roman"/>
          <w:b/>
          <w:bCs/>
        </w:rPr>
      </w:pPr>
    </w:p>
    <w:p w14:paraId="195F8B61" w14:textId="77777777" w:rsidR="002D6C91" w:rsidRDefault="002D6C91">
      <w:pPr>
        <w:spacing w:line="360" w:lineRule="auto"/>
        <w:jc w:val="center"/>
        <w:rPr>
          <w:rFonts w:eastAsia="Times New Roman"/>
          <w:b/>
          <w:bCs/>
        </w:rPr>
      </w:pPr>
    </w:p>
    <w:p w14:paraId="0172CFA6" w14:textId="77777777" w:rsidR="002D6C91" w:rsidRDefault="002D6C91">
      <w:pPr>
        <w:spacing w:line="360" w:lineRule="auto"/>
        <w:jc w:val="center"/>
        <w:rPr>
          <w:rFonts w:eastAsia="Times New Roman"/>
          <w:b/>
          <w:bCs/>
        </w:rPr>
      </w:pPr>
    </w:p>
    <w:p w14:paraId="2C94CAC1" w14:textId="77777777" w:rsidR="002D6C91" w:rsidRDefault="002D6C91">
      <w:pPr>
        <w:spacing w:line="360" w:lineRule="auto"/>
        <w:jc w:val="center"/>
        <w:rPr>
          <w:rFonts w:eastAsia="Times New Roman"/>
          <w:b/>
          <w:bCs/>
        </w:rPr>
      </w:pPr>
    </w:p>
    <w:p w14:paraId="63331179" w14:textId="77777777" w:rsidR="002D6C91" w:rsidRDefault="002D6C91">
      <w:pPr>
        <w:spacing w:line="360" w:lineRule="auto"/>
        <w:jc w:val="center"/>
        <w:rPr>
          <w:rFonts w:eastAsia="Times New Roman"/>
          <w:b/>
          <w:bCs/>
        </w:rPr>
      </w:pPr>
    </w:p>
    <w:p w14:paraId="39323F9D" w14:textId="77777777" w:rsidR="002D6C91" w:rsidRDefault="002D6C91">
      <w:pPr>
        <w:spacing w:line="360" w:lineRule="auto"/>
        <w:jc w:val="center"/>
        <w:rPr>
          <w:rFonts w:eastAsia="Times New Roman"/>
          <w:b/>
          <w:bCs/>
        </w:rPr>
      </w:pPr>
    </w:p>
    <w:p w14:paraId="57BF3470" w14:textId="77777777" w:rsidR="002D6C91" w:rsidRDefault="002D6C91">
      <w:pPr>
        <w:spacing w:line="360" w:lineRule="auto"/>
        <w:jc w:val="center"/>
        <w:rPr>
          <w:rFonts w:eastAsia="Times New Roman"/>
          <w:b/>
          <w:bCs/>
        </w:rPr>
      </w:pPr>
    </w:p>
    <w:p w14:paraId="5D4B94B0" w14:textId="77777777" w:rsidR="002D6C91" w:rsidRDefault="002D6C91">
      <w:pPr>
        <w:spacing w:line="360" w:lineRule="auto"/>
        <w:jc w:val="center"/>
        <w:rPr>
          <w:rFonts w:eastAsia="Times New Roman"/>
          <w:b/>
          <w:bCs/>
        </w:rPr>
      </w:pPr>
    </w:p>
    <w:p w14:paraId="37940246" w14:textId="77777777" w:rsidR="002D6C91" w:rsidRDefault="002D6C91">
      <w:pPr>
        <w:spacing w:line="360" w:lineRule="auto"/>
        <w:jc w:val="center"/>
        <w:rPr>
          <w:rFonts w:eastAsia="Times New Roman"/>
          <w:b/>
          <w:bCs/>
        </w:rPr>
      </w:pPr>
    </w:p>
    <w:p w14:paraId="44280535" w14:textId="77777777" w:rsidR="002D6C91" w:rsidRDefault="002D6C91">
      <w:pPr>
        <w:spacing w:line="360" w:lineRule="auto"/>
        <w:jc w:val="center"/>
        <w:rPr>
          <w:rFonts w:eastAsia="Times New Roman"/>
          <w:b/>
          <w:bCs/>
        </w:rPr>
      </w:pPr>
    </w:p>
    <w:p w14:paraId="4E5C8A8F" w14:textId="77777777" w:rsidR="002D6C91" w:rsidRDefault="002D6C91">
      <w:pPr>
        <w:spacing w:line="360" w:lineRule="auto"/>
        <w:jc w:val="center"/>
        <w:rPr>
          <w:rFonts w:eastAsia="Times New Roman"/>
          <w:b/>
          <w:bCs/>
        </w:rPr>
      </w:pPr>
    </w:p>
    <w:p w14:paraId="4F3C74A7" w14:textId="77777777" w:rsidR="002D6C91" w:rsidRDefault="002D6C91">
      <w:pPr>
        <w:spacing w:line="360" w:lineRule="auto"/>
        <w:jc w:val="center"/>
        <w:rPr>
          <w:rFonts w:eastAsia="Times New Roman"/>
          <w:b/>
          <w:bCs/>
        </w:rPr>
      </w:pPr>
    </w:p>
    <w:p w14:paraId="5D54094D" w14:textId="77777777" w:rsidR="002D6C91" w:rsidRDefault="002D6C91">
      <w:pPr>
        <w:spacing w:line="360" w:lineRule="auto"/>
        <w:jc w:val="center"/>
        <w:rPr>
          <w:rFonts w:eastAsia="Times New Roman"/>
          <w:b/>
          <w:bCs/>
        </w:rPr>
      </w:pPr>
    </w:p>
    <w:p w14:paraId="00000023" w14:textId="6E5AC0CA" w:rsidR="00C97C05" w:rsidRPr="008E08D0" w:rsidRDefault="00393622" w:rsidP="00EF5196">
      <w:pPr>
        <w:pStyle w:val="Heading1"/>
      </w:pPr>
      <w:bookmarkStart w:id="0" w:name="_Toc224663935"/>
      <w:r w:rsidRPr="008E08D0">
        <w:lastRenderedPageBreak/>
        <w:t>1.0 Introduction</w:t>
      </w:r>
      <w:bookmarkEnd w:id="0"/>
    </w:p>
    <w:p w14:paraId="00000024" w14:textId="64FABEC6" w:rsidR="00C97C05" w:rsidRPr="0083422B" w:rsidRDefault="00393622">
      <w:pPr>
        <w:spacing w:line="360" w:lineRule="auto"/>
        <w:jc w:val="both"/>
        <w:rPr>
          <w:rFonts w:eastAsia="Times New Roman"/>
        </w:rPr>
      </w:pPr>
      <w:r w:rsidRPr="0083422B">
        <w:rPr>
          <w:rFonts w:eastAsia="Times New Roman"/>
        </w:rPr>
        <w:t>The two main st</w:t>
      </w:r>
      <w:r w:rsidR="00EF5196">
        <w:rPr>
          <w:rFonts w:eastAsia="Times New Roman"/>
        </w:rPr>
        <w:t xml:space="preserve">rategies used to improve health and </w:t>
      </w:r>
      <w:r w:rsidRPr="0083422B">
        <w:rPr>
          <w:rFonts w:eastAsia="Times New Roman"/>
        </w:rPr>
        <w:t>social care provision include Person-Centred Care (PCC) and Partnership Working (PW), which focus on meeting individuals’ needs and placing them at the centre of care delivery. PCC involves providing services based on the individual’s personal preferences and value systems, ensuring that they are active participants in decisions regarding their care</w:t>
      </w:r>
      <w:r w:rsidR="00597E55">
        <w:rPr>
          <w:rFonts w:eastAsia="Times New Roman"/>
        </w:rPr>
        <w:t xml:space="preserve"> </w:t>
      </w:r>
      <w:r w:rsidR="00597E55" w:rsidRPr="00597E55">
        <w:rPr>
          <w:rFonts w:eastAsia="Times New Roman"/>
        </w:rPr>
        <w:t>(Santana et al., 2017)</w:t>
      </w:r>
      <w:r w:rsidRPr="0083422B">
        <w:rPr>
          <w:rFonts w:eastAsia="Times New Roman"/>
        </w:rPr>
        <w:t>. PW emphasises the need for collaboration between service providers and clients, as well as any other people involved in an individual's care, to ensure that the full range of care is delivered as efficiently and as effectively as possible</w:t>
      </w:r>
      <w:r w:rsidR="00597E55">
        <w:rPr>
          <w:rFonts w:eastAsia="Times New Roman"/>
        </w:rPr>
        <w:t xml:space="preserve"> </w:t>
      </w:r>
      <w:r w:rsidR="00597E55" w:rsidRPr="00597E55">
        <w:rPr>
          <w:rFonts w:eastAsia="Times New Roman"/>
        </w:rPr>
        <w:t>(Winters et al., 2016)</w:t>
      </w:r>
      <w:r w:rsidRPr="0083422B">
        <w:rPr>
          <w:rFonts w:eastAsia="Times New Roman"/>
        </w:rPr>
        <w:t>. The objective of PCC and PW is to create a holistic system of care that maximises positive health and care-related outcomes for clients and provides them with an enjoyable experience.</w:t>
      </w:r>
    </w:p>
    <w:p w14:paraId="00000025" w14:textId="77777777" w:rsidR="00C97C05" w:rsidRPr="0083422B" w:rsidRDefault="00393622">
      <w:pPr>
        <w:spacing w:line="360" w:lineRule="auto"/>
        <w:jc w:val="both"/>
        <w:rPr>
          <w:rFonts w:eastAsia="Times New Roman"/>
        </w:rPr>
      </w:pPr>
      <w:r w:rsidRPr="0083422B">
        <w:rPr>
          <w:rFonts w:eastAsia="Times New Roman"/>
        </w:rPr>
        <w:t>This report aims to explore the principles and practices of each of these two strategies. It will review their relevance and how they can be applied to a particular health/social care setting. This report will also provide a detailed investigation into the key theoretical frameworks which underpin the definitions of PCC and PW, as well as the ethics surrounding their development. The report will review the advantages and disadvantages of PCC and PW and provide several real-world examples. Finally, this report will address the impact of relevant legislation and policy on the use of PCC and PW in practice, subsequently providing recommendations for the improvement of their implementation practices.</w:t>
      </w:r>
    </w:p>
    <w:p w14:paraId="00000026" w14:textId="48E6B696" w:rsidR="00C97C05" w:rsidRPr="008E08D0" w:rsidRDefault="00393622" w:rsidP="00EF5196">
      <w:pPr>
        <w:pStyle w:val="Heading1"/>
      </w:pPr>
      <w:bookmarkStart w:id="1" w:name="_Toc224663936"/>
      <w:r w:rsidRPr="008E08D0">
        <w:t>2.0 Definition of PCC</w:t>
      </w:r>
      <w:bookmarkEnd w:id="1"/>
    </w:p>
    <w:p w14:paraId="00000027" w14:textId="0560AEC3" w:rsidR="00C97C05" w:rsidRPr="0083422B" w:rsidRDefault="00393622">
      <w:pPr>
        <w:spacing w:line="360" w:lineRule="auto"/>
        <w:jc w:val="both"/>
        <w:rPr>
          <w:rFonts w:eastAsia="Times New Roman"/>
        </w:rPr>
      </w:pPr>
      <w:r>
        <w:rPr>
          <w:rFonts w:eastAsia="Times New Roman"/>
          <w:b/>
        </w:rPr>
        <w:t xml:space="preserve">Definition: </w:t>
      </w:r>
      <w:r w:rsidR="00484B0F" w:rsidRPr="0083422B">
        <w:rPr>
          <w:rFonts w:eastAsia="Times New Roman"/>
        </w:rPr>
        <w:t>Person-Centred Care is an approach to delivering health care that is based on the individual’s preferences, needs, and values</w:t>
      </w:r>
      <w:r w:rsidR="00597E55">
        <w:rPr>
          <w:rFonts w:eastAsia="Times New Roman"/>
        </w:rPr>
        <w:t xml:space="preserve"> </w:t>
      </w:r>
      <w:r w:rsidR="00597E55" w:rsidRPr="00597E55">
        <w:rPr>
          <w:rFonts w:eastAsia="Times New Roman"/>
        </w:rPr>
        <w:t>(Coulter and Oldham, 2016)</w:t>
      </w:r>
      <w:r w:rsidR="00484B0F" w:rsidRPr="0083422B">
        <w:rPr>
          <w:rFonts w:eastAsia="Times New Roman"/>
        </w:rPr>
        <w:t>. The primary objective of PCC is to provide health care that considers the unique experiences and situation specific to each patient as well as their contribution as active participants in making decisions about their health and treatment, not merely passive recipients of care</w:t>
      </w:r>
      <w:r w:rsidR="00597E55">
        <w:rPr>
          <w:rFonts w:eastAsia="Times New Roman"/>
        </w:rPr>
        <w:t xml:space="preserve"> </w:t>
      </w:r>
      <w:r w:rsidR="00597E55" w:rsidRPr="00597E55">
        <w:rPr>
          <w:rFonts w:eastAsia="Times New Roman"/>
        </w:rPr>
        <w:t>(Coulter and Oldham, 2016)</w:t>
      </w:r>
      <w:r w:rsidR="00597E55">
        <w:rPr>
          <w:rFonts w:eastAsia="Times New Roman"/>
        </w:rPr>
        <w:t xml:space="preserve">. </w:t>
      </w:r>
      <w:r w:rsidR="00484B0F" w:rsidRPr="0083422B">
        <w:rPr>
          <w:rFonts w:eastAsia="Times New Roman"/>
        </w:rPr>
        <w:t xml:space="preserve">PCC is about treating individuals with dignity, respect and compassion whilst at the same time empowering individuals to take control </w:t>
      </w:r>
      <w:r w:rsidR="00597E55">
        <w:rPr>
          <w:rFonts w:eastAsia="Times New Roman"/>
        </w:rPr>
        <w:t>of their health and well-being.</w:t>
      </w:r>
      <w:r w:rsidR="00484B0F" w:rsidRPr="0083422B">
        <w:rPr>
          <w:rFonts w:eastAsia="Times New Roman"/>
        </w:rPr>
        <w:t xml:space="preserve"> It is believed that individuals and their families and communities have valuable knowledge and expertise about their health status and are essential to the health care planning and delivery process</w:t>
      </w:r>
      <w:r w:rsidR="00597E55">
        <w:rPr>
          <w:rFonts w:eastAsia="Times New Roman"/>
        </w:rPr>
        <w:t xml:space="preserve"> </w:t>
      </w:r>
      <w:r w:rsidR="00597E55" w:rsidRPr="00597E55">
        <w:rPr>
          <w:rFonts w:eastAsia="Times New Roman"/>
        </w:rPr>
        <w:t>(Kishino et al., 2023)</w:t>
      </w:r>
      <w:r w:rsidR="00484B0F" w:rsidRPr="0083422B">
        <w:rPr>
          <w:rFonts w:eastAsia="Times New Roman"/>
        </w:rPr>
        <w:t>.</w:t>
      </w:r>
    </w:p>
    <w:p w14:paraId="00000028" w14:textId="0B09BA4C" w:rsidR="00C97C05" w:rsidRPr="0083422B" w:rsidRDefault="00393622">
      <w:pPr>
        <w:spacing w:line="360" w:lineRule="auto"/>
        <w:jc w:val="both"/>
        <w:rPr>
          <w:rFonts w:eastAsia="Times New Roman"/>
        </w:rPr>
      </w:pPr>
      <w:r>
        <w:rPr>
          <w:rFonts w:eastAsia="Times New Roman"/>
          <w:b/>
        </w:rPr>
        <w:t>Benefits:</w:t>
      </w:r>
      <w:r w:rsidR="00484B0F" w:rsidRPr="0083422B">
        <w:rPr>
          <w:rFonts w:eastAsia="Times New Roman"/>
        </w:rPr>
        <w:t xml:space="preserve"> Studies show that patients experience higher levels of satisfaction with PCC than with traditional forms of health care</w:t>
      </w:r>
      <w:r w:rsidR="00597E55">
        <w:rPr>
          <w:rFonts w:eastAsia="Times New Roman"/>
        </w:rPr>
        <w:t xml:space="preserve"> </w:t>
      </w:r>
      <w:r w:rsidR="00597E55" w:rsidRPr="00597E55">
        <w:rPr>
          <w:rFonts w:eastAsia="Times New Roman"/>
        </w:rPr>
        <w:t>(Yu et al., 2023)</w:t>
      </w:r>
      <w:r w:rsidR="00484B0F" w:rsidRPr="0083422B">
        <w:rPr>
          <w:rFonts w:eastAsia="Times New Roman"/>
        </w:rPr>
        <w:t xml:space="preserve">. Patients who are treated in a person-centred </w:t>
      </w:r>
      <w:r w:rsidR="00484B0F" w:rsidRPr="0083422B">
        <w:rPr>
          <w:rFonts w:eastAsia="Times New Roman"/>
        </w:rPr>
        <w:lastRenderedPageBreak/>
        <w:t xml:space="preserve">way report a higher quality of health care than their counterparts treated using conventional methods. </w:t>
      </w:r>
      <w:r w:rsidR="00EF5196">
        <w:rPr>
          <w:rFonts w:eastAsia="Times New Roman"/>
        </w:rPr>
        <w:t>Research has documented that there is an</w:t>
      </w:r>
      <w:r w:rsidR="00484B0F" w:rsidRPr="0083422B">
        <w:rPr>
          <w:rFonts w:eastAsia="Times New Roman"/>
        </w:rPr>
        <w:t xml:space="preserve"> </w:t>
      </w:r>
      <w:r w:rsidR="00EF5196">
        <w:rPr>
          <w:rFonts w:eastAsia="Times New Roman"/>
        </w:rPr>
        <w:t>improved patient outcome</w:t>
      </w:r>
      <w:r w:rsidR="00484B0F" w:rsidRPr="0083422B">
        <w:rPr>
          <w:rFonts w:eastAsia="Times New Roman"/>
        </w:rPr>
        <w:t xml:space="preserve"> when patients are engaged in making decisions regarding their health</w:t>
      </w:r>
      <w:r w:rsidR="00597E55">
        <w:rPr>
          <w:rFonts w:eastAsia="Times New Roman"/>
        </w:rPr>
        <w:t xml:space="preserve"> </w:t>
      </w:r>
      <w:r w:rsidR="00597E55" w:rsidRPr="00597E55">
        <w:rPr>
          <w:rFonts w:eastAsia="Times New Roman"/>
        </w:rPr>
        <w:t>(Bruch et al., 2024)</w:t>
      </w:r>
      <w:r w:rsidR="00484B0F" w:rsidRPr="0083422B">
        <w:rPr>
          <w:rFonts w:eastAsia="Times New Roman"/>
        </w:rPr>
        <w:t>. Implementing PCC facilitates communication between patients and health care providers, which enhances the understanding of care objectives and potential barriers to attaining those objectives.</w:t>
      </w:r>
    </w:p>
    <w:p w14:paraId="00000029" w14:textId="3D47FC34" w:rsidR="00C97C05" w:rsidRPr="0083422B" w:rsidRDefault="00393622">
      <w:pPr>
        <w:spacing w:line="360" w:lineRule="auto"/>
        <w:jc w:val="both"/>
        <w:rPr>
          <w:rFonts w:eastAsia="Times New Roman"/>
        </w:rPr>
      </w:pPr>
      <w:r>
        <w:rPr>
          <w:rFonts w:eastAsia="Times New Roman"/>
          <w:b/>
        </w:rPr>
        <w:t xml:space="preserve">Limitations: </w:t>
      </w:r>
      <w:r w:rsidRPr="0083422B">
        <w:rPr>
          <w:rFonts w:eastAsia="Times New Roman"/>
        </w:rPr>
        <w:t xml:space="preserve">These include </w:t>
      </w:r>
      <w:r w:rsidR="00484B0F" w:rsidRPr="0083422B">
        <w:rPr>
          <w:rFonts w:eastAsia="Times New Roman"/>
        </w:rPr>
        <w:t xml:space="preserve">resource constraints, time constraints, and </w:t>
      </w:r>
      <w:r w:rsidRPr="0083422B">
        <w:rPr>
          <w:rFonts w:eastAsia="Times New Roman"/>
        </w:rPr>
        <w:t>a shortage of staff</w:t>
      </w:r>
      <w:r w:rsidR="00484B0F" w:rsidRPr="0083422B">
        <w:rPr>
          <w:rFonts w:eastAsia="Times New Roman"/>
        </w:rPr>
        <w:t>, which are some of the largest barriers preventing full implementation of the PCC model</w:t>
      </w:r>
      <w:r w:rsidR="00597E55">
        <w:rPr>
          <w:rFonts w:eastAsia="Times New Roman"/>
        </w:rPr>
        <w:t xml:space="preserve"> </w:t>
      </w:r>
      <w:r w:rsidR="00597E55" w:rsidRPr="00597E55">
        <w:rPr>
          <w:rFonts w:eastAsia="Times New Roman"/>
        </w:rPr>
        <w:t>(Chance and Théophile, 2025)</w:t>
      </w:r>
      <w:r w:rsidR="00484B0F" w:rsidRPr="0083422B">
        <w:rPr>
          <w:rFonts w:eastAsia="Times New Roman"/>
        </w:rPr>
        <w:t xml:space="preserve">. Similarly, some healthcare providers may resist implementing PCC because they are accustomed to providing care to large populations or due to negative organisational cultures that do not support putting patients' needs first and, instead, place a value on increasing efficiency </w:t>
      </w:r>
      <w:proofErr w:type="gramStart"/>
      <w:r w:rsidR="00484B0F" w:rsidRPr="0083422B">
        <w:rPr>
          <w:rFonts w:eastAsia="Times New Roman"/>
        </w:rPr>
        <w:t>through the use of</w:t>
      </w:r>
      <w:proofErr w:type="gramEnd"/>
      <w:r w:rsidR="00484B0F" w:rsidRPr="0083422B">
        <w:rPr>
          <w:rFonts w:eastAsia="Times New Roman"/>
        </w:rPr>
        <w:t xml:space="preserve"> </w:t>
      </w:r>
      <w:r w:rsidRPr="0083422B">
        <w:rPr>
          <w:rFonts w:eastAsia="Times New Roman"/>
        </w:rPr>
        <w:t>fewer resources</w:t>
      </w:r>
      <w:r w:rsidR="00597E55">
        <w:rPr>
          <w:rFonts w:eastAsia="Times New Roman"/>
        </w:rPr>
        <w:t xml:space="preserve"> </w:t>
      </w:r>
      <w:r w:rsidR="00597E55" w:rsidRPr="00597E55">
        <w:rPr>
          <w:rFonts w:eastAsia="Times New Roman"/>
        </w:rPr>
        <w:t>(Hower et al., 2019)</w:t>
      </w:r>
      <w:r w:rsidR="00484B0F" w:rsidRPr="0083422B">
        <w:rPr>
          <w:rFonts w:eastAsia="Times New Roman"/>
        </w:rPr>
        <w:t>. The more complex the patients' needs are for a specific organisation, the more institutional constraints will exist that will make implementing PCC extremely challenging.</w:t>
      </w:r>
    </w:p>
    <w:p w14:paraId="0000002A" w14:textId="123489AE" w:rsidR="00C97C05" w:rsidRPr="008E08D0" w:rsidRDefault="00393622" w:rsidP="00EF5196">
      <w:pPr>
        <w:pStyle w:val="Heading1"/>
      </w:pPr>
      <w:bookmarkStart w:id="2" w:name="_Toc224663937"/>
      <w:r w:rsidRPr="008E08D0">
        <w:t>3.0 Relevant Theories</w:t>
      </w:r>
      <w:bookmarkEnd w:id="2"/>
    </w:p>
    <w:p w14:paraId="0000002B" w14:textId="4009BCF8" w:rsidR="00C97C05" w:rsidRPr="0083422B" w:rsidRDefault="00393622">
      <w:pPr>
        <w:spacing w:line="360" w:lineRule="auto"/>
        <w:jc w:val="both"/>
        <w:rPr>
          <w:rFonts w:eastAsia="Times New Roman"/>
        </w:rPr>
      </w:pPr>
      <w:r w:rsidRPr="0083422B">
        <w:rPr>
          <w:rFonts w:eastAsia="Times New Roman"/>
          <w:b/>
        </w:rPr>
        <w:t>Person-</w:t>
      </w:r>
      <w:r w:rsidR="00EF5196" w:rsidRPr="0083422B">
        <w:rPr>
          <w:rFonts w:eastAsia="Times New Roman"/>
          <w:b/>
        </w:rPr>
        <w:t>Centred</w:t>
      </w:r>
      <w:r w:rsidRPr="0083422B">
        <w:rPr>
          <w:rFonts w:eastAsia="Times New Roman"/>
          <w:b/>
        </w:rPr>
        <w:t xml:space="preserve"> Theory:</w:t>
      </w:r>
      <w:r>
        <w:rPr>
          <w:rFonts w:eastAsia="Times New Roman"/>
        </w:rPr>
        <w:t xml:space="preserve"> Carl Rogers </w:t>
      </w:r>
      <w:r w:rsidR="00484B0F" w:rsidRPr="0083422B">
        <w:rPr>
          <w:rFonts w:eastAsia="Times New Roman"/>
        </w:rPr>
        <w:t xml:space="preserve">was a humanistic psychologist who believed that </w:t>
      </w:r>
      <w:proofErr w:type="gramStart"/>
      <w:r w:rsidR="00484B0F" w:rsidRPr="0083422B">
        <w:rPr>
          <w:rFonts w:eastAsia="Times New Roman"/>
        </w:rPr>
        <w:t>in order for</w:t>
      </w:r>
      <w:proofErr w:type="gramEnd"/>
      <w:r w:rsidR="00484B0F" w:rsidRPr="0083422B">
        <w:rPr>
          <w:rFonts w:eastAsia="Times New Roman"/>
        </w:rPr>
        <w:t xml:space="preserve"> individuals to grow or heal, they must receive unconditional positive regard, empathy and genuineness</w:t>
      </w:r>
      <w:r w:rsidR="00597E55">
        <w:rPr>
          <w:rFonts w:eastAsia="Times New Roman"/>
        </w:rPr>
        <w:t xml:space="preserve"> </w:t>
      </w:r>
      <w:r w:rsidR="00597E55" w:rsidRPr="00597E55">
        <w:rPr>
          <w:rFonts w:eastAsia="Times New Roman"/>
        </w:rPr>
        <w:t>(</w:t>
      </w:r>
      <w:proofErr w:type="spellStart"/>
      <w:r w:rsidR="00597E55" w:rsidRPr="00597E55">
        <w:rPr>
          <w:rFonts w:eastAsia="Times New Roman"/>
        </w:rPr>
        <w:t>Narknisorn</w:t>
      </w:r>
      <w:proofErr w:type="spellEnd"/>
      <w:r w:rsidR="00597E55" w:rsidRPr="00597E55">
        <w:rPr>
          <w:rFonts w:eastAsia="Times New Roman"/>
        </w:rPr>
        <w:t>, 2012)</w:t>
      </w:r>
      <w:r w:rsidR="00484B0F" w:rsidRPr="0083422B">
        <w:rPr>
          <w:rFonts w:eastAsia="Times New Roman"/>
        </w:rPr>
        <w:t>. In the health care environment, this means respecting the patient's feelings, values and beliefs, and creating an environment that allows patients to feel empowered to make decisions about their own health care. This approach demonstrates that health care professionals view patients as experts in their own lives and encourage collaboration and trust.</w:t>
      </w:r>
    </w:p>
    <w:p w14:paraId="0000002C" w14:textId="2E70E952" w:rsidR="00C97C05" w:rsidRPr="0083422B" w:rsidRDefault="00393622">
      <w:pPr>
        <w:spacing w:line="360" w:lineRule="auto"/>
        <w:jc w:val="both"/>
        <w:rPr>
          <w:rFonts w:eastAsia="Times New Roman"/>
        </w:rPr>
      </w:pPr>
      <w:r w:rsidRPr="0083422B">
        <w:rPr>
          <w:rFonts w:eastAsia="Times New Roman"/>
          <w:b/>
        </w:rPr>
        <w:t>Maslow’s Hierarchy of Needs</w:t>
      </w:r>
      <w:r>
        <w:rPr>
          <w:rFonts w:eastAsia="Times New Roman"/>
        </w:rPr>
        <w:t xml:space="preserve">: </w:t>
      </w:r>
      <w:r w:rsidR="00484B0F" w:rsidRPr="0083422B">
        <w:rPr>
          <w:rFonts w:eastAsia="Times New Roman"/>
        </w:rPr>
        <w:t>Maslow proposed that for individuals to focus on higher-order needs such as self-esteem and self-</w:t>
      </w:r>
      <w:r w:rsidR="00597E55" w:rsidRPr="0083422B">
        <w:rPr>
          <w:rFonts w:eastAsia="Times New Roman"/>
        </w:rPr>
        <w:t>actuali</w:t>
      </w:r>
      <w:r w:rsidR="00484B0F" w:rsidRPr="0083422B">
        <w:rPr>
          <w:rFonts w:eastAsia="Times New Roman"/>
        </w:rPr>
        <w:t xml:space="preserve">sation, their basic needs </w:t>
      </w:r>
      <w:proofErr w:type="gramStart"/>
      <w:r w:rsidR="00484B0F" w:rsidRPr="0083422B">
        <w:rPr>
          <w:rFonts w:eastAsia="Times New Roman"/>
        </w:rPr>
        <w:t>have to</w:t>
      </w:r>
      <w:proofErr w:type="gramEnd"/>
      <w:r w:rsidR="00484B0F" w:rsidRPr="0083422B">
        <w:rPr>
          <w:rFonts w:eastAsia="Times New Roman"/>
        </w:rPr>
        <w:t xml:space="preserve"> be met</w:t>
      </w:r>
      <w:r w:rsidR="00597E55">
        <w:rPr>
          <w:rFonts w:eastAsia="Times New Roman"/>
        </w:rPr>
        <w:t xml:space="preserve"> </w:t>
      </w:r>
      <w:r w:rsidR="00597E55" w:rsidRPr="00597E55">
        <w:rPr>
          <w:rFonts w:eastAsia="Times New Roman"/>
        </w:rPr>
        <w:t>(Rojas et al., 2023)</w:t>
      </w:r>
      <w:r w:rsidR="00484B0F" w:rsidRPr="0083422B">
        <w:rPr>
          <w:rFonts w:eastAsia="Times New Roman"/>
        </w:rPr>
        <w:t xml:space="preserve">. Therefore, through PCC, care must include the overall individual, not just physical health, but emotional and psychological aspects as well. For example, addressing an individual's emotional health, self-esteem, and sense of belonging is </w:t>
      </w:r>
      <w:r w:rsidR="00EF5196">
        <w:rPr>
          <w:rFonts w:eastAsia="Times New Roman"/>
        </w:rPr>
        <w:t>the key</w:t>
      </w:r>
      <w:r w:rsidR="00484B0F" w:rsidRPr="0083422B">
        <w:rPr>
          <w:rFonts w:eastAsia="Times New Roman"/>
        </w:rPr>
        <w:t xml:space="preserve"> to achieving better health.</w:t>
      </w:r>
    </w:p>
    <w:p w14:paraId="0000002D" w14:textId="6EA3D0BE" w:rsidR="00C97C05" w:rsidRPr="0083422B" w:rsidRDefault="00393622">
      <w:pPr>
        <w:spacing w:line="360" w:lineRule="auto"/>
        <w:jc w:val="both"/>
        <w:rPr>
          <w:rFonts w:eastAsia="Times New Roman"/>
        </w:rPr>
      </w:pPr>
      <w:r w:rsidRPr="0083422B">
        <w:rPr>
          <w:rFonts w:eastAsia="Times New Roman"/>
          <w:b/>
        </w:rPr>
        <w:t xml:space="preserve">Social </w:t>
      </w:r>
      <w:r w:rsidR="00456CD4">
        <w:rPr>
          <w:rFonts w:eastAsia="Times New Roman"/>
          <w:b/>
        </w:rPr>
        <w:t>Model of Health</w:t>
      </w:r>
      <w:r w:rsidR="0083422B" w:rsidRPr="0083422B">
        <w:rPr>
          <w:rFonts w:eastAsia="Times New Roman"/>
          <w:b/>
        </w:rPr>
        <w:t>:</w:t>
      </w:r>
      <w:r w:rsidR="0083422B">
        <w:rPr>
          <w:rFonts w:eastAsia="Times New Roman"/>
        </w:rPr>
        <w:t xml:space="preserve"> This</w:t>
      </w:r>
      <w:r w:rsidRPr="0083422B">
        <w:rPr>
          <w:rFonts w:eastAsia="Times New Roman"/>
        </w:rPr>
        <w:t xml:space="preserve"> stresses that a person is much more likely to engage in health-promoting behaviour if they receive strong support from others in their social network or relationship</w:t>
      </w:r>
      <w:r w:rsidR="00597E55">
        <w:rPr>
          <w:rFonts w:eastAsia="Times New Roman"/>
        </w:rPr>
        <w:t xml:space="preserve"> </w:t>
      </w:r>
      <w:r w:rsidR="00456CD4" w:rsidRPr="00456CD4">
        <w:rPr>
          <w:rFonts w:eastAsia="Times New Roman"/>
        </w:rPr>
        <w:t>(Rahman et al., 2024)</w:t>
      </w:r>
      <w:r w:rsidRPr="0083422B">
        <w:rPr>
          <w:rFonts w:eastAsia="Times New Roman"/>
        </w:rPr>
        <w:t xml:space="preserve">. In this way, </w:t>
      </w:r>
      <w:r w:rsidR="00456CD4">
        <w:rPr>
          <w:rFonts w:eastAsia="Times New Roman"/>
        </w:rPr>
        <w:t>it</w:t>
      </w:r>
      <w:r w:rsidRPr="0083422B">
        <w:rPr>
          <w:rFonts w:eastAsia="Times New Roman"/>
        </w:rPr>
        <w:t xml:space="preserve"> reinforces the need for integrating families, caregivers and communities into the care process as an inte</w:t>
      </w:r>
      <w:r w:rsidR="00EF5196">
        <w:rPr>
          <w:rFonts w:eastAsia="Times New Roman"/>
        </w:rPr>
        <w:t>gral part of PCC</w:t>
      </w:r>
      <w:r w:rsidRPr="0083422B">
        <w:rPr>
          <w:rFonts w:eastAsia="Times New Roman"/>
        </w:rPr>
        <w:t>.</w:t>
      </w:r>
    </w:p>
    <w:p w14:paraId="0000002E" w14:textId="77777777" w:rsidR="00C97C05" w:rsidRPr="0083422B" w:rsidRDefault="00393622">
      <w:pPr>
        <w:spacing w:line="360" w:lineRule="auto"/>
        <w:jc w:val="both"/>
        <w:rPr>
          <w:rFonts w:eastAsia="Times New Roman"/>
        </w:rPr>
      </w:pPr>
      <w:r w:rsidRPr="0083422B">
        <w:rPr>
          <w:rFonts w:eastAsia="Times New Roman"/>
        </w:rPr>
        <w:t xml:space="preserve">These theories </w:t>
      </w:r>
      <w:proofErr w:type="gramStart"/>
      <w:r w:rsidRPr="0083422B">
        <w:rPr>
          <w:rFonts w:eastAsia="Times New Roman"/>
        </w:rPr>
        <w:t>as a whole provide</w:t>
      </w:r>
      <w:proofErr w:type="gramEnd"/>
      <w:r w:rsidRPr="0083422B">
        <w:rPr>
          <w:rFonts w:eastAsia="Times New Roman"/>
        </w:rPr>
        <w:t xml:space="preserve"> a foundation for understanding the underlying principles of PCC. They also support the premise that individualisation, holism, and collaboration are critical </w:t>
      </w:r>
      <w:r w:rsidRPr="0083422B">
        <w:rPr>
          <w:rFonts w:eastAsia="Times New Roman"/>
        </w:rPr>
        <w:lastRenderedPageBreak/>
        <w:t>components of healthcare and that care should be tailored according to the unique or individual needs, wants, or preferences of each patient.</w:t>
      </w:r>
    </w:p>
    <w:p w14:paraId="0000002F" w14:textId="526BE4DA" w:rsidR="00C97C05" w:rsidRPr="008E08D0" w:rsidRDefault="00393622" w:rsidP="00EF5196">
      <w:pPr>
        <w:pStyle w:val="Heading1"/>
      </w:pPr>
      <w:bookmarkStart w:id="3" w:name="_Toc224663938"/>
      <w:r w:rsidRPr="008E08D0">
        <w:t>4.0 Ethical Fundamentals</w:t>
      </w:r>
      <w:bookmarkEnd w:id="3"/>
    </w:p>
    <w:p w14:paraId="00000030" w14:textId="235254C2" w:rsidR="00C97C05" w:rsidRPr="0083422B" w:rsidRDefault="00393622">
      <w:pPr>
        <w:spacing w:line="360" w:lineRule="auto"/>
        <w:jc w:val="both"/>
        <w:rPr>
          <w:rFonts w:eastAsia="Times New Roman"/>
        </w:rPr>
      </w:pPr>
      <w:r>
        <w:rPr>
          <w:rFonts w:eastAsia="Times New Roman"/>
          <w:b/>
        </w:rPr>
        <w:t xml:space="preserve">Autonomy: </w:t>
      </w:r>
      <w:r w:rsidR="00484B0F" w:rsidRPr="0083422B">
        <w:rPr>
          <w:rFonts w:eastAsia="Times New Roman"/>
        </w:rPr>
        <w:t>A core principle within healthcare ethics, known as "autonomy", espouses that individuals have the right of self-determination to make cho</w:t>
      </w:r>
      <w:r w:rsidR="00EF5196">
        <w:rPr>
          <w:rFonts w:eastAsia="Times New Roman"/>
        </w:rPr>
        <w:t xml:space="preserve">ices about their personal </w:t>
      </w:r>
      <w:r w:rsidR="00484B0F" w:rsidRPr="0083422B">
        <w:rPr>
          <w:rFonts w:eastAsia="Times New Roman"/>
        </w:rPr>
        <w:t>care, based upon adequate information concerning those choices</w:t>
      </w:r>
      <w:r w:rsidR="00597E55">
        <w:rPr>
          <w:rFonts w:eastAsia="Times New Roman"/>
        </w:rPr>
        <w:t xml:space="preserve"> </w:t>
      </w:r>
      <w:r w:rsidR="00597E55" w:rsidRPr="00597E55">
        <w:rPr>
          <w:rFonts w:eastAsia="Times New Roman"/>
        </w:rPr>
        <w:t>(Lewis and Holm, 2022)</w:t>
      </w:r>
      <w:r w:rsidR="00EF5196">
        <w:rPr>
          <w:rFonts w:eastAsia="Times New Roman"/>
        </w:rPr>
        <w:t>.</w:t>
      </w:r>
    </w:p>
    <w:p w14:paraId="25B0EA1A" w14:textId="4085C6FD" w:rsidR="0083422B" w:rsidRDefault="00393622">
      <w:pPr>
        <w:spacing w:line="360" w:lineRule="auto"/>
        <w:jc w:val="both"/>
        <w:rPr>
          <w:rFonts w:eastAsia="Times New Roman"/>
        </w:rPr>
      </w:pPr>
      <w:r>
        <w:rPr>
          <w:rFonts w:eastAsia="Times New Roman"/>
          <w:b/>
        </w:rPr>
        <w:t xml:space="preserve">Beneficence: </w:t>
      </w:r>
      <w:r w:rsidR="00484B0F" w:rsidRPr="0083422B">
        <w:rPr>
          <w:rFonts w:eastAsia="Times New Roman"/>
        </w:rPr>
        <w:t>Another principle in healthcare ethics is "beneficence", which asserts that providers must act in the best interests of their patients</w:t>
      </w:r>
      <w:r w:rsidR="00597E55">
        <w:rPr>
          <w:rFonts w:eastAsia="Times New Roman"/>
        </w:rPr>
        <w:t xml:space="preserve"> </w:t>
      </w:r>
      <w:r w:rsidR="00597E55" w:rsidRPr="00597E55">
        <w:rPr>
          <w:rFonts w:eastAsia="Times New Roman"/>
        </w:rPr>
        <w:t>(Louw et al., 2017)</w:t>
      </w:r>
      <w:r w:rsidR="00484B0F" w:rsidRPr="0083422B">
        <w:rPr>
          <w:rFonts w:eastAsia="Times New Roman"/>
        </w:rPr>
        <w:t xml:space="preserve">. In PCC, this means providers deliver appropriate care to patients according to established </w:t>
      </w:r>
      <w:proofErr w:type="gramStart"/>
      <w:r w:rsidR="00484B0F" w:rsidRPr="0083422B">
        <w:rPr>
          <w:rFonts w:eastAsia="Times New Roman"/>
        </w:rPr>
        <w:t>standards, but</w:t>
      </w:r>
      <w:proofErr w:type="gramEnd"/>
      <w:r w:rsidR="00484B0F" w:rsidRPr="0083422B">
        <w:rPr>
          <w:rFonts w:eastAsia="Times New Roman"/>
        </w:rPr>
        <w:t xml:space="preserve"> also provide care that is respectful of the unique individual preferences and </w:t>
      </w:r>
      <w:r>
        <w:rPr>
          <w:rFonts w:eastAsia="Times New Roman"/>
        </w:rPr>
        <w:t>holistic needs of each patient.</w:t>
      </w:r>
    </w:p>
    <w:p w14:paraId="00000031" w14:textId="2DFF8816" w:rsidR="00C97C05" w:rsidRPr="0083422B" w:rsidRDefault="00393622">
      <w:pPr>
        <w:spacing w:line="360" w:lineRule="auto"/>
        <w:jc w:val="both"/>
        <w:rPr>
          <w:rFonts w:eastAsia="Times New Roman"/>
        </w:rPr>
      </w:pPr>
      <w:r w:rsidRPr="0083422B">
        <w:rPr>
          <w:rFonts w:eastAsia="Times New Roman"/>
          <w:b/>
        </w:rPr>
        <w:t>Non-maleficence</w:t>
      </w:r>
      <w:r w:rsidR="0083422B">
        <w:rPr>
          <w:rFonts w:eastAsia="Times New Roman"/>
        </w:rPr>
        <w:t>:</w:t>
      </w:r>
      <w:r w:rsidRPr="0083422B">
        <w:rPr>
          <w:rFonts w:eastAsia="Times New Roman"/>
        </w:rPr>
        <w:t xml:space="preserve"> </w:t>
      </w:r>
      <w:r w:rsidR="0083422B">
        <w:rPr>
          <w:rFonts w:eastAsia="Times New Roman"/>
        </w:rPr>
        <w:t>This is also known as the principle of</w:t>
      </w:r>
      <w:r w:rsidRPr="0083422B">
        <w:rPr>
          <w:rFonts w:eastAsia="Times New Roman"/>
        </w:rPr>
        <w:t xml:space="preserve"> "do no harm", to ensure that care rendered does not cause an excessive amount of harm or stress to the patient</w:t>
      </w:r>
      <w:r w:rsidR="002D6C91">
        <w:rPr>
          <w:rFonts w:eastAsia="Times New Roman"/>
        </w:rPr>
        <w:t xml:space="preserve"> </w:t>
      </w:r>
      <w:r w:rsidR="002D6C91" w:rsidRPr="002D6C91">
        <w:rPr>
          <w:rFonts w:eastAsia="Times New Roman"/>
        </w:rPr>
        <w:t>(Walker, 2022)</w:t>
      </w:r>
      <w:r w:rsidRPr="0083422B">
        <w:rPr>
          <w:rFonts w:eastAsia="Times New Roman"/>
        </w:rPr>
        <w:t xml:space="preserve">. </w:t>
      </w:r>
      <w:proofErr w:type="gramStart"/>
      <w:r w:rsidRPr="0083422B">
        <w:rPr>
          <w:rFonts w:eastAsia="Times New Roman"/>
        </w:rPr>
        <w:t>In particular, providers</w:t>
      </w:r>
      <w:proofErr w:type="gramEnd"/>
      <w:r w:rsidRPr="0083422B">
        <w:rPr>
          <w:rFonts w:eastAsia="Times New Roman"/>
        </w:rPr>
        <w:t xml:space="preserve"> must be cognizant of any emotional or psychological consequences resulting from their care decisions, as well as </w:t>
      </w:r>
      <w:proofErr w:type="gramStart"/>
      <w:r w:rsidRPr="0083422B">
        <w:rPr>
          <w:rFonts w:eastAsia="Times New Roman"/>
        </w:rPr>
        <w:t>those action/inaction</w:t>
      </w:r>
      <w:proofErr w:type="gramEnd"/>
      <w:r w:rsidRPr="0083422B">
        <w:rPr>
          <w:rFonts w:eastAsia="Times New Roman"/>
        </w:rPr>
        <w:t xml:space="preserve"> taken that may ultimately prevent patients from attaining their highest potential for health and overall well-being.</w:t>
      </w:r>
    </w:p>
    <w:p w14:paraId="00000032" w14:textId="0EF9BAEA" w:rsidR="00C97C05" w:rsidRPr="0083422B" w:rsidRDefault="00393622">
      <w:pPr>
        <w:spacing w:line="360" w:lineRule="auto"/>
        <w:jc w:val="both"/>
        <w:rPr>
          <w:rFonts w:eastAsia="Times New Roman"/>
        </w:rPr>
      </w:pPr>
      <w:r>
        <w:rPr>
          <w:rFonts w:eastAsia="Times New Roman"/>
          <w:b/>
        </w:rPr>
        <w:t xml:space="preserve">Justice: </w:t>
      </w:r>
      <w:r w:rsidR="00484B0F" w:rsidRPr="0083422B">
        <w:rPr>
          <w:rFonts w:eastAsia="Times New Roman"/>
        </w:rPr>
        <w:t xml:space="preserve">The degree to which the principle of justice is upheld in PW depends on whether health professionals </w:t>
      </w:r>
      <w:r w:rsidR="00EF5196">
        <w:rPr>
          <w:rFonts w:eastAsia="Times New Roman"/>
        </w:rPr>
        <w:t>can gain</w:t>
      </w:r>
      <w:r w:rsidR="00484B0F" w:rsidRPr="0083422B">
        <w:rPr>
          <w:rFonts w:eastAsia="Times New Roman"/>
        </w:rPr>
        <w:t xml:space="preserve"> collaboration across multiple services and sectors to help reduce health inequalities</w:t>
      </w:r>
      <w:r w:rsidR="002D6C91">
        <w:rPr>
          <w:rFonts w:eastAsia="Times New Roman"/>
        </w:rPr>
        <w:t xml:space="preserve"> </w:t>
      </w:r>
      <w:r w:rsidR="002D6C91" w:rsidRPr="002D6C91">
        <w:rPr>
          <w:rFonts w:eastAsia="Times New Roman"/>
        </w:rPr>
        <w:t>(</w:t>
      </w:r>
      <w:proofErr w:type="spellStart"/>
      <w:r w:rsidR="002D6C91" w:rsidRPr="002D6C91">
        <w:rPr>
          <w:rFonts w:eastAsia="Times New Roman"/>
        </w:rPr>
        <w:t>Ekmekci</w:t>
      </w:r>
      <w:proofErr w:type="spellEnd"/>
      <w:r w:rsidR="002D6C91" w:rsidRPr="002D6C91">
        <w:rPr>
          <w:rFonts w:eastAsia="Times New Roman"/>
        </w:rPr>
        <w:t xml:space="preserve"> and Arda, 2015)</w:t>
      </w:r>
      <w:r w:rsidR="00484B0F" w:rsidRPr="0083422B">
        <w:rPr>
          <w:rFonts w:eastAsia="Times New Roman"/>
        </w:rPr>
        <w:t xml:space="preserve">. </w:t>
      </w:r>
      <w:r w:rsidR="00EF5196">
        <w:rPr>
          <w:rFonts w:eastAsia="Times New Roman"/>
        </w:rPr>
        <w:t>T</w:t>
      </w:r>
      <w:r w:rsidR="00484B0F" w:rsidRPr="0083422B">
        <w:rPr>
          <w:rFonts w:eastAsia="Times New Roman"/>
        </w:rPr>
        <w:t>here must be equitable distribution of resources and services to all patients within every health system.</w:t>
      </w:r>
    </w:p>
    <w:p w14:paraId="00000034" w14:textId="02966A8B" w:rsidR="00C97C05" w:rsidRPr="0083422B" w:rsidRDefault="00393622">
      <w:pPr>
        <w:spacing w:line="360" w:lineRule="auto"/>
        <w:jc w:val="both"/>
        <w:rPr>
          <w:rFonts w:eastAsia="Times New Roman"/>
        </w:rPr>
      </w:pPr>
      <w:r w:rsidRPr="0083422B">
        <w:rPr>
          <w:rFonts w:eastAsia="Times New Roman"/>
        </w:rPr>
        <w:t xml:space="preserve">There are many challenges and ethical dilemmas that confront healthcare providers as they work to uphold these ethical principles in daily practice, such as having to balance patient preferences with the resources available for patients, or how to support patient autonomy in the face of challenging medical decisions. </w:t>
      </w:r>
      <w:r w:rsidR="00EF5196">
        <w:rPr>
          <w:rFonts w:eastAsia="Times New Roman"/>
        </w:rPr>
        <w:t>F</w:t>
      </w:r>
      <w:r w:rsidRPr="0083422B">
        <w:rPr>
          <w:rFonts w:eastAsia="Times New Roman"/>
        </w:rPr>
        <w:t>or healthcare professionals to be successful in addressing these challenges, they must consistently follow their institutions' ethical principles and utilise collaborative communication with patients, caregivers and other stakeholders to ensure that patients' rights and welfare are respected.</w:t>
      </w:r>
    </w:p>
    <w:p w14:paraId="00000035" w14:textId="4053465D" w:rsidR="00C97C05" w:rsidRPr="008E08D0" w:rsidRDefault="00393622" w:rsidP="00EF5196">
      <w:pPr>
        <w:pStyle w:val="Heading1"/>
      </w:pPr>
      <w:bookmarkStart w:id="4" w:name="_Toc224663939"/>
      <w:r w:rsidRPr="008E08D0">
        <w:t>5.0 Evaluation of Partnership Working</w:t>
      </w:r>
      <w:bookmarkEnd w:id="4"/>
    </w:p>
    <w:p w14:paraId="00000036" w14:textId="32CE4F79" w:rsidR="00C97C05" w:rsidRPr="0083422B" w:rsidRDefault="00393622">
      <w:pPr>
        <w:spacing w:line="360" w:lineRule="auto"/>
        <w:jc w:val="both"/>
        <w:rPr>
          <w:rFonts w:eastAsia="Times New Roman"/>
        </w:rPr>
      </w:pPr>
      <w:r>
        <w:rPr>
          <w:rFonts w:eastAsia="Times New Roman"/>
          <w:b/>
        </w:rPr>
        <w:t xml:space="preserve">Improved service delivery: </w:t>
      </w:r>
      <w:r w:rsidR="00484B0F" w:rsidRPr="0083422B">
        <w:rPr>
          <w:rFonts w:eastAsia="Times New Roman"/>
        </w:rPr>
        <w:t>When collaborating among professions, professionals can provide the full range of services necessary to meet each client's needs in a holi</w:t>
      </w:r>
      <w:r w:rsidR="00EF5196">
        <w:rPr>
          <w:rFonts w:eastAsia="Times New Roman"/>
        </w:rPr>
        <w:t>stic and individualised manner</w:t>
      </w:r>
      <w:r w:rsidR="002D6C91">
        <w:rPr>
          <w:rFonts w:eastAsia="Times New Roman"/>
        </w:rPr>
        <w:t xml:space="preserve"> </w:t>
      </w:r>
      <w:r w:rsidR="002D6C91" w:rsidRPr="002D6C91">
        <w:rPr>
          <w:rFonts w:eastAsia="Times New Roman"/>
        </w:rPr>
        <w:t>(Reeves et al., 2017)</w:t>
      </w:r>
      <w:r w:rsidR="00EF5196">
        <w:rPr>
          <w:rFonts w:eastAsia="Times New Roman"/>
        </w:rPr>
        <w:t>. F</w:t>
      </w:r>
      <w:r w:rsidR="00484B0F" w:rsidRPr="0083422B">
        <w:rPr>
          <w:rFonts w:eastAsia="Times New Roman"/>
        </w:rPr>
        <w:t xml:space="preserve">or example, an individual with a chronic illness that is being </w:t>
      </w:r>
      <w:r w:rsidR="00484B0F" w:rsidRPr="0083422B">
        <w:rPr>
          <w:rFonts w:eastAsia="Times New Roman"/>
        </w:rPr>
        <w:lastRenderedPageBreak/>
        <w:t xml:space="preserve">managed through coordinated care with specialists, general practitioners, and support services will have all aspects of their health cared for rather than experiencing fragmented </w:t>
      </w:r>
      <w:r w:rsidR="00EF5196">
        <w:rPr>
          <w:rFonts w:eastAsia="Times New Roman"/>
        </w:rPr>
        <w:t>care from various professionals.</w:t>
      </w:r>
    </w:p>
    <w:p w14:paraId="00000037" w14:textId="60F701A6" w:rsidR="00C97C05" w:rsidRDefault="00393622">
      <w:pPr>
        <w:spacing w:line="360" w:lineRule="auto"/>
        <w:jc w:val="both"/>
        <w:rPr>
          <w:rFonts w:eastAsia="Times New Roman"/>
        </w:rPr>
      </w:pPr>
      <w:r>
        <w:rPr>
          <w:rFonts w:eastAsia="Times New Roman"/>
          <w:b/>
        </w:rPr>
        <w:t xml:space="preserve">Better patient outcomes: </w:t>
      </w:r>
      <w:r w:rsidR="00484B0F" w:rsidRPr="0083422B">
        <w:rPr>
          <w:rFonts w:eastAsia="Times New Roman"/>
        </w:rPr>
        <w:t>Another key benefit of the interdisciplinary team is improved patient outcomes. Multiple research studies have documented that when individuals receive medical services from a coordinated team of integrated providers, they have better health outcomes, such as improved symptom management, increased compliance with treatment regimens, and fewer readmissions to the hospital</w:t>
      </w:r>
      <w:r w:rsidR="002D6C91">
        <w:rPr>
          <w:rFonts w:eastAsia="Times New Roman"/>
        </w:rPr>
        <w:t xml:space="preserve"> </w:t>
      </w:r>
      <w:r w:rsidR="002D6C91" w:rsidRPr="002D6C91">
        <w:rPr>
          <w:rFonts w:eastAsia="Times New Roman"/>
        </w:rPr>
        <w:t>(Zhang et al., 2025)</w:t>
      </w:r>
      <w:r w:rsidR="00484B0F" w:rsidRPr="0083422B">
        <w:rPr>
          <w:rFonts w:eastAsia="Times New Roman"/>
        </w:rPr>
        <w:t>. When coordinated providers develop trust with one another and communicate effectively with each other and their clients, PW creates a culture where clients are much more likely to take an active role in their own treatment and to receive support throughout their treatment journey.</w:t>
      </w:r>
    </w:p>
    <w:p w14:paraId="6106576C" w14:textId="4B54C1F8" w:rsidR="00EF5196" w:rsidRPr="0083422B" w:rsidRDefault="00393622">
      <w:pPr>
        <w:spacing w:line="360" w:lineRule="auto"/>
        <w:jc w:val="both"/>
        <w:rPr>
          <w:rFonts w:eastAsia="Times New Roman"/>
        </w:rPr>
      </w:pPr>
      <w:r w:rsidRPr="0083422B">
        <w:rPr>
          <w:rFonts w:eastAsia="Times New Roman"/>
        </w:rPr>
        <w:t>PW is also confronted with multiple challenges.</w:t>
      </w:r>
    </w:p>
    <w:p w14:paraId="00000039" w14:textId="79C8EF57" w:rsidR="00C97C05" w:rsidRPr="0083422B" w:rsidRDefault="00393622">
      <w:pPr>
        <w:spacing w:line="360" w:lineRule="auto"/>
        <w:jc w:val="both"/>
        <w:rPr>
          <w:rFonts w:eastAsia="Times New Roman"/>
        </w:rPr>
      </w:pPr>
      <w:r>
        <w:rPr>
          <w:rFonts w:eastAsia="Times New Roman"/>
          <w:b/>
        </w:rPr>
        <w:t xml:space="preserve">Coordination issues: </w:t>
      </w:r>
      <w:r w:rsidR="00484B0F" w:rsidRPr="0083422B">
        <w:rPr>
          <w:rFonts w:eastAsia="Times New Roman"/>
        </w:rPr>
        <w:t xml:space="preserve">When </w:t>
      </w:r>
      <w:proofErr w:type="gramStart"/>
      <w:r w:rsidR="00484B0F" w:rsidRPr="0083422B">
        <w:rPr>
          <w:rFonts w:eastAsia="Times New Roman"/>
        </w:rPr>
        <w:t>a number of</w:t>
      </w:r>
      <w:proofErr w:type="gramEnd"/>
      <w:r w:rsidR="00484B0F" w:rsidRPr="0083422B">
        <w:rPr>
          <w:rFonts w:eastAsia="Times New Roman"/>
        </w:rPr>
        <w:t xml:space="preserve"> organisations or professionals with conflicting goals attempt to coordinate their respective activities, this may result in confusion concerning which channels to utilise for communication</w:t>
      </w:r>
      <w:r w:rsidR="002D6C91">
        <w:rPr>
          <w:rFonts w:eastAsia="Times New Roman"/>
        </w:rPr>
        <w:t xml:space="preserve"> </w:t>
      </w:r>
      <w:r w:rsidR="002D6C91" w:rsidRPr="002D6C91">
        <w:rPr>
          <w:rFonts w:eastAsia="Times New Roman"/>
        </w:rPr>
        <w:t>(</w:t>
      </w:r>
      <w:proofErr w:type="spellStart"/>
      <w:r w:rsidR="002D6C91" w:rsidRPr="002D6C91">
        <w:rPr>
          <w:rFonts w:eastAsia="Times New Roman"/>
        </w:rPr>
        <w:t>Möckli</w:t>
      </w:r>
      <w:proofErr w:type="spellEnd"/>
      <w:r w:rsidR="002D6C91" w:rsidRPr="002D6C91">
        <w:rPr>
          <w:rFonts w:eastAsia="Times New Roman"/>
        </w:rPr>
        <w:t xml:space="preserve"> et al., 2023)</w:t>
      </w:r>
      <w:r w:rsidR="00484B0F" w:rsidRPr="0083422B">
        <w:rPr>
          <w:rFonts w:eastAsia="Times New Roman"/>
        </w:rPr>
        <w:t>. As a result, this creates an opportunity for delay in care, overlapping service provision, or a disparity in treatment.</w:t>
      </w:r>
    </w:p>
    <w:p w14:paraId="0000003A" w14:textId="2EBDC8C8" w:rsidR="00C97C05" w:rsidRPr="0083422B" w:rsidRDefault="00393622">
      <w:pPr>
        <w:spacing w:line="360" w:lineRule="auto"/>
        <w:jc w:val="both"/>
        <w:rPr>
          <w:rFonts w:eastAsia="Times New Roman"/>
        </w:rPr>
      </w:pPr>
      <w:r w:rsidRPr="0083422B">
        <w:rPr>
          <w:rFonts w:eastAsia="Times New Roman"/>
          <w:b/>
        </w:rPr>
        <w:t>C</w:t>
      </w:r>
      <w:r w:rsidR="00484B0F" w:rsidRPr="0083422B">
        <w:rPr>
          <w:rFonts w:eastAsia="Times New Roman"/>
          <w:b/>
        </w:rPr>
        <w:t>ommunication barriers</w:t>
      </w:r>
      <w:r>
        <w:rPr>
          <w:rFonts w:eastAsia="Times New Roman"/>
          <w:b/>
        </w:rPr>
        <w:t>:</w:t>
      </w:r>
      <w:r w:rsidR="00484B0F" w:rsidRPr="0083422B">
        <w:rPr>
          <w:rFonts w:eastAsia="Times New Roman"/>
        </w:rPr>
        <w:t xml:space="preserve"> </w:t>
      </w:r>
      <w:r>
        <w:rPr>
          <w:rFonts w:eastAsia="Times New Roman"/>
        </w:rPr>
        <w:t xml:space="preserve">These </w:t>
      </w:r>
      <w:r w:rsidR="00484B0F" w:rsidRPr="0083422B">
        <w:rPr>
          <w:rFonts w:eastAsia="Times New Roman"/>
        </w:rPr>
        <w:t>sometimes develop between professionals, especially within a multidisciplinary team, when two different forms of jargon are introduced at the same time</w:t>
      </w:r>
      <w:r w:rsidR="002D6C91">
        <w:rPr>
          <w:rFonts w:eastAsia="Times New Roman"/>
        </w:rPr>
        <w:t xml:space="preserve"> </w:t>
      </w:r>
      <w:r w:rsidR="002D6C91" w:rsidRPr="002D6C91">
        <w:rPr>
          <w:rFonts w:eastAsia="Times New Roman"/>
        </w:rPr>
        <w:t>(Milton et al., 2017)</w:t>
      </w:r>
      <w:r w:rsidR="00484B0F" w:rsidRPr="0083422B">
        <w:rPr>
          <w:rFonts w:eastAsia="Times New Roman"/>
        </w:rPr>
        <w:t>. There is also a possibility of each professional having an area of expertise that makes it difficult to collaborate effectively.</w:t>
      </w:r>
    </w:p>
    <w:p w14:paraId="0000003B" w14:textId="77777777" w:rsidR="00C97C05" w:rsidRPr="0083422B" w:rsidRDefault="00393622">
      <w:pPr>
        <w:spacing w:line="360" w:lineRule="auto"/>
        <w:jc w:val="both"/>
        <w:rPr>
          <w:rFonts w:eastAsia="Times New Roman"/>
        </w:rPr>
      </w:pPr>
      <w:r w:rsidRPr="0083422B">
        <w:rPr>
          <w:rFonts w:eastAsia="Times New Roman"/>
        </w:rPr>
        <w:t>Nonetheless, Integrated Care Systems (ICSs) have remarkably enhanced the facilitation of PW by providing improved coordination across numerous services to create a better quality of care for patients through the integration of health, social care and community services. The coordination of these services through ICSs creates a streamlined approach to delivering care so that patients can obtain the right care when needed. However, there is still a need for continued progress in addressing the barriers that remain to achieve effective partnerships across all sectors.</w:t>
      </w:r>
    </w:p>
    <w:p w14:paraId="0000003C" w14:textId="28A46B7A" w:rsidR="00C97C05" w:rsidRPr="008E08D0" w:rsidRDefault="00393622" w:rsidP="00EF5196">
      <w:pPr>
        <w:pStyle w:val="Heading1"/>
      </w:pPr>
      <w:bookmarkStart w:id="5" w:name="_Toc224663940"/>
      <w:r w:rsidRPr="008E08D0">
        <w:t>6.0 Policy and Legislation</w:t>
      </w:r>
      <w:bookmarkEnd w:id="5"/>
    </w:p>
    <w:p w14:paraId="0000003D" w14:textId="423B28D9" w:rsidR="00C97C05" w:rsidRPr="0083422B" w:rsidRDefault="00393622">
      <w:pPr>
        <w:spacing w:line="360" w:lineRule="auto"/>
        <w:jc w:val="both"/>
        <w:rPr>
          <w:rFonts w:eastAsia="Times New Roman"/>
        </w:rPr>
      </w:pPr>
      <w:r>
        <w:rPr>
          <w:rFonts w:eastAsia="Times New Roman"/>
          <w:b/>
        </w:rPr>
        <w:t xml:space="preserve">The Health and Care Act 2022: </w:t>
      </w:r>
      <w:r w:rsidRPr="0083422B">
        <w:rPr>
          <w:rFonts w:eastAsia="Times New Roman"/>
        </w:rPr>
        <w:t xml:space="preserve">It </w:t>
      </w:r>
      <w:r w:rsidR="00484B0F" w:rsidRPr="0083422B">
        <w:rPr>
          <w:rFonts w:eastAsia="Times New Roman"/>
        </w:rPr>
        <w:t xml:space="preserve">has brought significant changes to the system </w:t>
      </w:r>
      <w:proofErr w:type="gramStart"/>
      <w:r w:rsidR="00484B0F" w:rsidRPr="0083422B">
        <w:rPr>
          <w:rFonts w:eastAsia="Times New Roman"/>
        </w:rPr>
        <w:t>in order to</w:t>
      </w:r>
      <w:proofErr w:type="gramEnd"/>
      <w:r w:rsidR="00484B0F" w:rsidRPr="0083422B">
        <w:rPr>
          <w:rFonts w:eastAsia="Times New Roman"/>
        </w:rPr>
        <w:t xml:space="preserve"> better integrate services and deliver better care through collaboration. The act emphasises the role of </w:t>
      </w:r>
      <w:r w:rsidR="00EF5196">
        <w:rPr>
          <w:rFonts w:eastAsia="Times New Roman"/>
        </w:rPr>
        <w:t>ICS</w:t>
      </w:r>
      <w:r w:rsidR="00484B0F" w:rsidRPr="0083422B">
        <w:rPr>
          <w:rFonts w:eastAsia="Times New Roman"/>
        </w:rPr>
        <w:t xml:space="preserve"> in building collaborative relationships between local authorities, Health and Social Care providers and the voluntary sector to deliver person-centred services</w:t>
      </w:r>
      <w:r w:rsidR="002D6C91">
        <w:rPr>
          <w:rFonts w:eastAsia="Times New Roman"/>
        </w:rPr>
        <w:t xml:space="preserve"> </w:t>
      </w:r>
      <w:r w:rsidR="002D6C91" w:rsidRPr="002D6C91">
        <w:rPr>
          <w:rFonts w:eastAsia="Times New Roman"/>
        </w:rPr>
        <w:t xml:space="preserve">(Corrigan et al., </w:t>
      </w:r>
      <w:r w:rsidR="002D6C91" w:rsidRPr="002D6C91">
        <w:rPr>
          <w:rFonts w:eastAsia="Times New Roman"/>
        </w:rPr>
        <w:lastRenderedPageBreak/>
        <w:t>2024)</w:t>
      </w:r>
      <w:r w:rsidR="00484B0F" w:rsidRPr="0083422B">
        <w:rPr>
          <w:rFonts w:eastAsia="Times New Roman"/>
        </w:rPr>
        <w:t xml:space="preserve">. </w:t>
      </w:r>
      <w:r w:rsidR="00EF5196">
        <w:rPr>
          <w:rFonts w:eastAsia="Times New Roman"/>
        </w:rPr>
        <w:t>T</w:t>
      </w:r>
      <w:r w:rsidR="00484B0F" w:rsidRPr="0083422B">
        <w:rPr>
          <w:rFonts w:eastAsia="Times New Roman"/>
        </w:rPr>
        <w:t>his policy supports the move towards collaborative practice and supports the delivery of services in accordance with individual and community needs; therefore, promoting the development of person-centred solutions in the design and delivery of services.</w:t>
      </w:r>
    </w:p>
    <w:p w14:paraId="0000003E" w14:textId="3EC4CC5D" w:rsidR="00C97C05" w:rsidRPr="0083422B" w:rsidRDefault="00393622">
      <w:pPr>
        <w:spacing w:line="360" w:lineRule="auto"/>
        <w:jc w:val="both"/>
        <w:rPr>
          <w:rFonts w:eastAsia="Times New Roman"/>
        </w:rPr>
      </w:pPr>
      <w:r w:rsidRPr="0083422B">
        <w:rPr>
          <w:rFonts w:eastAsia="Times New Roman"/>
          <w:b/>
        </w:rPr>
        <w:t>The Care Act 2014</w:t>
      </w:r>
      <w:r w:rsidR="0083422B">
        <w:rPr>
          <w:rFonts w:eastAsia="Times New Roman"/>
          <w:b/>
        </w:rPr>
        <w:t>:</w:t>
      </w:r>
      <w:r w:rsidRPr="0083422B">
        <w:rPr>
          <w:rFonts w:eastAsia="Times New Roman"/>
        </w:rPr>
        <w:t xml:space="preserve"> </w:t>
      </w:r>
      <w:r w:rsidR="0083422B">
        <w:rPr>
          <w:rFonts w:eastAsia="Times New Roman"/>
        </w:rPr>
        <w:t>This</w:t>
      </w:r>
      <w:r w:rsidRPr="0083422B">
        <w:rPr>
          <w:rFonts w:eastAsia="Times New Roman"/>
        </w:rPr>
        <w:t xml:space="preserve"> highlighted the need for person-centred care in social care services through the requirement for care and support plans to be developed in partnership with the individual. The act also states that people should have their say in decisions about their own care </w:t>
      </w:r>
      <w:proofErr w:type="gramStart"/>
      <w:r w:rsidRPr="0083422B">
        <w:rPr>
          <w:rFonts w:eastAsia="Times New Roman"/>
        </w:rPr>
        <w:t>in order to</w:t>
      </w:r>
      <w:proofErr w:type="gramEnd"/>
      <w:r w:rsidRPr="0083422B">
        <w:rPr>
          <w:rFonts w:eastAsia="Times New Roman"/>
        </w:rPr>
        <w:t xml:space="preserve"> promote independence, empowerment and control over their health and well-being</w:t>
      </w:r>
      <w:r w:rsidR="002D6C91">
        <w:rPr>
          <w:rFonts w:eastAsia="Times New Roman"/>
        </w:rPr>
        <w:t xml:space="preserve"> </w:t>
      </w:r>
      <w:r w:rsidR="002D6C91" w:rsidRPr="002D6C91">
        <w:rPr>
          <w:rFonts w:eastAsia="Times New Roman"/>
        </w:rPr>
        <w:t>(Barnes et al., 2017)</w:t>
      </w:r>
      <w:r w:rsidRPr="0083422B">
        <w:rPr>
          <w:rFonts w:eastAsia="Times New Roman"/>
        </w:rPr>
        <w:t xml:space="preserve">. </w:t>
      </w:r>
      <w:r w:rsidR="00EF5196">
        <w:rPr>
          <w:rFonts w:eastAsia="Times New Roman"/>
        </w:rPr>
        <w:t>I</w:t>
      </w:r>
      <w:r w:rsidRPr="0083422B">
        <w:rPr>
          <w:rFonts w:eastAsia="Times New Roman"/>
        </w:rPr>
        <w:t>t emphasises safeguarding and promoting well-being by maintaining a client-centred approach to service delivery, ensuring that service users have dignity and quality of life.</w:t>
      </w:r>
    </w:p>
    <w:p w14:paraId="00000040" w14:textId="7A49622B" w:rsidR="00C97C05" w:rsidRPr="0083422B" w:rsidRDefault="00393622">
      <w:pPr>
        <w:spacing w:line="360" w:lineRule="auto"/>
        <w:jc w:val="both"/>
        <w:rPr>
          <w:rFonts w:eastAsia="Times New Roman"/>
        </w:rPr>
      </w:pPr>
      <w:r w:rsidRPr="0083422B">
        <w:rPr>
          <w:rFonts w:eastAsia="Times New Roman"/>
          <w:b/>
        </w:rPr>
        <w:t>The Health and Social Care Act 2012</w:t>
      </w:r>
      <w:r w:rsidR="0083422B">
        <w:rPr>
          <w:rFonts w:eastAsia="Times New Roman"/>
        </w:rPr>
        <w:t>: This has a</w:t>
      </w:r>
      <w:r w:rsidRPr="0083422B">
        <w:rPr>
          <w:rFonts w:eastAsia="Times New Roman"/>
        </w:rPr>
        <w:t>dvanced the i</w:t>
      </w:r>
      <w:r w:rsidR="002D6C91">
        <w:rPr>
          <w:rFonts w:eastAsia="Times New Roman"/>
        </w:rPr>
        <w:t>ntegration agenda by promoting individual health b</w:t>
      </w:r>
      <w:r w:rsidRPr="0083422B">
        <w:rPr>
          <w:rFonts w:eastAsia="Times New Roman"/>
        </w:rPr>
        <w:t>udgets and patient participation in managing their care</w:t>
      </w:r>
      <w:r w:rsidR="002D6C91">
        <w:rPr>
          <w:rFonts w:eastAsia="Times New Roman"/>
        </w:rPr>
        <w:t xml:space="preserve"> </w:t>
      </w:r>
      <w:r w:rsidR="002D6C91" w:rsidRPr="002D6C91">
        <w:rPr>
          <w:rFonts w:eastAsia="Times New Roman"/>
        </w:rPr>
        <w:t>(Glover-Thomas, 2013)</w:t>
      </w:r>
      <w:r w:rsidRPr="0083422B">
        <w:rPr>
          <w:rFonts w:eastAsia="Times New Roman"/>
        </w:rPr>
        <w:t>.</w:t>
      </w:r>
      <w:r w:rsidR="002D6C91">
        <w:rPr>
          <w:rFonts w:eastAsia="Times New Roman"/>
        </w:rPr>
        <w:t xml:space="preserve"> </w:t>
      </w:r>
      <w:r w:rsidRPr="0083422B">
        <w:rPr>
          <w:rFonts w:eastAsia="Times New Roman"/>
        </w:rPr>
        <w:t>This legislation created a legal framework for coordinating health and social care services while allowing individuals increased choice and control of their care options.</w:t>
      </w:r>
    </w:p>
    <w:p w14:paraId="00000041" w14:textId="6B0175B8" w:rsidR="00C97C05" w:rsidRPr="0083422B" w:rsidRDefault="00393622">
      <w:pPr>
        <w:spacing w:line="360" w:lineRule="auto"/>
        <w:jc w:val="both"/>
        <w:rPr>
          <w:rFonts w:eastAsia="Times New Roman"/>
        </w:rPr>
      </w:pPr>
      <w:r w:rsidRPr="0083422B">
        <w:rPr>
          <w:rFonts w:eastAsia="Times New Roman"/>
          <w:b/>
        </w:rPr>
        <w:t>The Human Rights Act 1998 and the Equality Act 2010</w:t>
      </w:r>
      <w:r w:rsidR="0083422B">
        <w:rPr>
          <w:rFonts w:eastAsia="Times New Roman"/>
        </w:rPr>
        <w:t xml:space="preserve">: This </w:t>
      </w:r>
      <w:r w:rsidR="0083422B" w:rsidRPr="0083422B">
        <w:rPr>
          <w:rFonts w:eastAsia="Times New Roman"/>
        </w:rPr>
        <w:t>also supports</w:t>
      </w:r>
      <w:r w:rsidRPr="0083422B">
        <w:rPr>
          <w:rFonts w:eastAsia="Times New Roman"/>
        </w:rPr>
        <w:t xml:space="preserve"> PCC and PW by guaranteeing that all individuals, regardless of background, will be treated equitably within their care environments, and that their rights will be upheld</w:t>
      </w:r>
      <w:r w:rsidR="002D6C91">
        <w:rPr>
          <w:rFonts w:eastAsia="Times New Roman"/>
        </w:rPr>
        <w:t xml:space="preserve"> </w:t>
      </w:r>
      <w:r w:rsidR="002D6C91" w:rsidRPr="002D6C91">
        <w:rPr>
          <w:rFonts w:eastAsia="Times New Roman"/>
        </w:rPr>
        <w:t>(Manchester.gov.uk, 2026)</w:t>
      </w:r>
      <w:r w:rsidRPr="0083422B">
        <w:rPr>
          <w:rFonts w:eastAsia="Times New Roman"/>
        </w:rPr>
        <w:t xml:space="preserve">. </w:t>
      </w:r>
      <w:r w:rsidR="002D6C91">
        <w:rPr>
          <w:rFonts w:eastAsia="Times New Roman"/>
        </w:rPr>
        <w:t>These</w:t>
      </w:r>
      <w:r w:rsidRPr="0083422B">
        <w:rPr>
          <w:rFonts w:eastAsia="Times New Roman"/>
        </w:rPr>
        <w:t xml:space="preserve"> legislative frameworks establish an obligation to respect patients' dignity and autonomy and enable patients to make decisions regarding their care in an informed manner.</w:t>
      </w:r>
    </w:p>
    <w:p w14:paraId="00000042" w14:textId="3440822E" w:rsidR="00C97C05" w:rsidRPr="008E08D0" w:rsidRDefault="00393622" w:rsidP="00EF5196">
      <w:pPr>
        <w:pStyle w:val="Heading1"/>
      </w:pPr>
      <w:bookmarkStart w:id="6" w:name="_Toc224663941"/>
      <w:r w:rsidRPr="008E08D0">
        <w:t>7.0 Recommendations</w:t>
      </w:r>
      <w:bookmarkEnd w:id="6"/>
    </w:p>
    <w:p w14:paraId="00000043" w14:textId="3BF70976" w:rsidR="00C97C05" w:rsidRPr="0083422B" w:rsidRDefault="00393622">
      <w:pPr>
        <w:spacing w:line="360" w:lineRule="auto"/>
        <w:jc w:val="both"/>
        <w:rPr>
          <w:rFonts w:eastAsia="Times New Roman"/>
        </w:rPr>
      </w:pPr>
      <w:r w:rsidRPr="0083422B">
        <w:rPr>
          <w:rFonts w:eastAsia="Times New Roman"/>
          <w:b/>
        </w:rPr>
        <w:t>Improve Employee Orientation:</w:t>
      </w:r>
      <w:r w:rsidRPr="0083422B">
        <w:rPr>
          <w:rFonts w:eastAsia="Times New Roman"/>
        </w:rPr>
        <w:t xml:space="preserve"> The most basic element of both PW and PCC is that health care providers must effectively share information and involve patients in their care process. To accomplish this, health care providers should have thorough employee training that emphasises how to successfully communicate with patients and make decisions together with patients, as well as how to understand p</w:t>
      </w:r>
      <w:r w:rsidR="00EF5196">
        <w:rPr>
          <w:rFonts w:eastAsia="Times New Roman"/>
        </w:rPr>
        <w:t>atients' needs and preferences</w:t>
      </w:r>
      <w:r w:rsidR="002D6C91">
        <w:rPr>
          <w:rFonts w:eastAsia="Times New Roman"/>
        </w:rPr>
        <w:t xml:space="preserve"> </w:t>
      </w:r>
      <w:r w:rsidR="002D6C91" w:rsidRPr="002D6C91">
        <w:rPr>
          <w:rFonts w:eastAsia="Times New Roman"/>
        </w:rPr>
        <w:t>(Zota et al., 2023)</w:t>
      </w:r>
      <w:r w:rsidR="00EF5196">
        <w:rPr>
          <w:rFonts w:eastAsia="Times New Roman"/>
        </w:rPr>
        <w:t>.</w:t>
      </w:r>
    </w:p>
    <w:p w14:paraId="00000044" w14:textId="1963C802" w:rsidR="00C97C05" w:rsidRPr="0083422B" w:rsidRDefault="00393622">
      <w:pPr>
        <w:spacing w:line="360" w:lineRule="auto"/>
        <w:jc w:val="both"/>
        <w:rPr>
          <w:rFonts w:eastAsia="Times New Roman"/>
        </w:rPr>
      </w:pPr>
      <w:r w:rsidRPr="0083422B">
        <w:rPr>
          <w:rFonts w:eastAsia="Times New Roman"/>
          <w:b/>
        </w:rPr>
        <w:t>Improve Technology Utilisation:</w:t>
      </w:r>
      <w:r w:rsidRPr="0083422B">
        <w:rPr>
          <w:rFonts w:eastAsia="Times New Roman"/>
        </w:rPr>
        <w:t xml:space="preserve"> The use of technology, in the form of digital solutions, can positively impact both PW and PCC. Innovation such as telemedicine and virtual consultations can also enhance the flexibility and accessibility of care by providing patients located either remotely or in underserved areas with opportunities to receive health care services when they would otherwise be unable to do so</w:t>
      </w:r>
      <w:r w:rsidR="002D6C91">
        <w:rPr>
          <w:rFonts w:eastAsia="Times New Roman"/>
        </w:rPr>
        <w:t xml:space="preserve"> </w:t>
      </w:r>
      <w:r w:rsidR="002D6C91" w:rsidRPr="002D6C91">
        <w:rPr>
          <w:rFonts w:eastAsia="Times New Roman"/>
        </w:rPr>
        <w:t>(Paul et al., 2023)</w:t>
      </w:r>
      <w:r w:rsidRPr="0083422B">
        <w:rPr>
          <w:rFonts w:eastAsia="Times New Roman"/>
        </w:rPr>
        <w:t>.</w:t>
      </w:r>
    </w:p>
    <w:p w14:paraId="00000046" w14:textId="2B71F3B3" w:rsidR="00C97C05" w:rsidRPr="0083422B" w:rsidRDefault="00393622">
      <w:pPr>
        <w:spacing w:line="360" w:lineRule="auto"/>
        <w:jc w:val="both"/>
        <w:rPr>
          <w:rFonts w:eastAsia="Times New Roman"/>
        </w:rPr>
      </w:pPr>
      <w:r w:rsidRPr="0083422B">
        <w:rPr>
          <w:rFonts w:eastAsia="Times New Roman"/>
          <w:b/>
        </w:rPr>
        <w:t xml:space="preserve">Strengthening the </w:t>
      </w:r>
      <w:r w:rsidR="00EF5196">
        <w:rPr>
          <w:rFonts w:eastAsia="Times New Roman"/>
          <w:b/>
        </w:rPr>
        <w:t>ICS</w:t>
      </w:r>
      <w:r w:rsidRPr="0083422B">
        <w:rPr>
          <w:rFonts w:eastAsia="Times New Roman"/>
          <w:b/>
        </w:rPr>
        <w:t xml:space="preserve">: </w:t>
      </w:r>
      <w:r w:rsidR="002D6C91">
        <w:rPr>
          <w:rFonts w:eastAsia="Times New Roman"/>
        </w:rPr>
        <w:t>The ICS</w:t>
      </w:r>
      <w:r w:rsidR="0083422B" w:rsidRPr="0083422B">
        <w:rPr>
          <w:rFonts w:eastAsia="Times New Roman"/>
        </w:rPr>
        <w:t xml:space="preserve"> ensure that all individuals, regardless of their background, are treated fairly and have their rights protected in care settings.</w:t>
      </w:r>
      <w:r w:rsidR="00EF5196">
        <w:rPr>
          <w:rFonts w:eastAsia="Times New Roman"/>
        </w:rPr>
        <w:t xml:space="preserve"> </w:t>
      </w:r>
      <w:r w:rsidRPr="0083422B">
        <w:rPr>
          <w:rFonts w:eastAsia="Times New Roman"/>
        </w:rPr>
        <w:t xml:space="preserve">Standardisation of the joint </w:t>
      </w:r>
      <w:r w:rsidRPr="0083422B">
        <w:rPr>
          <w:rFonts w:eastAsia="Times New Roman"/>
        </w:rPr>
        <w:lastRenderedPageBreak/>
        <w:t>development of care plans and the joint evaluation of patient needs across providers should be part of routine practice</w:t>
      </w:r>
      <w:r w:rsidR="002D6C91">
        <w:rPr>
          <w:rFonts w:eastAsia="Times New Roman"/>
        </w:rPr>
        <w:t xml:space="preserve"> </w:t>
      </w:r>
      <w:r w:rsidR="002D6C91" w:rsidRPr="002D6C91">
        <w:rPr>
          <w:rFonts w:eastAsia="Times New Roman"/>
        </w:rPr>
        <w:t>(de Wet et al., 2025)</w:t>
      </w:r>
      <w:r w:rsidRPr="0083422B">
        <w:rPr>
          <w:rFonts w:eastAsia="Times New Roman"/>
        </w:rPr>
        <w:t>.</w:t>
      </w:r>
    </w:p>
    <w:p w14:paraId="00000047" w14:textId="06F21CA6" w:rsidR="00C97C05" w:rsidRPr="0083422B" w:rsidRDefault="00393622">
      <w:pPr>
        <w:spacing w:line="360" w:lineRule="auto"/>
        <w:jc w:val="both"/>
        <w:rPr>
          <w:rFonts w:eastAsia="Times New Roman"/>
        </w:rPr>
      </w:pPr>
      <w:r w:rsidRPr="0083422B">
        <w:rPr>
          <w:rFonts w:eastAsia="Times New Roman"/>
          <w:b/>
        </w:rPr>
        <w:t>Policy Development and Support:</w:t>
      </w:r>
      <w:r w:rsidRPr="0083422B">
        <w:rPr>
          <w:rFonts w:eastAsia="Times New Roman"/>
        </w:rPr>
        <w:t xml:space="preserve"> When developing and supporting policy, policymakers must continue to focus on developing a legislative climate conducive to</w:t>
      </w:r>
      <w:r w:rsidR="00EF5196">
        <w:rPr>
          <w:rFonts w:eastAsia="Times New Roman"/>
        </w:rPr>
        <w:t xml:space="preserve"> the development of PCC and PW.</w:t>
      </w:r>
    </w:p>
    <w:p w14:paraId="00000048" w14:textId="04DCE27E" w:rsidR="00C97C05" w:rsidRPr="008E08D0" w:rsidRDefault="00393622" w:rsidP="00EF5196">
      <w:pPr>
        <w:pStyle w:val="Heading1"/>
      </w:pPr>
      <w:bookmarkStart w:id="7" w:name="_Toc224663942"/>
      <w:r w:rsidRPr="008E08D0">
        <w:t>8.0 Conclusion</w:t>
      </w:r>
      <w:bookmarkEnd w:id="7"/>
    </w:p>
    <w:p w14:paraId="00000049" w14:textId="4769F50F" w:rsidR="00C97C05" w:rsidRPr="0083422B" w:rsidRDefault="00393622">
      <w:pPr>
        <w:spacing w:line="360" w:lineRule="auto"/>
        <w:jc w:val="both"/>
        <w:rPr>
          <w:rFonts w:eastAsia="Times New Roman"/>
        </w:rPr>
      </w:pPr>
      <w:r w:rsidRPr="0083422B">
        <w:rPr>
          <w:rFonts w:eastAsia="Times New Roman"/>
        </w:rPr>
        <w:t xml:space="preserve">To summarise, </w:t>
      </w:r>
      <w:r w:rsidR="0083422B">
        <w:rPr>
          <w:rFonts w:eastAsia="Times New Roman"/>
        </w:rPr>
        <w:t>both PCC and PW</w:t>
      </w:r>
      <w:r w:rsidRPr="0083422B">
        <w:rPr>
          <w:rFonts w:eastAsia="Times New Roman"/>
        </w:rPr>
        <w:t xml:space="preserve"> are critical frameworks that support enhancing the quality and efficacy of health and social care services. PCC focuses on the need for individuals to be actively involved in their own care, so they receive treatment that reflects their preferences, values and individual needs. PW aims to encourage collaboration amongst healthcare professionals, patients and their families, along with the communities in which they reside, to provide a fully integrated and coordinated service of care.</w:t>
      </w:r>
    </w:p>
    <w:p w14:paraId="0000004A" w14:textId="77777777" w:rsidR="00C97C05" w:rsidRPr="0083422B" w:rsidRDefault="00393622">
      <w:pPr>
        <w:spacing w:line="360" w:lineRule="auto"/>
        <w:jc w:val="both"/>
        <w:rPr>
          <w:rFonts w:eastAsia="Times New Roman"/>
        </w:rPr>
      </w:pPr>
      <w:r w:rsidRPr="0083422B">
        <w:rPr>
          <w:rFonts w:eastAsia="Times New Roman"/>
        </w:rPr>
        <w:t xml:space="preserve">The evaluation of these methodologies has clearly demonstrated that there are many benefits associated with utilising them, including the potential for improved patient satisfaction and health outcomes; however, there are also many obstacles that will need to be addressed </w:t>
      </w:r>
      <w:proofErr w:type="gramStart"/>
      <w:r w:rsidRPr="0083422B">
        <w:rPr>
          <w:rFonts w:eastAsia="Times New Roman"/>
        </w:rPr>
        <w:t>in order to</w:t>
      </w:r>
      <w:proofErr w:type="gramEnd"/>
      <w:r w:rsidRPr="0083422B">
        <w:rPr>
          <w:rFonts w:eastAsia="Times New Roman"/>
        </w:rPr>
        <w:t xml:space="preserve"> facilitate successful implementation, including poor communication, limited resources and institutional barriers. Legislation and policy, such as the Health and Care Act 2022 and Care Act 2014, serve as vital tools to underpin the use of PCC and PW; however, further advances are necessary to ensure effective implementation of either framework into everyday practice.</w:t>
      </w:r>
    </w:p>
    <w:p w14:paraId="0000004B" w14:textId="77777777" w:rsidR="00C97C05" w:rsidRPr="0083422B" w:rsidRDefault="00C97C05">
      <w:pPr>
        <w:spacing w:line="360" w:lineRule="auto"/>
        <w:jc w:val="both"/>
        <w:rPr>
          <w:rFonts w:eastAsia="Times New Roman"/>
          <w:b/>
          <w:bCs/>
        </w:rPr>
      </w:pPr>
    </w:p>
    <w:p w14:paraId="0000004C" w14:textId="77777777" w:rsidR="00C97C05" w:rsidRPr="0083422B" w:rsidRDefault="00C97C05">
      <w:pPr>
        <w:spacing w:line="360" w:lineRule="auto"/>
        <w:jc w:val="both"/>
        <w:rPr>
          <w:rFonts w:eastAsia="Times New Roman"/>
          <w:b/>
          <w:bCs/>
        </w:rPr>
      </w:pPr>
    </w:p>
    <w:p w14:paraId="0000004D" w14:textId="77777777" w:rsidR="00C97C05" w:rsidRDefault="00C97C05">
      <w:pPr>
        <w:spacing w:line="360" w:lineRule="auto"/>
        <w:jc w:val="both"/>
        <w:rPr>
          <w:rFonts w:eastAsia="Times New Roman"/>
          <w:b/>
          <w:bCs/>
        </w:rPr>
      </w:pPr>
    </w:p>
    <w:p w14:paraId="24360B79" w14:textId="77777777" w:rsidR="0083422B" w:rsidRDefault="0083422B">
      <w:pPr>
        <w:spacing w:line="360" w:lineRule="auto"/>
        <w:jc w:val="both"/>
        <w:rPr>
          <w:rFonts w:eastAsia="Times New Roman"/>
          <w:b/>
          <w:bCs/>
        </w:rPr>
      </w:pPr>
    </w:p>
    <w:p w14:paraId="28E9AF7A" w14:textId="77777777" w:rsidR="00EF5196" w:rsidRDefault="00EF5196">
      <w:pPr>
        <w:spacing w:line="360" w:lineRule="auto"/>
        <w:jc w:val="both"/>
        <w:rPr>
          <w:rFonts w:eastAsia="Times New Roman"/>
          <w:b/>
          <w:bCs/>
        </w:rPr>
      </w:pPr>
    </w:p>
    <w:p w14:paraId="1D8BEBEE" w14:textId="77777777" w:rsidR="00456CD4" w:rsidRDefault="00456CD4">
      <w:pPr>
        <w:spacing w:line="360" w:lineRule="auto"/>
        <w:jc w:val="both"/>
        <w:rPr>
          <w:rFonts w:eastAsia="Times New Roman"/>
          <w:b/>
          <w:bCs/>
        </w:rPr>
      </w:pPr>
    </w:p>
    <w:p w14:paraId="1BE6DA50" w14:textId="77777777" w:rsidR="00456CD4" w:rsidRDefault="00456CD4">
      <w:pPr>
        <w:spacing w:line="360" w:lineRule="auto"/>
        <w:jc w:val="both"/>
        <w:rPr>
          <w:rFonts w:eastAsia="Times New Roman"/>
          <w:b/>
          <w:bCs/>
        </w:rPr>
      </w:pPr>
    </w:p>
    <w:p w14:paraId="0251E22B" w14:textId="77777777" w:rsidR="00456CD4" w:rsidRDefault="00456CD4">
      <w:pPr>
        <w:spacing w:line="360" w:lineRule="auto"/>
        <w:jc w:val="both"/>
        <w:rPr>
          <w:rFonts w:eastAsia="Times New Roman"/>
          <w:b/>
          <w:bCs/>
        </w:rPr>
      </w:pPr>
    </w:p>
    <w:p w14:paraId="27FD9B89" w14:textId="77777777" w:rsidR="00EF5196" w:rsidRDefault="00EF5196">
      <w:pPr>
        <w:spacing w:line="360" w:lineRule="auto"/>
        <w:jc w:val="both"/>
        <w:rPr>
          <w:rFonts w:eastAsia="Times New Roman"/>
          <w:b/>
          <w:bCs/>
        </w:rPr>
      </w:pPr>
    </w:p>
    <w:p w14:paraId="4744A3CC" w14:textId="77777777" w:rsidR="00EF5196" w:rsidRDefault="00EF5196">
      <w:pPr>
        <w:spacing w:line="360" w:lineRule="auto"/>
        <w:jc w:val="both"/>
        <w:rPr>
          <w:rFonts w:eastAsia="Times New Roman"/>
          <w:b/>
          <w:bCs/>
        </w:rPr>
      </w:pPr>
    </w:p>
    <w:p w14:paraId="00000053" w14:textId="77777777" w:rsidR="00C97C05" w:rsidRDefault="00393622" w:rsidP="00EF5196">
      <w:pPr>
        <w:pStyle w:val="Heading1"/>
      </w:pPr>
      <w:bookmarkStart w:id="8" w:name="_Toc224663943"/>
      <w:r w:rsidRPr="008E08D0">
        <w:lastRenderedPageBreak/>
        <w:t>References</w:t>
      </w:r>
      <w:bookmarkEnd w:id="8"/>
    </w:p>
    <w:p w14:paraId="27C3DE6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Barnes, D., Boland, B., Linhart, K. and Wilson, K. (2017). Personalisation and Social Care Assessment – the Care Act 2014. </w:t>
      </w:r>
      <w:proofErr w:type="spellStart"/>
      <w:r w:rsidRPr="00456CD4">
        <w:rPr>
          <w:rFonts w:ascii="Arial" w:hAnsi="Arial" w:cs="Arial"/>
          <w:i/>
          <w:iCs/>
          <w:sz w:val="22"/>
          <w:szCs w:val="22"/>
        </w:rPr>
        <w:t>BJPsych</w:t>
      </w:r>
      <w:proofErr w:type="spellEnd"/>
      <w:r w:rsidRPr="00456CD4">
        <w:rPr>
          <w:rFonts w:ascii="Arial" w:hAnsi="Arial" w:cs="Arial"/>
          <w:i/>
          <w:iCs/>
          <w:sz w:val="22"/>
          <w:szCs w:val="22"/>
        </w:rPr>
        <w:t xml:space="preserve"> Bulletin</w:t>
      </w:r>
      <w:r w:rsidRPr="00456CD4">
        <w:rPr>
          <w:rFonts w:ascii="Arial" w:hAnsi="Arial" w:cs="Arial"/>
          <w:sz w:val="22"/>
          <w:szCs w:val="22"/>
        </w:rPr>
        <w:t xml:space="preserve">, 41(3), pp.176–180.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://doi.org/10.1192/pb.bp.116.053660</w:t>
      </w:r>
      <w:proofErr w:type="gramEnd"/>
      <w:r w:rsidRPr="00456CD4">
        <w:rPr>
          <w:rFonts w:ascii="Arial" w:hAnsi="Arial" w:cs="Arial"/>
          <w:sz w:val="22"/>
          <w:szCs w:val="22"/>
        </w:rPr>
        <w:t>.</w:t>
      </w:r>
    </w:p>
    <w:p w14:paraId="20380A16"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Bruch, J.D., Khazen, M., </w:t>
      </w:r>
      <w:proofErr w:type="spellStart"/>
      <w:r w:rsidRPr="00456CD4">
        <w:rPr>
          <w:rFonts w:ascii="Arial" w:hAnsi="Arial" w:cs="Arial"/>
          <w:sz w:val="22"/>
          <w:szCs w:val="22"/>
        </w:rPr>
        <w:t>Mahmic-Kaknjo</w:t>
      </w:r>
      <w:proofErr w:type="spellEnd"/>
      <w:r w:rsidRPr="00456CD4">
        <w:rPr>
          <w:rFonts w:ascii="Arial" w:hAnsi="Arial" w:cs="Arial"/>
          <w:sz w:val="22"/>
          <w:szCs w:val="22"/>
        </w:rPr>
        <w:t xml:space="preserve">, M., Légaré, F. and Ellen, M.E. (2024). The Effects of Shared Decision Making on Health Outcomes, Health Care Quality, Cost, and Consultation Time: an Umbrella Review. </w:t>
      </w:r>
      <w:r w:rsidRPr="00456CD4">
        <w:rPr>
          <w:rFonts w:ascii="Arial" w:hAnsi="Arial" w:cs="Arial"/>
          <w:i/>
          <w:iCs/>
          <w:sz w:val="22"/>
          <w:szCs w:val="22"/>
        </w:rPr>
        <w:t>Patient Education and Counselling</w:t>
      </w:r>
      <w:r w:rsidRPr="00456CD4">
        <w:rPr>
          <w:rFonts w:ascii="Arial" w:hAnsi="Arial" w:cs="Arial"/>
          <w:sz w:val="22"/>
          <w:szCs w:val="22"/>
        </w:rPr>
        <w:t xml:space="preserve">, 129.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://doi.org/10.1016/j.pec.2024.108408</w:t>
      </w:r>
      <w:proofErr w:type="gramEnd"/>
      <w:r w:rsidRPr="00456CD4">
        <w:rPr>
          <w:rFonts w:ascii="Arial" w:hAnsi="Arial" w:cs="Arial"/>
          <w:sz w:val="22"/>
          <w:szCs w:val="22"/>
        </w:rPr>
        <w:t>.</w:t>
      </w:r>
    </w:p>
    <w:p w14:paraId="20E7B15B"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Chance, E.A. and Théophile, P. (2025). Facilitating person-centred care in Cameroonian hospitals: A qualitative exploration. </w:t>
      </w:r>
      <w:r w:rsidRPr="00456CD4">
        <w:rPr>
          <w:rFonts w:ascii="Arial" w:hAnsi="Arial" w:cs="Arial"/>
          <w:i/>
          <w:iCs/>
          <w:sz w:val="22"/>
          <w:szCs w:val="22"/>
        </w:rPr>
        <w:t>Clinical Epidemiology and Global Health</w:t>
      </w:r>
      <w:r w:rsidRPr="00456CD4">
        <w:rPr>
          <w:rFonts w:ascii="Arial" w:hAnsi="Arial" w:cs="Arial"/>
          <w:sz w:val="22"/>
          <w:szCs w:val="22"/>
        </w:rPr>
        <w:t xml:space="preserve">, 35.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://doi.org/10.1016/j.cegh.2025.102166</w:t>
      </w:r>
      <w:proofErr w:type="gramEnd"/>
      <w:r w:rsidRPr="00456CD4">
        <w:rPr>
          <w:rFonts w:ascii="Arial" w:hAnsi="Arial" w:cs="Arial"/>
          <w:sz w:val="22"/>
          <w:szCs w:val="22"/>
        </w:rPr>
        <w:t>.</w:t>
      </w:r>
    </w:p>
    <w:p w14:paraId="738BAED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Corrigan, O., Danielsen, S., Doherty, S. and Lane, P. (2024). Integrated care systems in England: the significance of collaborative community assets in promoting and sustaining health and wellbeing. </w:t>
      </w:r>
      <w:r w:rsidRPr="00456CD4">
        <w:rPr>
          <w:rFonts w:ascii="Arial" w:hAnsi="Arial" w:cs="Arial"/>
          <w:i/>
          <w:iCs/>
          <w:sz w:val="22"/>
          <w:szCs w:val="22"/>
        </w:rPr>
        <w:t>Frontiers in Sociology</w:t>
      </w:r>
      <w:r w:rsidRPr="00456CD4">
        <w:rPr>
          <w:rFonts w:ascii="Arial" w:hAnsi="Arial" w:cs="Arial"/>
          <w:sz w:val="22"/>
          <w:szCs w:val="22"/>
        </w:rPr>
        <w:t xml:space="preserve">, 9.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://doi.org/10.3389/fsoc.2024.1355215</w:t>
      </w:r>
      <w:proofErr w:type="gramEnd"/>
      <w:r w:rsidRPr="00456CD4">
        <w:rPr>
          <w:rFonts w:ascii="Arial" w:hAnsi="Arial" w:cs="Arial"/>
          <w:sz w:val="22"/>
          <w:szCs w:val="22"/>
        </w:rPr>
        <w:t>.</w:t>
      </w:r>
    </w:p>
    <w:p w14:paraId="50BF9CEA"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Coulter, A. and Oldham, J. (2016). Person-centred care: What Is It and How Do We Get there? </w:t>
      </w:r>
      <w:r w:rsidRPr="00456CD4">
        <w:rPr>
          <w:rFonts w:ascii="Arial" w:hAnsi="Arial" w:cs="Arial"/>
          <w:i/>
          <w:iCs/>
          <w:sz w:val="22"/>
          <w:szCs w:val="22"/>
        </w:rPr>
        <w:t>Future Hospital Journal</w:t>
      </w:r>
      <w:r w:rsidRPr="00456CD4">
        <w:rPr>
          <w:rFonts w:ascii="Arial" w:hAnsi="Arial" w:cs="Arial"/>
          <w:sz w:val="22"/>
          <w:szCs w:val="22"/>
        </w:rPr>
        <w:t xml:space="preserve">, 3(2), pp.114–116.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://doi.org/10.7861/futurehosp.3-2-114</w:t>
      </w:r>
      <w:proofErr w:type="gramEnd"/>
      <w:r w:rsidRPr="00456CD4">
        <w:rPr>
          <w:rFonts w:ascii="Arial" w:hAnsi="Arial" w:cs="Arial"/>
          <w:sz w:val="22"/>
          <w:szCs w:val="22"/>
        </w:rPr>
        <w:t>.</w:t>
      </w:r>
    </w:p>
    <w:p w14:paraId="61F38E01"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de Wet, C.J., Clement, N.D. and Williamson, T.R. (2025). Are Currently Available Joint-Specific Patient-Reported Outcome Measures Fit for Purpose to Assess the Outcome of Knee Arthroplasty? </w:t>
      </w:r>
      <w:r w:rsidRPr="00456CD4">
        <w:rPr>
          <w:rFonts w:ascii="Arial" w:hAnsi="Arial" w:cs="Arial"/>
          <w:i/>
          <w:iCs/>
          <w:sz w:val="22"/>
          <w:szCs w:val="22"/>
        </w:rPr>
        <w:t>Journal of Clinical Medicine</w:t>
      </w:r>
      <w:r w:rsidRPr="00456CD4">
        <w:rPr>
          <w:rFonts w:ascii="Arial" w:hAnsi="Arial" w:cs="Arial"/>
          <w:sz w:val="22"/>
          <w:szCs w:val="22"/>
        </w:rPr>
        <w:t xml:space="preserve">, 14(22).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://doi.org/10.3390/jcm14228073</w:t>
      </w:r>
      <w:proofErr w:type="gramEnd"/>
      <w:r w:rsidRPr="00456CD4">
        <w:rPr>
          <w:rFonts w:ascii="Arial" w:hAnsi="Arial" w:cs="Arial"/>
          <w:sz w:val="22"/>
          <w:szCs w:val="22"/>
        </w:rPr>
        <w:t>.</w:t>
      </w:r>
    </w:p>
    <w:p w14:paraId="579BA3C3"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proofErr w:type="spellStart"/>
      <w:r w:rsidRPr="00456CD4">
        <w:rPr>
          <w:rFonts w:ascii="Arial" w:hAnsi="Arial" w:cs="Arial"/>
          <w:sz w:val="22"/>
          <w:szCs w:val="22"/>
        </w:rPr>
        <w:t>Ekmekci</w:t>
      </w:r>
      <w:proofErr w:type="spellEnd"/>
      <w:r w:rsidRPr="00456CD4">
        <w:rPr>
          <w:rFonts w:ascii="Arial" w:hAnsi="Arial" w:cs="Arial"/>
          <w:sz w:val="22"/>
          <w:szCs w:val="22"/>
        </w:rPr>
        <w:t xml:space="preserve">, P.E. and Arda, B. (2015). Enhancing John Rawls’ theory of justice to cover health and social determinants of health. </w:t>
      </w:r>
      <w:r w:rsidRPr="00456CD4">
        <w:rPr>
          <w:rFonts w:ascii="Arial" w:hAnsi="Arial" w:cs="Arial"/>
          <w:i/>
          <w:iCs/>
          <w:sz w:val="22"/>
          <w:szCs w:val="22"/>
        </w:rPr>
        <w:t xml:space="preserve">Acta </w:t>
      </w:r>
      <w:proofErr w:type="spellStart"/>
      <w:r w:rsidRPr="00456CD4">
        <w:rPr>
          <w:rFonts w:ascii="Arial" w:hAnsi="Arial" w:cs="Arial"/>
          <w:i/>
          <w:iCs/>
          <w:sz w:val="22"/>
          <w:szCs w:val="22"/>
        </w:rPr>
        <w:t>bioethica</w:t>
      </w:r>
      <w:proofErr w:type="spellEnd"/>
      <w:r w:rsidRPr="00456CD4">
        <w:rPr>
          <w:rFonts w:ascii="Arial" w:hAnsi="Arial" w:cs="Arial"/>
          <w:sz w:val="22"/>
          <w:szCs w:val="22"/>
        </w:rPr>
        <w:t xml:space="preserve">, 21(2), pp.227–236.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://doi.org/10.4067/s1726-569x2015000200009</w:t>
      </w:r>
      <w:proofErr w:type="gramEnd"/>
      <w:r w:rsidRPr="00456CD4">
        <w:rPr>
          <w:rFonts w:ascii="Arial" w:hAnsi="Arial" w:cs="Arial"/>
          <w:sz w:val="22"/>
          <w:szCs w:val="22"/>
        </w:rPr>
        <w:t>.</w:t>
      </w:r>
    </w:p>
    <w:p w14:paraId="08E6632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Glover-Thomas, N. (2013). The Health and Social Care Act 2012. </w:t>
      </w:r>
      <w:r w:rsidRPr="00456CD4">
        <w:rPr>
          <w:rFonts w:ascii="Arial" w:hAnsi="Arial" w:cs="Arial"/>
          <w:i/>
          <w:iCs/>
          <w:sz w:val="22"/>
          <w:szCs w:val="22"/>
        </w:rPr>
        <w:t>Medical Law International</w:t>
      </w:r>
      <w:r w:rsidRPr="00456CD4">
        <w:rPr>
          <w:rFonts w:ascii="Arial" w:hAnsi="Arial" w:cs="Arial"/>
          <w:sz w:val="22"/>
          <w:szCs w:val="22"/>
        </w:rPr>
        <w:t xml:space="preserve">, 13(4), pp.279–297.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://doi.org/10.1177/0968533214521090</w:t>
      </w:r>
      <w:proofErr w:type="gramEnd"/>
      <w:r w:rsidRPr="00456CD4">
        <w:rPr>
          <w:rFonts w:ascii="Arial" w:hAnsi="Arial" w:cs="Arial"/>
          <w:sz w:val="22"/>
          <w:szCs w:val="22"/>
        </w:rPr>
        <w:t>.</w:t>
      </w:r>
    </w:p>
    <w:p w14:paraId="0976BDEA"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Hower, K.I., </w:t>
      </w:r>
      <w:proofErr w:type="spellStart"/>
      <w:r w:rsidRPr="00456CD4">
        <w:rPr>
          <w:rFonts w:ascii="Arial" w:hAnsi="Arial" w:cs="Arial"/>
          <w:sz w:val="22"/>
          <w:szCs w:val="22"/>
        </w:rPr>
        <w:t>Vennedey</w:t>
      </w:r>
      <w:proofErr w:type="spellEnd"/>
      <w:r w:rsidRPr="00456CD4">
        <w:rPr>
          <w:rFonts w:ascii="Arial" w:hAnsi="Arial" w:cs="Arial"/>
          <w:sz w:val="22"/>
          <w:szCs w:val="22"/>
        </w:rPr>
        <w:t xml:space="preserve">, V., Hillen, H.A., Kuntz, L., Stock, S., Pfaff, H. and Ansmann, L. (2019). Implementation of patient-centred care: which organisational determinants matter from the decision maker's perspective? Results from a qualitative interview study across various health </w:t>
      </w:r>
      <w:r w:rsidRPr="00456CD4">
        <w:rPr>
          <w:rFonts w:ascii="Arial" w:hAnsi="Arial" w:cs="Arial"/>
          <w:sz w:val="22"/>
          <w:szCs w:val="22"/>
        </w:rPr>
        <w:lastRenderedPageBreak/>
        <w:t xml:space="preserve">and social care organisations. </w:t>
      </w:r>
      <w:r w:rsidRPr="00456CD4">
        <w:rPr>
          <w:rFonts w:ascii="Arial" w:hAnsi="Arial" w:cs="Arial"/>
          <w:i/>
          <w:iCs/>
          <w:sz w:val="22"/>
          <w:szCs w:val="22"/>
        </w:rPr>
        <w:t>BMJ Open</w:t>
      </w:r>
      <w:r w:rsidRPr="00456CD4">
        <w:rPr>
          <w:rFonts w:ascii="Arial" w:hAnsi="Arial" w:cs="Arial"/>
          <w:sz w:val="22"/>
          <w:szCs w:val="22"/>
        </w:rPr>
        <w:t xml:space="preserve">, 9(4).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://doi.org/10.1136/bmjopen-2018-027591</w:t>
      </w:r>
      <w:proofErr w:type="gramEnd"/>
      <w:r w:rsidRPr="00456CD4">
        <w:rPr>
          <w:rFonts w:ascii="Arial" w:hAnsi="Arial" w:cs="Arial"/>
          <w:sz w:val="22"/>
          <w:szCs w:val="22"/>
        </w:rPr>
        <w:t>.</w:t>
      </w:r>
    </w:p>
    <w:p w14:paraId="2B607F51"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Kishino, M., Koffman, J., </w:t>
      </w:r>
      <w:proofErr w:type="spellStart"/>
      <w:r w:rsidRPr="00456CD4">
        <w:rPr>
          <w:rFonts w:ascii="Arial" w:hAnsi="Arial" w:cs="Arial"/>
          <w:sz w:val="22"/>
          <w:szCs w:val="22"/>
        </w:rPr>
        <w:t>Nagatomi</w:t>
      </w:r>
      <w:proofErr w:type="spellEnd"/>
      <w:r w:rsidRPr="00456CD4">
        <w:rPr>
          <w:rFonts w:ascii="Arial" w:hAnsi="Arial" w:cs="Arial"/>
          <w:sz w:val="22"/>
          <w:szCs w:val="22"/>
        </w:rPr>
        <w:t>, H., Yuasa, M. and Ellis</w:t>
      </w:r>
      <w:r w:rsidRPr="00456CD4">
        <w:rPr>
          <w:rFonts w:ascii="Cambria Math" w:hAnsi="Cambria Math" w:cs="Cambria Math"/>
          <w:sz w:val="22"/>
          <w:szCs w:val="22"/>
        </w:rPr>
        <w:t>‐</w:t>
      </w:r>
      <w:r w:rsidRPr="00456CD4">
        <w:rPr>
          <w:rFonts w:ascii="Arial" w:hAnsi="Arial" w:cs="Arial"/>
          <w:sz w:val="22"/>
          <w:szCs w:val="22"/>
        </w:rPr>
        <w:t xml:space="preserve">Smith, C. (2023). Complexity and function of family involvement in advance care planning: A qualitative study of perspectives from people living with advanced cancer, family members and healthcare professionals. </w:t>
      </w:r>
      <w:r w:rsidRPr="00456CD4">
        <w:rPr>
          <w:rFonts w:ascii="Arial" w:hAnsi="Arial" w:cs="Arial"/>
          <w:i/>
          <w:iCs/>
          <w:sz w:val="22"/>
          <w:szCs w:val="22"/>
        </w:rPr>
        <w:t>Palliative Medicine</w:t>
      </w:r>
      <w:r w:rsidRPr="00456CD4">
        <w:rPr>
          <w:rFonts w:ascii="Arial" w:hAnsi="Arial" w:cs="Arial"/>
          <w:sz w:val="22"/>
          <w:szCs w:val="22"/>
        </w:rPr>
        <w:t xml:space="preserve">, 37(9), pp.1434–1446.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://doi.org/10.1177/02692163231194202</w:t>
      </w:r>
      <w:proofErr w:type="gramEnd"/>
      <w:r w:rsidRPr="00456CD4">
        <w:rPr>
          <w:rFonts w:ascii="Arial" w:hAnsi="Arial" w:cs="Arial"/>
          <w:sz w:val="22"/>
          <w:szCs w:val="22"/>
        </w:rPr>
        <w:t>.</w:t>
      </w:r>
    </w:p>
    <w:p w14:paraId="300120F1"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Lewis, J. and Holm, S. (2022). Patient autonomy, clinical decision making, and the Phenomenological reduction. </w:t>
      </w:r>
      <w:r w:rsidRPr="00456CD4">
        <w:rPr>
          <w:rFonts w:ascii="Arial" w:hAnsi="Arial" w:cs="Arial"/>
          <w:i/>
          <w:iCs/>
          <w:sz w:val="22"/>
          <w:szCs w:val="22"/>
        </w:rPr>
        <w:t>Medicine, Health Care and Philosophy</w:t>
      </w:r>
      <w:r w:rsidRPr="00456CD4">
        <w:rPr>
          <w:rFonts w:ascii="Arial" w:hAnsi="Arial" w:cs="Arial"/>
          <w:sz w:val="22"/>
          <w:szCs w:val="22"/>
        </w:rPr>
        <w:t xml:space="preserve">, 25(4), pp.615–627.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://doi.org/10.1007/s11019-022-10102-2</w:t>
      </w:r>
      <w:proofErr w:type="gramEnd"/>
      <w:r w:rsidRPr="00456CD4">
        <w:rPr>
          <w:rFonts w:ascii="Arial" w:hAnsi="Arial" w:cs="Arial"/>
          <w:sz w:val="22"/>
          <w:szCs w:val="22"/>
        </w:rPr>
        <w:t>.</w:t>
      </w:r>
    </w:p>
    <w:p w14:paraId="36598136"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Louw, J.M., Marcus, T.S. and Hugo, J.F.M. (2017). Patient- or person-centred practice in medicine? – A review of concepts. </w:t>
      </w:r>
      <w:r w:rsidRPr="00456CD4">
        <w:rPr>
          <w:rFonts w:ascii="Arial" w:hAnsi="Arial" w:cs="Arial"/>
          <w:i/>
          <w:iCs/>
          <w:sz w:val="22"/>
          <w:szCs w:val="22"/>
        </w:rPr>
        <w:t>African Journal of Primary Health Care &amp; Family Medicine</w:t>
      </w:r>
      <w:r w:rsidRPr="00456CD4">
        <w:rPr>
          <w:rFonts w:ascii="Arial" w:hAnsi="Arial" w:cs="Arial"/>
          <w:sz w:val="22"/>
          <w:szCs w:val="22"/>
        </w:rPr>
        <w:t xml:space="preserve">, 9(1).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://doi.org/10.4102/phcfm.v9i1.1455</w:t>
      </w:r>
      <w:proofErr w:type="gramEnd"/>
      <w:r w:rsidRPr="00456CD4">
        <w:rPr>
          <w:rFonts w:ascii="Arial" w:hAnsi="Arial" w:cs="Arial"/>
          <w:sz w:val="22"/>
          <w:szCs w:val="22"/>
        </w:rPr>
        <w:t>.</w:t>
      </w:r>
    </w:p>
    <w:p w14:paraId="22BECF4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Manchester.gov.uk (2026). </w:t>
      </w:r>
      <w:r w:rsidRPr="00456CD4">
        <w:rPr>
          <w:rFonts w:ascii="Arial" w:hAnsi="Arial" w:cs="Arial"/>
          <w:i/>
          <w:iCs/>
          <w:sz w:val="22"/>
          <w:szCs w:val="22"/>
        </w:rPr>
        <w:t>The Human Rights Act 1998 | The Equality Act 2010 | Manchester City Council</w:t>
      </w:r>
      <w:r w:rsidRPr="00456CD4">
        <w:rPr>
          <w:rFonts w:ascii="Arial" w:hAnsi="Arial" w:cs="Arial"/>
          <w:sz w:val="22"/>
          <w:szCs w:val="22"/>
        </w:rPr>
        <w:t>. [online] Manchester.gov.uk. Available at: https://www.manchester.gov.uk/the-council-and-democracy/equality-and-diversity/the-equality-act-2010/the-human-rights-act-1998 [Accessed 12 Mar. 2026].</w:t>
      </w:r>
    </w:p>
    <w:p w14:paraId="0D22CEC2"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Milton, A.C., Mullan, B., MacCann, C. and Hunt, C. (2017). An evaluation of communication barriers and facilitators at the time of a mental health diagnosis: a survey of health professional practices. </w:t>
      </w:r>
      <w:r w:rsidRPr="00456CD4">
        <w:rPr>
          <w:rFonts w:ascii="Arial" w:hAnsi="Arial" w:cs="Arial"/>
          <w:i/>
          <w:iCs/>
          <w:sz w:val="22"/>
          <w:szCs w:val="22"/>
        </w:rPr>
        <w:t>Epidemiology and Psychiatric Sciences</w:t>
      </w:r>
      <w:r w:rsidRPr="00456CD4">
        <w:rPr>
          <w:rFonts w:ascii="Arial" w:hAnsi="Arial" w:cs="Arial"/>
          <w:sz w:val="22"/>
          <w:szCs w:val="22"/>
        </w:rPr>
        <w:t xml:space="preserve">, 27(4), pp.357–368.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://doi.org/10.1017/S2045796016001153</w:t>
      </w:r>
      <w:proofErr w:type="gramEnd"/>
      <w:r w:rsidRPr="00456CD4">
        <w:rPr>
          <w:rFonts w:ascii="Arial" w:hAnsi="Arial" w:cs="Arial"/>
          <w:sz w:val="22"/>
          <w:szCs w:val="22"/>
        </w:rPr>
        <w:t>.</w:t>
      </w:r>
    </w:p>
    <w:p w14:paraId="0B62948A"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proofErr w:type="spellStart"/>
      <w:r w:rsidRPr="00456CD4">
        <w:rPr>
          <w:rFonts w:ascii="Arial" w:hAnsi="Arial" w:cs="Arial"/>
          <w:sz w:val="22"/>
          <w:szCs w:val="22"/>
        </w:rPr>
        <w:t>Möckli</w:t>
      </w:r>
      <w:proofErr w:type="spellEnd"/>
      <w:r w:rsidRPr="00456CD4">
        <w:rPr>
          <w:rFonts w:ascii="Arial" w:hAnsi="Arial" w:cs="Arial"/>
          <w:sz w:val="22"/>
          <w:szCs w:val="22"/>
        </w:rPr>
        <w:t xml:space="preserve">, N., J. Alberto Espinosa, Simon, M., Meyer-Massetti, C. and Franziska Zúñiga (2023). Clarifying the muddy concept of home healthcare coordination: A comprehensive theoretical framework. </w:t>
      </w:r>
      <w:proofErr w:type="spellStart"/>
      <w:r w:rsidRPr="00456CD4">
        <w:rPr>
          <w:rFonts w:ascii="Arial" w:hAnsi="Arial" w:cs="Arial"/>
          <w:i/>
          <w:iCs/>
          <w:sz w:val="22"/>
          <w:szCs w:val="22"/>
        </w:rPr>
        <w:t>Heliyon</w:t>
      </w:r>
      <w:proofErr w:type="spellEnd"/>
      <w:r w:rsidRPr="00456CD4">
        <w:rPr>
          <w:rFonts w:ascii="Arial" w:hAnsi="Arial" w:cs="Arial"/>
          <w:sz w:val="22"/>
          <w:szCs w:val="22"/>
        </w:rPr>
        <w:t xml:space="preserve">, 9(3).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://doi.org/10.1016/j.heliyon.2023.e14243</w:t>
      </w:r>
      <w:proofErr w:type="gramEnd"/>
      <w:r w:rsidRPr="00456CD4">
        <w:rPr>
          <w:rFonts w:ascii="Arial" w:hAnsi="Arial" w:cs="Arial"/>
          <w:sz w:val="22"/>
          <w:szCs w:val="22"/>
        </w:rPr>
        <w:t>.</w:t>
      </w:r>
    </w:p>
    <w:p w14:paraId="5FE91E1D"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proofErr w:type="spellStart"/>
      <w:r w:rsidRPr="00456CD4">
        <w:rPr>
          <w:rFonts w:ascii="Arial" w:hAnsi="Arial" w:cs="Arial"/>
          <w:sz w:val="22"/>
          <w:szCs w:val="22"/>
        </w:rPr>
        <w:t>Narknisorn</w:t>
      </w:r>
      <w:proofErr w:type="spellEnd"/>
      <w:r w:rsidRPr="00456CD4">
        <w:rPr>
          <w:rFonts w:ascii="Arial" w:hAnsi="Arial" w:cs="Arial"/>
          <w:sz w:val="22"/>
          <w:szCs w:val="22"/>
        </w:rPr>
        <w:t xml:space="preserve">, B. (2012). Person-Centred Therapy and Personal Growth. </w:t>
      </w:r>
      <w:r w:rsidRPr="00456CD4">
        <w:rPr>
          <w:rFonts w:ascii="Arial" w:hAnsi="Arial" w:cs="Arial"/>
          <w:i/>
          <w:iCs/>
          <w:sz w:val="22"/>
          <w:szCs w:val="22"/>
        </w:rPr>
        <w:t>Journal of Social and Development Sciences</w:t>
      </w:r>
      <w:r w:rsidRPr="00456CD4">
        <w:rPr>
          <w:rFonts w:ascii="Arial" w:hAnsi="Arial" w:cs="Arial"/>
          <w:sz w:val="22"/>
          <w:szCs w:val="22"/>
        </w:rPr>
        <w:t xml:space="preserve">, 3(9), pp.322–330.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://doi.org/10.22610/jsds.v3i9.716</w:t>
      </w:r>
      <w:proofErr w:type="gramEnd"/>
      <w:r w:rsidRPr="00456CD4">
        <w:rPr>
          <w:rFonts w:ascii="Arial" w:hAnsi="Arial" w:cs="Arial"/>
          <w:sz w:val="22"/>
          <w:szCs w:val="22"/>
        </w:rPr>
        <w:t>.</w:t>
      </w:r>
    </w:p>
    <w:p w14:paraId="0D35304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Paul, M., Maglaras, L., </w:t>
      </w:r>
      <w:proofErr w:type="spellStart"/>
      <w:r w:rsidRPr="00456CD4">
        <w:rPr>
          <w:rFonts w:ascii="Arial" w:hAnsi="Arial" w:cs="Arial"/>
          <w:sz w:val="22"/>
          <w:szCs w:val="22"/>
        </w:rPr>
        <w:t>Ferrag</w:t>
      </w:r>
      <w:proofErr w:type="spellEnd"/>
      <w:r w:rsidRPr="00456CD4">
        <w:rPr>
          <w:rFonts w:ascii="Arial" w:hAnsi="Arial" w:cs="Arial"/>
          <w:sz w:val="22"/>
          <w:szCs w:val="22"/>
        </w:rPr>
        <w:t xml:space="preserve">, M.A. and Almomani, I. (2023). Digitisation of the healthcare sector: A study on privacy and security concerns. </w:t>
      </w:r>
      <w:r w:rsidRPr="00456CD4">
        <w:rPr>
          <w:rFonts w:ascii="Arial" w:hAnsi="Arial" w:cs="Arial"/>
          <w:i/>
          <w:iCs/>
          <w:sz w:val="22"/>
          <w:szCs w:val="22"/>
        </w:rPr>
        <w:t>ICT Express</w:t>
      </w:r>
      <w:r w:rsidRPr="00456CD4">
        <w:rPr>
          <w:rFonts w:ascii="Arial" w:hAnsi="Arial" w:cs="Arial"/>
          <w:sz w:val="22"/>
          <w:szCs w:val="22"/>
        </w:rPr>
        <w:t xml:space="preserve">, 9(4), pp.571–588.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://doi.org/10.1016/j.icte.2023.02.007</w:t>
      </w:r>
      <w:proofErr w:type="gramEnd"/>
      <w:r w:rsidRPr="00456CD4">
        <w:rPr>
          <w:rFonts w:ascii="Arial" w:hAnsi="Arial" w:cs="Arial"/>
          <w:sz w:val="22"/>
          <w:szCs w:val="22"/>
        </w:rPr>
        <w:t>.</w:t>
      </w:r>
    </w:p>
    <w:p w14:paraId="4C89E34B" w14:textId="77777777" w:rsidR="00456CD4" w:rsidRPr="00456CD4" w:rsidRDefault="00456CD4" w:rsidP="00456CD4">
      <w:pPr>
        <w:spacing w:after="240" w:line="360" w:lineRule="auto"/>
        <w:jc w:val="both"/>
        <w:rPr>
          <w:rFonts w:eastAsia="Times New Roman"/>
        </w:rPr>
      </w:pPr>
      <w:r w:rsidRPr="00456CD4">
        <w:rPr>
          <w:rFonts w:eastAsia="Times New Roman"/>
        </w:rPr>
        <w:lastRenderedPageBreak/>
        <w:t xml:space="preserve">Rahman, R., Reid, C., Kloer, P., Henchie, A., Thomas, A. and </w:t>
      </w:r>
      <w:proofErr w:type="spellStart"/>
      <w:r w:rsidRPr="00456CD4">
        <w:rPr>
          <w:rFonts w:eastAsia="Times New Roman"/>
        </w:rPr>
        <w:t>Zwiggelaar</w:t>
      </w:r>
      <w:proofErr w:type="spellEnd"/>
      <w:r w:rsidRPr="00456CD4">
        <w:rPr>
          <w:rFonts w:eastAsia="Times New Roman"/>
        </w:rPr>
        <w:t xml:space="preserve">, R. (2024). A Systematic Review of Literature Examining the Application of a Social Model of Health and Wellbeing. </w:t>
      </w:r>
      <w:r w:rsidRPr="00456CD4">
        <w:rPr>
          <w:rFonts w:eastAsia="Times New Roman"/>
          <w:i/>
          <w:iCs/>
        </w:rPr>
        <w:t>European Journal of Public Health</w:t>
      </w:r>
      <w:r w:rsidRPr="00456CD4">
        <w:rPr>
          <w:rFonts w:eastAsia="Times New Roman"/>
        </w:rPr>
        <w:t xml:space="preserve">, 34(3). </w:t>
      </w:r>
      <w:proofErr w:type="spellStart"/>
      <w:proofErr w:type="gramStart"/>
      <w:r w:rsidRPr="00456CD4">
        <w:rPr>
          <w:rFonts w:eastAsia="Times New Roman"/>
        </w:rPr>
        <w:t>doi:https</w:t>
      </w:r>
      <w:proofErr w:type="spellEnd"/>
      <w:r w:rsidRPr="00456CD4">
        <w:rPr>
          <w:rFonts w:eastAsia="Times New Roman"/>
        </w:rPr>
        <w:t>://doi.org/10.1093/</w:t>
      </w:r>
      <w:proofErr w:type="spellStart"/>
      <w:r w:rsidRPr="00456CD4">
        <w:rPr>
          <w:rFonts w:eastAsia="Times New Roman"/>
        </w:rPr>
        <w:t>eurpub</w:t>
      </w:r>
      <w:proofErr w:type="spellEnd"/>
      <w:r w:rsidRPr="00456CD4">
        <w:rPr>
          <w:rFonts w:eastAsia="Times New Roman"/>
        </w:rPr>
        <w:t>/ckae008</w:t>
      </w:r>
      <w:proofErr w:type="gramEnd"/>
      <w:r w:rsidRPr="00456CD4">
        <w:rPr>
          <w:rFonts w:eastAsia="Times New Roman"/>
        </w:rPr>
        <w:t>.</w:t>
      </w:r>
    </w:p>
    <w:p w14:paraId="60E1835E"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Reeves, S., </w:t>
      </w:r>
      <w:proofErr w:type="spellStart"/>
      <w:r w:rsidRPr="00456CD4">
        <w:rPr>
          <w:rFonts w:ascii="Arial" w:hAnsi="Arial" w:cs="Arial"/>
          <w:sz w:val="22"/>
          <w:szCs w:val="22"/>
        </w:rPr>
        <w:t>Pelone</w:t>
      </w:r>
      <w:proofErr w:type="spellEnd"/>
      <w:r w:rsidRPr="00456CD4">
        <w:rPr>
          <w:rFonts w:ascii="Arial" w:hAnsi="Arial" w:cs="Arial"/>
          <w:sz w:val="22"/>
          <w:szCs w:val="22"/>
        </w:rPr>
        <w:t xml:space="preserve">, F., Harrison, R., Goldman, J. and </w:t>
      </w:r>
      <w:proofErr w:type="spellStart"/>
      <w:r w:rsidRPr="00456CD4">
        <w:rPr>
          <w:rFonts w:ascii="Arial" w:hAnsi="Arial" w:cs="Arial"/>
          <w:sz w:val="22"/>
          <w:szCs w:val="22"/>
        </w:rPr>
        <w:t>Zwarenstein</w:t>
      </w:r>
      <w:proofErr w:type="spellEnd"/>
      <w:r w:rsidRPr="00456CD4">
        <w:rPr>
          <w:rFonts w:ascii="Arial" w:hAnsi="Arial" w:cs="Arial"/>
          <w:sz w:val="22"/>
          <w:szCs w:val="22"/>
        </w:rPr>
        <w:t xml:space="preserve">, M. (2017). Interprofessional Collaboration to Improve Professional Practice and Healthcare Outcomes. </w:t>
      </w:r>
      <w:r w:rsidRPr="00456CD4">
        <w:rPr>
          <w:rFonts w:ascii="Arial" w:hAnsi="Arial" w:cs="Arial"/>
          <w:i/>
          <w:iCs/>
          <w:sz w:val="22"/>
          <w:szCs w:val="22"/>
        </w:rPr>
        <w:t>Cochrane Database of Systematic Reviews</w:t>
      </w:r>
      <w:r w:rsidRPr="00456CD4">
        <w:rPr>
          <w:rFonts w:ascii="Arial" w:hAnsi="Arial" w:cs="Arial"/>
          <w:sz w:val="22"/>
          <w:szCs w:val="22"/>
        </w:rPr>
        <w:t xml:space="preserve">, 6(6).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://doi.org/10.1002/14651858.cd000072.pub3</w:t>
      </w:r>
      <w:proofErr w:type="gramEnd"/>
      <w:r w:rsidRPr="00456CD4">
        <w:rPr>
          <w:rFonts w:ascii="Arial" w:hAnsi="Arial" w:cs="Arial"/>
          <w:sz w:val="22"/>
          <w:szCs w:val="22"/>
        </w:rPr>
        <w:t>.</w:t>
      </w:r>
    </w:p>
    <w:p w14:paraId="4679A62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Rojas, M., Méndez, A. and Fassler, K.W. (2023). The Hierarchy of Needs: Empirical Examination of Maslow's Theory and Lessons for Development. </w:t>
      </w:r>
      <w:r w:rsidRPr="00456CD4">
        <w:rPr>
          <w:rFonts w:ascii="Arial" w:hAnsi="Arial" w:cs="Arial"/>
          <w:i/>
          <w:iCs/>
          <w:sz w:val="22"/>
          <w:szCs w:val="22"/>
        </w:rPr>
        <w:t>World Development</w:t>
      </w:r>
      <w:r w:rsidRPr="00456CD4">
        <w:rPr>
          <w:rFonts w:ascii="Arial" w:hAnsi="Arial" w:cs="Arial"/>
          <w:sz w:val="22"/>
          <w:szCs w:val="22"/>
        </w:rPr>
        <w:t xml:space="preserve">, 165(1).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://doi.org/10.1016/j.worlddev.2023.106185</w:t>
      </w:r>
      <w:proofErr w:type="gramEnd"/>
      <w:r w:rsidRPr="00456CD4">
        <w:rPr>
          <w:rFonts w:ascii="Arial" w:hAnsi="Arial" w:cs="Arial"/>
          <w:sz w:val="22"/>
          <w:szCs w:val="22"/>
        </w:rPr>
        <w:t>.</w:t>
      </w:r>
    </w:p>
    <w:p w14:paraId="43E833C8"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Santana, M.J., Manalili, K., Jolley, R.J., Zelinsky, S., Quan, H. and Lu, M. (2017). How to practice person-centred care: A conceptual framework. </w:t>
      </w:r>
      <w:r w:rsidRPr="00456CD4">
        <w:rPr>
          <w:rFonts w:ascii="Arial" w:hAnsi="Arial" w:cs="Arial"/>
          <w:i/>
          <w:iCs/>
          <w:sz w:val="22"/>
          <w:szCs w:val="22"/>
        </w:rPr>
        <w:t>Health Expectations</w:t>
      </w:r>
      <w:r w:rsidRPr="00456CD4">
        <w:rPr>
          <w:rFonts w:ascii="Arial" w:hAnsi="Arial" w:cs="Arial"/>
          <w:sz w:val="22"/>
          <w:szCs w:val="22"/>
        </w:rPr>
        <w:t xml:space="preserve">, 21(2), pp.429–440.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://doi.org/10.1111/hex.12640</w:t>
      </w:r>
      <w:proofErr w:type="gramEnd"/>
      <w:r w:rsidRPr="00456CD4">
        <w:rPr>
          <w:rFonts w:ascii="Arial" w:hAnsi="Arial" w:cs="Arial"/>
          <w:sz w:val="22"/>
          <w:szCs w:val="22"/>
        </w:rPr>
        <w:t>.</w:t>
      </w:r>
    </w:p>
    <w:p w14:paraId="3E176509"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Walker, V.G. (2022). Elder’s life course theory and person-centred research: A lens for conducting ethical nursing research and mental health nursing practice with older adults ageing with the diagnosis of schizophrenia. </w:t>
      </w:r>
      <w:r w:rsidRPr="00456CD4">
        <w:rPr>
          <w:rFonts w:ascii="Arial" w:hAnsi="Arial" w:cs="Arial"/>
          <w:i/>
          <w:iCs/>
          <w:sz w:val="22"/>
          <w:szCs w:val="22"/>
        </w:rPr>
        <w:t>Journal of Psychiatric and Mental Health Nursing</w:t>
      </w:r>
      <w:r w:rsidRPr="00456CD4">
        <w:rPr>
          <w:rFonts w:ascii="Arial" w:hAnsi="Arial" w:cs="Arial"/>
          <w:sz w:val="22"/>
          <w:szCs w:val="22"/>
        </w:rPr>
        <w:t xml:space="preserve">, 29(6).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://doi.org/10.1111/jpm.12819</w:t>
      </w:r>
      <w:proofErr w:type="gramEnd"/>
      <w:r w:rsidRPr="00456CD4">
        <w:rPr>
          <w:rFonts w:ascii="Arial" w:hAnsi="Arial" w:cs="Arial"/>
          <w:sz w:val="22"/>
          <w:szCs w:val="22"/>
        </w:rPr>
        <w:t>.</w:t>
      </w:r>
    </w:p>
    <w:p w14:paraId="228BDAE5"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Winters, S., Magalhaes, L., Kinsella, E.A. and Kothari, A. (2016). Cross-sector Service Provision in Health and Social Care: An Umbrella Review. </w:t>
      </w:r>
      <w:r w:rsidRPr="00456CD4">
        <w:rPr>
          <w:rFonts w:ascii="Arial" w:hAnsi="Arial" w:cs="Arial"/>
          <w:i/>
          <w:iCs/>
          <w:sz w:val="22"/>
          <w:szCs w:val="22"/>
        </w:rPr>
        <w:t>International Journal of Integrated Care</w:t>
      </w:r>
      <w:r w:rsidRPr="00456CD4">
        <w:rPr>
          <w:rFonts w:ascii="Arial" w:hAnsi="Arial" w:cs="Arial"/>
          <w:sz w:val="22"/>
          <w:szCs w:val="22"/>
        </w:rPr>
        <w:t xml:space="preserve">, 16(1).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://doi.org/10.5334/ijic.2460</w:t>
      </w:r>
      <w:proofErr w:type="gramEnd"/>
      <w:r w:rsidRPr="00456CD4">
        <w:rPr>
          <w:rFonts w:ascii="Arial" w:hAnsi="Arial" w:cs="Arial"/>
          <w:sz w:val="22"/>
          <w:szCs w:val="22"/>
        </w:rPr>
        <w:t>.</w:t>
      </w:r>
    </w:p>
    <w:p w14:paraId="6A5947C0"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Yu, C., Xian, Y., Jing, T., Bai, M., Li, X., Li, J., Liang, H., Yu, G. and Zhang, Z. (2023). More patient-centred care, better healthcare: the association between patient-centred care and healthcare outcomes in inpatients. </w:t>
      </w:r>
      <w:r w:rsidRPr="00456CD4">
        <w:rPr>
          <w:rFonts w:ascii="Arial" w:hAnsi="Arial" w:cs="Arial"/>
          <w:i/>
          <w:iCs/>
          <w:sz w:val="22"/>
          <w:szCs w:val="22"/>
        </w:rPr>
        <w:t>Frontiers in Public Health</w:t>
      </w:r>
      <w:r w:rsidRPr="00456CD4">
        <w:rPr>
          <w:rFonts w:ascii="Arial" w:hAnsi="Arial" w:cs="Arial"/>
          <w:sz w:val="22"/>
          <w:szCs w:val="22"/>
        </w:rPr>
        <w:t xml:space="preserve">, 11(1148277), pp.1–9.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://doi.org/10.3389/fpubh.2023.1148277</w:t>
      </w:r>
      <w:proofErr w:type="gramEnd"/>
      <w:r w:rsidRPr="00456CD4">
        <w:rPr>
          <w:rFonts w:ascii="Arial" w:hAnsi="Arial" w:cs="Arial"/>
          <w:sz w:val="22"/>
          <w:szCs w:val="22"/>
        </w:rPr>
        <w:t>.</w:t>
      </w:r>
    </w:p>
    <w:p w14:paraId="7E22724E"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t xml:space="preserve">Zhang, Y., Stokes, J., Anselmi, L., Bower, P. and Xu, J. (2025). Can integrated care interventions strengthen primary care and improve outcomes for patients with chronic diseases? A systematic review and meta-analysis. </w:t>
      </w:r>
      <w:r w:rsidRPr="00456CD4">
        <w:rPr>
          <w:rFonts w:ascii="Arial" w:hAnsi="Arial" w:cs="Arial"/>
          <w:i/>
          <w:iCs/>
          <w:sz w:val="22"/>
          <w:szCs w:val="22"/>
        </w:rPr>
        <w:t>Health Research Policy and Systems</w:t>
      </w:r>
      <w:r w:rsidRPr="00456CD4">
        <w:rPr>
          <w:rFonts w:ascii="Arial" w:hAnsi="Arial" w:cs="Arial"/>
          <w:sz w:val="22"/>
          <w:szCs w:val="22"/>
        </w:rPr>
        <w:t xml:space="preserve">, 23(1).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://doi.org/10.1186/s12961-024-01260-1</w:t>
      </w:r>
      <w:proofErr w:type="gramEnd"/>
      <w:r w:rsidRPr="00456CD4">
        <w:rPr>
          <w:rFonts w:ascii="Arial" w:hAnsi="Arial" w:cs="Arial"/>
          <w:sz w:val="22"/>
          <w:szCs w:val="22"/>
        </w:rPr>
        <w:t>.</w:t>
      </w:r>
    </w:p>
    <w:p w14:paraId="0A880736" w14:textId="77777777" w:rsidR="00456CD4" w:rsidRPr="00456CD4" w:rsidRDefault="00456CD4" w:rsidP="00456CD4">
      <w:pPr>
        <w:pStyle w:val="NormalWeb"/>
        <w:spacing w:before="0" w:beforeAutospacing="0" w:after="240" w:afterAutospacing="0" w:line="360" w:lineRule="auto"/>
        <w:jc w:val="both"/>
        <w:rPr>
          <w:rFonts w:ascii="Arial" w:hAnsi="Arial" w:cs="Arial"/>
          <w:sz w:val="22"/>
          <w:szCs w:val="22"/>
        </w:rPr>
      </w:pPr>
      <w:r w:rsidRPr="00456CD4">
        <w:rPr>
          <w:rFonts w:ascii="Arial" w:hAnsi="Arial" w:cs="Arial"/>
          <w:sz w:val="22"/>
          <w:szCs w:val="22"/>
        </w:rPr>
        <w:lastRenderedPageBreak/>
        <w:t xml:space="preserve">Zota, D., Diamantis, D.V., </w:t>
      </w:r>
      <w:proofErr w:type="spellStart"/>
      <w:r w:rsidRPr="00456CD4">
        <w:rPr>
          <w:rFonts w:ascii="Arial" w:hAnsi="Arial" w:cs="Arial"/>
          <w:sz w:val="22"/>
          <w:szCs w:val="22"/>
        </w:rPr>
        <w:t>Katsas</w:t>
      </w:r>
      <w:proofErr w:type="spellEnd"/>
      <w:r w:rsidRPr="00456CD4">
        <w:rPr>
          <w:rFonts w:ascii="Arial" w:hAnsi="Arial" w:cs="Arial"/>
          <w:sz w:val="22"/>
          <w:szCs w:val="22"/>
        </w:rPr>
        <w:t xml:space="preserve">, K., Karnaki, P., </w:t>
      </w:r>
      <w:proofErr w:type="spellStart"/>
      <w:r w:rsidRPr="00456CD4">
        <w:rPr>
          <w:rFonts w:ascii="Arial" w:hAnsi="Arial" w:cs="Arial"/>
          <w:sz w:val="22"/>
          <w:szCs w:val="22"/>
        </w:rPr>
        <w:t>Tsiampalis</w:t>
      </w:r>
      <w:proofErr w:type="spellEnd"/>
      <w:r w:rsidRPr="00456CD4">
        <w:rPr>
          <w:rFonts w:ascii="Arial" w:hAnsi="Arial" w:cs="Arial"/>
          <w:sz w:val="22"/>
          <w:szCs w:val="22"/>
        </w:rPr>
        <w:t xml:space="preserve">, T., Sakowski, P., </w:t>
      </w:r>
      <w:proofErr w:type="spellStart"/>
      <w:r w:rsidRPr="00456CD4">
        <w:rPr>
          <w:rFonts w:ascii="Arial" w:hAnsi="Arial" w:cs="Arial"/>
          <w:sz w:val="22"/>
          <w:szCs w:val="22"/>
        </w:rPr>
        <w:t>Christophi</w:t>
      </w:r>
      <w:proofErr w:type="spellEnd"/>
      <w:r w:rsidRPr="00456CD4">
        <w:rPr>
          <w:rFonts w:ascii="Arial" w:hAnsi="Arial" w:cs="Arial"/>
          <w:sz w:val="22"/>
          <w:szCs w:val="22"/>
        </w:rPr>
        <w:t>, C.A., Ioannidou, E., Darias-</w:t>
      </w:r>
      <w:proofErr w:type="spellStart"/>
      <w:r w:rsidRPr="00456CD4">
        <w:rPr>
          <w:rFonts w:ascii="Arial" w:hAnsi="Arial" w:cs="Arial"/>
          <w:sz w:val="22"/>
          <w:szCs w:val="22"/>
        </w:rPr>
        <w:t>Curvo</w:t>
      </w:r>
      <w:proofErr w:type="spellEnd"/>
      <w:r w:rsidRPr="00456CD4">
        <w:rPr>
          <w:rFonts w:ascii="Arial" w:hAnsi="Arial" w:cs="Arial"/>
          <w:sz w:val="22"/>
          <w:szCs w:val="22"/>
        </w:rPr>
        <w:t xml:space="preserve">, S., </w:t>
      </w:r>
      <w:proofErr w:type="spellStart"/>
      <w:r w:rsidRPr="00456CD4">
        <w:rPr>
          <w:rFonts w:ascii="Arial" w:hAnsi="Arial" w:cs="Arial"/>
          <w:sz w:val="22"/>
          <w:szCs w:val="22"/>
        </w:rPr>
        <w:t>Batury</w:t>
      </w:r>
      <w:proofErr w:type="spellEnd"/>
      <w:r w:rsidRPr="00456CD4">
        <w:rPr>
          <w:rFonts w:ascii="Arial" w:hAnsi="Arial" w:cs="Arial"/>
          <w:sz w:val="22"/>
          <w:szCs w:val="22"/>
        </w:rPr>
        <w:t xml:space="preserve">, V.-L., Berth, H., </w:t>
      </w:r>
      <w:proofErr w:type="spellStart"/>
      <w:r w:rsidRPr="00456CD4">
        <w:rPr>
          <w:rFonts w:ascii="Arial" w:hAnsi="Arial" w:cs="Arial"/>
          <w:sz w:val="22"/>
          <w:szCs w:val="22"/>
        </w:rPr>
        <w:t>Zscheppang</w:t>
      </w:r>
      <w:proofErr w:type="spellEnd"/>
      <w:r w:rsidRPr="00456CD4">
        <w:rPr>
          <w:rFonts w:ascii="Arial" w:hAnsi="Arial" w:cs="Arial"/>
          <w:sz w:val="22"/>
          <w:szCs w:val="22"/>
        </w:rPr>
        <w:t xml:space="preserve">, A., Linke, M., </w:t>
      </w:r>
      <w:proofErr w:type="spellStart"/>
      <w:r w:rsidRPr="00456CD4">
        <w:rPr>
          <w:rFonts w:ascii="Arial" w:hAnsi="Arial" w:cs="Arial"/>
          <w:sz w:val="22"/>
          <w:szCs w:val="22"/>
        </w:rPr>
        <w:t>Themistokleous</w:t>
      </w:r>
      <w:proofErr w:type="spellEnd"/>
      <w:r w:rsidRPr="00456CD4">
        <w:rPr>
          <w:rFonts w:ascii="Arial" w:hAnsi="Arial" w:cs="Arial"/>
          <w:sz w:val="22"/>
          <w:szCs w:val="22"/>
        </w:rPr>
        <w:t xml:space="preserve">, S., </w:t>
      </w:r>
      <w:proofErr w:type="spellStart"/>
      <w:r w:rsidRPr="00456CD4">
        <w:rPr>
          <w:rFonts w:ascii="Arial" w:hAnsi="Arial" w:cs="Arial"/>
          <w:sz w:val="22"/>
          <w:szCs w:val="22"/>
        </w:rPr>
        <w:t>Veloudaki</w:t>
      </w:r>
      <w:proofErr w:type="spellEnd"/>
      <w:r w:rsidRPr="00456CD4">
        <w:rPr>
          <w:rFonts w:ascii="Arial" w:hAnsi="Arial" w:cs="Arial"/>
          <w:sz w:val="22"/>
          <w:szCs w:val="22"/>
        </w:rPr>
        <w:t xml:space="preserve">, A. and Linos, A. (2023). Essential Skills for Health Communication, Barriers, Facilitators and the Need for Training: Perceptions of Healthcare Professionals from Seven European Countries. </w:t>
      </w:r>
      <w:r w:rsidRPr="00456CD4">
        <w:rPr>
          <w:rFonts w:ascii="Arial" w:hAnsi="Arial" w:cs="Arial"/>
          <w:i/>
          <w:iCs/>
          <w:sz w:val="22"/>
          <w:szCs w:val="22"/>
        </w:rPr>
        <w:t>Healthcare</w:t>
      </w:r>
      <w:r w:rsidRPr="00456CD4">
        <w:rPr>
          <w:rFonts w:ascii="Arial" w:hAnsi="Arial" w:cs="Arial"/>
          <w:sz w:val="22"/>
          <w:szCs w:val="22"/>
        </w:rPr>
        <w:t xml:space="preserve">, 11(14). </w:t>
      </w:r>
      <w:proofErr w:type="spellStart"/>
      <w:proofErr w:type="gramStart"/>
      <w:r w:rsidRPr="00456CD4">
        <w:rPr>
          <w:rFonts w:ascii="Arial" w:hAnsi="Arial" w:cs="Arial"/>
          <w:sz w:val="22"/>
          <w:szCs w:val="22"/>
        </w:rPr>
        <w:t>doi:https</w:t>
      </w:r>
      <w:proofErr w:type="spellEnd"/>
      <w:r w:rsidRPr="00456CD4">
        <w:rPr>
          <w:rFonts w:ascii="Arial" w:hAnsi="Arial" w:cs="Arial"/>
          <w:sz w:val="22"/>
          <w:szCs w:val="22"/>
        </w:rPr>
        <w:t>://doi.org/10.3390/healthcare11142058</w:t>
      </w:r>
      <w:proofErr w:type="gramEnd"/>
      <w:r w:rsidRPr="00456CD4">
        <w:rPr>
          <w:rFonts w:ascii="Arial" w:hAnsi="Arial" w:cs="Arial"/>
          <w:sz w:val="22"/>
          <w:szCs w:val="22"/>
        </w:rPr>
        <w:t>.</w:t>
      </w:r>
    </w:p>
    <w:p w14:paraId="00000055" w14:textId="77777777" w:rsidR="00C97C05" w:rsidRPr="0083422B" w:rsidRDefault="00C97C05">
      <w:pPr>
        <w:spacing w:line="360" w:lineRule="auto"/>
        <w:jc w:val="both"/>
        <w:rPr>
          <w:rFonts w:eastAsia="Times New Roman"/>
        </w:rPr>
      </w:pPr>
    </w:p>
    <w:sectPr w:rsidR="00C97C05" w:rsidRPr="0083422B" w:rsidSect="0083422B">
      <w:foot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94498" w14:textId="77777777" w:rsidR="00D22F4F" w:rsidRDefault="00D22F4F">
      <w:pPr>
        <w:spacing w:line="240" w:lineRule="auto"/>
      </w:pPr>
      <w:r>
        <w:separator/>
      </w:r>
    </w:p>
  </w:endnote>
  <w:endnote w:type="continuationSeparator" w:id="0">
    <w:p w14:paraId="786A2F37" w14:textId="77777777" w:rsidR="00D22F4F" w:rsidRDefault="00D22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FAAD844-9ABF-4D46-A3B0-9B71FD3BA265}"/>
    <w:embedBold r:id="rId2" w:fontKey="{F88EAED5-DA39-45AD-A680-A6C980B1D316}"/>
  </w:font>
  <w:font w:name="Tahoma">
    <w:panose1 w:val="020B0604030504040204"/>
    <w:charset w:val="00"/>
    <w:family w:val="swiss"/>
    <w:pitch w:val="variable"/>
    <w:sig w:usb0="E1002EFF" w:usb1="C000605B" w:usb2="00000029" w:usb3="00000000" w:csb0="000101FF" w:csb1="00000000"/>
    <w:embedRegular r:id="rId3" w:fontKey="{86F1E19F-23F3-4926-86F7-4F395305F9AB}"/>
  </w:font>
  <w:font w:name="Cambria Math">
    <w:panose1 w:val="02040503050406030204"/>
    <w:charset w:val="00"/>
    <w:family w:val="roman"/>
    <w:pitch w:val="variable"/>
    <w:sig w:usb0="E00006FF" w:usb1="420024FF" w:usb2="02000000" w:usb3="00000000" w:csb0="0000019F" w:csb1="00000000"/>
    <w:embedRegular r:id="rId4" w:fontKey="{6491201A-FE4A-4F29-884E-C2A392D6BF1D}"/>
  </w:font>
  <w:font w:name="Cambria">
    <w:panose1 w:val="02040503050406030204"/>
    <w:charset w:val="00"/>
    <w:family w:val="roman"/>
    <w:pitch w:val="variable"/>
    <w:sig w:usb0="E00006FF" w:usb1="420024FF" w:usb2="02000000" w:usb3="00000000" w:csb0="0000019F" w:csb1="00000000"/>
    <w:embedRegular r:id="rId5" w:fontKey="{578EC745-14B3-4C50-816F-EC44CAD9E6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4628"/>
      <w:docPartObj>
        <w:docPartGallery w:val="Page Numbers (Bottom of Page)"/>
        <w:docPartUnique/>
      </w:docPartObj>
    </w:sdtPr>
    <w:sdtEndPr>
      <w:rPr>
        <w:noProof/>
      </w:rPr>
    </w:sdtEndPr>
    <w:sdtContent>
      <w:p w14:paraId="5B45216C" w14:textId="19029122" w:rsidR="0083422B" w:rsidRDefault="00393622">
        <w:pPr>
          <w:pStyle w:val="Footer"/>
          <w:jc w:val="right"/>
        </w:pPr>
        <w:r>
          <w:fldChar w:fldCharType="begin"/>
        </w:r>
        <w:r>
          <w:instrText xml:space="preserve"> PAGE   \* MERGEFORMAT </w:instrText>
        </w:r>
        <w:r>
          <w:fldChar w:fldCharType="separate"/>
        </w:r>
        <w:r w:rsidR="00456CD4">
          <w:rPr>
            <w:noProof/>
          </w:rPr>
          <w:t>2</w:t>
        </w:r>
        <w:r>
          <w:rPr>
            <w:noProof/>
          </w:rPr>
          <w:fldChar w:fldCharType="end"/>
        </w:r>
      </w:p>
    </w:sdtContent>
  </w:sdt>
  <w:p w14:paraId="15250590" w14:textId="77777777" w:rsidR="0083422B" w:rsidRDefault="00834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B437D" w14:textId="77777777" w:rsidR="00D22F4F" w:rsidRDefault="00D22F4F">
      <w:pPr>
        <w:spacing w:line="240" w:lineRule="auto"/>
      </w:pPr>
      <w:r>
        <w:separator/>
      </w:r>
    </w:p>
  </w:footnote>
  <w:footnote w:type="continuationSeparator" w:id="0">
    <w:p w14:paraId="2C4FC7A4" w14:textId="77777777" w:rsidR="00D22F4F" w:rsidRDefault="00D22F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C05"/>
    <w:rsid w:val="000A3C6A"/>
    <w:rsid w:val="0017626D"/>
    <w:rsid w:val="002D6C91"/>
    <w:rsid w:val="00333236"/>
    <w:rsid w:val="00393622"/>
    <w:rsid w:val="00456CD4"/>
    <w:rsid w:val="00484B0F"/>
    <w:rsid w:val="005674B5"/>
    <w:rsid w:val="00597E55"/>
    <w:rsid w:val="006D5C53"/>
    <w:rsid w:val="0083422B"/>
    <w:rsid w:val="008E08D0"/>
    <w:rsid w:val="00B81894"/>
    <w:rsid w:val="00BF17EC"/>
    <w:rsid w:val="00C97C05"/>
    <w:rsid w:val="00D22F4F"/>
    <w:rsid w:val="00EF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6F3A8"/>
  <w15:docId w15:val="{5AD62C5E-5459-402D-A7F0-746479B0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F5196"/>
    <w:pPr>
      <w:keepNext/>
      <w:keepLines/>
      <w:spacing w:before="400" w:after="120" w:line="360" w:lineRule="auto"/>
      <w:jc w:val="both"/>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3422B"/>
    <w:pPr>
      <w:tabs>
        <w:tab w:val="center" w:pos="4513"/>
        <w:tab w:val="right" w:pos="9026"/>
      </w:tabs>
      <w:spacing w:line="240" w:lineRule="auto"/>
    </w:pPr>
  </w:style>
  <w:style w:type="character" w:customStyle="1" w:styleId="HeaderChar">
    <w:name w:val="Header Char"/>
    <w:basedOn w:val="DefaultParagraphFont"/>
    <w:link w:val="Header"/>
    <w:uiPriority w:val="99"/>
    <w:rsid w:val="0083422B"/>
  </w:style>
  <w:style w:type="paragraph" w:styleId="Footer">
    <w:name w:val="footer"/>
    <w:basedOn w:val="Normal"/>
    <w:link w:val="FooterChar"/>
    <w:uiPriority w:val="99"/>
    <w:unhideWhenUsed/>
    <w:rsid w:val="0083422B"/>
    <w:pPr>
      <w:tabs>
        <w:tab w:val="center" w:pos="4513"/>
        <w:tab w:val="right" w:pos="9026"/>
      </w:tabs>
      <w:spacing w:line="240" w:lineRule="auto"/>
    </w:pPr>
  </w:style>
  <w:style w:type="character" w:customStyle="1" w:styleId="FooterChar">
    <w:name w:val="Footer Char"/>
    <w:basedOn w:val="DefaultParagraphFont"/>
    <w:link w:val="Footer"/>
    <w:uiPriority w:val="99"/>
    <w:rsid w:val="0083422B"/>
  </w:style>
  <w:style w:type="paragraph" w:styleId="NormalWeb">
    <w:name w:val="Normal (Web)"/>
    <w:basedOn w:val="Normal"/>
    <w:uiPriority w:val="99"/>
    <w:unhideWhenUsed/>
    <w:rsid w:val="002D6C9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2D6C91"/>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D6C91"/>
    <w:pPr>
      <w:spacing w:after="100"/>
    </w:pPr>
  </w:style>
  <w:style w:type="character" w:styleId="Hyperlink">
    <w:name w:val="Hyperlink"/>
    <w:basedOn w:val="DefaultParagraphFont"/>
    <w:uiPriority w:val="99"/>
    <w:unhideWhenUsed/>
    <w:rsid w:val="002D6C91"/>
    <w:rPr>
      <w:color w:val="0000FF" w:themeColor="hyperlink"/>
      <w:u w:val="single"/>
    </w:rPr>
  </w:style>
  <w:style w:type="paragraph" w:styleId="BalloonText">
    <w:name w:val="Balloon Text"/>
    <w:basedOn w:val="Normal"/>
    <w:link w:val="BalloonTextChar"/>
    <w:uiPriority w:val="99"/>
    <w:semiHidden/>
    <w:unhideWhenUsed/>
    <w:rsid w:val="002D6C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C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716971">
      <w:bodyDiv w:val="1"/>
      <w:marLeft w:val="0"/>
      <w:marRight w:val="0"/>
      <w:marTop w:val="0"/>
      <w:marBottom w:val="0"/>
      <w:divBdr>
        <w:top w:val="none" w:sz="0" w:space="0" w:color="auto"/>
        <w:left w:val="none" w:sz="0" w:space="0" w:color="auto"/>
        <w:bottom w:val="none" w:sz="0" w:space="0" w:color="auto"/>
        <w:right w:val="none" w:sz="0" w:space="0" w:color="auto"/>
      </w:divBdr>
      <w:divsChild>
        <w:div w:id="16086133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2C0CE-2BE1-4BB2-BDC8-9634E8981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3619</Words>
  <Characters>20631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 Andom</dc:creator>
  <cp:lastModifiedBy>Abraham Andom</cp:lastModifiedBy>
  <cp:revision>2</cp:revision>
  <dcterms:created xsi:type="dcterms:W3CDTF">2026-03-27T12:19:00Z</dcterms:created>
  <dcterms:modified xsi:type="dcterms:W3CDTF">2026-03-27T12:19:00Z</dcterms:modified>
</cp:coreProperties>
</file>