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16212" w14:textId="25B8390D" w:rsidR="00DF4774" w:rsidRPr="00DF4774" w:rsidRDefault="00DF4774" w:rsidP="00FF0D21">
      <w:pPr>
        <w:jc w:val="center"/>
        <w:rPr>
          <w:b/>
          <w:bCs/>
        </w:rPr>
      </w:pPr>
      <w:r w:rsidRPr="00DF4774">
        <w:rPr>
          <w:b/>
          <w:noProof/>
        </w:rPr>
        <w:drawing>
          <wp:inline distT="0" distB="0" distL="0" distR="0" wp14:anchorId="0B6CC3D4" wp14:editId="4708552B">
            <wp:extent cx="4335780" cy="1478280"/>
            <wp:effectExtent l="0" t="0" r="7620" b="7620"/>
            <wp:docPr id="17953255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5780" cy="1478280"/>
                    </a:xfrm>
                    <a:prstGeom prst="rect">
                      <a:avLst/>
                    </a:prstGeom>
                    <a:noFill/>
                    <a:ln>
                      <a:noFill/>
                    </a:ln>
                  </pic:spPr>
                </pic:pic>
              </a:graphicData>
            </a:graphic>
          </wp:inline>
        </w:drawing>
      </w:r>
    </w:p>
    <w:p w14:paraId="583C465F" w14:textId="77777777" w:rsidR="00DF4774" w:rsidRPr="00DF4774" w:rsidRDefault="00DF4774" w:rsidP="00FF0D21">
      <w:pPr>
        <w:jc w:val="center"/>
        <w:rPr>
          <w:b/>
          <w:bCs/>
        </w:rPr>
      </w:pPr>
    </w:p>
    <w:p w14:paraId="1B6491B1" w14:textId="77777777" w:rsidR="00DF4774" w:rsidRPr="00DF4774" w:rsidRDefault="00DF4774" w:rsidP="00FF0D21">
      <w:pPr>
        <w:jc w:val="center"/>
        <w:rPr>
          <w:b/>
          <w:bCs/>
        </w:rPr>
      </w:pPr>
    </w:p>
    <w:p w14:paraId="7C35EB58" w14:textId="77777777" w:rsidR="00DF4774" w:rsidRPr="00DF4774" w:rsidRDefault="00DF4774" w:rsidP="00FF0D21">
      <w:pPr>
        <w:jc w:val="center"/>
      </w:pPr>
    </w:p>
    <w:p w14:paraId="3B928A14" w14:textId="5ADF89CA" w:rsidR="00DF4774" w:rsidRPr="00DF4774" w:rsidRDefault="00DF4774" w:rsidP="00FF0D21">
      <w:pPr>
        <w:jc w:val="center"/>
        <w:rPr>
          <w:b/>
          <w:bCs/>
        </w:rPr>
      </w:pPr>
      <w:r w:rsidRPr="00DF4774">
        <w:rPr>
          <w:b/>
          <w:bCs/>
        </w:rPr>
        <w:t>Student Name:</w:t>
      </w:r>
      <w:r w:rsidR="00FE5D23">
        <w:rPr>
          <w:b/>
          <w:bCs/>
        </w:rPr>
        <w:t xml:space="preserve"> Sadhana Kumari</w:t>
      </w:r>
    </w:p>
    <w:p w14:paraId="7FC7E586" w14:textId="39D7F5AE" w:rsidR="00DF4774" w:rsidRPr="00DF4774" w:rsidRDefault="00DF4774" w:rsidP="00FF0D21">
      <w:pPr>
        <w:jc w:val="center"/>
        <w:rPr>
          <w:b/>
          <w:bCs/>
        </w:rPr>
      </w:pPr>
      <w:r w:rsidRPr="00DF4774">
        <w:rPr>
          <w:b/>
          <w:bCs/>
        </w:rPr>
        <w:t>Student ID:</w:t>
      </w:r>
      <w:r w:rsidR="00FE5D23">
        <w:rPr>
          <w:b/>
          <w:bCs/>
        </w:rPr>
        <w:t xml:space="preserve"> 2413773</w:t>
      </w:r>
    </w:p>
    <w:p w14:paraId="32BD31BA" w14:textId="77777777" w:rsidR="00DF4774" w:rsidRPr="00DF4774" w:rsidRDefault="00DF4774" w:rsidP="00FF0D21">
      <w:pPr>
        <w:jc w:val="center"/>
        <w:rPr>
          <w:b/>
          <w:bCs/>
        </w:rPr>
      </w:pPr>
    </w:p>
    <w:p w14:paraId="1F2983B7" w14:textId="77777777" w:rsidR="00DF4774" w:rsidRPr="00DF4774" w:rsidRDefault="00DF4774" w:rsidP="00FF0D21">
      <w:pPr>
        <w:jc w:val="center"/>
        <w:rPr>
          <w:b/>
          <w:bCs/>
        </w:rPr>
      </w:pPr>
    </w:p>
    <w:p w14:paraId="16AEC07A" w14:textId="09B2B453" w:rsidR="00DF4774" w:rsidRPr="00DF4774" w:rsidRDefault="00DF4774" w:rsidP="00FF0D21">
      <w:pPr>
        <w:jc w:val="center"/>
        <w:rPr>
          <w:b/>
          <w:bCs/>
        </w:rPr>
      </w:pPr>
      <w:r w:rsidRPr="00DF4774">
        <w:rPr>
          <w:b/>
          <w:bCs/>
        </w:rPr>
        <w:t xml:space="preserve">Module Name: </w:t>
      </w:r>
      <w:r w:rsidR="00FE5D23">
        <w:rPr>
          <w:b/>
          <w:bCs/>
        </w:rPr>
        <w:t xml:space="preserve"> Financial Management</w:t>
      </w:r>
    </w:p>
    <w:p w14:paraId="491AB640" w14:textId="2A7D9FC1" w:rsidR="00DF4774" w:rsidRPr="00DF4774" w:rsidRDefault="00DF4774" w:rsidP="00FF0D21">
      <w:pPr>
        <w:jc w:val="center"/>
        <w:rPr>
          <w:b/>
          <w:bCs/>
        </w:rPr>
      </w:pPr>
      <w:r w:rsidRPr="00DF4774">
        <w:rPr>
          <w:b/>
          <w:bCs/>
        </w:rPr>
        <w:t xml:space="preserve">Module Code: </w:t>
      </w:r>
      <w:r w:rsidR="00FE5D23">
        <w:rPr>
          <w:b/>
          <w:bCs/>
        </w:rPr>
        <w:t>LCMB7002_LON</w:t>
      </w:r>
    </w:p>
    <w:p w14:paraId="20CE9C5B" w14:textId="77777777" w:rsidR="00DF4774" w:rsidRPr="00DF4774" w:rsidRDefault="00DF4774" w:rsidP="00FF0D21">
      <w:pPr>
        <w:jc w:val="center"/>
        <w:rPr>
          <w:b/>
          <w:bCs/>
        </w:rPr>
      </w:pPr>
    </w:p>
    <w:p w14:paraId="31510023" w14:textId="77777777" w:rsidR="00DF4774" w:rsidRPr="00DF4774" w:rsidRDefault="00DF4774" w:rsidP="00FF0D21">
      <w:pPr>
        <w:jc w:val="center"/>
        <w:rPr>
          <w:b/>
          <w:bCs/>
        </w:rPr>
      </w:pPr>
    </w:p>
    <w:p w14:paraId="0B7F1795" w14:textId="064DED10" w:rsidR="00DF4774" w:rsidRPr="00DF4774" w:rsidRDefault="00DF4774" w:rsidP="00FF0D21">
      <w:pPr>
        <w:jc w:val="center"/>
        <w:rPr>
          <w:b/>
          <w:bCs/>
        </w:rPr>
      </w:pPr>
      <w:r w:rsidRPr="00DF4774">
        <w:rPr>
          <w:b/>
          <w:bCs/>
        </w:rPr>
        <w:t>Lecturer’s Name:</w:t>
      </w:r>
      <w:r w:rsidRPr="00DF4774">
        <w:t xml:space="preserve"> </w:t>
      </w:r>
      <w:r w:rsidR="00FE5D23">
        <w:t>Dr Shengfeng Mei</w:t>
      </w:r>
    </w:p>
    <w:p w14:paraId="25B872F1" w14:textId="77777777" w:rsidR="00DF4774" w:rsidRPr="00DF4774" w:rsidRDefault="00DF4774" w:rsidP="00FF0D21">
      <w:pPr>
        <w:jc w:val="center"/>
        <w:rPr>
          <w:b/>
          <w:bCs/>
        </w:rPr>
      </w:pPr>
    </w:p>
    <w:p w14:paraId="301E49CA" w14:textId="77777777" w:rsidR="00DF4774" w:rsidRPr="00DF4774" w:rsidRDefault="00DF4774" w:rsidP="00FF0D21">
      <w:pPr>
        <w:jc w:val="center"/>
        <w:rPr>
          <w:b/>
          <w:bCs/>
        </w:rPr>
      </w:pPr>
    </w:p>
    <w:p w14:paraId="150193BE" w14:textId="128D7E86" w:rsidR="00DF4774" w:rsidRPr="00DF4774" w:rsidRDefault="00DF4774" w:rsidP="00FF0D21">
      <w:pPr>
        <w:jc w:val="center"/>
        <w:rPr>
          <w:b/>
          <w:bCs/>
        </w:rPr>
      </w:pPr>
    </w:p>
    <w:p w14:paraId="788D8CD4" w14:textId="77777777" w:rsidR="00DF4774" w:rsidRPr="00DF4774" w:rsidRDefault="00DF4774" w:rsidP="00FF0D21">
      <w:pPr>
        <w:jc w:val="center"/>
        <w:rPr>
          <w:b/>
          <w:bCs/>
        </w:rPr>
      </w:pPr>
      <w:r w:rsidRPr="00DF4774">
        <w:rPr>
          <w:b/>
          <w:bCs/>
        </w:rPr>
        <w:t xml:space="preserve">                                                              </w:t>
      </w:r>
    </w:p>
    <w:p w14:paraId="696092AE" w14:textId="77777777" w:rsidR="00DF4774" w:rsidRPr="00DF4774" w:rsidRDefault="00DF4774" w:rsidP="00FF0D21">
      <w:pPr>
        <w:jc w:val="center"/>
        <w:rPr>
          <w:b/>
          <w:bCs/>
        </w:rPr>
      </w:pPr>
    </w:p>
    <w:p w14:paraId="38E80C2E" w14:textId="77777777" w:rsidR="00DF4774" w:rsidRPr="00DF4774" w:rsidRDefault="00DF4774" w:rsidP="00FF0D21">
      <w:pPr>
        <w:jc w:val="center"/>
        <w:rPr>
          <w:b/>
          <w:bCs/>
        </w:rPr>
      </w:pPr>
    </w:p>
    <w:p w14:paraId="39281AED" w14:textId="77777777" w:rsidR="00DF4774" w:rsidRPr="00DF4774" w:rsidRDefault="00DF4774" w:rsidP="00FF0D21">
      <w:pPr>
        <w:jc w:val="center"/>
        <w:rPr>
          <w:b/>
          <w:bCs/>
        </w:rPr>
      </w:pPr>
    </w:p>
    <w:p w14:paraId="529DC43F" w14:textId="77777777" w:rsidR="00DF4774" w:rsidRPr="00DF4774" w:rsidRDefault="00DF4774" w:rsidP="00FF0D21">
      <w:pPr>
        <w:jc w:val="center"/>
        <w:rPr>
          <w:b/>
          <w:bCs/>
        </w:rPr>
      </w:pPr>
      <w:r w:rsidRPr="00DF4774">
        <w:rPr>
          <w:b/>
          <w:bCs/>
        </w:rPr>
        <w:t xml:space="preserve">Term </w:t>
      </w:r>
    </w:p>
    <w:p w14:paraId="097E900A" w14:textId="4535CB3A" w:rsidR="00DF4774" w:rsidRPr="00DF4774" w:rsidRDefault="00E66BBA" w:rsidP="00FF0D21">
      <w:pPr>
        <w:jc w:val="center"/>
        <w:rPr>
          <w:b/>
          <w:bCs/>
        </w:rPr>
        <w:sectPr w:rsidR="00DF4774" w:rsidRPr="00DF4774" w:rsidSect="00DF477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sectPr>
      </w:pPr>
      <w:r>
        <w:rPr>
          <w:b/>
          <w:bCs/>
        </w:rPr>
        <w:t>1</w:t>
      </w:r>
    </w:p>
    <w:p w14:paraId="19497064" w14:textId="770F97E4" w:rsidR="004F439E" w:rsidRPr="004F439E" w:rsidRDefault="004F439E" w:rsidP="00FF0D21">
      <w:pPr>
        <w:jc w:val="center"/>
        <w:rPr>
          <w:b/>
          <w:bCs/>
          <w:sz w:val="32"/>
          <w:szCs w:val="32"/>
        </w:rPr>
      </w:pPr>
      <w:r>
        <w:rPr>
          <w:b/>
          <w:bCs/>
          <w:sz w:val="32"/>
          <w:szCs w:val="32"/>
        </w:rPr>
        <w:lastRenderedPageBreak/>
        <w:t>Acknowledgment</w:t>
      </w:r>
    </w:p>
    <w:p w14:paraId="5FB9FC4C" w14:textId="77777777" w:rsidR="0045400B" w:rsidRDefault="0045400B" w:rsidP="00FF0D21"/>
    <w:p w14:paraId="4BC68DB3" w14:textId="66CBA41E" w:rsidR="00C665B7" w:rsidRPr="00C665B7" w:rsidRDefault="00C665B7" w:rsidP="00FF0D21">
      <w:r w:rsidRPr="00C665B7">
        <w:t>While working on this assignment I used Claude AI</w:t>
      </w:r>
      <w:r w:rsidR="00FF0D21">
        <w:t xml:space="preserve"> </w:t>
      </w:r>
      <w:r w:rsidRPr="00C665B7">
        <w:t>at various points between February and April 2026. Mainly I used it to help me find and double-check Tesla's financial data from the SEC 10-K reports across the five years, because there was a lot of numbers involved and I wanted to make sure I was working from accurate figures. I also used it towards the end to read over parts of my writing and flag any grammar mistakes I might have missed.</w:t>
      </w:r>
    </w:p>
    <w:p w14:paraId="1B36DE00" w14:textId="77777777" w:rsidR="00C665B7" w:rsidRPr="00C665B7" w:rsidRDefault="00C665B7" w:rsidP="00FF0D21">
      <w:r w:rsidRPr="00C665B7">
        <w:t>The kinds of things I asked it were:</w:t>
      </w:r>
    </w:p>
    <w:p w14:paraId="22EF74E7" w14:textId="77777777" w:rsidR="00C665B7" w:rsidRPr="00C665B7" w:rsidRDefault="00C665B7" w:rsidP="00FF0D21">
      <w:pPr>
        <w:pStyle w:val="ListParagraph"/>
        <w:numPr>
          <w:ilvl w:val="0"/>
          <w:numId w:val="5"/>
        </w:numPr>
        <w:spacing w:line="360" w:lineRule="auto"/>
      </w:pPr>
      <w:r w:rsidRPr="00C665B7">
        <w:t>Can you pull up Tesla's revenue, profit and balance sheet figures from the 10-K filings for 2021 through to 2025?</w:t>
      </w:r>
    </w:p>
    <w:p w14:paraId="57647FA8" w14:textId="77777777" w:rsidR="00C665B7" w:rsidRPr="00C665B7" w:rsidRDefault="00C665B7" w:rsidP="00FF0D21">
      <w:pPr>
        <w:pStyle w:val="ListParagraph"/>
        <w:numPr>
          <w:ilvl w:val="0"/>
          <w:numId w:val="5"/>
        </w:numPr>
        <w:spacing w:line="360" w:lineRule="auto"/>
      </w:pPr>
      <w:r w:rsidRPr="00C665B7">
        <w:t>Have I calculated these ratios correctly based on the financial data?</w:t>
      </w:r>
    </w:p>
    <w:p w14:paraId="458243A5" w14:textId="77777777" w:rsidR="00C665B7" w:rsidRPr="00C665B7" w:rsidRDefault="00C665B7" w:rsidP="00FF0D21">
      <w:pPr>
        <w:pStyle w:val="ListParagraph"/>
        <w:numPr>
          <w:ilvl w:val="0"/>
          <w:numId w:val="5"/>
        </w:numPr>
        <w:spacing w:line="360" w:lineRule="auto"/>
      </w:pPr>
      <w:r w:rsidRPr="00C665B7">
        <w:t>Can you check this paragraph for any grammar or spelling issues?</w:t>
      </w:r>
    </w:p>
    <w:p w14:paraId="2B29245B" w14:textId="75323879" w:rsidR="00C50367" w:rsidRDefault="00FF0D21" w:rsidP="00FF0D21">
      <w:pPr>
        <w:sectPr w:rsidR="00C50367" w:rsidSect="00C1600B">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r w:rsidRPr="00FF0D21">
        <w:t xml:space="preserve">All text in this report is </w:t>
      </w:r>
      <w:r>
        <w:t xml:space="preserve">written </w:t>
      </w:r>
      <w:r w:rsidRPr="00FF0D21">
        <w:t>by me. I did not use AI to write any portion of it or have it organized for me. Throughout, I have kept copies of my notes and early drafts (I can show you these if necessary).</w:t>
      </w:r>
    </w:p>
    <w:sdt>
      <w:sdtPr>
        <w:rPr>
          <w:rFonts w:ascii="Arial" w:eastAsia="Arial" w:hAnsi="Arial" w:cs="Arial"/>
          <w:color w:val="auto"/>
          <w:sz w:val="24"/>
          <w:szCs w:val="24"/>
          <w:lang w:val="en-IN" w:eastAsia="en-IN"/>
        </w:rPr>
        <w:id w:val="955753428"/>
        <w:docPartObj>
          <w:docPartGallery w:val="Table of Contents"/>
          <w:docPartUnique/>
        </w:docPartObj>
      </w:sdtPr>
      <w:sdtEndPr>
        <w:rPr>
          <w:b/>
          <w:bCs/>
          <w:noProof/>
        </w:rPr>
      </w:sdtEndPr>
      <w:sdtContent>
        <w:p w14:paraId="6F4238B7" w14:textId="3E31EDC7" w:rsidR="0045400B" w:rsidRDefault="0045400B" w:rsidP="00FF0D21">
          <w:pPr>
            <w:pStyle w:val="TOCHeading"/>
            <w:spacing w:line="360" w:lineRule="auto"/>
          </w:pPr>
          <w:r>
            <w:t>Table of Contents</w:t>
          </w:r>
        </w:p>
        <w:p w14:paraId="7869C04C" w14:textId="01279773" w:rsidR="008A7300" w:rsidRDefault="0045400B" w:rsidP="00FF0D21">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7865614" w:history="1">
            <w:r>
              <w:rPr>
                <w:rStyle w:val="Hyperlink"/>
                <w:noProof/>
              </w:rPr>
              <w:t>Introduction</w:t>
            </w:r>
            <w:r>
              <w:rPr>
                <w:noProof/>
                <w:webHidden/>
              </w:rPr>
              <w:tab/>
            </w:r>
            <w:r>
              <w:rPr>
                <w:noProof/>
                <w:webHidden/>
              </w:rPr>
              <w:fldChar w:fldCharType="begin"/>
            </w:r>
            <w:r>
              <w:rPr>
                <w:noProof/>
                <w:webHidden/>
              </w:rPr>
              <w:instrText xml:space="preserve"> PAGEREF _Toc227865614 \h </w:instrText>
            </w:r>
            <w:r>
              <w:rPr>
                <w:noProof/>
                <w:webHidden/>
              </w:rPr>
            </w:r>
            <w:r>
              <w:rPr>
                <w:noProof/>
                <w:webHidden/>
              </w:rPr>
              <w:fldChar w:fldCharType="separate"/>
            </w:r>
            <w:r>
              <w:rPr>
                <w:noProof/>
                <w:webHidden/>
              </w:rPr>
              <w:t>5</w:t>
            </w:r>
            <w:r>
              <w:rPr>
                <w:noProof/>
                <w:webHidden/>
              </w:rPr>
              <w:fldChar w:fldCharType="end"/>
            </w:r>
          </w:hyperlink>
        </w:p>
        <w:p w14:paraId="0C03192D" w14:textId="3262ACE4" w:rsidR="008A7300" w:rsidRDefault="008A7300" w:rsidP="00FF0D21">
          <w:pPr>
            <w:pStyle w:val="TOC1"/>
            <w:tabs>
              <w:tab w:val="right" w:leader="dot" w:pos="9016"/>
            </w:tabs>
            <w:rPr>
              <w:rFonts w:asciiTheme="minorHAnsi" w:eastAsiaTheme="minorEastAsia" w:hAnsiTheme="minorHAnsi" w:cstheme="minorBidi"/>
              <w:noProof/>
              <w:kern w:val="2"/>
              <w14:ligatures w14:val="standardContextual"/>
            </w:rPr>
          </w:pPr>
          <w:hyperlink w:anchor="_Toc227865615" w:history="1">
            <w:r>
              <w:rPr>
                <w:rStyle w:val="Hyperlink"/>
                <w:noProof/>
              </w:rPr>
              <w:t>1. Financial Health Check</w:t>
            </w:r>
            <w:r>
              <w:rPr>
                <w:noProof/>
                <w:webHidden/>
              </w:rPr>
              <w:tab/>
            </w:r>
            <w:r>
              <w:rPr>
                <w:noProof/>
                <w:webHidden/>
              </w:rPr>
              <w:fldChar w:fldCharType="begin"/>
            </w:r>
            <w:r>
              <w:rPr>
                <w:noProof/>
                <w:webHidden/>
              </w:rPr>
              <w:instrText xml:space="preserve"> PAGEREF _Toc227865615 \h </w:instrText>
            </w:r>
            <w:r>
              <w:rPr>
                <w:noProof/>
                <w:webHidden/>
              </w:rPr>
            </w:r>
            <w:r>
              <w:rPr>
                <w:noProof/>
                <w:webHidden/>
              </w:rPr>
              <w:fldChar w:fldCharType="separate"/>
            </w:r>
            <w:r>
              <w:rPr>
                <w:noProof/>
                <w:webHidden/>
              </w:rPr>
              <w:t>6</w:t>
            </w:r>
            <w:r>
              <w:rPr>
                <w:noProof/>
                <w:webHidden/>
              </w:rPr>
              <w:fldChar w:fldCharType="end"/>
            </w:r>
          </w:hyperlink>
        </w:p>
        <w:p w14:paraId="6DE986AC" w14:textId="302E69FA"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16" w:history="1">
            <w:r>
              <w:rPr>
                <w:rStyle w:val="Hyperlink"/>
                <w:noProof/>
              </w:rPr>
              <w:t>1.1 Profitability</w:t>
            </w:r>
            <w:r>
              <w:rPr>
                <w:noProof/>
                <w:webHidden/>
              </w:rPr>
              <w:tab/>
            </w:r>
            <w:r>
              <w:rPr>
                <w:noProof/>
                <w:webHidden/>
              </w:rPr>
              <w:fldChar w:fldCharType="begin"/>
            </w:r>
            <w:r>
              <w:rPr>
                <w:noProof/>
                <w:webHidden/>
              </w:rPr>
              <w:instrText xml:space="preserve"> PAGEREF _Toc227865616 \h </w:instrText>
            </w:r>
            <w:r>
              <w:rPr>
                <w:noProof/>
                <w:webHidden/>
              </w:rPr>
            </w:r>
            <w:r>
              <w:rPr>
                <w:noProof/>
                <w:webHidden/>
              </w:rPr>
              <w:fldChar w:fldCharType="separate"/>
            </w:r>
            <w:r>
              <w:rPr>
                <w:noProof/>
                <w:webHidden/>
              </w:rPr>
              <w:t>6</w:t>
            </w:r>
            <w:r>
              <w:rPr>
                <w:noProof/>
                <w:webHidden/>
              </w:rPr>
              <w:fldChar w:fldCharType="end"/>
            </w:r>
          </w:hyperlink>
        </w:p>
        <w:p w14:paraId="32E05E95" w14:textId="63B2C105"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17" w:history="1">
            <w:r>
              <w:rPr>
                <w:rStyle w:val="Hyperlink"/>
                <w:noProof/>
              </w:rPr>
              <w:t>1.2 Liquidity</w:t>
            </w:r>
            <w:r>
              <w:rPr>
                <w:noProof/>
                <w:webHidden/>
              </w:rPr>
              <w:tab/>
            </w:r>
            <w:r>
              <w:rPr>
                <w:noProof/>
                <w:webHidden/>
              </w:rPr>
              <w:fldChar w:fldCharType="begin"/>
            </w:r>
            <w:r>
              <w:rPr>
                <w:noProof/>
                <w:webHidden/>
              </w:rPr>
              <w:instrText xml:space="preserve"> PAGEREF _Toc227865617 \h </w:instrText>
            </w:r>
            <w:r>
              <w:rPr>
                <w:noProof/>
                <w:webHidden/>
              </w:rPr>
            </w:r>
            <w:r>
              <w:rPr>
                <w:noProof/>
                <w:webHidden/>
              </w:rPr>
              <w:fldChar w:fldCharType="separate"/>
            </w:r>
            <w:r>
              <w:rPr>
                <w:noProof/>
                <w:webHidden/>
              </w:rPr>
              <w:t>8</w:t>
            </w:r>
            <w:r>
              <w:rPr>
                <w:noProof/>
                <w:webHidden/>
              </w:rPr>
              <w:fldChar w:fldCharType="end"/>
            </w:r>
          </w:hyperlink>
        </w:p>
        <w:p w14:paraId="64995BC2" w14:textId="373DA7AE"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18" w:history="1">
            <w:r>
              <w:rPr>
                <w:rStyle w:val="Hyperlink"/>
                <w:noProof/>
              </w:rPr>
              <w:t>1.3 Efficiency</w:t>
            </w:r>
            <w:r>
              <w:rPr>
                <w:noProof/>
                <w:webHidden/>
              </w:rPr>
              <w:tab/>
            </w:r>
            <w:r>
              <w:rPr>
                <w:noProof/>
                <w:webHidden/>
              </w:rPr>
              <w:fldChar w:fldCharType="begin"/>
            </w:r>
            <w:r>
              <w:rPr>
                <w:noProof/>
                <w:webHidden/>
              </w:rPr>
              <w:instrText xml:space="preserve"> PAGEREF _Toc227865618 \h </w:instrText>
            </w:r>
            <w:r>
              <w:rPr>
                <w:noProof/>
                <w:webHidden/>
              </w:rPr>
            </w:r>
            <w:r>
              <w:rPr>
                <w:noProof/>
                <w:webHidden/>
              </w:rPr>
              <w:fldChar w:fldCharType="separate"/>
            </w:r>
            <w:r>
              <w:rPr>
                <w:noProof/>
                <w:webHidden/>
              </w:rPr>
              <w:t>9</w:t>
            </w:r>
            <w:r>
              <w:rPr>
                <w:noProof/>
                <w:webHidden/>
              </w:rPr>
              <w:fldChar w:fldCharType="end"/>
            </w:r>
          </w:hyperlink>
        </w:p>
        <w:p w14:paraId="6A621550" w14:textId="3BC38004"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19" w:history="1">
            <w:r>
              <w:rPr>
                <w:rStyle w:val="Hyperlink"/>
                <w:noProof/>
              </w:rPr>
              <w:t>1.4 Gearing</w:t>
            </w:r>
            <w:r>
              <w:rPr>
                <w:noProof/>
                <w:webHidden/>
              </w:rPr>
              <w:tab/>
            </w:r>
            <w:r>
              <w:rPr>
                <w:noProof/>
                <w:webHidden/>
              </w:rPr>
              <w:fldChar w:fldCharType="begin"/>
            </w:r>
            <w:r>
              <w:rPr>
                <w:noProof/>
                <w:webHidden/>
              </w:rPr>
              <w:instrText xml:space="preserve"> PAGEREF _Toc227865619 \h </w:instrText>
            </w:r>
            <w:r>
              <w:rPr>
                <w:noProof/>
                <w:webHidden/>
              </w:rPr>
            </w:r>
            <w:r>
              <w:rPr>
                <w:noProof/>
                <w:webHidden/>
              </w:rPr>
              <w:fldChar w:fldCharType="separate"/>
            </w:r>
            <w:r>
              <w:rPr>
                <w:noProof/>
                <w:webHidden/>
              </w:rPr>
              <w:t>11</w:t>
            </w:r>
            <w:r>
              <w:rPr>
                <w:noProof/>
                <w:webHidden/>
              </w:rPr>
              <w:fldChar w:fldCharType="end"/>
            </w:r>
          </w:hyperlink>
        </w:p>
        <w:p w14:paraId="4FD89739" w14:textId="3006962E"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20" w:history="1">
            <w:r>
              <w:rPr>
                <w:rStyle w:val="Hyperlink"/>
                <w:noProof/>
              </w:rPr>
              <w:t>1.5 Cash Flow</w:t>
            </w:r>
            <w:r>
              <w:rPr>
                <w:noProof/>
                <w:webHidden/>
              </w:rPr>
              <w:tab/>
            </w:r>
            <w:r>
              <w:rPr>
                <w:noProof/>
                <w:webHidden/>
              </w:rPr>
              <w:fldChar w:fldCharType="begin"/>
            </w:r>
            <w:r>
              <w:rPr>
                <w:noProof/>
                <w:webHidden/>
              </w:rPr>
              <w:instrText xml:space="preserve"> PAGEREF _Toc227865620 \h </w:instrText>
            </w:r>
            <w:r>
              <w:rPr>
                <w:noProof/>
                <w:webHidden/>
              </w:rPr>
            </w:r>
            <w:r>
              <w:rPr>
                <w:noProof/>
                <w:webHidden/>
              </w:rPr>
              <w:fldChar w:fldCharType="separate"/>
            </w:r>
            <w:r>
              <w:rPr>
                <w:noProof/>
                <w:webHidden/>
              </w:rPr>
              <w:t>12</w:t>
            </w:r>
            <w:r>
              <w:rPr>
                <w:noProof/>
                <w:webHidden/>
              </w:rPr>
              <w:fldChar w:fldCharType="end"/>
            </w:r>
          </w:hyperlink>
        </w:p>
        <w:p w14:paraId="432E3488" w14:textId="56D6F3A9"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21" w:history="1">
            <w:r>
              <w:rPr>
                <w:rStyle w:val="Hyperlink"/>
                <w:noProof/>
              </w:rPr>
              <w:t>1.6 Strengths and Threats</w:t>
            </w:r>
            <w:r>
              <w:rPr>
                <w:noProof/>
                <w:webHidden/>
              </w:rPr>
              <w:tab/>
            </w:r>
            <w:r>
              <w:rPr>
                <w:noProof/>
                <w:webHidden/>
              </w:rPr>
              <w:fldChar w:fldCharType="begin"/>
            </w:r>
            <w:r>
              <w:rPr>
                <w:noProof/>
                <w:webHidden/>
              </w:rPr>
              <w:instrText xml:space="preserve"> PAGEREF _Toc227865621 \h </w:instrText>
            </w:r>
            <w:r>
              <w:rPr>
                <w:noProof/>
                <w:webHidden/>
              </w:rPr>
            </w:r>
            <w:r>
              <w:rPr>
                <w:noProof/>
                <w:webHidden/>
              </w:rPr>
              <w:fldChar w:fldCharType="separate"/>
            </w:r>
            <w:r>
              <w:rPr>
                <w:noProof/>
                <w:webHidden/>
              </w:rPr>
              <w:t>13</w:t>
            </w:r>
            <w:r>
              <w:rPr>
                <w:noProof/>
                <w:webHidden/>
              </w:rPr>
              <w:fldChar w:fldCharType="end"/>
            </w:r>
          </w:hyperlink>
        </w:p>
        <w:p w14:paraId="5EA2228A" w14:textId="4EBFBFA0" w:rsidR="008A7300" w:rsidRDefault="008A7300" w:rsidP="00FF0D21">
          <w:pPr>
            <w:pStyle w:val="TOC1"/>
            <w:tabs>
              <w:tab w:val="right" w:leader="dot" w:pos="9016"/>
            </w:tabs>
            <w:rPr>
              <w:rFonts w:asciiTheme="minorHAnsi" w:eastAsiaTheme="minorEastAsia" w:hAnsiTheme="minorHAnsi" w:cstheme="minorBidi"/>
              <w:noProof/>
              <w:kern w:val="2"/>
              <w14:ligatures w14:val="standardContextual"/>
            </w:rPr>
          </w:pPr>
          <w:hyperlink w:anchor="_Toc227865622" w:history="1">
            <w:r>
              <w:rPr>
                <w:rStyle w:val="Hyperlink"/>
                <w:noProof/>
              </w:rPr>
              <w:t>2. Working Capital Management</w:t>
            </w:r>
            <w:r>
              <w:rPr>
                <w:noProof/>
                <w:webHidden/>
              </w:rPr>
              <w:tab/>
            </w:r>
            <w:r>
              <w:rPr>
                <w:noProof/>
                <w:webHidden/>
              </w:rPr>
              <w:fldChar w:fldCharType="begin"/>
            </w:r>
            <w:r>
              <w:rPr>
                <w:noProof/>
                <w:webHidden/>
              </w:rPr>
              <w:instrText xml:space="preserve"> PAGEREF _Toc227865622 \h </w:instrText>
            </w:r>
            <w:r>
              <w:rPr>
                <w:noProof/>
                <w:webHidden/>
              </w:rPr>
            </w:r>
            <w:r>
              <w:rPr>
                <w:noProof/>
                <w:webHidden/>
              </w:rPr>
              <w:fldChar w:fldCharType="separate"/>
            </w:r>
            <w:r>
              <w:rPr>
                <w:noProof/>
                <w:webHidden/>
              </w:rPr>
              <w:t>13</w:t>
            </w:r>
            <w:r>
              <w:rPr>
                <w:noProof/>
                <w:webHidden/>
              </w:rPr>
              <w:fldChar w:fldCharType="end"/>
            </w:r>
          </w:hyperlink>
        </w:p>
        <w:p w14:paraId="0D13FFDF" w14:textId="54F2EDB6"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23" w:history="1">
            <w:r>
              <w:rPr>
                <w:rStyle w:val="Hyperlink"/>
                <w:noProof/>
              </w:rPr>
              <w:t>2.1 Net Working Capital</w:t>
            </w:r>
            <w:r>
              <w:rPr>
                <w:noProof/>
                <w:webHidden/>
              </w:rPr>
              <w:tab/>
            </w:r>
            <w:r>
              <w:rPr>
                <w:noProof/>
                <w:webHidden/>
              </w:rPr>
              <w:fldChar w:fldCharType="begin"/>
            </w:r>
            <w:r>
              <w:rPr>
                <w:noProof/>
                <w:webHidden/>
              </w:rPr>
              <w:instrText xml:space="preserve"> PAGEREF _Toc227865623 \h </w:instrText>
            </w:r>
            <w:r>
              <w:rPr>
                <w:noProof/>
                <w:webHidden/>
              </w:rPr>
            </w:r>
            <w:r>
              <w:rPr>
                <w:noProof/>
                <w:webHidden/>
              </w:rPr>
              <w:fldChar w:fldCharType="separate"/>
            </w:r>
            <w:r>
              <w:rPr>
                <w:noProof/>
                <w:webHidden/>
              </w:rPr>
              <w:t>13</w:t>
            </w:r>
            <w:r>
              <w:rPr>
                <w:noProof/>
                <w:webHidden/>
              </w:rPr>
              <w:fldChar w:fldCharType="end"/>
            </w:r>
          </w:hyperlink>
        </w:p>
        <w:p w14:paraId="534BCB87" w14:textId="4D950F58"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24" w:history="1">
            <w:r>
              <w:rPr>
                <w:rStyle w:val="Hyperlink"/>
                <w:noProof/>
              </w:rPr>
              <w:t>2.2 Receivables and Inventory</w:t>
            </w:r>
            <w:r>
              <w:rPr>
                <w:noProof/>
                <w:webHidden/>
              </w:rPr>
              <w:tab/>
            </w:r>
            <w:r>
              <w:rPr>
                <w:noProof/>
                <w:webHidden/>
              </w:rPr>
              <w:fldChar w:fldCharType="begin"/>
            </w:r>
            <w:r>
              <w:rPr>
                <w:noProof/>
                <w:webHidden/>
              </w:rPr>
              <w:instrText xml:space="preserve"> PAGEREF _Toc227865624 \h </w:instrText>
            </w:r>
            <w:r>
              <w:rPr>
                <w:noProof/>
                <w:webHidden/>
              </w:rPr>
            </w:r>
            <w:r>
              <w:rPr>
                <w:noProof/>
                <w:webHidden/>
              </w:rPr>
              <w:fldChar w:fldCharType="separate"/>
            </w:r>
            <w:r>
              <w:rPr>
                <w:noProof/>
                <w:webHidden/>
              </w:rPr>
              <w:t>14</w:t>
            </w:r>
            <w:r>
              <w:rPr>
                <w:noProof/>
                <w:webHidden/>
              </w:rPr>
              <w:fldChar w:fldCharType="end"/>
            </w:r>
          </w:hyperlink>
        </w:p>
        <w:p w14:paraId="1DCBD8C1" w14:textId="7B7CBB8D"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25" w:history="1">
            <w:r>
              <w:rPr>
                <w:rStyle w:val="Hyperlink"/>
                <w:noProof/>
              </w:rPr>
              <w:t>2.3 Payables and Cash Conversion Cycle</w:t>
            </w:r>
            <w:r>
              <w:rPr>
                <w:noProof/>
                <w:webHidden/>
              </w:rPr>
              <w:tab/>
            </w:r>
            <w:r>
              <w:rPr>
                <w:noProof/>
                <w:webHidden/>
              </w:rPr>
              <w:fldChar w:fldCharType="begin"/>
            </w:r>
            <w:r>
              <w:rPr>
                <w:noProof/>
                <w:webHidden/>
              </w:rPr>
              <w:instrText xml:space="preserve"> PAGEREF _Toc227865625 \h </w:instrText>
            </w:r>
            <w:r>
              <w:rPr>
                <w:noProof/>
                <w:webHidden/>
              </w:rPr>
            </w:r>
            <w:r>
              <w:rPr>
                <w:noProof/>
                <w:webHidden/>
              </w:rPr>
              <w:fldChar w:fldCharType="separate"/>
            </w:r>
            <w:r>
              <w:rPr>
                <w:noProof/>
                <w:webHidden/>
              </w:rPr>
              <w:t>14</w:t>
            </w:r>
            <w:r>
              <w:rPr>
                <w:noProof/>
                <w:webHidden/>
              </w:rPr>
              <w:fldChar w:fldCharType="end"/>
            </w:r>
          </w:hyperlink>
        </w:p>
        <w:p w14:paraId="30472E5E" w14:textId="194FA15D" w:rsidR="008A7300" w:rsidRDefault="008A7300" w:rsidP="00FF0D21">
          <w:pPr>
            <w:pStyle w:val="TOC1"/>
            <w:tabs>
              <w:tab w:val="right" w:leader="dot" w:pos="9016"/>
            </w:tabs>
            <w:rPr>
              <w:rFonts w:asciiTheme="minorHAnsi" w:eastAsiaTheme="minorEastAsia" w:hAnsiTheme="minorHAnsi" w:cstheme="minorBidi"/>
              <w:noProof/>
              <w:kern w:val="2"/>
              <w14:ligatures w14:val="standardContextual"/>
            </w:rPr>
          </w:pPr>
          <w:hyperlink w:anchor="_Toc227865626" w:history="1">
            <w:r>
              <w:rPr>
                <w:rStyle w:val="Hyperlink"/>
                <w:noProof/>
              </w:rPr>
              <w:t>3 Strategic Financial Restructuring Plan</w:t>
            </w:r>
            <w:r>
              <w:rPr>
                <w:noProof/>
                <w:webHidden/>
              </w:rPr>
              <w:tab/>
            </w:r>
            <w:r>
              <w:rPr>
                <w:noProof/>
                <w:webHidden/>
              </w:rPr>
              <w:fldChar w:fldCharType="begin"/>
            </w:r>
            <w:r>
              <w:rPr>
                <w:noProof/>
                <w:webHidden/>
              </w:rPr>
              <w:instrText xml:space="preserve"> PAGEREF _Toc227865626 \h </w:instrText>
            </w:r>
            <w:r>
              <w:rPr>
                <w:noProof/>
                <w:webHidden/>
              </w:rPr>
            </w:r>
            <w:r>
              <w:rPr>
                <w:noProof/>
                <w:webHidden/>
              </w:rPr>
              <w:fldChar w:fldCharType="separate"/>
            </w:r>
            <w:r>
              <w:rPr>
                <w:noProof/>
                <w:webHidden/>
              </w:rPr>
              <w:t>15</w:t>
            </w:r>
            <w:r>
              <w:rPr>
                <w:noProof/>
                <w:webHidden/>
              </w:rPr>
              <w:fldChar w:fldCharType="end"/>
            </w:r>
          </w:hyperlink>
        </w:p>
        <w:p w14:paraId="35CAA637" w14:textId="2FD441F6"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27" w:history="1">
            <w:r>
              <w:rPr>
                <w:rStyle w:val="Hyperlink"/>
                <w:noProof/>
              </w:rPr>
              <w:t>3.1 Investment and Capital Returns</w:t>
            </w:r>
            <w:r>
              <w:rPr>
                <w:noProof/>
                <w:webHidden/>
              </w:rPr>
              <w:tab/>
            </w:r>
            <w:r>
              <w:rPr>
                <w:noProof/>
                <w:webHidden/>
              </w:rPr>
              <w:fldChar w:fldCharType="begin"/>
            </w:r>
            <w:r>
              <w:rPr>
                <w:noProof/>
                <w:webHidden/>
              </w:rPr>
              <w:instrText xml:space="preserve"> PAGEREF _Toc227865627 \h </w:instrText>
            </w:r>
            <w:r>
              <w:rPr>
                <w:noProof/>
                <w:webHidden/>
              </w:rPr>
            </w:r>
            <w:r>
              <w:rPr>
                <w:noProof/>
                <w:webHidden/>
              </w:rPr>
              <w:fldChar w:fldCharType="separate"/>
            </w:r>
            <w:r>
              <w:rPr>
                <w:noProof/>
                <w:webHidden/>
              </w:rPr>
              <w:t>15</w:t>
            </w:r>
            <w:r>
              <w:rPr>
                <w:noProof/>
                <w:webHidden/>
              </w:rPr>
              <w:fldChar w:fldCharType="end"/>
            </w:r>
          </w:hyperlink>
        </w:p>
        <w:p w14:paraId="3A574C32" w14:textId="1D8ACB95"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28" w:history="1">
            <w:r>
              <w:rPr>
                <w:rStyle w:val="Hyperlink"/>
                <w:noProof/>
              </w:rPr>
              <w:t>3.2 Capital Structure Optimisation</w:t>
            </w:r>
            <w:r>
              <w:rPr>
                <w:noProof/>
                <w:webHidden/>
              </w:rPr>
              <w:tab/>
            </w:r>
            <w:r>
              <w:rPr>
                <w:noProof/>
                <w:webHidden/>
              </w:rPr>
              <w:fldChar w:fldCharType="begin"/>
            </w:r>
            <w:r>
              <w:rPr>
                <w:noProof/>
                <w:webHidden/>
              </w:rPr>
              <w:instrText xml:space="preserve"> PAGEREF _Toc227865628 \h </w:instrText>
            </w:r>
            <w:r>
              <w:rPr>
                <w:noProof/>
                <w:webHidden/>
              </w:rPr>
            </w:r>
            <w:r>
              <w:rPr>
                <w:noProof/>
                <w:webHidden/>
              </w:rPr>
              <w:fldChar w:fldCharType="separate"/>
            </w:r>
            <w:r>
              <w:rPr>
                <w:noProof/>
                <w:webHidden/>
              </w:rPr>
              <w:t>15</w:t>
            </w:r>
            <w:r>
              <w:rPr>
                <w:noProof/>
                <w:webHidden/>
              </w:rPr>
              <w:fldChar w:fldCharType="end"/>
            </w:r>
          </w:hyperlink>
        </w:p>
        <w:p w14:paraId="4212E731" w14:textId="4DB0C114"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29" w:history="1">
            <w:r>
              <w:rPr>
                <w:rStyle w:val="Hyperlink"/>
                <w:noProof/>
              </w:rPr>
              <w:t>3.3 Recovery of Margin and Diversification of Revenue</w:t>
            </w:r>
            <w:r>
              <w:rPr>
                <w:noProof/>
                <w:webHidden/>
              </w:rPr>
              <w:tab/>
            </w:r>
            <w:r>
              <w:rPr>
                <w:noProof/>
                <w:webHidden/>
              </w:rPr>
              <w:fldChar w:fldCharType="begin"/>
            </w:r>
            <w:r>
              <w:rPr>
                <w:noProof/>
                <w:webHidden/>
              </w:rPr>
              <w:instrText xml:space="preserve"> PAGEREF _Toc227865629 \h </w:instrText>
            </w:r>
            <w:r>
              <w:rPr>
                <w:noProof/>
                <w:webHidden/>
              </w:rPr>
            </w:r>
            <w:r>
              <w:rPr>
                <w:noProof/>
                <w:webHidden/>
              </w:rPr>
              <w:fldChar w:fldCharType="separate"/>
            </w:r>
            <w:r>
              <w:rPr>
                <w:noProof/>
                <w:webHidden/>
              </w:rPr>
              <w:t>16</w:t>
            </w:r>
            <w:r>
              <w:rPr>
                <w:noProof/>
                <w:webHidden/>
              </w:rPr>
              <w:fldChar w:fldCharType="end"/>
            </w:r>
          </w:hyperlink>
        </w:p>
        <w:p w14:paraId="6A3C1226" w14:textId="45BACD96"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30" w:history="1">
            <w:r>
              <w:rPr>
                <w:rStyle w:val="Hyperlink"/>
                <w:noProof/>
              </w:rPr>
              <w:t>3.4 Working Capital Efficiency</w:t>
            </w:r>
            <w:r>
              <w:rPr>
                <w:noProof/>
                <w:webHidden/>
              </w:rPr>
              <w:tab/>
            </w:r>
            <w:r>
              <w:rPr>
                <w:noProof/>
                <w:webHidden/>
              </w:rPr>
              <w:fldChar w:fldCharType="begin"/>
            </w:r>
            <w:r>
              <w:rPr>
                <w:noProof/>
                <w:webHidden/>
              </w:rPr>
              <w:instrText xml:space="preserve"> PAGEREF _Toc227865630 \h </w:instrText>
            </w:r>
            <w:r>
              <w:rPr>
                <w:noProof/>
                <w:webHidden/>
              </w:rPr>
            </w:r>
            <w:r>
              <w:rPr>
                <w:noProof/>
                <w:webHidden/>
              </w:rPr>
              <w:fldChar w:fldCharType="separate"/>
            </w:r>
            <w:r>
              <w:rPr>
                <w:noProof/>
                <w:webHidden/>
              </w:rPr>
              <w:t>16</w:t>
            </w:r>
            <w:r>
              <w:rPr>
                <w:noProof/>
                <w:webHidden/>
              </w:rPr>
              <w:fldChar w:fldCharType="end"/>
            </w:r>
          </w:hyperlink>
        </w:p>
        <w:p w14:paraId="1D91235C" w14:textId="519345BD" w:rsidR="008A7300" w:rsidRDefault="008A7300" w:rsidP="00FF0D21">
          <w:pPr>
            <w:pStyle w:val="TOC1"/>
            <w:tabs>
              <w:tab w:val="right" w:leader="dot" w:pos="9016"/>
            </w:tabs>
            <w:rPr>
              <w:rFonts w:asciiTheme="minorHAnsi" w:eastAsiaTheme="minorEastAsia" w:hAnsiTheme="minorHAnsi" w:cstheme="minorBidi"/>
              <w:noProof/>
              <w:kern w:val="2"/>
              <w14:ligatures w14:val="standardContextual"/>
            </w:rPr>
          </w:pPr>
          <w:hyperlink w:anchor="_Toc227865631" w:history="1">
            <w:r>
              <w:rPr>
                <w:rStyle w:val="Hyperlink"/>
                <w:noProof/>
              </w:rPr>
              <w:t>4 Investment Appraisal and Capital Budgeting</w:t>
            </w:r>
            <w:r>
              <w:rPr>
                <w:noProof/>
                <w:webHidden/>
              </w:rPr>
              <w:tab/>
            </w:r>
            <w:r>
              <w:rPr>
                <w:noProof/>
                <w:webHidden/>
              </w:rPr>
              <w:fldChar w:fldCharType="begin"/>
            </w:r>
            <w:r>
              <w:rPr>
                <w:noProof/>
                <w:webHidden/>
              </w:rPr>
              <w:instrText xml:space="preserve"> PAGEREF _Toc227865631 \h </w:instrText>
            </w:r>
            <w:r>
              <w:rPr>
                <w:noProof/>
                <w:webHidden/>
              </w:rPr>
            </w:r>
            <w:r>
              <w:rPr>
                <w:noProof/>
                <w:webHidden/>
              </w:rPr>
              <w:fldChar w:fldCharType="separate"/>
            </w:r>
            <w:r>
              <w:rPr>
                <w:noProof/>
                <w:webHidden/>
              </w:rPr>
              <w:t>17</w:t>
            </w:r>
            <w:r>
              <w:rPr>
                <w:noProof/>
                <w:webHidden/>
              </w:rPr>
              <w:fldChar w:fldCharType="end"/>
            </w:r>
          </w:hyperlink>
        </w:p>
        <w:p w14:paraId="640634F2" w14:textId="59F80919"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32" w:history="1">
            <w:r>
              <w:rPr>
                <w:rStyle w:val="Hyperlink"/>
                <w:noProof/>
              </w:rPr>
              <w:t>4.1 Project Cash Flows</w:t>
            </w:r>
            <w:r>
              <w:rPr>
                <w:noProof/>
                <w:webHidden/>
              </w:rPr>
              <w:tab/>
            </w:r>
            <w:r>
              <w:rPr>
                <w:noProof/>
                <w:webHidden/>
              </w:rPr>
              <w:fldChar w:fldCharType="begin"/>
            </w:r>
            <w:r>
              <w:rPr>
                <w:noProof/>
                <w:webHidden/>
              </w:rPr>
              <w:instrText xml:space="preserve"> PAGEREF _Toc227865632 \h </w:instrText>
            </w:r>
            <w:r>
              <w:rPr>
                <w:noProof/>
                <w:webHidden/>
              </w:rPr>
            </w:r>
            <w:r>
              <w:rPr>
                <w:noProof/>
                <w:webHidden/>
              </w:rPr>
              <w:fldChar w:fldCharType="separate"/>
            </w:r>
            <w:r>
              <w:rPr>
                <w:noProof/>
                <w:webHidden/>
              </w:rPr>
              <w:t>17</w:t>
            </w:r>
            <w:r>
              <w:rPr>
                <w:noProof/>
                <w:webHidden/>
              </w:rPr>
              <w:fldChar w:fldCharType="end"/>
            </w:r>
          </w:hyperlink>
        </w:p>
        <w:p w14:paraId="5D2A0E6A" w14:textId="622B2162"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33" w:history="1">
            <w:r>
              <w:rPr>
                <w:rStyle w:val="Hyperlink"/>
                <w:noProof/>
              </w:rPr>
              <w:t>4.2 Payback Period</w:t>
            </w:r>
            <w:r>
              <w:rPr>
                <w:noProof/>
                <w:webHidden/>
              </w:rPr>
              <w:tab/>
            </w:r>
            <w:r>
              <w:rPr>
                <w:noProof/>
                <w:webHidden/>
              </w:rPr>
              <w:fldChar w:fldCharType="begin"/>
            </w:r>
            <w:r>
              <w:rPr>
                <w:noProof/>
                <w:webHidden/>
              </w:rPr>
              <w:instrText xml:space="preserve"> PAGEREF _Toc227865633 \h </w:instrText>
            </w:r>
            <w:r>
              <w:rPr>
                <w:noProof/>
                <w:webHidden/>
              </w:rPr>
            </w:r>
            <w:r>
              <w:rPr>
                <w:noProof/>
                <w:webHidden/>
              </w:rPr>
              <w:fldChar w:fldCharType="separate"/>
            </w:r>
            <w:r>
              <w:rPr>
                <w:noProof/>
                <w:webHidden/>
              </w:rPr>
              <w:t>17</w:t>
            </w:r>
            <w:r>
              <w:rPr>
                <w:noProof/>
                <w:webHidden/>
              </w:rPr>
              <w:fldChar w:fldCharType="end"/>
            </w:r>
          </w:hyperlink>
        </w:p>
        <w:p w14:paraId="3177E4EE" w14:textId="19AAB54E"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34" w:history="1">
            <w:r>
              <w:rPr>
                <w:rStyle w:val="Hyperlink"/>
                <w:noProof/>
              </w:rPr>
              <w:t>4.3 Accounting Rate of Return</w:t>
            </w:r>
            <w:r>
              <w:rPr>
                <w:noProof/>
                <w:webHidden/>
              </w:rPr>
              <w:tab/>
            </w:r>
            <w:r>
              <w:rPr>
                <w:noProof/>
                <w:webHidden/>
              </w:rPr>
              <w:fldChar w:fldCharType="begin"/>
            </w:r>
            <w:r>
              <w:rPr>
                <w:noProof/>
                <w:webHidden/>
              </w:rPr>
              <w:instrText xml:space="preserve"> PAGEREF _Toc227865634 \h </w:instrText>
            </w:r>
            <w:r>
              <w:rPr>
                <w:noProof/>
                <w:webHidden/>
              </w:rPr>
            </w:r>
            <w:r>
              <w:rPr>
                <w:noProof/>
                <w:webHidden/>
              </w:rPr>
              <w:fldChar w:fldCharType="separate"/>
            </w:r>
            <w:r>
              <w:rPr>
                <w:noProof/>
                <w:webHidden/>
              </w:rPr>
              <w:t>18</w:t>
            </w:r>
            <w:r>
              <w:rPr>
                <w:noProof/>
                <w:webHidden/>
              </w:rPr>
              <w:fldChar w:fldCharType="end"/>
            </w:r>
          </w:hyperlink>
        </w:p>
        <w:p w14:paraId="5F9651EE" w14:textId="4D123DD6"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35" w:history="1">
            <w:r>
              <w:rPr>
                <w:rStyle w:val="Hyperlink"/>
                <w:noProof/>
              </w:rPr>
              <w:t>4.4 Net Present Value</w:t>
            </w:r>
            <w:r>
              <w:rPr>
                <w:noProof/>
                <w:webHidden/>
              </w:rPr>
              <w:tab/>
            </w:r>
            <w:r>
              <w:rPr>
                <w:noProof/>
                <w:webHidden/>
              </w:rPr>
              <w:fldChar w:fldCharType="begin"/>
            </w:r>
            <w:r>
              <w:rPr>
                <w:noProof/>
                <w:webHidden/>
              </w:rPr>
              <w:instrText xml:space="preserve"> PAGEREF _Toc227865635 \h </w:instrText>
            </w:r>
            <w:r>
              <w:rPr>
                <w:noProof/>
                <w:webHidden/>
              </w:rPr>
            </w:r>
            <w:r>
              <w:rPr>
                <w:noProof/>
                <w:webHidden/>
              </w:rPr>
              <w:fldChar w:fldCharType="separate"/>
            </w:r>
            <w:r>
              <w:rPr>
                <w:noProof/>
                <w:webHidden/>
              </w:rPr>
              <w:t>18</w:t>
            </w:r>
            <w:r>
              <w:rPr>
                <w:noProof/>
                <w:webHidden/>
              </w:rPr>
              <w:fldChar w:fldCharType="end"/>
            </w:r>
          </w:hyperlink>
        </w:p>
        <w:p w14:paraId="24D1FEA4" w14:textId="21F97214"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36" w:history="1">
            <w:r>
              <w:rPr>
                <w:rStyle w:val="Hyperlink"/>
                <w:noProof/>
              </w:rPr>
              <w:t>4.5 Internal Rate of Return</w:t>
            </w:r>
            <w:r>
              <w:rPr>
                <w:noProof/>
                <w:webHidden/>
              </w:rPr>
              <w:tab/>
            </w:r>
            <w:r>
              <w:rPr>
                <w:noProof/>
                <w:webHidden/>
              </w:rPr>
              <w:fldChar w:fldCharType="begin"/>
            </w:r>
            <w:r>
              <w:rPr>
                <w:noProof/>
                <w:webHidden/>
              </w:rPr>
              <w:instrText xml:space="preserve"> PAGEREF _Toc227865636 \h </w:instrText>
            </w:r>
            <w:r>
              <w:rPr>
                <w:noProof/>
                <w:webHidden/>
              </w:rPr>
            </w:r>
            <w:r>
              <w:rPr>
                <w:noProof/>
                <w:webHidden/>
              </w:rPr>
              <w:fldChar w:fldCharType="separate"/>
            </w:r>
            <w:r>
              <w:rPr>
                <w:noProof/>
                <w:webHidden/>
              </w:rPr>
              <w:t>20</w:t>
            </w:r>
            <w:r>
              <w:rPr>
                <w:noProof/>
                <w:webHidden/>
              </w:rPr>
              <w:fldChar w:fldCharType="end"/>
            </w:r>
          </w:hyperlink>
        </w:p>
        <w:p w14:paraId="272291A0" w14:textId="2D43FD89"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37" w:history="1">
            <w:r>
              <w:rPr>
                <w:rStyle w:val="Hyperlink"/>
                <w:noProof/>
              </w:rPr>
              <w:t>4.6 Appraisal Summary</w:t>
            </w:r>
            <w:r>
              <w:rPr>
                <w:noProof/>
                <w:webHidden/>
              </w:rPr>
              <w:tab/>
            </w:r>
            <w:r>
              <w:rPr>
                <w:noProof/>
                <w:webHidden/>
              </w:rPr>
              <w:fldChar w:fldCharType="begin"/>
            </w:r>
            <w:r>
              <w:rPr>
                <w:noProof/>
                <w:webHidden/>
              </w:rPr>
              <w:instrText xml:space="preserve"> PAGEREF _Toc227865637 \h </w:instrText>
            </w:r>
            <w:r>
              <w:rPr>
                <w:noProof/>
                <w:webHidden/>
              </w:rPr>
            </w:r>
            <w:r>
              <w:rPr>
                <w:noProof/>
                <w:webHidden/>
              </w:rPr>
              <w:fldChar w:fldCharType="separate"/>
            </w:r>
            <w:r>
              <w:rPr>
                <w:noProof/>
                <w:webHidden/>
              </w:rPr>
              <w:t>20</w:t>
            </w:r>
            <w:r>
              <w:rPr>
                <w:noProof/>
                <w:webHidden/>
              </w:rPr>
              <w:fldChar w:fldCharType="end"/>
            </w:r>
          </w:hyperlink>
        </w:p>
        <w:p w14:paraId="74397BDE" w14:textId="6700B4EF"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38" w:history="1">
            <w:r>
              <w:rPr>
                <w:rStyle w:val="Hyperlink"/>
                <w:noProof/>
              </w:rPr>
              <w:t>4.7 Capital Rationing</w:t>
            </w:r>
            <w:r>
              <w:rPr>
                <w:noProof/>
                <w:webHidden/>
              </w:rPr>
              <w:tab/>
            </w:r>
            <w:r>
              <w:rPr>
                <w:noProof/>
                <w:webHidden/>
              </w:rPr>
              <w:fldChar w:fldCharType="begin"/>
            </w:r>
            <w:r>
              <w:rPr>
                <w:noProof/>
                <w:webHidden/>
              </w:rPr>
              <w:instrText xml:space="preserve"> PAGEREF _Toc227865638 \h </w:instrText>
            </w:r>
            <w:r>
              <w:rPr>
                <w:noProof/>
                <w:webHidden/>
              </w:rPr>
            </w:r>
            <w:r>
              <w:rPr>
                <w:noProof/>
                <w:webHidden/>
              </w:rPr>
              <w:fldChar w:fldCharType="separate"/>
            </w:r>
            <w:r>
              <w:rPr>
                <w:noProof/>
                <w:webHidden/>
              </w:rPr>
              <w:t>21</w:t>
            </w:r>
            <w:r>
              <w:rPr>
                <w:noProof/>
                <w:webHidden/>
              </w:rPr>
              <w:fldChar w:fldCharType="end"/>
            </w:r>
          </w:hyperlink>
        </w:p>
        <w:p w14:paraId="5C51DE32" w14:textId="65D79D8C" w:rsidR="008A7300" w:rsidRDefault="008A7300" w:rsidP="00FF0D21">
          <w:pPr>
            <w:pStyle w:val="TOC1"/>
            <w:tabs>
              <w:tab w:val="right" w:leader="dot" w:pos="9016"/>
            </w:tabs>
            <w:rPr>
              <w:rFonts w:asciiTheme="minorHAnsi" w:eastAsiaTheme="minorEastAsia" w:hAnsiTheme="minorHAnsi" w:cstheme="minorBidi"/>
              <w:noProof/>
              <w:kern w:val="2"/>
              <w14:ligatures w14:val="standardContextual"/>
            </w:rPr>
          </w:pPr>
          <w:hyperlink w:anchor="_Toc227865639" w:history="1">
            <w:r>
              <w:rPr>
                <w:rStyle w:val="Hyperlink"/>
                <w:noProof/>
              </w:rPr>
              <w:t>Conclusion</w:t>
            </w:r>
            <w:r>
              <w:rPr>
                <w:noProof/>
                <w:webHidden/>
              </w:rPr>
              <w:tab/>
            </w:r>
            <w:r>
              <w:rPr>
                <w:noProof/>
                <w:webHidden/>
              </w:rPr>
              <w:fldChar w:fldCharType="begin"/>
            </w:r>
            <w:r>
              <w:rPr>
                <w:noProof/>
                <w:webHidden/>
              </w:rPr>
              <w:instrText xml:space="preserve"> PAGEREF _Toc227865639 \h </w:instrText>
            </w:r>
            <w:r>
              <w:rPr>
                <w:noProof/>
                <w:webHidden/>
              </w:rPr>
            </w:r>
            <w:r>
              <w:rPr>
                <w:noProof/>
                <w:webHidden/>
              </w:rPr>
              <w:fldChar w:fldCharType="separate"/>
            </w:r>
            <w:r>
              <w:rPr>
                <w:noProof/>
                <w:webHidden/>
              </w:rPr>
              <w:t>21</w:t>
            </w:r>
            <w:r>
              <w:rPr>
                <w:noProof/>
                <w:webHidden/>
              </w:rPr>
              <w:fldChar w:fldCharType="end"/>
            </w:r>
          </w:hyperlink>
        </w:p>
        <w:p w14:paraId="4BC60964" w14:textId="4883BB01" w:rsidR="008A7300" w:rsidRDefault="008A7300" w:rsidP="00FF0D21">
          <w:pPr>
            <w:pStyle w:val="TOC1"/>
            <w:tabs>
              <w:tab w:val="right" w:leader="dot" w:pos="9016"/>
            </w:tabs>
            <w:rPr>
              <w:rFonts w:asciiTheme="minorHAnsi" w:eastAsiaTheme="minorEastAsia" w:hAnsiTheme="minorHAnsi" w:cstheme="minorBidi"/>
              <w:noProof/>
              <w:kern w:val="2"/>
              <w14:ligatures w14:val="standardContextual"/>
            </w:rPr>
          </w:pPr>
          <w:hyperlink w:anchor="_Toc227865640" w:history="1">
            <w:r>
              <w:rPr>
                <w:rStyle w:val="Hyperlink"/>
                <w:noProof/>
              </w:rPr>
              <w:t>References</w:t>
            </w:r>
            <w:r>
              <w:rPr>
                <w:noProof/>
                <w:webHidden/>
              </w:rPr>
              <w:tab/>
            </w:r>
            <w:r>
              <w:rPr>
                <w:noProof/>
                <w:webHidden/>
              </w:rPr>
              <w:fldChar w:fldCharType="begin"/>
            </w:r>
            <w:r>
              <w:rPr>
                <w:noProof/>
                <w:webHidden/>
              </w:rPr>
              <w:instrText xml:space="preserve"> PAGEREF _Toc227865640 \h </w:instrText>
            </w:r>
            <w:r>
              <w:rPr>
                <w:noProof/>
                <w:webHidden/>
              </w:rPr>
            </w:r>
            <w:r>
              <w:rPr>
                <w:noProof/>
                <w:webHidden/>
              </w:rPr>
              <w:fldChar w:fldCharType="separate"/>
            </w:r>
            <w:r>
              <w:rPr>
                <w:noProof/>
                <w:webHidden/>
              </w:rPr>
              <w:t>22</w:t>
            </w:r>
            <w:r>
              <w:rPr>
                <w:noProof/>
                <w:webHidden/>
              </w:rPr>
              <w:fldChar w:fldCharType="end"/>
            </w:r>
          </w:hyperlink>
        </w:p>
        <w:p w14:paraId="07632A62" w14:textId="11983795" w:rsidR="008A7300" w:rsidRDefault="008A7300" w:rsidP="00FF0D21">
          <w:pPr>
            <w:pStyle w:val="TOC1"/>
            <w:tabs>
              <w:tab w:val="right" w:leader="dot" w:pos="9016"/>
            </w:tabs>
            <w:rPr>
              <w:rFonts w:asciiTheme="minorHAnsi" w:eastAsiaTheme="minorEastAsia" w:hAnsiTheme="minorHAnsi" w:cstheme="minorBidi"/>
              <w:noProof/>
              <w:kern w:val="2"/>
              <w14:ligatures w14:val="standardContextual"/>
            </w:rPr>
          </w:pPr>
          <w:hyperlink w:anchor="_Toc227865641" w:history="1">
            <w:r>
              <w:rPr>
                <w:rStyle w:val="Hyperlink"/>
                <w:noProof/>
              </w:rPr>
              <w:t>Appendix A: Excel Output - Financial Data, Ratio Analysis and Investment Appraisal</w:t>
            </w:r>
            <w:r>
              <w:rPr>
                <w:noProof/>
                <w:webHidden/>
              </w:rPr>
              <w:tab/>
            </w:r>
            <w:r>
              <w:rPr>
                <w:noProof/>
                <w:webHidden/>
              </w:rPr>
              <w:fldChar w:fldCharType="begin"/>
            </w:r>
            <w:r>
              <w:rPr>
                <w:noProof/>
                <w:webHidden/>
              </w:rPr>
              <w:instrText xml:space="preserve"> PAGEREF _Toc227865641 \h </w:instrText>
            </w:r>
            <w:r>
              <w:rPr>
                <w:noProof/>
                <w:webHidden/>
              </w:rPr>
            </w:r>
            <w:r>
              <w:rPr>
                <w:noProof/>
                <w:webHidden/>
              </w:rPr>
              <w:fldChar w:fldCharType="separate"/>
            </w:r>
            <w:r>
              <w:rPr>
                <w:noProof/>
                <w:webHidden/>
              </w:rPr>
              <w:t>25</w:t>
            </w:r>
            <w:r>
              <w:rPr>
                <w:noProof/>
                <w:webHidden/>
              </w:rPr>
              <w:fldChar w:fldCharType="end"/>
            </w:r>
          </w:hyperlink>
        </w:p>
        <w:p w14:paraId="025D980B" w14:textId="67C0268B"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42" w:history="1">
            <w:r>
              <w:rPr>
                <w:rStyle w:val="Hyperlink"/>
                <w:noProof/>
              </w:rPr>
              <w:t>A.1 Financial Data - Income Statement (2021-2025)</w:t>
            </w:r>
            <w:r>
              <w:rPr>
                <w:noProof/>
                <w:webHidden/>
              </w:rPr>
              <w:tab/>
            </w:r>
            <w:r>
              <w:rPr>
                <w:noProof/>
                <w:webHidden/>
              </w:rPr>
              <w:fldChar w:fldCharType="begin"/>
            </w:r>
            <w:r>
              <w:rPr>
                <w:noProof/>
                <w:webHidden/>
              </w:rPr>
              <w:instrText xml:space="preserve"> PAGEREF _Toc227865642 \h </w:instrText>
            </w:r>
            <w:r>
              <w:rPr>
                <w:noProof/>
                <w:webHidden/>
              </w:rPr>
            </w:r>
            <w:r>
              <w:rPr>
                <w:noProof/>
                <w:webHidden/>
              </w:rPr>
              <w:fldChar w:fldCharType="separate"/>
            </w:r>
            <w:r>
              <w:rPr>
                <w:noProof/>
                <w:webHidden/>
              </w:rPr>
              <w:t>25</w:t>
            </w:r>
            <w:r>
              <w:rPr>
                <w:noProof/>
                <w:webHidden/>
              </w:rPr>
              <w:fldChar w:fldCharType="end"/>
            </w:r>
          </w:hyperlink>
        </w:p>
        <w:p w14:paraId="5B9E9870" w14:textId="2624E234"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43" w:history="1">
            <w:r>
              <w:rPr>
                <w:rStyle w:val="Hyperlink"/>
                <w:noProof/>
              </w:rPr>
              <w:t>A.2 Financial Data - Balance Sheet (2021-2025)</w:t>
            </w:r>
            <w:r>
              <w:rPr>
                <w:noProof/>
                <w:webHidden/>
              </w:rPr>
              <w:tab/>
            </w:r>
            <w:r>
              <w:rPr>
                <w:noProof/>
                <w:webHidden/>
              </w:rPr>
              <w:fldChar w:fldCharType="begin"/>
            </w:r>
            <w:r>
              <w:rPr>
                <w:noProof/>
                <w:webHidden/>
              </w:rPr>
              <w:instrText xml:space="preserve"> PAGEREF _Toc227865643 \h </w:instrText>
            </w:r>
            <w:r>
              <w:rPr>
                <w:noProof/>
                <w:webHidden/>
              </w:rPr>
            </w:r>
            <w:r>
              <w:rPr>
                <w:noProof/>
                <w:webHidden/>
              </w:rPr>
              <w:fldChar w:fldCharType="separate"/>
            </w:r>
            <w:r>
              <w:rPr>
                <w:noProof/>
                <w:webHidden/>
              </w:rPr>
              <w:t>26</w:t>
            </w:r>
            <w:r>
              <w:rPr>
                <w:noProof/>
                <w:webHidden/>
              </w:rPr>
              <w:fldChar w:fldCharType="end"/>
            </w:r>
          </w:hyperlink>
        </w:p>
        <w:p w14:paraId="6E4AF49A" w14:textId="497A4F86"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44" w:history="1">
            <w:r>
              <w:rPr>
                <w:rStyle w:val="Hyperlink"/>
                <w:noProof/>
              </w:rPr>
              <w:t>A.3 Financial Data - Cash Flow Statement (2021-2025)</w:t>
            </w:r>
            <w:r>
              <w:rPr>
                <w:noProof/>
                <w:webHidden/>
              </w:rPr>
              <w:tab/>
            </w:r>
            <w:r>
              <w:rPr>
                <w:noProof/>
                <w:webHidden/>
              </w:rPr>
              <w:fldChar w:fldCharType="begin"/>
            </w:r>
            <w:r>
              <w:rPr>
                <w:noProof/>
                <w:webHidden/>
              </w:rPr>
              <w:instrText xml:space="preserve"> PAGEREF _Toc227865644 \h </w:instrText>
            </w:r>
            <w:r>
              <w:rPr>
                <w:noProof/>
                <w:webHidden/>
              </w:rPr>
            </w:r>
            <w:r>
              <w:rPr>
                <w:noProof/>
                <w:webHidden/>
              </w:rPr>
              <w:fldChar w:fldCharType="separate"/>
            </w:r>
            <w:r>
              <w:rPr>
                <w:noProof/>
                <w:webHidden/>
              </w:rPr>
              <w:t>26</w:t>
            </w:r>
            <w:r>
              <w:rPr>
                <w:noProof/>
                <w:webHidden/>
              </w:rPr>
              <w:fldChar w:fldCharType="end"/>
            </w:r>
          </w:hyperlink>
        </w:p>
        <w:p w14:paraId="4C96A8B6" w14:textId="4A611EFC"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45" w:history="1">
            <w:r>
              <w:rPr>
                <w:rStyle w:val="Hyperlink"/>
                <w:noProof/>
              </w:rPr>
              <w:t>A.4 Ratio Analysis - All Five Categories (2021-2025)</w:t>
            </w:r>
            <w:r>
              <w:rPr>
                <w:noProof/>
                <w:webHidden/>
              </w:rPr>
              <w:tab/>
            </w:r>
            <w:r>
              <w:rPr>
                <w:noProof/>
                <w:webHidden/>
              </w:rPr>
              <w:fldChar w:fldCharType="begin"/>
            </w:r>
            <w:r>
              <w:rPr>
                <w:noProof/>
                <w:webHidden/>
              </w:rPr>
              <w:instrText xml:space="preserve"> PAGEREF _Toc227865645 \h </w:instrText>
            </w:r>
            <w:r>
              <w:rPr>
                <w:noProof/>
                <w:webHidden/>
              </w:rPr>
            </w:r>
            <w:r>
              <w:rPr>
                <w:noProof/>
                <w:webHidden/>
              </w:rPr>
              <w:fldChar w:fldCharType="separate"/>
            </w:r>
            <w:r>
              <w:rPr>
                <w:noProof/>
                <w:webHidden/>
              </w:rPr>
              <w:t>27</w:t>
            </w:r>
            <w:r>
              <w:rPr>
                <w:noProof/>
                <w:webHidden/>
              </w:rPr>
              <w:fldChar w:fldCharType="end"/>
            </w:r>
          </w:hyperlink>
        </w:p>
        <w:p w14:paraId="4AD33631" w14:textId="7B9AB9FA" w:rsidR="008A7300" w:rsidRDefault="008A7300" w:rsidP="00FF0D21">
          <w:pPr>
            <w:pStyle w:val="TOC2"/>
            <w:tabs>
              <w:tab w:val="right" w:leader="dot" w:pos="9016"/>
            </w:tabs>
            <w:rPr>
              <w:rFonts w:asciiTheme="minorHAnsi" w:eastAsiaTheme="minorEastAsia" w:hAnsiTheme="minorHAnsi" w:cstheme="minorBidi"/>
              <w:noProof/>
              <w:kern w:val="2"/>
              <w14:ligatures w14:val="standardContextual"/>
            </w:rPr>
          </w:pPr>
          <w:hyperlink w:anchor="_Toc227865646" w:history="1">
            <w:r>
              <w:rPr>
                <w:rStyle w:val="Hyperlink"/>
                <w:noProof/>
              </w:rPr>
              <w:t>A.5 Investment Appraisal - Assumptions, Cash Flows, Payback, ARR, NPV and IRR</w:t>
            </w:r>
            <w:r>
              <w:rPr>
                <w:noProof/>
                <w:webHidden/>
              </w:rPr>
              <w:tab/>
            </w:r>
            <w:r>
              <w:rPr>
                <w:noProof/>
                <w:webHidden/>
              </w:rPr>
              <w:fldChar w:fldCharType="begin"/>
            </w:r>
            <w:r>
              <w:rPr>
                <w:noProof/>
                <w:webHidden/>
              </w:rPr>
              <w:instrText xml:space="preserve"> PAGEREF _Toc227865646 \h </w:instrText>
            </w:r>
            <w:r>
              <w:rPr>
                <w:noProof/>
                <w:webHidden/>
              </w:rPr>
            </w:r>
            <w:r>
              <w:rPr>
                <w:noProof/>
                <w:webHidden/>
              </w:rPr>
              <w:fldChar w:fldCharType="separate"/>
            </w:r>
            <w:r>
              <w:rPr>
                <w:noProof/>
                <w:webHidden/>
              </w:rPr>
              <w:t>28</w:t>
            </w:r>
            <w:r>
              <w:rPr>
                <w:noProof/>
                <w:webHidden/>
              </w:rPr>
              <w:fldChar w:fldCharType="end"/>
            </w:r>
          </w:hyperlink>
        </w:p>
        <w:p w14:paraId="4B66C63F" w14:textId="23D2DB1B" w:rsidR="0045400B" w:rsidRDefault="0045400B" w:rsidP="00FF0D21">
          <w:r>
            <w:rPr>
              <w:b/>
              <w:bCs/>
              <w:noProof/>
            </w:rPr>
            <w:fldChar w:fldCharType="end"/>
          </w:r>
        </w:p>
      </w:sdtContent>
    </w:sdt>
    <w:p w14:paraId="3B3E80F5" w14:textId="77777777" w:rsidR="0045400B" w:rsidRDefault="0045400B" w:rsidP="00FF0D21"/>
    <w:p w14:paraId="132D956D" w14:textId="77777777" w:rsidR="00C1600B" w:rsidRDefault="00C1600B" w:rsidP="00FF0D21"/>
    <w:p w14:paraId="7F4F2994" w14:textId="457FCB72" w:rsidR="0045400B" w:rsidRPr="00BA147B" w:rsidRDefault="00BA147B" w:rsidP="00FF0D21">
      <w:pPr>
        <w:rPr>
          <w:b/>
          <w:bCs/>
          <w:sz w:val="32"/>
          <w:szCs w:val="32"/>
        </w:rPr>
      </w:pPr>
      <w:r>
        <w:rPr>
          <w:b/>
          <w:bCs/>
          <w:sz w:val="32"/>
          <w:szCs w:val="32"/>
        </w:rPr>
        <w:t>List of tables:</w:t>
      </w:r>
    </w:p>
    <w:bookmarkStart w:id="0" w:name="_Toc224122201"/>
    <w:p w14:paraId="7A8528E9" w14:textId="2E05A0E8"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"Table" </w:instrText>
      </w:r>
      <w:r>
        <w:fldChar w:fldCharType="separate"/>
      </w:r>
      <w:hyperlink w:anchor="_Toc227865606" w:history="1">
        <w:r>
          <w:rPr>
            <w:rStyle w:val="Hyperlink"/>
            <w:noProof/>
          </w:rPr>
          <w:t>Table 1: Profitability Ratios, Tesla Inc. 2021 to 2025. Source: Tesla SEC 10-K Annual Reports (Tesla, Inc., 2021 to 2025a).</w:t>
        </w:r>
        <w:r>
          <w:rPr>
            <w:noProof/>
            <w:webHidden/>
          </w:rPr>
          <w:tab/>
        </w:r>
        <w:r>
          <w:rPr>
            <w:noProof/>
            <w:webHidden/>
          </w:rPr>
          <w:fldChar w:fldCharType="begin"/>
        </w:r>
        <w:r>
          <w:rPr>
            <w:noProof/>
            <w:webHidden/>
          </w:rPr>
          <w:instrText xml:space="preserve"> PAGEREF _Toc227865606 \h </w:instrText>
        </w:r>
        <w:r>
          <w:rPr>
            <w:noProof/>
            <w:webHidden/>
          </w:rPr>
        </w:r>
        <w:r>
          <w:rPr>
            <w:noProof/>
            <w:webHidden/>
          </w:rPr>
          <w:fldChar w:fldCharType="separate"/>
        </w:r>
        <w:r>
          <w:rPr>
            <w:noProof/>
            <w:webHidden/>
          </w:rPr>
          <w:t>6</w:t>
        </w:r>
        <w:r>
          <w:rPr>
            <w:noProof/>
            <w:webHidden/>
          </w:rPr>
          <w:fldChar w:fldCharType="end"/>
        </w:r>
      </w:hyperlink>
    </w:p>
    <w:p w14:paraId="617F77F1" w14:textId="34C16F6E"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07" w:history="1">
        <w:r>
          <w:rPr>
            <w:rStyle w:val="Hyperlink"/>
            <w:noProof/>
          </w:rPr>
          <w:t>Table 2: Liquidity Ratios, Tesla Inc. 2021 to 2025. Source: Tesla SEC 10-K Annual Reports (Tesla, Inc., 2021 to 2025a).</w:t>
        </w:r>
        <w:r>
          <w:rPr>
            <w:noProof/>
            <w:webHidden/>
          </w:rPr>
          <w:tab/>
        </w:r>
        <w:r>
          <w:rPr>
            <w:noProof/>
            <w:webHidden/>
          </w:rPr>
          <w:fldChar w:fldCharType="begin"/>
        </w:r>
        <w:r>
          <w:rPr>
            <w:noProof/>
            <w:webHidden/>
          </w:rPr>
          <w:instrText xml:space="preserve"> PAGEREF _Toc227865607 \h </w:instrText>
        </w:r>
        <w:r>
          <w:rPr>
            <w:noProof/>
            <w:webHidden/>
          </w:rPr>
        </w:r>
        <w:r>
          <w:rPr>
            <w:noProof/>
            <w:webHidden/>
          </w:rPr>
          <w:fldChar w:fldCharType="separate"/>
        </w:r>
        <w:r>
          <w:rPr>
            <w:noProof/>
            <w:webHidden/>
          </w:rPr>
          <w:t>8</w:t>
        </w:r>
        <w:r>
          <w:rPr>
            <w:noProof/>
            <w:webHidden/>
          </w:rPr>
          <w:fldChar w:fldCharType="end"/>
        </w:r>
      </w:hyperlink>
    </w:p>
    <w:p w14:paraId="722937C8" w14:textId="57875D35"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08" w:history="1">
        <w:r>
          <w:rPr>
            <w:rStyle w:val="Hyperlink"/>
            <w:noProof/>
          </w:rPr>
          <w:t>Table 3: Efficiency and Activity Ratios, Tesla Inc. 2021 to 2025. Source: Tesla SEC 10-K Annual Reports (Tesla, Inc., 2021 to 2025a).</w:t>
        </w:r>
        <w:r>
          <w:rPr>
            <w:noProof/>
            <w:webHidden/>
          </w:rPr>
          <w:tab/>
        </w:r>
        <w:r>
          <w:rPr>
            <w:noProof/>
            <w:webHidden/>
          </w:rPr>
          <w:fldChar w:fldCharType="begin"/>
        </w:r>
        <w:r>
          <w:rPr>
            <w:noProof/>
            <w:webHidden/>
          </w:rPr>
          <w:instrText xml:space="preserve"> PAGEREF _Toc227865608 \h </w:instrText>
        </w:r>
        <w:r>
          <w:rPr>
            <w:noProof/>
            <w:webHidden/>
          </w:rPr>
        </w:r>
        <w:r>
          <w:rPr>
            <w:noProof/>
            <w:webHidden/>
          </w:rPr>
          <w:fldChar w:fldCharType="separate"/>
        </w:r>
        <w:r>
          <w:rPr>
            <w:noProof/>
            <w:webHidden/>
          </w:rPr>
          <w:t>9</w:t>
        </w:r>
        <w:r>
          <w:rPr>
            <w:noProof/>
            <w:webHidden/>
          </w:rPr>
          <w:fldChar w:fldCharType="end"/>
        </w:r>
      </w:hyperlink>
    </w:p>
    <w:p w14:paraId="324DEEB1" w14:textId="18123BF5"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09" w:history="1">
        <w:r>
          <w:rPr>
            <w:rStyle w:val="Hyperlink"/>
            <w:noProof/>
          </w:rPr>
          <w:t>Table 4: Gearing (Solvency) Ratios, Tesla Inc. 2021 to 2025. Source: Tesla SEC 10-K Annual Reports (Tesla, Inc., 2021 to 2025a).</w:t>
        </w:r>
        <w:r>
          <w:rPr>
            <w:noProof/>
            <w:webHidden/>
          </w:rPr>
          <w:tab/>
        </w:r>
        <w:r>
          <w:rPr>
            <w:noProof/>
            <w:webHidden/>
          </w:rPr>
          <w:fldChar w:fldCharType="begin"/>
        </w:r>
        <w:r>
          <w:rPr>
            <w:noProof/>
            <w:webHidden/>
          </w:rPr>
          <w:instrText xml:space="preserve"> PAGEREF _Toc227865609 \h </w:instrText>
        </w:r>
        <w:r>
          <w:rPr>
            <w:noProof/>
            <w:webHidden/>
          </w:rPr>
        </w:r>
        <w:r>
          <w:rPr>
            <w:noProof/>
            <w:webHidden/>
          </w:rPr>
          <w:fldChar w:fldCharType="separate"/>
        </w:r>
        <w:r>
          <w:rPr>
            <w:noProof/>
            <w:webHidden/>
          </w:rPr>
          <w:t>11</w:t>
        </w:r>
        <w:r>
          <w:rPr>
            <w:noProof/>
            <w:webHidden/>
          </w:rPr>
          <w:fldChar w:fldCharType="end"/>
        </w:r>
      </w:hyperlink>
    </w:p>
    <w:p w14:paraId="72CAB9AA" w14:textId="33380F26"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10" w:history="1">
        <w:r>
          <w:rPr>
            <w:rStyle w:val="Hyperlink"/>
            <w:noProof/>
          </w:rPr>
          <w:t>Table 5: Cash Flow Ratios, Tesla Inc. 2021 to 2025. Source: Tesla SEC 10-K Annual Reports (Tesla, Inc., 2021 to 2025a).</w:t>
        </w:r>
        <w:r>
          <w:rPr>
            <w:noProof/>
            <w:webHidden/>
          </w:rPr>
          <w:tab/>
        </w:r>
        <w:r>
          <w:rPr>
            <w:noProof/>
            <w:webHidden/>
          </w:rPr>
          <w:fldChar w:fldCharType="begin"/>
        </w:r>
        <w:r>
          <w:rPr>
            <w:noProof/>
            <w:webHidden/>
          </w:rPr>
          <w:instrText xml:space="preserve"> PAGEREF _Toc227865610 \h </w:instrText>
        </w:r>
        <w:r>
          <w:rPr>
            <w:noProof/>
            <w:webHidden/>
          </w:rPr>
        </w:r>
        <w:r>
          <w:rPr>
            <w:noProof/>
            <w:webHidden/>
          </w:rPr>
          <w:fldChar w:fldCharType="separate"/>
        </w:r>
        <w:r>
          <w:rPr>
            <w:noProof/>
            <w:webHidden/>
          </w:rPr>
          <w:t>12</w:t>
        </w:r>
        <w:r>
          <w:rPr>
            <w:noProof/>
            <w:webHidden/>
          </w:rPr>
          <w:fldChar w:fldCharType="end"/>
        </w:r>
      </w:hyperlink>
    </w:p>
    <w:p w14:paraId="6641A5E4" w14:textId="7BA39CBB"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11" w:history="1">
        <w:r>
          <w:rPr>
            <w:rStyle w:val="Hyperlink"/>
            <w:noProof/>
          </w:rPr>
          <w:t>Table 6: Working Capital Components, Tesla Inc. 2021 to 2025. Source: Tesla SEC 10-K Annual Reports (Tesla, Inc., 2021 to 2025a).</w:t>
        </w:r>
        <w:r>
          <w:rPr>
            <w:noProof/>
            <w:webHidden/>
          </w:rPr>
          <w:tab/>
        </w:r>
        <w:r>
          <w:rPr>
            <w:noProof/>
            <w:webHidden/>
          </w:rPr>
          <w:fldChar w:fldCharType="begin"/>
        </w:r>
        <w:r>
          <w:rPr>
            <w:noProof/>
            <w:webHidden/>
          </w:rPr>
          <w:instrText xml:space="preserve"> PAGEREF _Toc227865611 \h </w:instrText>
        </w:r>
        <w:r>
          <w:rPr>
            <w:noProof/>
            <w:webHidden/>
          </w:rPr>
        </w:r>
        <w:r>
          <w:rPr>
            <w:noProof/>
            <w:webHidden/>
          </w:rPr>
          <w:fldChar w:fldCharType="separate"/>
        </w:r>
        <w:r>
          <w:rPr>
            <w:noProof/>
            <w:webHidden/>
          </w:rPr>
          <w:t>13</w:t>
        </w:r>
        <w:r>
          <w:rPr>
            <w:noProof/>
            <w:webHidden/>
          </w:rPr>
          <w:fldChar w:fldCharType="end"/>
        </w:r>
      </w:hyperlink>
    </w:p>
    <w:p w14:paraId="7F8614D5" w14:textId="52CC2B76"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12" w:history="1">
        <w:r>
          <w:rPr>
            <w:rStyle w:val="Hyperlink"/>
            <w:noProof/>
          </w:rPr>
          <w:t>Table 7: Investment Appraisal Summary, Projects A, B and C.</w:t>
        </w:r>
        <w:r>
          <w:rPr>
            <w:noProof/>
            <w:webHidden/>
          </w:rPr>
          <w:tab/>
        </w:r>
        <w:r>
          <w:rPr>
            <w:noProof/>
            <w:webHidden/>
          </w:rPr>
          <w:fldChar w:fldCharType="begin"/>
        </w:r>
        <w:r>
          <w:rPr>
            <w:noProof/>
            <w:webHidden/>
          </w:rPr>
          <w:instrText xml:space="preserve"> PAGEREF _Toc227865612 \h </w:instrText>
        </w:r>
        <w:r>
          <w:rPr>
            <w:noProof/>
            <w:webHidden/>
          </w:rPr>
        </w:r>
        <w:r>
          <w:rPr>
            <w:noProof/>
            <w:webHidden/>
          </w:rPr>
          <w:fldChar w:fldCharType="separate"/>
        </w:r>
        <w:r>
          <w:rPr>
            <w:noProof/>
            <w:webHidden/>
          </w:rPr>
          <w:t>20</w:t>
        </w:r>
        <w:r>
          <w:rPr>
            <w:noProof/>
            <w:webHidden/>
          </w:rPr>
          <w:fldChar w:fldCharType="end"/>
        </w:r>
      </w:hyperlink>
    </w:p>
    <w:p w14:paraId="55DA3CFE" w14:textId="4ECFCFB2"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13" w:history="1">
        <w:r>
          <w:rPr>
            <w:rStyle w:val="Hyperlink"/>
            <w:noProof/>
          </w:rPr>
          <w:t>Table 8: Capital Rationing Analysis under a GBP 100M Budget.</w:t>
        </w:r>
        <w:r>
          <w:rPr>
            <w:noProof/>
            <w:webHidden/>
          </w:rPr>
          <w:tab/>
        </w:r>
        <w:r>
          <w:rPr>
            <w:noProof/>
            <w:webHidden/>
          </w:rPr>
          <w:fldChar w:fldCharType="begin"/>
        </w:r>
        <w:r>
          <w:rPr>
            <w:noProof/>
            <w:webHidden/>
          </w:rPr>
          <w:instrText xml:space="preserve"> PAGEREF _Toc227865613 \h </w:instrText>
        </w:r>
        <w:r>
          <w:rPr>
            <w:noProof/>
            <w:webHidden/>
          </w:rPr>
        </w:r>
        <w:r>
          <w:rPr>
            <w:noProof/>
            <w:webHidden/>
          </w:rPr>
          <w:fldChar w:fldCharType="separate"/>
        </w:r>
        <w:r>
          <w:rPr>
            <w:noProof/>
            <w:webHidden/>
          </w:rPr>
          <w:t>21</w:t>
        </w:r>
        <w:r>
          <w:rPr>
            <w:noProof/>
            <w:webHidden/>
          </w:rPr>
          <w:fldChar w:fldCharType="end"/>
        </w:r>
      </w:hyperlink>
    </w:p>
    <w:p w14:paraId="25EABEFF" w14:textId="3062C1CD" w:rsidR="00C1600B" w:rsidRDefault="008A7300" w:rsidP="00FF0D21">
      <w:r>
        <w:fldChar w:fldCharType="end"/>
      </w:r>
    </w:p>
    <w:p w14:paraId="4B608075" w14:textId="2563240F" w:rsidR="008A7300" w:rsidRDefault="008A7300" w:rsidP="00FF0D21">
      <w:pPr>
        <w:rPr>
          <w:b/>
          <w:bCs/>
          <w:sz w:val="32"/>
          <w:szCs w:val="32"/>
        </w:rPr>
      </w:pPr>
      <w:r>
        <w:rPr>
          <w:b/>
          <w:bCs/>
          <w:sz w:val="32"/>
          <w:szCs w:val="32"/>
        </w:rPr>
        <w:t>List of Figures:</w:t>
      </w:r>
    </w:p>
    <w:p w14:paraId="40EF6B65" w14:textId="643901FE"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r>
        <w:rPr>
          <w:b/>
          <w:bCs/>
          <w:sz w:val="32"/>
          <w:szCs w:val="32"/>
        </w:rPr>
        <w:lastRenderedPageBreak/>
        <w:fldChar w:fldCharType="begin"/>
      </w:r>
      <w:r>
        <w:rPr>
          <w:b/>
          <w:bCs/>
          <w:sz w:val="32"/>
          <w:szCs w:val="32"/>
        </w:rPr>
        <w:instrText xml:space="preserve"> TOC \h \z \c "Figure" </w:instrText>
      </w:r>
      <w:r>
        <w:rPr>
          <w:b/>
          <w:bCs/>
          <w:sz w:val="32"/>
          <w:szCs w:val="32"/>
        </w:rPr>
        <w:fldChar w:fldCharType="separate"/>
      </w:r>
      <w:hyperlink w:anchor="_Toc227865599" w:history="1">
        <w:r>
          <w:rPr>
            <w:rStyle w:val="Hyperlink"/>
            <w:noProof/>
          </w:rPr>
          <w:t>Figure 1: Profitability Margin Trends, Tesla Inc. 2021 to 2025.</w:t>
        </w:r>
        <w:r>
          <w:rPr>
            <w:noProof/>
            <w:webHidden/>
          </w:rPr>
          <w:tab/>
        </w:r>
        <w:r>
          <w:rPr>
            <w:noProof/>
            <w:webHidden/>
          </w:rPr>
          <w:fldChar w:fldCharType="begin"/>
        </w:r>
        <w:r>
          <w:rPr>
            <w:noProof/>
            <w:webHidden/>
          </w:rPr>
          <w:instrText xml:space="preserve"> PAGEREF _Toc227865599 \h </w:instrText>
        </w:r>
        <w:r>
          <w:rPr>
            <w:noProof/>
            <w:webHidden/>
          </w:rPr>
        </w:r>
        <w:r>
          <w:rPr>
            <w:noProof/>
            <w:webHidden/>
          </w:rPr>
          <w:fldChar w:fldCharType="separate"/>
        </w:r>
        <w:r>
          <w:rPr>
            <w:noProof/>
            <w:webHidden/>
          </w:rPr>
          <w:t>7</w:t>
        </w:r>
        <w:r>
          <w:rPr>
            <w:noProof/>
            <w:webHidden/>
          </w:rPr>
          <w:fldChar w:fldCharType="end"/>
        </w:r>
      </w:hyperlink>
    </w:p>
    <w:p w14:paraId="3BF7DD1B" w14:textId="121E25F3"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00" w:history="1">
        <w:r>
          <w:rPr>
            <w:rStyle w:val="Hyperlink"/>
            <w:noProof/>
          </w:rPr>
          <w:t>Figure 2: Return on Equity and Return on Assets, Tesla Inc. 2021 to 2025.</w:t>
        </w:r>
        <w:r>
          <w:rPr>
            <w:noProof/>
            <w:webHidden/>
          </w:rPr>
          <w:tab/>
        </w:r>
        <w:r>
          <w:rPr>
            <w:noProof/>
            <w:webHidden/>
          </w:rPr>
          <w:fldChar w:fldCharType="begin"/>
        </w:r>
        <w:r>
          <w:rPr>
            <w:noProof/>
            <w:webHidden/>
          </w:rPr>
          <w:instrText xml:space="preserve"> PAGEREF _Toc227865600 \h </w:instrText>
        </w:r>
        <w:r>
          <w:rPr>
            <w:noProof/>
            <w:webHidden/>
          </w:rPr>
        </w:r>
        <w:r>
          <w:rPr>
            <w:noProof/>
            <w:webHidden/>
          </w:rPr>
          <w:fldChar w:fldCharType="separate"/>
        </w:r>
        <w:r>
          <w:rPr>
            <w:noProof/>
            <w:webHidden/>
          </w:rPr>
          <w:t>8</w:t>
        </w:r>
        <w:r>
          <w:rPr>
            <w:noProof/>
            <w:webHidden/>
          </w:rPr>
          <w:fldChar w:fldCharType="end"/>
        </w:r>
      </w:hyperlink>
    </w:p>
    <w:p w14:paraId="2EEA1F5D" w14:textId="5E173F17"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01" w:history="1">
        <w:r>
          <w:rPr>
            <w:rStyle w:val="Hyperlink"/>
            <w:noProof/>
          </w:rPr>
          <w:t>Figure 3: Liquidity Ratios, Tesla Inc. 2021 to 2025</w:t>
        </w:r>
        <w:r>
          <w:rPr>
            <w:noProof/>
            <w:webHidden/>
          </w:rPr>
          <w:tab/>
        </w:r>
        <w:r>
          <w:rPr>
            <w:noProof/>
            <w:webHidden/>
          </w:rPr>
          <w:fldChar w:fldCharType="begin"/>
        </w:r>
        <w:r>
          <w:rPr>
            <w:noProof/>
            <w:webHidden/>
          </w:rPr>
          <w:instrText xml:space="preserve"> PAGEREF _Toc227865601 \h </w:instrText>
        </w:r>
        <w:r>
          <w:rPr>
            <w:noProof/>
            <w:webHidden/>
          </w:rPr>
        </w:r>
        <w:r>
          <w:rPr>
            <w:noProof/>
            <w:webHidden/>
          </w:rPr>
          <w:fldChar w:fldCharType="separate"/>
        </w:r>
        <w:r>
          <w:rPr>
            <w:noProof/>
            <w:webHidden/>
          </w:rPr>
          <w:t>9</w:t>
        </w:r>
        <w:r>
          <w:rPr>
            <w:noProof/>
            <w:webHidden/>
          </w:rPr>
          <w:fldChar w:fldCharType="end"/>
        </w:r>
      </w:hyperlink>
    </w:p>
    <w:p w14:paraId="66C2025B" w14:textId="6AA5EDCF"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02" w:history="1">
        <w:r>
          <w:rPr>
            <w:rStyle w:val="Hyperlink"/>
            <w:noProof/>
          </w:rPr>
          <w:t>Figure 4: Working Capital Activity Ratios and Cash Conversion Cycle, Tesla Inc. 2021 to 2025.</w:t>
        </w:r>
        <w:r>
          <w:rPr>
            <w:noProof/>
            <w:webHidden/>
          </w:rPr>
          <w:tab/>
        </w:r>
        <w:r>
          <w:rPr>
            <w:noProof/>
            <w:webHidden/>
          </w:rPr>
          <w:fldChar w:fldCharType="begin"/>
        </w:r>
        <w:r>
          <w:rPr>
            <w:noProof/>
            <w:webHidden/>
          </w:rPr>
          <w:instrText xml:space="preserve"> PAGEREF _Toc227865602 \h </w:instrText>
        </w:r>
        <w:r>
          <w:rPr>
            <w:noProof/>
            <w:webHidden/>
          </w:rPr>
        </w:r>
        <w:r>
          <w:rPr>
            <w:noProof/>
            <w:webHidden/>
          </w:rPr>
          <w:fldChar w:fldCharType="separate"/>
        </w:r>
        <w:r>
          <w:rPr>
            <w:noProof/>
            <w:webHidden/>
          </w:rPr>
          <w:t>10</w:t>
        </w:r>
        <w:r>
          <w:rPr>
            <w:noProof/>
            <w:webHidden/>
          </w:rPr>
          <w:fldChar w:fldCharType="end"/>
        </w:r>
      </w:hyperlink>
    </w:p>
    <w:p w14:paraId="3BE15984" w14:textId="11C7AAB7"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03" w:history="1">
        <w:r>
          <w:rPr>
            <w:rStyle w:val="Hyperlink"/>
            <w:noProof/>
          </w:rPr>
          <w:t>Figure 5: Total Revenue and Free Cash Flow, Tesla Inc. 2021 to 2025. Source: Tesla SEC 10-K Annual Reports (2021 to 2025).</w:t>
        </w:r>
        <w:r>
          <w:rPr>
            <w:noProof/>
            <w:webHidden/>
          </w:rPr>
          <w:tab/>
        </w:r>
        <w:r>
          <w:rPr>
            <w:noProof/>
            <w:webHidden/>
          </w:rPr>
          <w:fldChar w:fldCharType="begin"/>
        </w:r>
        <w:r>
          <w:rPr>
            <w:noProof/>
            <w:webHidden/>
          </w:rPr>
          <w:instrText xml:space="preserve"> PAGEREF _Toc227865603 \h </w:instrText>
        </w:r>
        <w:r>
          <w:rPr>
            <w:noProof/>
            <w:webHidden/>
          </w:rPr>
        </w:r>
        <w:r>
          <w:rPr>
            <w:noProof/>
            <w:webHidden/>
          </w:rPr>
          <w:fldChar w:fldCharType="separate"/>
        </w:r>
        <w:r>
          <w:rPr>
            <w:noProof/>
            <w:webHidden/>
          </w:rPr>
          <w:t>12</w:t>
        </w:r>
        <w:r>
          <w:rPr>
            <w:noProof/>
            <w:webHidden/>
          </w:rPr>
          <w:fldChar w:fldCharType="end"/>
        </w:r>
      </w:hyperlink>
    </w:p>
    <w:p w14:paraId="4F33EB7A" w14:textId="21A545AE"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04" w:history="1">
        <w:r>
          <w:rPr>
            <w:rStyle w:val="Hyperlink"/>
            <w:noProof/>
          </w:rPr>
          <w:t>Figure 6: Net Present Value Comparison at 10% Discount Rate, Projects A, B and C.</w:t>
        </w:r>
        <w:r>
          <w:rPr>
            <w:noProof/>
            <w:webHidden/>
          </w:rPr>
          <w:tab/>
        </w:r>
        <w:r>
          <w:rPr>
            <w:noProof/>
            <w:webHidden/>
          </w:rPr>
          <w:fldChar w:fldCharType="begin"/>
        </w:r>
        <w:r>
          <w:rPr>
            <w:noProof/>
            <w:webHidden/>
          </w:rPr>
          <w:instrText xml:space="preserve"> PAGEREF _Toc227865604 \h </w:instrText>
        </w:r>
        <w:r>
          <w:rPr>
            <w:noProof/>
            <w:webHidden/>
          </w:rPr>
        </w:r>
        <w:r>
          <w:rPr>
            <w:noProof/>
            <w:webHidden/>
          </w:rPr>
          <w:fldChar w:fldCharType="separate"/>
        </w:r>
        <w:r>
          <w:rPr>
            <w:noProof/>
            <w:webHidden/>
          </w:rPr>
          <w:t>19</w:t>
        </w:r>
        <w:r>
          <w:rPr>
            <w:noProof/>
            <w:webHidden/>
          </w:rPr>
          <w:fldChar w:fldCharType="end"/>
        </w:r>
      </w:hyperlink>
    </w:p>
    <w:p w14:paraId="15DD8EF3" w14:textId="23440D63" w:rsidR="008A7300" w:rsidRDefault="008A7300" w:rsidP="00FF0D21">
      <w:pPr>
        <w:pStyle w:val="TableofFigures"/>
        <w:tabs>
          <w:tab w:val="right" w:leader="dot" w:pos="9016"/>
        </w:tabs>
        <w:rPr>
          <w:rFonts w:asciiTheme="minorHAnsi" w:eastAsiaTheme="minorEastAsia" w:hAnsiTheme="minorHAnsi" w:cstheme="minorBidi"/>
          <w:noProof/>
          <w:kern w:val="2"/>
          <w14:ligatures w14:val="standardContextual"/>
        </w:rPr>
      </w:pPr>
      <w:hyperlink w:anchor="_Toc227865605" w:history="1">
        <w:r>
          <w:rPr>
            <w:rStyle w:val="Hyperlink"/>
            <w:noProof/>
          </w:rPr>
          <w:t>Figure 7: Cumulative Cash Flows, Projects A, B and C.</w:t>
        </w:r>
        <w:r>
          <w:rPr>
            <w:noProof/>
            <w:webHidden/>
          </w:rPr>
          <w:tab/>
        </w:r>
        <w:r>
          <w:rPr>
            <w:noProof/>
            <w:webHidden/>
          </w:rPr>
          <w:fldChar w:fldCharType="begin"/>
        </w:r>
        <w:r>
          <w:rPr>
            <w:noProof/>
            <w:webHidden/>
          </w:rPr>
          <w:instrText xml:space="preserve"> PAGEREF _Toc227865605 \h </w:instrText>
        </w:r>
        <w:r>
          <w:rPr>
            <w:noProof/>
            <w:webHidden/>
          </w:rPr>
        </w:r>
        <w:r>
          <w:rPr>
            <w:noProof/>
            <w:webHidden/>
          </w:rPr>
          <w:fldChar w:fldCharType="separate"/>
        </w:r>
        <w:r>
          <w:rPr>
            <w:noProof/>
            <w:webHidden/>
          </w:rPr>
          <w:t>19</w:t>
        </w:r>
        <w:r>
          <w:rPr>
            <w:noProof/>
            <w:webHidden/>
          </w:rPr>
          <w:fldChar w:fldCharType="end"/>
        </w:r>
      </w:hyperlink>
    </w:p>
    <w:p w14:paraId="127966CE" w14:textId="6FC1BBC5" w:rsidR="008A7300" w:rsidRPr="008A7300" w:rsidRDefault="008A7300" w:rsidP="00FF0D21">
      <w:pPr>
        <w:rPr>
          <w:b/>
          <w:bCs/>
          <w:sz w:val="32"/>
          <w:szCs w:val="32"/>
        </w:rPr>
      </w:pPr>
      <w:r>
        <w:rPr>
          <w:b/>
          <w:bCs/>
          <w:sz w:val="32"/>
          <w:szCs w:val="32"/>
        </w:rPr>
        <w:fldChar w:fldCharType="end"/>
      </w:r>
    </w:p>
    <w:p w14:paraId="753F8553" w14:textId="77777777" w:rsidR="00C1600B" w:rsidRDefault="00C1600B" w:rsidP="00FF0D21"/>
    <w:p w14:paraId="114D8691" w14:textId="77777777" w:rsidR="00C1600B" w:rsidRDefault="00C1600B" w:rsidP="00FF0D21"/>
    <w:p w14:paraId="5EC8F4EF" w14:textId="77777777" w:rsidR="00C1600B" w:rsidRDefault="00C1600B" w:rsidP="00FF0D21"/>
    <w:p w14:paraId="0A5771C9" w14:textId="77777777" w:rsidR="00C1600B" w:rsidRDefault="00C1600B" w:rsidP="00FF0D21"/>
    <w:p w14:paraId="50E07D74" w14:textId="77777777" w:rsidR="00C1600B" w:rsidRDefault="00C1600B" w:rsidP="00FF0D21"/>
    <w:p w14:paraId="74804010" w14:textId="77777777" w:rsidR="00C1600B" w:rsidRDefault="00C1600B" w:rsidP="00FF0D21"/>
    <w:p w14:paraId="2142D333" w14:textId="77777777" w:rsidR="00C1600B" w:rsidRDefault="00C1600B" w:rsidP="00FF0D21"/>
    <w:p w14:paraId="5234FEBB" w14:textId="77777777" w:rsidR="00C1600B" w:rsidRDefault="00C1600B" w:rsidP="00FF0D21"/>
    <w:p w14:paraId="37336F1F" w14:textId="77777777" w:rsidR="00C1600B" w:rsidRDefault="00C1600B" w:rsidP="00FF0D21"/>
    <w:p w14:paraId="274267A8" w14:textId="77777777" w:rsidR="00C1600B" w:rsidRDefault="00C1600B" w:rsidP="00FF0D21"/>
    <w:p w14:paraId="4F1049AF" w14:textId="77777777" w:rsidR="00C1600B" w:rsidRDefault="00C1600B" w:rsidP="00FF0D21"/>
    <w:p w14:paraId="55BDACF4" w14:textId="77777777" w:rsidR="00C1600B" w:rsidRDefault="00C1600B" w:rsidP="00FF0D21"/>
    <w:p w14:paraId="035A2475" w14:textId="77777777" w:rsidR="00C1600B" w:rsidRDefault="00C1600B" w:rsidP="00FF0D21"/>
    <w:p w14:paraId="7D5855B2" w14:textId="77777777" w:rsidR="00C1600B" w:rsidRDefault="00C1600B" w:rsidP="00FF0D21"/>
    <w:p w14:paraId="679A56A3" w14:textId="77777777" w:rsidR="00C1600B" w:rsidRDefault="00C1600B" w:rsidP="00FF0D21"/>
    <w:p w14:paraId="74E04F78" w14:textId="77777777" w:rsidR="00C1600B" w:rsidRDefault="00C1600B" w:rsidP="00FF0D21"/>
    <w:p w14:paraId="5CE08823" w14:textId="77777777" w:rsidR="00C1600B" w:rsidRDefault="00C1600B" w:rsidP="00FF0D21"/>
    <w:p w14:paraId="48CF6BE8" w14:textId="77777777" w:rsidR="008A7300" w:rsidRDefault="008A7300" w:rsidP="00FF0D21"/>
    <w:p w14:paraId="48763F14" w14:textId="77777777" w:rsidR="00C1600B" w:rsidRDefault="00C1600B" w:rsidP="00FF0D21"/>
    <w:p w14:paraId="48BA9191" w14:textId="56CA31F1" w:rsidR="009C7837" w:rsidRDefault="0045400B" w:rsidP="00FF0D21">
      <w:pPr>
        <w:pStyle w:val="Heading1"/>
      </w:pPr>
      <w:bookmarkStart w:id="1" w:name="_Toc227865614"/>
      <w:r>
        <w:lastRenderedPageBreak/>
        <w:t>Introduction</w:t>
      </w:r>
      <w:bookmarkEnd w:id="0"/>
      <w:bookmarkEnd w:id="1"/>
    </w:p>
    <w:p w14:paraId="16F1C061" w14:textId="77777777" w:rsidR="004A565A" w:rsidRPr="004A565A" w:rsidRDefault="004A565A" w:rsidP="00FF0D21">
      <w:bookmarkStart w:id="2" w:name="_Toc224122202"/>
      <w:r>
        <w:t>Tesla, Inc. (NASDAQ: TSLA) is the subject of this report, looking at its financial performance from 2021 right through to 2025. The company produces electric vehicles, energy storage systems, and has recently expanded into autonomous driving and AI technology (Tesla, Inc., 2025a). Revenue grew strongly across much of this period, with 2022 marking the profitability peak, but things changed quickly after that as a brutal price war with Chinese manufacturers forced Tesla to slash prices and squeeze its own margins (International Energy Agency., 2024).</w:t>
      </w:r>
    </w:p>
    <w:p w14:paraId="536E0B40" w14:textId="53F7824D" w:rsidR="004A565A" w:rsidRPr="004A565A" w:rsidRDefault="004A565A" w:rsidP="00FF0D21">
      <w:r>
        <w:t>Four areas are covered in this report: ratio analysis of Tesla’s financial health, a look at how it manages working capital, a strategic restructuring proposal, and an investment appraisal of three hypothetical projects. Tesla is a particularly interesting case study because it sits at the intersection of a traditional manufacturing business and a high-growth technology company, which means standard automotive benchmarks do not always apply cleanly. Every financial figure used comes directly from Tesla’s official SEC 10-K filings. Appendix A contains the Excel workbook with all supporting calculations and charts.</w:t>
      </w:r>
    </w:p>
    <w:p w14:paraId="6902A688" w14:textId="77777777" w:rsidR="004A565A" w:rsidRDefault="004A565A" w:rsidP="00FF0D21"/>
    <w:p w14:paraId="5219E37D" w14:textId="7969C049" w:rsidR="00B94C3F" w:rsidRPr="00B94C3F" w:rsidRDefault="005222E0" w:rsidP="00FF0D21">
      <w:pPr>
        <w:pStyle w:val="Heading1"/>
        <w:rPr>
          <w:color w:val="auto"/>
        </w:rPr>
      </w:pPr>
      <w:bookmarkStart w:id="3" w:name="_Toc227865615"/>
      <w:r>
        <w:t>1. Financial Health Check</w:t>
      </w:r>
      <w:bookmarkEnd w:id="2"/>
      <w:bookmarkEnd w:id="3"/>
    </w:p>
    <w:p w14:paraId="0606533A" w14:textId="77777777" w:rsidR="004A565A" w:rsidRPr="004A565A" w:rsidRDefault="004A565A" w:rsidP="00FF0D21">
      <w:pPr>
        <w:spacing w:after="60"/>
        <w:rPr>
          <w:color w:val="000000"/>
        </w:rPr>
      </w:pPr>
      <w:r>
        <w:rPr>
          <w:color w:val="000000"/>
        </w:rPr>
        <w:t>Numbers on their own do not tell you much. Ratio analysis is what makes them useful, giving context and allowing comparisons across years and between businesses (La Rosa, 2021). What follows covers five categories of ratios, each one looking at a different part of Tesla’s financial picture. The underlying data comes from Tesla’s own audited 10-K filings for 2021 to 2025, with all tables and charts in Appendix A.</w:t>
      </w:r>
    </w:p>
    <w:p w14:paraId="3BB3931D" w14:textId="77777777" w:rsidR="004A565A" w:rsidRPr="004A565A" w:rsidRDefault="004A565A" w:rsidP="00FF0D21">
      <w:pPr>
        <w:pStyle w:val="Heading2"/>
      </w:pPr>
      <w:bookmarkStart w:id="4" w:name="_Toc227865616"/>
      <w:r>
        <w:t>1.1 Profitability</w:t>
      </w:r>
      <w:bookmarkEnd w:id="4"/>
    </w:p>
    <w:p w14:paraId="731F9E77" w14:textId="303A414F" w:rsidR="004A565A" w:rsidRPr="004A565A" w:rsidRDefault="004A565A" w:rsidP="00FF0D21">
      <w:pPr>
        <w:spacing w:after="60"/>
        <w:rPr>
          <w:color w:val="000000"/>
        </w:rPr>
      </w:pPr>
      <w:r>
        <w:rPr>
          <w:color w:val="000000"/>
        </w:rPr>
        <w:t>Table 1 below shows the profitability ratios across all five years. Figure 1 plots the margin trends visually, and Figure 2 breaks down the return metrics year by year.</w:t>
      </w:r>
    </w:p>
    <w:p w14:paraId="1CFFC198" w14:textId="77777777" w:rsidR="009C7837" w:rsidRDefault="009C7837" w:rsidP="00FF0D21">
      <w:pPr>
        <w:spacing w:after="60"/>
      </w:pPr>
    </w:p>
    <w:p w14:paraId="48945B8D" w14:textId="77777777" w:rsidR="004A565A" w:rsidRDefault="004A565A" w:rsidP="00FF0D21">
      <w:pPr>
        <w:spacing w:after="60"/>
      </w:pPr>
    </w:p>
    <w:p w14:paraId="2C459BE9" w14:textId="147575AF" w:rsidR="00B94C3F" w:rsidRPr="00B94C3F" w:rsidRDefault="00B94C3F" w:rsidP="00FF0D21">
      <w:pPr>
        <w:pStyle w:val="Caption"/>
        <w:keepNext/>
        <w:spacing w:line="360" w:lineRule="auto"/>
      </w:pPr>
      <w:bookmarkStart w:id="5" w:name="_Toc224126289"/>
      <w:bookmarkStart w:id="6" w:name="_Toc224248301"/>
      <w:bookmarkStart w:id="7" w:name="_Toc224248886"/>
      <w:bookmarkStart w:id="8" w:name="_Toc227865569"/>
      <w:bookmarkStart w:id="9" w:name="_Toc227865606"/>
      <w:r>
        <w:lastRenderedPageBreak/>
        <w:t xml:space="preserve">Table </w:t>
      </w:r>
      <w:fldSimple w:instr=" SEQ Table \* ARABIC ">
        <w:r>
          <w:rPr>
            <w:noProof/>
          </w:rPr>
          <w:t>1</w:t>
        </w:r>
      </w:fldSimple>
      <w:r>
        <w:t>: Profitability Ratios, Tesla Inc. 2021 to 2025. Source: Tesla SEC 10-K Annual Reports (Tesla, Inc., 2021 to 2025a).</w:t>
      </w:r>
      <w:bookmarkEnd w:id="5"/>
      <w:bookmarkEnd w:id="6"/>
      <w:bookmarkEnd w:id="7"/>
      <w:bookmarkEnd w:id="8"/>
      <w:bookmarkEnd w:id="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76"/>
        <w:gridCol w:w="1370"/>
        <w:gridCol w:w="1370"/>
        <w:gridCol w:w="1370"/>
        <w:gridCol w:w="1370"/>
        <w:gridCol w:w="1370"/>
      </w:tblGrid>
      <w:tr w:rsidR="009C7837" w14:paraId="7764A167" w14:textId="77777777">
        <w:tc>
          <w:tcPr>
            <w:tcW w:w="2176"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AB2AB7A" w14:textId="77777777" w:rsidR="009C7837" w:rsidRDefault="005222E0" w:rsidP="00FF0D21">
            <w:pPr>
              <w:jc w:val="center"/>
            </w:pPr>
            <w:r>
              <w:rPr>
                <w:b/>
                <w:bCs/>
                <w:color w:val="000000"/>
                <w:sz w:val="20"/>
                <w:szCs w:val="20"/>
              </w:rPr>
              <w:t>Ratio</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3693731" w14:textId="77777777" w:rsidR="009C7837" w:rsidRDefault="005222E0" w:rsidP="00FF0D21">
            <w:pPr>
              <w:jc w:val="center"/>
            </w:pPr>
            <w:r>
              <w:rPr>
                <w:b/>
                <w:bCs/>
                <w:color w:val="000000"/>
                <w:sz w:val="20"/>
                <w:szCs w:val="20"/>
              </w:rPr>
              <w:t>2021</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67744C5" w14:textId="77777777" w:rsidR="009C7837" w:rsidRDefault="005222E0" w:rsidP="00FF0D21">
            <w:pPr>
              <w:jc w:val="center"/>
            </w:pPr>
            <w:r>
              <w:rPr>
                <w:b/>
                <w:bCs/>
                <w:color w:val="000000"/>
                <w:sz w:val="20"/>
                <w:szCs w:val="20"/>
              </w:rPr>
              <w:t>2022</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895F79C" w14:textId="77777777" w:rsidR="009C7837" w:rsidRDefault="005222E0" w:rsidP="00FF0D21">
            <w:pPr>
              <w:jc w:val="center"/>
            </w:pPr>
            <w:r>
              <w:rPr>
                <w:b/>
                <w:bCs/>
                <w:color w:val="000000"/>
                <w:sz w:val="20"/>
                <w:szCs w:val="20"/>
              </w:rPr>
              <w:t>2023</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C48DE6F" w14:textId="77777777" w:rsidR="009C7837" w:rsidRDefault="005222E0" w:rsidP="00FF0D21">
            <w:pPr>
              <w:jc w:val="center"/>
            </w:pPr>
            <w:r>
              <w:rPr>
                <w:b/>
                <w:bCs/>
                <w:color w:val="000000"/>
                <w:sz w:val="20"/>
                <w:szCs w:val="20"/>
              </w:rPr>
              <w:t>2024</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28A1C18" w14:textId="77777777" w:rsidR="009C7837" w:rsidRDefault="005222E0" w:rsidP="00FF0D21">
            <w:pPr>
              <w:jc w:val="center"/>
            </w:pPr>
            <w:r>
              <w:rPr>
                <w:b/>
                <w:bCs/>
                <w:color w:val="000000"/>
                <w:sz w:val="20"/>
                <w:szCs w:val="20"/>
              </w:rPr>
              <w:t>2025</w:t>
            </w:r>
          </w:p>
        </w:tc>
      </w:tr>
      <w:tr w:rsidR="009C7837" w14:paraId="04F2FB38"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A90E0B4" w14:textId="77777777" w:rsidR="009C7837" w:rsidRDefault="005222E0" w:rsidP="00FF0D21">
            <w:r>
              <w:rPr>
                <w:b/>
                <w:bCs/>
                <w:color w:val="000000"/>
                <w:sz w:val="20"/>
                <w:szCs w:val="20"/>
              </w:rPr>
              <w:t>Gross Profit Margin</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30955FF" w14:textId="77777777" w:rsidR="009C7837" w:rsidRDefault="005222E0" w:rsidP="00FF0D21">
            <w:pPr>
              <w:jc w:val="center"/>
            </w:pPr>
            <w:r>
              <w:rPr>
                <w:color w:val="000000"/>
                <w:sz w:val="20"/>
                <w:szCs w:val="20"/>
              </w:rPr>
              <w:t>25.3%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834F41A" w14:textId="77777777" w:rsidR="009C7837" w:rsidRDefault="005222E0" w:rsidP="00FF0D21">
            <w:pPr>
              <w:jc w:val="center"/>
            </w:pPr>
            <w:r>
              <w:rPr>
                <w:color w:val="000000"/>
                <w:sz w:val="20"/>
                <w:szCs w:val="20"/>
              </w:rPr>
              <w:t>25.6%</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2854278" w14:textId="77777777" w:rsidR="009C7837" w:rsidRDefault="005222E0" w:rsidP="00FF0D21">
            <w:pPr>
              <w:jc w:val="center"/>
            </w:pPr>
            <w:r>
              <w:rPr>
                <w:color w:val="000000"/>
                <w:sz w:val="20"/>
                <w:szCs w:val="20"/>
              </w:rPr>
              <w:t>18.3%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D53B1D7" w14:textId="77777777" w:rsidR="009C7837" w:rsidRDefault="005222E0" w:rsidP="00FF0D21">
            <w:pPr>
              <w:jc w:val="center"/>
            </w:pPr>
            <w:r>
              <w:rPr>
                <w:color w:val="000000"/>
                <w:sz w:val="20"/>
                <w:szCs w:val="20"/>
              </w:rPr>
              <w:t>17.9%</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EDA3A15" w14:textId="77777777" w:rsidR="009C7837" w:rsidRDefault="005222E0" w:rsidP="00FF0D21">
            <w:pPr>
              <w:jc w:val="center"/>
            </w:pPr>
            <w:r>
              <w:rPr>
                <w:color w:val="000000"/>
                <w:sz w:val="20"/>
                <w:szCs w:val="20"/>
              </w:rPr>
              <w:t>18.0%</w:t>
            </w:r>
          </w:p>
        </w:tc>
      </w:tr>
      <w:tr w:rsidR="009C7837" w14:paraId="2317E5F6"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89C40AC" w14:textId="77777777" w:rsidR="009C7837" w:rsidRDefault="005222E0" w:rsidP="00FF0D21">
            <w:r>
              <w:rPr>
                <w:b/>
                <w:bCs/>
                <w:color w:val="000000"/>
                <w:sz w:val="20"/>
                <w:szCs w:val="20"/>
              </w:rPr>
              <w:t>Operating Margin</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D6A0291" w14:textId="77777777" w:rsidR="009C7837" w:rsidRDefault="005222E0" w:rsidP="00FF0D21">
            <w:pPr>
              <w:jc w:val="center"/>
            </w:pPr>
            <w:r>
              <w:rPr>
                <w:color w:val="000000"/>
                <w:sz w:val="20"/>
                <w:szCs w:val="20"/>
              </w:rPr>
              <w:t>12.1%</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6F146BA" w14:textId="77777777" w:rsidR="009C7837" w:rsidRDefault="005222E0" w:rsidP="00FF0D21">
            <w:pPr>
              <w:jc w:val="center"/>
            </w:pPr>
            <w:r>
              <w:rPr>
                <w:color w:val="000000"/>
                <w:sz w:val="20"/>
                <w:szCs w:val="20"/>
              </w:rPr>
              <w:t>16.8%</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132FD12" w14:textId="77777777" w:rsidR="009C7837" w:rsidRDefault="005222E0" w:rsidP="00FF0D21">
            <w:pPr>
              <w:jc w:val="center"/>
            </w:pPr>
            <w:r>
              <w:rPr>
                <w:color w:val="000000"/>
                <w:sz w:val="20"/>
                <w:szCs w:val="20"/>
              </w:rPr>
              <w:t>9.2%</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C23A1E3" w14:textId="77777777" w:rsidR="009C7837" w:rsidRDefault="005222E0" w:rsidP="00FF0D21">
            <w:pPr>
              <w:jc w:val="center"/>
            </w:pPr>
            <w:r>
              <w:rPr>
                <w:color w:val="000000"/>
                <w:sz w:val="20"/>
                <w:szCs w:val="20"/>
              </w:rPr>
              <w:t>7.2%</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E064F2B" w14:textId="77777777" w:rsidR="009C7837" w:rsidRDefault="005222E0" w:rsidP="00FF0D21">
            <w:pPr>
              <w:jc w:val="center"/>
            </w:pPr>
            <w:r>
              <w:rPr>
                <w:color w:val="000000"/>
                <w:sz w:val="20"/>
                <w:szCs w:val="20"/>
              </w:rPr>
              <w:t>4.6%</w:t>
            </w:r>
          </w:p>
        </w:tc>
      </w:tr>
      <w:tr w:rsidR="009C7837" w14:paraId="6268953B"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6DDD0D4" w14:textId="77777777" w:rsidR="009C7837" w:rsidRDefault="005222E0" w:rsidP="00FF0D21">
            <w:r>
              <w:rPr>
                <w:b/>
                <w:bCs/>
                <w:color w:val="000000"/>
                <w:sz w:val="20"/>
                <w:szCs w:val="20"/>
              </w:rPr>
              <w:t>Net Profit Margin</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6A13346" w14:textId="77777777" w:rsidR="009C7837" w:rsidRDefault="005222E0" w:rsidP="00FF0D21">
            <w:pPr>
              <w:jc w:val="center"/>
            </w:pPr>
            <w:r>
              <w:rPr>
                <w:color w:val="000000"/>
                <w:sz w:val="20"/>
                <w:szCs w:val="20"/>
              </w:rPr>
              <w:t>10.3%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138F199" w14:textId="77777777" w:rsidR="009C7837" w:rsidRDefault="005222E0" w:rsidP="00FF0D21">
            <w:pPr>
              <w:jc w:val="center"/>
            </w:pPr>
            <w:r>
              <w:rPr>
                <w:color w:val="000000"/>
                <w:sz w:val="20"/>
                <w:szCs w:val="20"/>
              </w:rPr>
              <w:t>15.4%</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0996D60" w14:textId="77777777" w:rsidR="009C7837" w:rsidRDefault="005222E0" w:rsidP="00FF0D21">
            <w:pPr>
              <w:jc w:val="center"/>
            </w:pPr>
            <w:r>
              <w:rPr>
                <w:color w:val="000000"/>
                <w:sz w:val="20"/>
                <w:szCs w:val="20"/>
              </w:rPr>
              <w:t>15.5%</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905B9D7" w14:textId="77777777" w:rsidR="009C7837" w:rsidRDefault="005222E0" w:rsidP="00FF0D21">
            <w:pPr>
              <w:jc w:val="center"/>
            </w:pPr>
            <w:r>
              <w:rPr>
                <w:color w:val="000000"/>
                <w:sz w:val="20"/>
                <w:szCs w:val="20"/>
              </w:rPr>
              <w:t>7.3%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BB74F44" w14:textId="77777777" w:rsidR="009C7837" w:rsidRDefault="005222E0" w:rsidP="00FF0D21">
            <w:pPr>
              <w:jc w:val="center"/>
            </w:pPr>
            <w:r>
              <w:rPr>
                <w:color w:val="000000"/>
                <w:sz w:val="20"/>
                <w:szCs w:val="20"/>
              </w:rPr>
              <w:t>4.0%</w:t>
            </w:r>
          </w:p>
        </w:tc>
      </w:tr>
      <w:tr w:rsidR="009C7837" w14:paraId="0894362F"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131D4BE" w14:textId="77777777" w:rsidR="009C7837" w:rsidRDefault="005222E0" w:rsidP="00FF0D21">
            <w:r>
              <w:rPr>
                <w:b/>
                <w:bCs/>
                <w:color w:val="000000"/>
                <w:sz w:val="20"/>
                <w:szCs w:val="20"/>
              </w:rPr>
              <w:t>Return on Assets (ROA)</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FBB74D5" w14:textId="77777777" w:rsidR="009C7837" w:rsidRDefault="005222E0" w:rsidP="00FF0D21">
            <w:pPr>
              <w:jc w:val="center"/>
            </w:pPr>
            <w:r>
              <w:rPr>
                <w:color w:val="000000"/>
                <w:sz w:val="20"/>
                <w:szCs w:val="20"/>
              </w:rPr>
              <w:t>8.9%</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57DFA3A" w14:textId="77777777" w:rsidR="009C7837" w:rsidRDefault="005222E0" w:rsidP="00FF0D21">
            <w:pPr>
              <w:jc w:val="center"/>
            </w:pPr>
            <w:r>
              <w:rPr>
                <w:color w:val="000000"/>
                <w:sz w:val="20"/>
                <w:szCs w:val="20"/>
              </w:rPr>
              <w:t>15.3%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CF55DA9" w14:textId="77777777" w:rsidR="009C7837" w:rsidRDefault="005222E0" w:rsidP="00FF0D21">
            <w:pPr>
              <w:jc w:val="center"/>
            </w:pPr>
            <w:r>
              <w:rPr>
                <w:color w:val="000000"/>
                <w:sz w:val="20"/>
                <w:szCs w:val="20"/>
              </w:rPr>
              <w:t>14.1%</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C16E706" w14:textId="77777777" w:rsidR="009C7837" w:rsidRDefault="005222E0" w:rsidP="00FF0D21">
            <w:pPr>
              <w:jc w:val="center"/>
            </w:pPr>
            <w:r>
              <w:rPr>
                <w:color w:val="000000"/>
                <w:sz w:val="20"/>
                <w:szCs w:val="20"/>
              </w:rPr>
              <w:t>5.8%</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5A9A7B8" w14:textId="77777777" w:rsidR="009C7837" w:rsidRDefault="005222E0" w:rsidP="00FF0D21">
            <w:pPr>
              <w:jc w:val="center"/>
            </w:pPr>
            <w:r>
              <w:rPr>
                <w:color w:val="000000"/>
                <w:sz w:val="20"/>
                <w:szCs w:val="20"/>
              </w:rPr>
              <w:t>2.7%</w:t>
            </w:r>
          </w:p>
        </w:tc>
      </w:tr>
      <w:tr w:rsidR="009C7837" w14:paraId="6BFD6BA4"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8EF51C3" w14:textId="77777777" w:rsidR="009C7837" w:rsidRDefault="005222E0" w:rsidP="00FF0D21">
            <w:r>
              <w:rPr>
                <w:b/>
                <w:bCs/>
                <w:color w:val="000000"/>
                <w:sz w:val="20"/>
                <w:szCs w:val="20"/>
              </w:rPr>
              <w:t>Return on Equity (ROE)</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0207184" w14:textId="77777777" w:rsidR="009C7837" w:rsidRDefault="005222E0" w:rsidP="00FF0D21">
            <w:pPr>
              <w:jc w:val="center"/>
            </w:pPr>
            <w:r>
              <w:rPr>
                <w:color w:val="000000"/>
                <w:sz w:val="20"/>
                <w:szCs w:val="20"/>
              </w:rPr>
              <w:t>18.3%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7AFC054" w14:textId="77777777" w:rsidR="009C7837" w:rsidRDefault="005222E0" w:rsidP="00FF0D21">
            <w:pPr>
              <w:jc w:val="center"/>
            </w:pPr>
            <w:r>
              <w:rPr>
                <w:color w:val="000000"/>
                <w:sz w:val="20"/>
                <w:szCs w:val="20"/>
              </w:rPr>
              <w:t>28.1%</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C721527" w14:textId="77777777" w:rsidR="009C7837" w:rsidRDefault="005222E0" w:rsidP="00FF0D21">
            <w:pPr>
              <w:jc w:val="center"/>
            </w:pPr>
            <w:r>
              <w:rPr>
                <w:color w:val="000000"/>
                <w:sz w:val="20"/>
                <w:szCs w:val="20"/>
              </w:rPr>
              <w:t>23.9%</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FA273AD" w14:textId="77777777" w:rsidR="009C7837" w:rsidRDefault="005222E0" w:rsidP="00FF0D21">
            <w:pPr>
              <w:jc w:val="center"/>
            </w:pPr>
            <w:r>
              <w:rPr>
                <w:color w:val="000000"/>
                <w:sz w:val="20"/>
                <w:szCs w:val="20"/>
              </w:rPr>
              <w:t>9.8%</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63C8D16" w14:textId="77777777" w:rsidR="009C7837" w:rsidRDefault="005222E0" w:rsidP="00FF0D21">
            <w:pPr>
              <w:jc w:val="center"/>
            </w:pPr>
            <w:r>
              <w:rPr>
                <w:color w:val="000000"/>
                <w:sz w:val="20"/>
                <w:szCs w:val="20"/>
              </w:rPr>
              <w:t>4.6%</w:t>
            </w:r>
          </w:p>
        </w:tc>
      </w:tr>
      <w:tr w:rsidR="009C7837" w14:paraId="5FFC4C01"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4176CEF" w14:textId="77777777" w:rsidR="009C7837" w:rsidRDefault="005222E0" w:rsidP="00FF0D21">
            <w:r>
              <w:rPr>
                <w:b/>
                <w:bCs/>
                <w:color w:val="000000"/>
                <w:sz w:val="20"/>
                <w:szCs w:val="20"/>
              </w:rPr>
              <w:t>EBITDA Margin</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1BAFE7E" w14:textId="77777777" w:rsidR="009C7837" w:rsidRDefault="005222E0" w:rsidP="00FF0D21">
            <w:pPr>
              <w:jc w:val="center"/>
            </w:pPr>
            <w:r>
              <w:rPr>
                <w:color w:val="000000"/>
                <w:sz w:val="20"/>
                <w:szCs w:val="20"/>
              </w:rPr>
              <w:t>17.9%</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DC1F061" w14:textId="77777777" w:rsidR="009C7837" w:rsidRDefault="005222E0" w:rsidP="00FF0D21">
            <w:pPr>
              <w:jc w:val="center"/>
            </w:pPr>
            <w:r>
              <w:rPr>
                <w:color w:val="000000"/>
                <w:sz w:val="20"/>
                <w:szCs w:val="20"/>
              </w:rPr>
              <w:t>21.7%</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42F9373" w14:textId="77777777" w:rsidR="009C7837" w:rsidRDefault="005222E0" w:rsidP="00FF0D21">
            <w:pPr>
              <w:jc w:val="center"/>
            </w:pPr>
            <w:r>
              <w:rPr>
                <w:color w:val="000000"/>
                <w:sz w:val="20"/>
                <w:szCs w:val="20"/>
              </w:rPr>
              <w:t>15.3%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038974B" w14:textId="77777777" w:rsidR="009C7837" w:rsidRDefault="005222E0" w:rsidP="00FF0D21">
            <w:pPr>
              <w:jc w:val="center"/>
            </w:pPr>
            <w:r>
              <w:rPr>
                <w:color w:val="000000"/>
                <w:sz w:val="20"/>
                <w:szCs w:val="20"/>
              </w:rPr>
              <w:t>15.1%</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610DD07" w14:textId="77777777" w:rsidR="009C7837" w:rsidRDefault="005222E0" w:rsidP="00FF0D21">
            <w:pPr>
              <w:jc w:val="center"/>
            </w:pPr>
            <w:r>
              <w:rPr>
                <w:color w:val="000000"/>
                <w:sz w:val="20"/>
                <w:szCs w:val="20"/>
              </w:rPr>
              <w:t>12.4%</w:t>
            </w:r>
          </w:p>
        </w:tc>
      </w:tr>
    </w:tbl>
    <w:p w14:paraId="33011D0E" w14:textId="77777777" w:rsidR="009C7837" w:rsidRDefault="009C7837" w:rsidP="00FF0D21">
      <w:pPr>
        <w:spacing w:after="60"/>
      </w:pPr>
    </w:p>
    <w:p w14:paraId="4D6C77B1" w14:textId="77777777" w:rsidR="00B94C3F" w:rsidRDefault="005222E0" w:rsidP="00FF0D21">
      <w:pPr>
        <w:keepNext/>
        <w:spacing w:before="100" w:after="60"/>
        <w:jc w:val="center"/>
      </w:pPr>
      <w:r>
        <w:rPr>
          <w:noProof/>
        </w:rPr>
        <w:drawing>
          <wp:inline distT="0" distB="0" distL="0" distR="0" wp14:anchorId="463C47EB" wp14:editId="2B9CDEF3">
            <wp:extent cx="5391150" cy="2512695"/>
            <wp:effectExtent l="0" t="0" r="0" b="1905"/>
            <wp:docPr id="635195769" name="Picture 63519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0"/>
                    <a:srcRect t="6784"/>
                    <a:stretch>
                      <a:fillRect/>
                    </a:stretch>
                  </pic:blipFill>
                  <pic:spPr bwMode="auto">
                    <a:xfrm>
                      <a:off x="0" y="0"/>
                      <a:ext cx="5391150" cy="2512695"/>
                    </a:xfrm>
                    <a:prstGeom prst="rect">
                      <a:avLst/>
                    </a:prstGeom>
                    <a:ln>
                      <a:noFill/>
                    </a:ln>
                    <a:extLst>
                      <a:ext uri="{53640926-AAD7-44D8-BBD7-CCE9431645EC}">
                        <a14:shadowObscured xmlns:a14="http://schemas.microsoft.com/office/drawing/2010/main"/>
                      </a:ext>
                    </a:extLst>
                  </pic:spPr>
                </pic:pic>
              </a:graphicData>
            </a:graphic>
          </wp:inline>
        </w:drawing>
      </w:r>
    </w:p>
    <w:p w14:paraId="4CC4660C" w14:textId="082CC543" w:rsidR="009C7837" w:rsidRDefault="00B94C3F" w:rsidP="00FF0D21">
      <w:pPr>
        <w:pStyle w:val="Caption"/>
        <w:spacing w:line="360" w:lineRule="auto"/>
        <w:jc w:val="center"/>
      </w:pPr>
      <w:bookmarkStart w:id="10" w:name="_Toc224248887"/>
      <w:bookmarkStart w:id="11" w:name="_Toc227865570"/>
      <w:bookmarkStart w:id="12" w:name="_Toc227865599"/>
      <w:bookmarkStart w:id="13" w:name="_Toc224126431"/>
      <w:r>
        <w:t xml:space="preserve">Figure </w:t>
      </w:r>
      <w:fldSimple w:instr=" SEQ Figure \* ARABIC ">
        <w:r>
          <w:rPr>
            <w:noProof/>
          </w:rPr>
          <w:t>1</w:t>
        </w:r>
      </w:fldSimple>
      <w:r>
        <w:t>: Profitability Margin Trends, Tesla Inc. 2021 to 2025.</w:t>
      </w:r>
      <w:bookmarkEnd w:id="10"/>
      <w:bookmarkEnd w:id="11"/>
      <w:bookmarkEnd w:id="12"/>
      <w:r>
        <w:t xml:space="preserve"> </w:t>
      </w:r>
      <w:bookmarkEnd w:id="13"/>
    </w:p>
    <w:p w14:paraId="485AFF8A" w14:textId="77777777" w:rsidR="00B94C3F" w:rsidRPr="00B94C3F" w:rsidRDefault="00B94C3F" w:rsidP="00FF0D21"/>
    <w:p w14:paraId="0B38119E" w14:textId="48BADB14" w:rsidR="004A565A" w:rsidRPr="004A565A" w:rsidRDefault="004A565A" w:rsidP="00FF0D21">
      <w:pPr>
        <w:spacing w:after="60"/>
        <w:rPr>
          <w:color w:val="000000"/>
        </w:rPr>
      </w:pPr>
      <w:r>
        <w:rPr>
          <w:color w:val="000000"/>
        </w:rPr>
        <w:t>Between 2021 and 2022 gross profit margin was fairly consistent at around 25%, before falling sharply in 2023. Price cuts of up to 25% in the US market were behind this fall - Tesla had little choice given the competitive pressure coming from BYD and cheaper Chinese rivals entering markets at significantly lower price points (Sustainability Magazine, 2024). The price cuts were a deliberate strategic decision to protect volume, even at the cost of margin. By 2024 things had stabilised at around 18%, and 2025 saw a similar reading. Whether margins ever recover towards pre-</w:t>
      </w:r>
      <w:r>
        <w:rPr>
          <w:color w:val="000000"/>
        </w:rPr>
        <w:lastRenderedPageBreak/>
        <w:t>price-war levels is genuinely uncertain, as BYD continues to grow its global presence and pricing pressure shows no signs of easing.</w:t>
      </w:r>
    </w:p>
    <w:p w14:paraId="01088DE1" w14:textId="77777777" w:rsidR="004A565A" w:rsidRPr="004A565A" w:rsidRDefault="004A565A" w:rsidP="00FF0D21">
      <w:pPr>
        <w:spacing w:after="60"/>
        <w:rPr>
          <w:color w:val="000000"/>
        </w:rPr>
      </w:pPr>
      <w:r>
        <w:rPr>
          <w:color w:val="000000"/>
        </w:rPr>
        <w:t>The 2022 operating margin of 16.8% was the high point. After that it dropped without interruption, landing at just 4.6% in 2025. Part of this was the pricing problem, but equally important was the sharp rise in R&amp;D costs - spending more than doubled from $2.6 billion to $6.4 billion as Tesla pushed hard on self-driving technology, the Optimus robot project, and AI capabilities (Macrotrends, 2025). Net profit margin went from 15.5% in 2023 down to 4.0% in 2025, the weakest figure in the whole five-year period (Stock Analysis on Net, 2025a).</w:t>
      </w:r>
    </w:p>
    <w:p w14:paraId="77442E70" w14:textId="77777777" w:rsidR="009C7837" w:rsidRDefault="009C7837" w:rsidP="00FF0D21">
      <w:pPr>
        <w:spacing w:after="60"/>
      </w:pPr>
    </w:p>
    <w:p w14:paraId="1989F25F" w14:textId="77777777" w:rsidR="00B94C3F" w:rsidRDefault="005222E0" w:rsidP="00FF0D21">
      <w:pPr>
        <w:keepNext/>
        <w:spacing w:before="100" w:after="60"/>
        <w:jc w:val="center"/>
      </w:pPr>
      <w:r>
        <w:rPr>
          <w:noProof/>
        </w:rPr>
        <w:drawing>
          <wp:inline distT="0" distB="0" distL="0" distR="0" wp14:anchorId="3E62432F" wp14:editId="43FF9BF3">
            <wp:extent cx="5391150" cy="2566035"/>
            <wp:effectExtent l="0" t="0" r="0" b="5715"/>
            <wp:docPr id="1098812716" name="Picture 109881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1"/>
                    <a:srcRect l="-283" t="5371" r="283" b="-565"/>
                    <a:stretch>
                      <a:fillRect/>
                    </a:stretch>
                  </pic:blipFill>
                  <pic:spPr bwMode="auto">
                    <a:xfrm>
                      <a:off x="0" y="0"/>
                      <a:ext cx="5391150" cy="2566035"/>
                    </a:xfrm>
                    <a:prstGeom prst="rect">
                      <a:avLst/>
                    </a:prstGeom>
                    <a:ln>
                      <a:noFill/>
                    </a:ln>
                    <a:extLst>
                      <a:ext uri="{53640926-AAD7-44D8-BBD7-CCE9431645EC}">
                        <a14:shadowObscured xmlns:a14="http://schemas.microsoft.com/office/drawing/2010/main"/>
                      </a:ext>
                    </a:extLst>
                  </pic:spPr>
                </pic:pic>
              </a:graphicData>
            </a:graphic>
          </wp:inline>
        </w:drawing>
      </w:r>
    </w:p>
    <w:p w14:paraId="0DB66ABD" w14:textId="43735A2B" w:rsidR="009C7837" w:rsidRDefault="00B94C3F" w:rsidP="00FF0D21">
      <w:pPr>
        <w:pStyle w:val="Caption"/>
        <w:spacing w:line="360" w:lineRule="auto"/>
        <w:jc w:val="center"/>
      </w:pPr>
      <w:bookmarkStart w:id="14" w:name="_Toc224248888"/>
      <w:bookmarkStart w:id="15" w:name="_Toc227865571"/>
      <w:bookmarkStart w:id="16" w:name="_Toc227865600"/>
      <w:bookmarkStart w:id="17" w:name="_Toc224126432"/>
      <w:r>
        <w:t xml:space="preserve">Figure </w:t>
      </w:r>
      <w:fldSimple w:instr=" SEQ Figure \* ARABIC ">
        <w:r>
          <w:rPr>
            <w:noProof/>
          </w:rPr>
          <w:t>2</w:t>
        </w:r>
      </w:fldSimple>
      <w:r>
        <w:t>: Return on Equity and Return on Assets, Tesla Inc. 2021 to 2025.</w:t>
      </w:r>
      <w:bookmarkEnd w:id="14"/>
      <w:bookmarkEnd w:id="15"/>
      <w:bookmarkEnd w:id="16"/>
      <w:r>
        <w:t xml:space="preserve"> </w:t>
      </w:r>
      <w:bookmarkEnd w:id="17"/>
    </w:p>
    <w:p w14:paraId="5E3A6A46" w14:textId="77777777" w:rsidR="004A565A" w:rsidRPr="004A565A" w:rsidRDefault="004A565A" w:rsidP="00FF0D21">
      <w:pPr>
        <w:spacing w:after="60"/>
        <w:rPr>
          <w:color w:val="000000"/>
        </w:rPr>
      </w:pPr>
      <w:r>
        <w:rPr>
          <w:color w:val="000000"/>
        </w:rPr>
        <w:t>Figure 2 tells a similar story for returns. ROE peaked at 28.1% in 2022 and dropped to 4.6% by 2025, while ROA moved from 15.3% down to just 2.7%. A big part of the reason is timing - Tesla has been building Gigafactories and AI facilities at pace, and the asset base has grown well ahead of the earnings those assets will eventually bring in. Worth keeping in perspective though: even at 4%, Tesla’s net margin was still better than Volkswagen Audi’s 3.9% in 2024 (WhichEV, 2024).</w:t>
      </w:r>
    </w:p>
    <w:p w14:paraId="020BEB41" w14:textId="77777777" w:rsidR="004A565A" w:rsidRPr="004A565A" w:rsidRDefault="004A565A" w:rsidP="00FF0D21">
      <w:pPr>
        <w:pStyle w:val="Heading2"/>
      </w:pPr>
      <w:bookmarkStart w:id="18" w:name="_Toc227865617"/>
      <w:r>
        <w:t>1.2 Liquidity</w:t>
      </w:r>
      <w:bookmarkEnd w:id="18"/>
    </w:p>
    <w:p w14:paraId="1E4CDEB4" w14:textId="77777777" w:rsidR="004A565A" w:rsidRPr="004A565A" w:rsidRDefault="004A565A" w:rsidP="00FF0D21">
      <w:pPr>
        <w:spacing w:after="60"/>
        <w:rPr>
          <w:color w:val="000000"/>
        </w:rPr>
      </w:pPr>
      <w:r>
        <w:rPr>
          <w:color w:val="000000"/>
        </w:rPr>
        <w:t>Tesla’s liquidity ratios are in Table 2. Figure 3 maps out the trend across the period, including the notable moment in 2023 when the cash ratio crossed 1.0 for the first time.</w:t>
      </w:r>
    </w:p>
    <w:p w14:paraId="31443EFD" w14:textId="77777777" w:rsidR="009C7837" w:rsidRDefault="009C7837" w:rsidP="00FF0D21">
      <w:pPr>
        <w:spacing w:after="60"/>
      </w:pPr>
    </w:p>
    <w:p w14:paraId="0CA20487" w14:textId="670E014D" w:rsidR="004A565A" w:rsidRDefault="004A565A" w:rsidP="00FF0D21">
      <w:pPr>
        <w:pStyle w:val="Caption"/>
        <w:keepNext/>
        <w:spacing w:line="360" w:lineRule="auto"/>
      </w:pPr>
      <w:bookmarkStart w:id="19" w:name="_Toc224126290"/>
      <w:bookmarkStart w:id="20" w:name="_Toc224248302"/>
      <w:bookmarkStart w:id="21" w:name="_Toc224248889"/>
      <w:bookmarkStart w:id="22" w:name="_Toc227865572"/>
      <w:bookmarkStart w:id="23" w:name="_Toc227865607"/>
      <w:r>
        <w:t xml:space="preserve">Table </w:t>
      </w:r>
      <w:fldSimple w:instr=" SEQ Table \* ARABIC ">
        <w:r>
          <w:rPr>
            <w:noProof/>
          </w:rPr>
          <w:t>2</w:t>
        </w:r>
      </w:fldSimple>
      <w:r>
        <w:t>: Liquidity Ratios, Tesla Inc. 2021 to 2025. Source: Tesla SEC 10-K Annual Reports (Tesla, Inc., 2021 to 2025a).</w:t>
      </w:r>
      <w:bookmarkEnd w:id="19"/>
      <w:bookmarkEnd w:id="20"/>
      <w:bookmarkEnd w:id="21"/>
      <w:bookmarkEnd w:id="22"/>
      <w:bookmarkEnd w:id="2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76"/>
        <w:gridCol w:w="1370"/>
        <w:gridCol w:w="1370"/>
        <w:gridCol w:w="1370"/>
        <w:gridCol w:w="1370"/>
        <w:gridCol w:w="1370"/>
      </w:tblGrid>
      <w:tr w:rsidR="009C7837" w14:paraId="1A563A25" w14:textId="77777777">
        <w:tc>
          <w:tcPr>
            <w:tcW w:w="2176"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23148DA" w14:textId="77777777" w:rsidR="009C7837" w:rsidRDefault="005222E0" w:rsidP="00FF0D21">
            <w:pPr>
              <w:jc w:val="center"/>
            </w:pPr>
            <w:r>
              <w:rPr>
                <w:b/>
                <w:bCs/>
                <w:color w:val="000000"/>
                <w:sz w:val="20"/>
                <w:szCs w:val="20"/>
              </w:rPr>
              <w:t>Ratio</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7C49DF9" w14:textId="77777777" w:rsidR="009C7837" w:rsidRDefault="005222E0" w:rsidP="00FF0D21">
            <w:pPr>
              <w:jc w:val="center"/>
            </w:pPr>
            <w:r>
              <w:rPr>
                <w:b/>
                <w:bCs/>
                <w:color w:val="000000"/>
                <w:sz w:val="20"/>
                <w:szCs w:val="20"/>
              </w:rPr>
              <w:t>2021</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CED3DF0" w14:textId="77777777" w:rsidR="009C7837" w:rsidRDefault="005222E0" w:rsidP="00FF0D21">
            <w:pPr>
              <w:jc w:val="center"/>
            </w:pPr>
            <w:r>
              <w:rPr>
                <w:b/>
                <w:bCs/>
                <w:color w:val="000000"/>
                <w:sz w:val="20"/>
                <w:szCs w:val="20"/>
              </w:rPr>
              <w:t>2022</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46DE9EB" w14:textId="77777777" w:rsidR="009C7837" w:rsidRDefault="005222E0" w:rsidP="00FF0D21">
            <w:pPr>
              <w:jc w:val="center"/>
            </w:pPr>
            <w:r>
              <w:rPr>
                <w:b/>
                <w:bCs/>
                <w:color w:val="000000"/>
                <w:sz w:val="20"/>
                <w:szCs w:val="20"/>
              </w:rPr>
              <w:t>2023</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7B3AC06" w14:textId="77777777" w:rsidR="009C7837" w:rsidRDefault="005222E0" w:rsidP="00FF0D21">
            <w:pPr>
              <w:jc w:val="center"/>
            </w:pPr>
            <w:r>
              <w:rPr>
                <w:b/>
                <w:bCs/>
                <w:color w:val="000000"/>
                <w:sz w:val="20"/>
                <w:szCs w:val="20"/>
              </w:rPr>
              <w:t>2024</w:t>
            </w:r>
          </w:p>
        </w:tc>
        <w:tc>
          <w:tcPr>
            <w:tcW w:w="137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2DB18E1" w14:textId="77777777" w:rsidR="009C7837" w:rsidRDefault="005222E0" w:rsidP="00FF0D21">
            <w:pPr>
              <w:jc w:val="center"/>
            </w:pPr>
            <w:r>
              <w:rPr>
                <w:b/>
                <w:bCs/>
                <w:color w:val="000000"/>
                <w:sz w:val="20"/>
                <w:szCs w:val="20"/>
              </w:rPr>
              <w:t>2025</w:t>
            </w:r>
          </w:p>
        </w:tc>
      </w:tr>
      <w:tr w:rsidR="009C7837" w14:paraId="41BC93C2"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9015F13" w14:textId="77777777" w:rsidR="009C7837" w:rsidRDefault="005222E0" w:rsidP="00FF0D21">
            <w:r>
              <w:rPr>
                <w:b/>
                <w:bCs/>
                <w:color w:val="000000"/>
                <w:sz w:val="20"/>
                <w:szCs w:val="20"/>
              </w:rPr>
              <w:t>Current Ratio</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4A9609A" w14:textId="77777777" w:rsidR="009C7837" w:rsidRDefault="005222E0" w:rsidP="00FF0D21">
            <w:pPr>
              <w:jc w:val="center"/>
            </w:pPr>
            <w:r>
              <w:rPr>
                <w:color w:val="000000"/>
                <w:sz w:val="20"/>
                <w:szCs w:val="20"/>
              </w:rPr>
              <w:t>1.38</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0EBC1CC" w14:textId="77777777" w:rsidR="009C7837" w:rsidRDefault="005222E0" w:rsidP="00FF0D21">
            <w:pPr>
              <w:jc w:val="center"/>
            </w:pPr>
            <w:r>
              <w:rPr>
                <w:color w:val="000000"/>
                <w:sz w:val="20"/>
                <w:szCs w:val="20"/>
              </w:rPr>
              <w:t>1.53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F767E62" w14:textId="77777777" w:rsidR="009C7837" w:rsidRDefault="005222E0" w:rsidP="00FF0D21">
            <w:pPr>
              <w:jc w:val="center"/>
            </w:pPr>
            <w:r>
              <w:rPr>
                <w:color w:val="000000"/>
                <w:sz w:val="20"/>
                <w:szCs w:val="20"/>
              </w:rPr>
              <w:t>1.73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FDB562F" w14:textId="77777777" w:rsidR="009C7837" w:rsidRDefault="005222E0" w:rsidP="00FF0D21">
            <w:pPr>
              <w:jc w:val="center"/>
            </w:pPr>
            <w:r>
              <w:rPr>
                <w:color w:val="000000"/>
                <w:sz w:val="20"/>
                <w:szCs w:val="20"/>
              </w:rPr>
              <w:t>2.03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C862814" w14:textId="77777777" w:rsidR="009C7837" w:rsidRDefault="005222E0" w:rsidP="00FF0D21">
            <w:pPr>
              <w:jc w:val="center"/>
            </w:pPr>
            <w:r>
              <w:rPr>
                <w:color w:val="000000"/>
                <w:sz w:val="20"/>
                <w:szCs w:val="20"/>
              </w:rPr>
              <w:t>2.16</w:t>
            </w:r>
          </w:p>
        </w:tc>
      </w:tr>
      <w:tr w:rsidR="009C7837" w14:paraId="7E968887"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A7D4321" w14:textId="77777777" w:rsidR="009C7837" w:rsidRDefault="005222E0" w:rsidP="00FF0D21">
            <w:r>
              <w:rPr>
                <w:b/>
                <w:bCs/>
                <w:color w:val="000000"/>
                <w:sz w:val="20"/>
                <w:szCs w:val="20"/>
              </w:rPr>
              <w:t>Quick Ratio</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2853808" w14:textId="77777777" w:rsidR="009C7837" w:rsidRDefault="005222E0" w:rsidP="00FF0D21">
            <w:pPr>
              <w:jc w:val="center"/>
            </w:pPr>
            <w:r>
              <w:rPr>
                <w:color w:val="000000"/>
                <w:sz w:val="20"/>
                <w:szCs w:val="20"/>
              </w:rPr>
              <w:t>1.09</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BC36C3D" w14:textId="77777777" w:rsidR="009C7837" w:rsidRDefault="005222E0" w:rsidP="00FF0D21">
            <w:pPr>
              <w:jc w:val="center"/>
            </w:pPr>
            <w:r>
              <w:rPr>
                <w:color w:val="000000"/>
                <w:sz w:val="20"/>
                <w:szCs w:val="20"/>
              </w:rPr>
              <w:t>1.05</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31C3820" w14:textId="77777777" w:rsidR="009C7837" w:rsidRDefault="005222E0" w:rsidP="00FF0D21">
            <w:pPr>
              <w:jc w:val="center"/>
            </w:pPr>
            <w:r>
              <w:rPr>
                <w:color w:val="000000"/>
                <w:sz w:val="20"/>
                <w:szCs w:val="20"/>
              </w:rPr>
              <w:t>1.25</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CA206E7" w14:textId="77777777" w:rsidR="009C7837" w:rsidRDefault="005222E0" w:rsidP="00FF0D21">
            <w:pPr>
              <w:jc w:val="center"/>
            </w:pPr>
            <w:r>
              <w:rPr>
                <w:color w:val="000000"/>
                <w:sz w:val="20"/>
                <w:szCs w:val="20"/>
              </w:rPr>
              <w:t>1.61</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EEFBF9B" w14:textId="77777777" w:rsidR="009C7837" w:rsidRDefault="005222E0" w:rsidP="00FF0D21">
            <w:pPr>
              <w:jc w:val="center"/>
            </w:pPr>
            <w:r>
              <w:rPr>
                <w:color w:val="000000"/>
                <w:sz w:val="20"/>
                <w:szCs w:val="20"/>
              </w:rPr>
              <w:t>1.77</w:t>
            </w:r>
          </w:p>
        </w:tc>
      </w:tr>
      <w:tr w:rsidR="009C7837" w14:paraId="24601DFC"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000A08C" w14:textId="77777777" w:rsidR="009C7837" w:rsidRDefault="005222E0" w:rsidP="00FF0D21">
            <w:r>
              <w:rPr>
                <w:b/>
                <w:bCs/>
                <w:color w:val="000000"/>
                <w:sz w:val="20"/>
                <w:szCs w:val="20"/>
              </w:rPr>
              <w:t>Cash Ratio</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31BFE4A" w14:textId="77777777" w:rsidR="009C7837" w:rsidRDefault="005222E0" w:rsidP="00FF0D21">
            <w:pPr>
              <w:jc w:val="center"/>
            </w:pPr>
            <w:r>
              <w:rPr>
                <w:color w:val="000000"/>
                <w:sz w:val="20"/>
                <w:szCs w:val="20"/>
              </w:rPr>
              <w:t>0.90</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3F73838" w14:textId="77777777" w:rsidR="009C7837" w:rsidRDefault="005222E0" w:rsidP="00FF0D21">
            <w:pPr>
              <w:jc w:val="center"/>
            </w:pPr>
            <w:r>
              <w:rPr>
                <w:color w:val="000000"/>
                <w:sz w:val="20"/>
                <w:szCs w:val="20"/>
              </w:rPr>
              <w:t>0.83</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E34A64A" w14:textId="77777777" w:rsidR="009C7837" w:rsidRDefault="005222E0" w:rsidP="00FF0D21">
            <w:pPr>
              <w:jc w:val="center"/>
            </w:pPr>
            <w:r>
              <w:rPr>
                <w:color w:val="000000"/>
                <w:sz w:val="20"/>
                <w:szCs w:val="20"/>
              </w:rPr>
              <w:t>1.01</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4DC5EF1" w14:textId="77777777" w:rsidR="009C7837" w:rsidRDefault="005222E0" w:rsidP="00FF0D21">
            <w:pPr>
              <w:jc w:val="center"/>
            </w:pPr>
            <w:r>
              <w:rPr>
                <w:color w:val="000000"/>
                <w:sz w:val="20"/>
                <w:szCs w:val="20"/>
              </w:rPr>
              <w:t>1.27</w:t>
            </w:r>
          </w:p>
        </w:tc>
        <w:tc>
          <w:tcPr>
            <w:tcW w:w="137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5331958" w14:textId="77777777" w:rsidR="009C7837" w:rsidRDefault="005222E0" w:rsidP="00FF0D21">
            <w:pPr>
              <w:jc w:val="center"/>
            </w:pPr>
            <w:r>
              <w:rPr>
                <w:color w:val="000000"/>
                <w:sz w:val="20"/>
                <w:szCs w:val="20"/>
              </w:rPr>
              <w:t>1.39</w:t>
            </w:r>
          </w:p>
        </w:tc>
      </w:tr>
    </w:tbl>
    <w:p w14:paraId="2676039B" w14:textId="77777777" w:rsidR="009C7837" w:rsidRDefault="009C7837" w:rsidP="00FF0D21">
      <w:pPr>
        <w:spacing w:after="60"/>
      </w:pPr>
    </w:p>
    <w:p w14:paraId="19442C2F" w14:textId="77777777" w:rsidR="004A565A" w:rsidRDefault="005222E0" w:rsidP="00FF0D21">
      <w:pPr>
        <w:keepNext/>
        <w:spacing w:before="100" w:after="60"/>
        <w:jc w:val="center"/>
      </w:pPr>
      <w:r>
        <w:rPr>
          <w:noProof/>
        </w:rPr>
        <w:drawing>
          <wp:inline distT="0" distB="0" distL="0" distR="0" wp14:anchorId="6894950A" wp14:editId="09606275">
            <wp:extent cx="5391150" cy="2497455"/>
            <wp:effectExtent l="0" t="0" r="0" b="0"/>
            <wp:docPr id="944767142" name="Picture 944767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2"/>
                    <a:srcRect t="7349"/>
                    <a:stretch>
                      <a:fillRect/>
                    </a:stretch>
                  </pic:blipFill>
                  <pic:spPr bwMode="auto">
                    <a:xfrm>
                      <a:off x="0" y="0"/>
                      <a:ext cx="5391150" cy="2497455"/>
                    </a:xfrm>
                    <a:prstGeom prst="rect">
                      <a:avLst/>
                    </a:prstGeom>
                    <a:ln>
                      <a:noFill/>
                    </a:ln>
                    <a:extLst>
                      <a:ext uri="{53640926-AAD7-44D8-BBD7-CCE9431645EC}">
                        <a14:shadowObscured xmlns:a14="http://schemas.microsoft.com/office/drawing/2010/main"/>
                      </a:ext>
                    </a:extLst>
                  </pic:spPr>
                </pic:pic>
              </a:graphicData>
            </a:graphic>
          </wp:inline>
        </w:drawing>
      </w:r>
    </w:p>
    <w:p w14:paraId="18751B6A" w14:textId="0D551C9F" w:rsidR="009C7837" w:rsidRDefault="004A565A" w:rsidP="00FF0D21">
      <w:pPr>
        <w:pStyle w:val="Caption"/>
        <w:spacing w:line="360" w:lineRule="auto"/>
        <w:jc w:val="center"/>
      </w:pPr>
      <w:bookmarkStart w:id="24" w:name="_Toc224126433"/>
      <w:bookmarkStart w:id="25" w:name="_Toc224248890"/>
      <w:bookmarkStart w:id="26" w:name="_Toc227865573"/>
      <w:bookmarkStart w:id="27" w:name="_Toc227865601"/>
      <w:r>
        <w:t xml:space="preserve">Figure </w:t>
      </w:r>
      <w:fldSimple w:instr=" SEQ Figure \* ARABIC ">
        <w:r>
          <w:rPr>
            <w:noProof/>
          </w:rPr>
          <w:t>3</w:t>
        </w:r>
      </w:fldSimple>
      <w:r>
        <w:t>: Liquidity Ratios, Tesla Inc. 2021 to 2025</w:t>
      </w:r>
      <w:bookmarkEnd w:id="24"/>
      <w:bookmarkEnd w:id="25"/>
      <w:bookmarkEnd w:id="26"/>
      <w:bookmarkEnd w:id="27"/>
    </w:p>
    <w:p w14:paraId="7CADB082" w14:textId="77777777" w:rsidR="004A565A" w:rsidRPr="004A565A" w:rsidRDefault="004A565A" w:rsidP="00FF0D21"/>
    <w:p w14:paraId="66524B06" w14:textId="76951D52" w:rsidR="0090421E" w:rsidRPr="0090421E" w:rsidRDefault="0090421E" w:rsidP="00FF0D21">
      <w:pPr>
        <w:spacing w:after="60"/>
      </w:pPr>
      <w:r>
        <w:t xml:space="preserve">Every liquidity measure improved year on year, without exception. The current ratio moved from 1.38 in 2021 to 2.16 by 2025, consistent with external estimates of around 2.02 for 2024 (Artificall, 2025). The quick ratio followed the same upward path, rising from 1.09 to 1.77, with a minor dip in 2022 caused by the temporary inventory spike during the Gigafactory ramp. Cash and short-term investments went from $17.7 billion to $44.1 billion over the same stretch (Tesla, Inc., 2025a) - that build-up is the single biggest driver behind all three ratios improving year after year. Since 2023, the cash ratio has been above 1.0, meaning Tesla could wipe out every current liability from cash alone without selling any other asset. That is an exceptional position for any business, particularly one simultaneously funding a major capital expenditure programme. The question it raises, however, is whether so much capital sitting in </w:t>
      </w:r>
      <w:r>
        <w:lastRenderedPageBreak/>
        <w:t>relatively low-yield instruments represents the most efficient use of shareholder funds, a tension the restructuring section addresses directly.</w:t>
      </w:r>
    </w:p>
    <w:p w14:paraId="7E1521B5" w14:textId="77777777" w:rsidR="0090421E" w:rsidRPr="0090421E" w:rsidRDefault="0090421E" w:rsidP="00FF0D21">
      <w:pPr>
        <w:pStyle w:val="Heading2"/>
      </w:pPr>
      <w:bookmarkStart w:id="28" w:name="_Toc227865618"/>
      <w:r>
        <w:t>1.3 Efficiency</w:t>
      </w:r>
      <w:bookmarkEnd w:id="28"/>
    </w:p>
    <w:p w14:paraId="0BBB189D" w14:textId="07A8C81D" w:rsidR="0090421E" w:rsidRPr="0090421E" w:rsidRDefault="0090421E" w:rsidP="00FF0D21">
      <w:pPr>
        <w:spacing w:after="60"/>
      </w:pPr>
      <w:r>
        <w:t>Table 3 lays out efficiency and activity ratios. Figure 4 shows how the three main working capital components - inventory days, receivable days, and payable days - combine to produce the Cash Conversion Cycle each year.</w:t>
      </w:r>
    </w:p>
    <w:p w14:paraId="2375ECE9" w14:textId="77777777" w:rsidR="009C7837" w:rsidRDefault="009C7837" w:rsidP="00FF0D21">
      <w:pPr>
        <w:spacing w:after="60"/>
      </w:pPr>
    </w:p>
    <w:p w14:paraId="0AB6FEF6" w14:textId="2162EC3D" w:rsidR="0090421E" w:rsidRDefault="0090421E" w:rsidP="00FF0D21">
      <w:pPr>
        <w:pStyle w:val="Caption"/>
        <w:keepNext/>
        <w:spacing w:line="360" w:lineRule="auto"/>
      </w:pPr>
      <w:bookmarkStart w:id="29" w:name="_Toc224126291"/>
      <w:bookmarkStart w:id="30" w:name="_Toc224248303"/>
      <w:bookmarkStart w:id="31" w:name="_Toc224248891"/>
      <w:bookmarkStart w:id="32" w:name="_Toc227865574"/>
      <w:bookmarkStart w:id="33" w:name="_Toc227865608"/>
      <w:r>
        <w:t xml:space="preserve">Table </w:t>
      </w:r>
      <w:fldSimple w:instr=" SEQ Table \* ARABIC ">
        <w:r>
          <w:rPr>
            <w:noProof/>
          </w:rPr>
          <w:t>3</w:t>
        </w:r>
      </w:fldSimple>
      <w:r>
        <w:t>: Efficiency and Activity Ratios, Tesla Inc. 2021 to 2025. Source: Tesla SEC 10-K Annual Reports (Tesla, Inc., 2021 to 2025a).</w:t>
      </w:r>
      <w:bookmarkEnd w:id="29"/>
      <w:bookmarkEnd w:id="30"/>
      <w:bookmarkEnd w:id="31"/>
      <w:bookmarkEnd w:id="32"/>
      <w:bookmarkEnd w:id="3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76"/>
        <w:gridCol w:w="1290"/>
        <w:gridCol w:w="1290"/>
        <w:gridCol w:w="1290"/>
        <w:gridCol w:w="1290"/>
        <w:gridCol w:w="1290"/>
      </w:tblGrid>
      <w:tr w:rsidR="009C7837" w14:paraId="18D08565" w14:textId="77777777">
        <w:tc>
          <w:tcPr>
            <w:tcW w:w="2576"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E0E5E63" w14:textId="77777777" w:rsidR="009C7837" w:rsidRDefault="005222E0" w:rsidP="00FF0D21">
            <w:pPr>
              <w:jc w:val="center"/>
            </w:pPr>
            <w:r>
              <w:rPr>
                <w:b/>
                <w:bCs/>
                <w:color w:val="000000"/>
                <w:sz w:val="20"/>
                <w:szCs w:val="20"/>
              </w:rPr>
              <w:t>Ratio</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8480191" w14:textId="77777777" w:rsidR="009C7837" w:rsidRDefault="005222E0" w:rsidP="00FF0D21">
            <w:pPr>
              <w:jc w:val="center"/>
            </w:pPr>
            <w:r>
              <w:rPr>
                <w:b/>
                <w:bCs/>
                <w:color w:val="000000"/>
                <w:sz w:val="20"/>
                <w:szCs w:val="20"/>
              </w:rPr>
              <w:t>2021</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D70C60E" w14:textId="77777777" w:rsidR="009C7837" w:rsidRDefault="005222E0" w:rsidP="00FF0D21">
            <w:pPr>
              <w:jc w:val="center"/>
            </w:pPr>
            <w:r>
              <w:rPr>
                <w:b/>
                <w:bCs/>
                <w:color w:val="000000"/>
                <w:sz w:val="20"/>
                <w:szCs w:val="20"/>
              </w:rPr>
              <w:t>2022</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A6AF1A1" w14:textId="77777777" w:rsidR="009C7837" w:rsidRDefault="005222E0" w:rsidP="00FF0D21">
            <w:pPr>
              <w:jc w:val="center"/>
            </w:pPr>
            <w:r>
              <w:rPr>
                <w:b/>
                <w:bCs/>
                <w:color w:val="000000"/>
                <w:sz w:val="20"/>
                <w:szCs w:val="20"/>
              </w:rPr>
              <w:t>2023</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3C4B8ED" w14:textId="77777777" w:rsidR="009C7837" w:rsidRDefault="005222E0" w:rsidP="00FF0D21">
            <w:pPr>
              <w:jc w:val="center"/>
            </w:pPr>
            <w:r>
              <w:rPr>
                <w:b/>
                <w:bCs/>
                <w:color w:val="000000"/>
                <w:sz w:val="20"/>
                <w:szCs w:val="20"/>
              </w:rPr>
              <w:t>2024</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CF75DA6" w14:textId="77777777" w:rsidR="009C7837" w:rsidRDefault="005222E0" w:rsidP="00FF0D21">
            <w:pPr>
              <w:jc w:val="center"/>
            </w:pPr>
            <w:r>
              <w:rPr>
                <w:b/>
                <w:bCs/>
                <w:color w:val="000000"/>
                <w:sz w:val="20"/>
                <w:szCs w:val="20"/>
              </w:rPr>
              <w:t>2025</w:t>
            </w:r>
          </w:p>
        </w:tc>
      </w:tr>
      <w:tr w:rsidR="009C7837" w14:paraId="7522E7F8" w14:textId="77777777" w:rsidTr="0090421E">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29A303D" w14:textId="77777777" w:rsidR="009C7837" w:rsidRDefault="005222E0" w:rsidP="00FF0D21">
            <w:pPr>
              <w:jc w:val="left"/>
            </w:pPr>
            <w:r>
              <w:rPr>
                <w:b/>
                <w:bCs/>
                <w:color w:val="000000"/>
                <w:sz w:val="20"/>
                <w:szCs w:val="20"/>
              </w:rPr>
              <w:t>Asset Turnover</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0393EA5" w14:textId="77777777" w:rsidR="009C7837" w:rsidRDefault="005222E0" w:rsidP="00FF0D21">
            <w:pPr>
              <w:jc w:val="center"/>
            </w:pPr>
            <w:r>
              <w:rPr>
                <w:color w:val="000000"/>
                <w:sz w:val="20"/>
                <w:szCs w:val="20"/>
              </w:rPr>
              <w:t>0.87</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F251967" w14:textId="77777777" w:rsidR="009C7837" w:rsidRDefault="005222E0" w:rsidP="00FF0D21">
            <w:pPr>
              <w:jc w:val="center"/>
            </w:pPr>
            <w:r>
              <w:rPr>
                <w:color w:val="000000"/>
                <w:sz w:val="20"/>
                <w:szCs w:val="20"/>
              </w:rPr>
              <w:t>0.99</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D4C7FF9" w14:textId="77777777" w:rsidR="009C7837" w:rsidRDefault="005222E0" w:rsidP="00FF0D21">
            <w:pPr>
              <w:jc w:val="center"/>
            </w:pPr>
            <w:r>
              <w:rPr>
                <w:color w:val="000000"/>
                <w:sz w:val="20"/>
                <w:szCs w:val="20"/>
              </w:rPr>
              <w:t>0.91</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7AD66186" w14:textId="77777777" w:rsidR="009C7837" w:rsidRDefault="005222E0" w:rsidP="00FF0D21">
            <w:pPr>
              <w:jc w:val="center"/>
            </w:pPr>
            <w:r>
              <w:rPr>
                <w:color w:val="000000"/>
                <w:sz w:val="20"/>
                <w:szCs w:val="20"/>
              </w:rPr>
              <w:t>0.80</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D684B71" w14:textId="77777777" w:rsidR="009C7837" w:rsidRDefault="005222E0" w:rsidP="00FF0D21">
            <w:pPr>
              <w:jc w:val="center"/>
            </w:pPr>
            <w:r>
              <w:rPr>
                <w:color w:val="000000"/>
                <w:sz w:val="20"/>
                <w:szCs w:val="20"/>
              </w:rPr>
              <w:t>0.69</w:t>
            </w:r>
          </w:p>
        </w:tc>
      </w:tr>
      <w:tr w:rsidR="009C7837" w14:paraId="7261EC1E" w14:textId="77777777" w:rsidTr="0090421E">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729FE97" w14:textId="77777777" w:rsidR="009C7837" w:rsidRDefault="005222E0" w:rsidP="00FF0D21">
            <w:pPr>
              <w:jc w:val="left"/>
            </w:pPr>
            <w:r>
              <w:rPr>
                <w:b/>
                <w:bCs/>
                <w:color w:val="000000"/>
                <w:sz w:val="20"/>
                <w:szCs w:val="20"/>
              </w:rPr>
              <w:t>Inventory Turnover</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118DD79" w14:textId="77777777" w:rsidR="009C7837" w:rsidRDefault="005222E0" w:rsidP="00FF0D21">
            <w:pPr>
              <w:jc w:val="center"/>
            </w:pPr>
            <w:r>
              <w:rPr>
                <w:color w:val="000000"/>
                <w:sz w:val="20"/>
                <w:szCs w:val="20"/>
              </w:rPr>
              <w:t>6.99</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1F50CAD" w14:textId="77777777" w:rsidR="009C7837" w:rsidRDefault="005222E0" w:rsidP="00FF0D21">
            <w:pPr>
              <w:jc w:val="center"/>
            </w:pPr>
            <w:r>
              <w:rPr>
                <w:color w:val="000000"/>
                <w:sz w:val="20"/>
                <w:szCs w:val="20"/>
              </w:rPr>
              <w:t>4.72</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0F418A6" w14:textId="77777777" w:rsidR="009C7837" w:rsidRDefault="005222E0" w:rsidP="00FF0D21">
            <w:pPr>
              <w:jc w:val="center"/>
            </w:pPr>
            <w:r>
              <w:rPr>
                <w:color w:val="000000"/>
                <w:sz w:val="20"/>
                <w:szCs w:val="20"/>
              </w:rPr>
              <w:t>5.81</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F626871" w14:textId="77777777" w:rsidR="009C7837" w:rsidRDefault="005222E0" w:rsidP="00FF0D21">
            <w:pPr>
              <w:jc w:val="center"/>
            </w:pPr>
            <w:r>
              <w:rPr>
                <w:color w:val="000000"/>
                <w:sz w:val="20"/>
                <w:szCs w:val="20"/>
              </w:rPr>
              <w:t>6.68</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D4D87DD" w14:textId="77777777" w:rsidR="009C7837" w:rsidRDefault="005222E0" w:rsidP="00FF0D21">
            <w:pPr>
              <w:jc w:val="center"/>
            </w:pPr>
            <w:r>
              <w:rPr>
                <w:color w:val="000000"/>
                <w:sz w:val="20"/>
                <w:szCs w:val="20"/>
              </w:rPr>
              <w:t>6.27</w:t>
            </w:r>
          </w:p>
        </w:tc>
      </w:tr>
      <w:tr w:rsidR="009C7837" w14:paraId="6F8B328B" w14:textId="77777777" w:rsidTr="0090421E">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1AC3C00" w14:textId="77777777" w:rsidR="009C7837" w:rsidRDefault="005222E0" w:rsidP="00FF0D21">
            <w:pPr>
              <w:jc w:val="left"/>
            </w:pPr>
            <w:r>
              <w:rPr>
                <w:b/>
                <w:bCs/>
                <w:color w:val="000000"/>
                <w:sz w:val="20"/>
                <w:szCs w:val="20"/>
              </w:rPr>
              <w:t>Days Inventory Outstanding (days)</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3786A4A4" w14:textId="77777777" w:rsidR="009C7837" w:rsidRDefault="005222E0" w:rsidP="00FF0D21">
            <w:pPr>
              <w:jc w:val="center"/>
            </w:pPr>
            <w:r>
              <w:rPr>
                <w:color w:val="000000"/>
                <w:sz w:val="20"/>
                <w:szCs w:val="20"/>
              </w:rPr>
              <w:t>52</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366FCD9" w14:textId="77777777" w:rsidR="009C7837" w:rsidRDefault="005222E0" w:rsidP="00FF0D21">
            <w:pPr>
              <w:jc w:val="center"/>
            </w:pPr>
            <w:r>
              <w:rPr>
                <w:color w:val="000000"/>
                <w:sz w:val="20"/>
                <w:szCs w:val="20"/>
              </w:rPr>
              <w:t>77</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0FEDF6E" w14:textId="77777777" w:rsidR="009C7837" w:rsidRDefault="005222E0" w:rsidP="00FF0D21">
            <w:pPr>
              <w:jc w:val="center"/>
            </w:pPr>
            <w:r>
              <w:rPr>
                <w:color w:val="000000"/>
                <w:sz w:val="20"/>
                <w:szCs w:val="20"/>
              </w:rPr>
              <w:t>63</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CCE6D8E" w14:textId="77777777" w:rsidR="009C7837" w:rsidRDefault="005222E0" w:rsidP="00FF0D21">
            <w:pPr>
              <w:jc w:val="center"/>
            </w:pPr>
            <w:r>
              <w:rPr>
                <w:color w:val="000000"/>
                <w:sz w:val="20"/>
                <w:szCs w:val="20"/>
              </w:rPr>
              <w:t>55</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064DBE53" w14:textId="77777777" w:rsidR="009C7837" w:rsidRDefault="005222E0" w:rsidP="00FF0D21">
            <w:pPr>
              <w:jc w:val="center"/>
            </w:pPr>
            <w:r>
              <w:rPr>
                <w:color w:val="000000"/>
                <w:sz w:val="20"/>
                <w:szCs w:val="20"/>
              </w:rPr>
              <w:t>58</w:t>
            </w:r>
          </w:p>
        </w:tc>
      </w:tr>
      <w:tr w:rsidR="009C7837" w14:paraId="3862EB5F" w14:textId="77777777" w:rsidTr="0090421E">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A1EE7C5" w14:textId="77777777" w:rsidR="009C7837" w:rsidRDefault="005222E0" w:rsidP="00FF0D21">
            <w:pPr>
              <w:jc w:val="left"/>
            </w:pPr>
            <w:r>
              <w:rPr>
                <w:b/>
                <w:bCs/>
                <w:color w:val="000000"/>
                <w:sz w:val="20"/>
                <w:szCs w:val="20"/>
              </w:rPr>
              <w:t>Days Sales Outstanding (days)</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EAE525A" w14:textId="77777777" w:rsidR="009C7837" w:rsidRDefault="005222E0" w:rsidP="00FF0D21">
            <w:pPr>
              <w:jc w:val="center"/>
            </w:pPr>
            <w:r>
              <w:rPr>
                <w:color w:val="000000"/>
                <w:sz w:val="20"/>
                <w:szCs w:val="20"/>
              </w:rPr>
              <w:t>13</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099FBBF" w14:textId="77777777" w:rsidR="009C7837" w:rsidRDefault="005222E0" w:rsidP="00FF0D21">
            <w:pPr>
              <w:jc w:val="center"/>
            </w:pPr>
            <w:r>
              <w:rPr>
                <w:color w:val="000000"/>
                <w:sz w:val="20"/>
                <w:szCs w:val="20"/>
              </w:rPr>
              <w:t>14</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E5B98F1" w14:textId="77777777" w:rsidR="009C7837" w:rsidRDefault="005222E0" w:rsidP="00FF0D21">
            <w:pPr>
              <w:jc w:val="center"/>
            </w:pPr>
            <w:r>
              <w:rPr>
                <w:color w:val="000000"/>
                <w:sz w:val="20"/>
                <w:szCs w:val="20"/>
              </w:rPr>
              <w:t>13</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B072520" w14:textId="77777777" w:rsidR="009C7837" w:rsidRDefault="005222E0" w:rsidP="00FF0D21">
            <w:pPr>
              <w:jc w:val="center"/>
            </w:pPr>
            <w:r>
              <w:rPr>
                <w:color w:val="000000"/>
                <w:sz w:val="20"/>
                <w:szCs w:val="20"/>
              </w:rPr>
              <w:t>16</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C2812B8" w14:textId="77777777" w:rsidR="009C7837" w:rsidRDefault="005222E0" w:rsidP="00FF0D21">
            <w:pPr>
              <w:jc w:val="center"/>
            </w:pPr>
            <w:r>
              <w:rPr>
                <w:color w:val="000000"/>
                <w:sz w:val="20"/>
                <w:szCs w:val="20"/>
              </w:rPr>
              <w:t>18</w:t>
            </w:r>
          </w:p>
        </w:tc>
      </w:tr>
      <w:tr w:rsidR="009C7837" w14:paraId="1C6F6B60" w14:textId="77777777" w:rsidTr="0090421E">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5EC5CC6" w14:textId="77777777" w:rsidR="009C7837" w:rsidRDefault="005222E0" w:rsidP="00FF0D21">
            <w:pPr>
              <w:jc w:val="left"/>
            </w:pPr>
            <w:r>
              <w:rPr>
                <w:b/>
                <w:bCs/>
                <w:color w:val="000000"/>
                <w:sz w:val="20"/>
                <w:szCs w:val="20"/>
              </w:rPr>
              <w:t>Days Payable Outstanding (days)</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7AFF9CA" w14:textId="77777777" w:rsidR="009C7837" w:rsidRDefault="005222E0" w:rsidP="00FF0D21">
            <w:pPr>
              <w:jc w:val="center"/>
            </w:pPr>
            <w:r>
              <w:rPr>
                <w:color w:val="000000"/>
                <w:sz w:val="20"/>
                <w:szCs w:val="20"/>
              </w:rPr>
              <w:t>91</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50E7666" w14:textId="77777777" w:rsidR="009C7837" w:rsidRDefault="005222E0" w:rsidP="00FF0D21">
            <w:pPr>
              <w:jc w:val="center"/>
            </w:pPr>
            <w:r>
              <w:rPr>
                <w:color w:val="000000"/>
                <w:sz w:val="20"/>
                <w:szCs w:val="20"/>
              </w:rPr>
              <w:t>92</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6E113DA" w14:textId="77777777" w:rsidR="009C7837" w:rsidRDefault="005222E0" w:rsidP="00FF0D21">
            <w:pPr>
              <w:jc w:val="center"/>
            </w:pPr>
            <w:r>
              <w:rPr>
                <w:color w:val="000000"/>
                <w:sz w:val="20"/>
                <w:szCs w:val="20"/>
              </w:rPr>
              <w:t>67</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23C36225" w14:textId="77777777" w:rsidR="009C7837" w:rsidRDefault="005222E0" w:rsidP="00FF0D21">
            <w:pPr>
              <w:jc w:val="center"/>
            </w:pPr>
            <w:r>
              <w:rPr>
                <w:color w:val="000000"/>
                <w:sz w:val="20"/>
                <w:szCs w:val="20"/>
              </w:rPr>
              <w:t>57</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1998F804" w14:textId="77777777" w:rsidR="009C7837" w:rsidRDefault="005222E0" w:rsidP="00FF0D21">
            <w:pPr>
              <w:jc w:val="center"/>
            </w:pPr>
            <w:r>
              <w:rPr>
                <w:color w:val="000000"/>
                <w:sz w:val="20"/>
                <w:szCs w:val="20"/>
              </w:rPr>
              <w:t>63</w:t>
            </w:r>
          </w:p>
        </w:tc>
      </w:tr>
      <w:tr w:rsidR="009C7837" w14:paraId="621DD5AF" w14:textId="77777777" w:rsidTr="0090421E">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9770502" w14:textId="77777777" w:rsidR="009C7837" w:rsidRDefault="005222E0" w:rsidP="00FF0D21">
            <w:pPr>
              <w:jc w:val="left"/>
            </w:pPr>
            <w:r>
              <w:rPr>
                <w:b/>
                <w:bCs/>
                <w:color w:val="000000"/>
                <w:sz w:val="20"/>
                <w:szCs w:val="20"/>
              </w:rPr>
              <w:t>Cash Conversion Cycle (days)</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6081456" w14:textId="77777777" w:rsidR="009C7837" w:rsidRDefault="005222E0" w:rsidP="00FF0D21">
            <w:pPr>
              <w:jc w:val="center"/>
            </w:pPr>
            <w:r>
              <w:rPr>
                <w:color w:val="000000"/>
                <w:sz w:val="20"/>
                <w:szCs w:val="20"/>
              </w:rPr>
              <w:t>-26</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5F0115C3" w14:textId="77777777" w:rsidR="009C7837" w:rsidRDefault="005222E0" w:rsidP="00FF0D21">
            <w:pPr>
              <w:jc w:val="center"/>
            </w:pPr>
            <w:r>
              <w:rPr>
                <w:color w:val="000000"/>
                <w:sz w:val="20"/>
                <w:szCs w:val="20"/>
              </w:rPr>
              <w:t>-1</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ACB09B" w14:textId="77777777" w:rsidR="009C7837" w:rsidRDefault="005222E0" w:rsidP="00FF0D21">
            <w:pPr>
              <w:jc w:val="center"/>
            </w:pPr>
            <w:r>
              <w:rPr>
                <w:color w:val="000000"/>
                <w:sz w:val="20"/>
                <w:szCs w:val="20"/>
              </w:rPr>
              <w:t>9</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4700112F" w14:textId="77777777" w:rsidR="009C7837" w:rsidRDefault="005222E0" w:rsidP="00FF0D21">
            <w:pPr>
              <w:jc w:val="center"/>
            </w:pPr>
            <w:r>
              <w:rPr>
                <w:color w:val="000000"/>
                <w:sz w:val="20"/>
                <w:szCs w:val="20"/>
              </w:rPr>
              <w:t>14</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vAlign w:val="center"/>
          </w:tcPr>
          <w:p w14:paraId="68A020F9" w14:textId="77777777" w:rsidR="009C7837" w:rsidRDefault="005222E0" w:rsidP="00FF0D21">
            <w:pPr>
              <w:jc w:val="center"/>
            </w:pPr>
            <w:r>
              <w:rPr>
                <w:color w:val="000000"/>
                <w:sz w:val="20"/>
                <w:szCs w:val="20"/>
              </w:rPr>
              <w:t>13</w:t>
            </w:r>
          </w:p>
        </w:tc>
      </w:tr>
    </w:tbl>
    <w:p w14:paraId="42155DED" w14:textId="77777777" w:rsidR="009C7837" w:rsidRDefault="009C7837" w:rsidP="00FF0D21">
      <w:pPr>
        <w:spacing w:after="60"/>
      </w:pPr>
    </w:p>
    <w:p w14:paraId="70335679" w14:textId="77777777" w:rsidR="0090421E" w:rsidRDefault="005222E0" w:rsidP="00FF0D21">
      <w:pPr>
        <w:keepNext/>
        <w:spacing w:before="100" w:after="60"/>
        <w:jc w:val="center"/>
      </w:pPr>
      <w:r>
        <w:rPr>
          <w:noProof/>
        </w:rPr>
        <w:drawing>
          <wp:inline distT="0" distB="0" distL="0" distR="0" wp14:anchorId="0EB311E7" wp14:editId="29F1F4C8">
            <wp:extent cx="5391150" cy="2535555"/>
            <wp:effectExtent l="0" t="0" r="0" b="0"/>
            <wp:docPr id="1249738552" name="Picture 1249738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3"/>
                    <a:srcRect t="5654" b="283"/>
                    <a:stretch>
                      <a:fillRect/>
                    </a:stretch>
                  </pic:blipFill>
                  <pic:spPr bwMode="auto">
                    <a:xfrm>
                      <a:off x="0" y="0"/>
                      <a:ext cx="5391150" cy="2535555"/>
                    </a:xfrm>
                    <a:prstGeom prst="rect">
                      <a:avLst/>
                    </a:prstGeom>
                    <a:ln>
                      <a:noFill/>
                    </a:ln>
                    <a:extLst>
                      <a:ext uri="{53640926-AAD7-44D8-BBD7-CCE9431645EC}">
                        <a14:shadowObscured xmlns:a14="http://schemas.microsoft.com/office/drawing/2010/main"/>
                      </a:ext>
                    </a:extLst>
                  </pic:spPr>
                </pic:pic>
              </a:graphicData>
            </a:graphic>
          </wp:inline>
        </w:drawing>
      </w:r>
    </w:p>
    <w:p w14:paraId="48C12DE8" w14:textId="790048F0" w:rsidR="009C7837" w:rsidRDefault="0090421E" w:rsidP="00FF0D21">
      <w:pPr>
        <w:pStyle w:val="Caption"/>
        <w:spacing w:line="360" w:lineRule="auto"/>
        <w:jc w:val="center"/>
      </w:pPr>
      <w:bookmarkStart w:id="34" w:name="_Toc224248892"/>
      <w:bookmarkStart w:id="35" w:name="_Toc227865575"/>
      <w:bookmarkStart w:id="36" w:name="_Toc227865602"/>
      <w:bookmarkStart w:id="37" w:name="_Toc224126434"/>
      <w:r>
        <w:t xml:space="preserve">Figure </w:t>
      </w:r>
      <w:fldSimple w:instr=" SEQ Figure \* ARABIC ">
        <w:r>
          <w:rPr>
            <w:noProof/>
          </w:rPr>
          <w:t>4</w:t>
        </w:r>
      </w:fldSimple>
      <w:r>
        <w:t>: Working Capital Activity Ratios and Cash Conversion Cycle, Tesla Inc. 2021 to 2025.</w:t>
      </w:r>
      <w:bookmarkEnd w:id="34"/>
      <w:bookmarkEnd w:id="35"/>
      <w:bookmarkEnd w:id="36"/>
      <w:r>
        <w:t xml:space="preserve"> </w:t>
      </w:r>
      <w:bookmarkEnd w:id="37"/>
    </w:p>
    <w:p w14:paraId="41BE3F64" w14:textId="77777777" w:rsidR="0090421E" w:rsidRPr="0090421E" w:rsidRDefault="0090421E" w:rsidP="00FF0D21">
      <w:pPr>
        <w:spacing w:after="60"/>
      </w:pPr>
      <w:r>
        <w:lastRenderedPageBreak/>
        <w:t>Asset turnover went from 0.99 in 2022 down to 0.69 by 2025 - not surprising given how much Tesla spent on factories and infrastructure before those assets start producing meaningful revenue. Inventory was a problem in 2022 when both Texas and Berlin Gigafactories came online at the same time, pushing Days Inventory Outstanding to 77 days. That improved to 55 days by 2024 as scheduling got tighter. Days Sales Outstanding barely moved across the whole period - 13 to 18 days - because Tesla sells direct and collects payment quickly, unlike traditional dealers. The industry average is 46 days, so Tesla’s position here is genuinely strong (CFO Dive, 2024).</w:t>
      </w:r>
    </w:p>
    <w:p w14:paraId="3A92B100" w14:textId="77777777" w:rsidR="0090421E" w:rsidRPr="0090421E" w:rsidRDefault="0090421E" w:rsidP="00FF0D21">
      <w:pPr>
        <w:spacing w:after="60"/>
      </w:pPr>
      <w:r>
        <w:t>What really stands out in the efficiency data is the shift in the Cash Conversion Cycle, from minus 26 days in 2021 to plus 13 days by 2024 and 2025. The primary cause is the sharp drop in Days Payable Outstanding, from 92 days in 2022 down to just 57 days in 2024, as Tesla accelerated payments to suppliers. A negative CCC was enormously valuable to the business; it meant that customers were paying Tesla before Tesla had to pay its own suppliers, effectively providing a free source of working capital financing. Many high-growth businesses never achieve this position - Tesla had it and appears to have let it slip without a clear strategic reason. That deterioration is examined in detail in Section 2.</w:t>
      </w:r>
    </w:p>
    <w:p w14:paraId="289D2664" w14:textId="77777777" w:rsidR="0090421E" w:rsidRPr="0090421E" w:rsidRDefault="0090421E" w:rsidP="00FF0D21">
      <w:pPr>
        <w:pStyle w:val="Heading2"/>
      </w:pPr>
      <w:bookmarkStart w:id="38" w:name="_Toc227865619"/>
      <w:r>
        <w:t>1.4 Gearing</w:t>
      </w:r>
      <w:bookmarkEnd w:id="38"/>
    </w:p>
    <w:p w14:paraId="678CA41F" w14:textId="68976A35" w:rsidR="009C7837" w:rsidRDefault="0090421E" w:rsidP="00FF0D21">
      <w:pPr>
        <w:spacing w:after="60"/>
      </w:pPr>
      <w:r>
        <w:t>Gearing ratios are in Table 4, and Figure 5 gives a visual picture of how Tesla’s financing mix changed from 2021 to 2025.</w:t>
      </w:r>
    </w:p>
    <w:p w14:paraId="06827C48" w14:textId="77777777" w:rsidR="0090421E" w:rsidRDefault="0090421E" w:rsidP="00FF0D21">
      <w:pPr>
        <w:spacing w:after="60"/>
      </w:pPr>
    </w:p>
    <w:p w14:paraId="1A95E7BE" w14:textId="79300FB3" w:rsidR="0090421E" w:rsidRDefault="0090421E" w:rsidP="00FF0D21">
      <w:pPr>
        <w:pStyle w:val="Caption"/>
        <w:keepNext/>
        <w:spacing w:line="360" w:lineRule="auto"/>
      </w:pPr>
      <w:bookmarkStart w:id="39" w:name="_Toc224126292"/>
      <w:bookmarkStart w:id="40" w:name="_Toc224248304"/>
      <w:bookmarkStart w:id="41" w:name="_Toc224248893"/>
      <w:bookmarkStart w:id="42" w:name="_Toc227865576"/>
      <w:bookmarkStart w:id="43" w:name="_Toc227865609"/>
      <w:r>
        <w:t xml:space="preserve">Table </w:t>
      </w:r>
      <w:fldSimple w:instr=" SEQ Table \* ARABIC ">
        <w:r>
          <w:rPr>
            <w:noProof/>
          </w:rPr>
          <w:t>4</w:t>
        </w:r>
      </w:fldSimple>
      <w:r>
        <w:t>: Gearing (Solvency) Ratios, Tesla Inc. 2021 to 2025. Source: Tesla SEC 10-K Annual Reports (Tesla, Inc., 2021 to 2025a).</w:t>
      </w:r>
      <w:bookmarkEnd w:id="39"/>
      <w:bookmarkEnd w:id="40"/>
      <w:bookmarkEnd w:id="41"/>
      <w:bookmarkEnd w:id="42"/>
      <w:bookmarkEnd w:id="4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76"/>
        <w:gridCol w:w="1290"/>
        <w:gridCol w:w="1290"/>
        <w:gridCol w:w="1290"/>
        <w:gridCol w:w="1290"/>
        <w:gridCol w:w="1290"/>
      </w:tblGrid>
      <w:tr w:rsidR="009C7837" w14:paraId="295021DE" w14:textId="77777777">
        <w:tc>
          <w:tcPr>
            <w:tcW w:w="2576"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98120D1" w14:textId="77777777" w:rsidR="009C7837" w:rsidRDefault="005222E0" w:rsidP="00FF0D21">
            <w:pPr>
              <w:jc w:val="center"/>
            </w:pPr>
            <w:r>
              <w:rPr>
                <w:b/>
                <w:bCs/>
                <w:color w:val="000000"/>
                <w:sz w:val="20"/>
                <w:szCs w:val="20"/>
              </w:rPr>
              <w:t>Ratio</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9D4A674" w14:textId="77777777" w:rsidR="009C7837" w:rsidRDefault="005222E0" w:rsidP="00FF0D21">
            <w:pPr>
              <w:jc w:val="center"/>
            </w:pPr>
            <w:r>
              <w:rPr>
                <w:b/>
                <w:bCs/>
                <w:color w:val="000000"/>
                <w:sz w:val="20"/>
                <w:szCs w:val="20"/>
              </w:rPr>
              <w:t>2021</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E027048" w14:textId="77777777" w:rsidR="009C7837" w:rsidRDefault="005222E0" w:rsidP="00FF0D21">
            <w:pPr>
              <w:jc w:val="center"/>
            </w:pPr>
            <w:r>
              <w:rPr>
                <w:b/>
                <w:bCs/>
                <w:color w:val="000000"/>
                <w:sz w:val="20"/>
                <w:szCs w:val="20"/>
              </w:rPr>
              <w:t>2022</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E9A4036" w14:textId="77777777" w:rsidR="009C7837" w:rsidRDefault="005222E0" w:rsidP="00FF0D21">
            <w:pPr>
              <w:jc w:val="center"/>
            </w:pPr>
            <w:r>
              <w:rPr>
                <w:b/>
                <w:bCs/>
                <w:color w:val="000000"/>
                <w:sz w:val="20"/>
                <w:szCs w:val="20"/>
              </w:rPr>
              <w:t>2023</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E9E5172" w14:textId="77777777" w:rsidR="009C7837" w:rsidRDefault="005222E0" w:rsidP="00FF0D21">
            <w:pPr>
              <w:jc w:val="center"/>
            </w:pPr>
            <w:r>
              <w:rPr>
                <w:b/>
                <w:bCs/>
                <w:color w:val="000000"/>
                <w:sz w:val="20"/>
                <w:szCs w:val="20"/>
              </w:rPr>
              <w:t>2024</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AA7901B" w14:textId="77777777" w:rsidR="009C7837" w:rsidRDefault="005222E0" w:rsidP="00FF0D21">
            <w:pPr>
              <w:jc w:val="center"/>
            </w:pPr>
            <w:r>
              <w:rPr>
                <w:b/>
                <w:bCs/>
                <w:color w:val="000000"/>
                <w:sz w:val="20"/>
                <w:szCs w:val="20"/>
              </w:rPr>
              <w:t>2025</w:t>
            </w:r>
          </w:p>
        </w:tc>
      </w:tr>
      <w:tr w:rsidR="009C7837" w14:paraId="79A8B6D6" w14:textId="77777777">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230151F" w14:textId="77777777" w:rsidR="009C7837" w:rsidRDefault="005222E0" w:rsidP="00FF0D21">
            <w:r>
              <w:rPr>
                <w:b/>
                <w:bCs/>
                <w:color w:val="000000"/>
                <w:sz w:val="20"/>
                <w:szCs w:val="20"/>
              </w:rPr>
              <w:t>Debt to Equity Ratio</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9A70714" w14:textId="77777777" w:rsidR="009C7837" w:rsidRDefault="005222E0" w:rsidP="00FF0D21">
            <w:pPr>
              <w:jc w:val="center"/>
            </w:pPr>
            <w:r>
              <w:rPr>
                <w:color w:val="000000"/>
                <w:sz w:val="20"/>
                <w:szCs w:val="20"/>
              </w:rPr>
              <w:t>0.29</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7C74250" w14:textId="77777777" w:rsidR="009C7837" w:rsidRDefault="005222E0" w:rsidP="00FF0D21">
            <w:pPr>
              <w:jc w:val="center"/>
            </w:pPr>
            <w:r>
              <w:rPr>
                <w:color w:val="000000"/>
                <w:sz w:val="20"/>
                <w:szCs w:val="20"/>
              </w:rPr>
              <w:t>0.13</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247E2CC" w14:textId="77777777" w:rsidR="009C7837" w:rsidRDefault="005222E0" w:rsidP="00FF0D21">
            <w:pPr>
              <w:jc w:val="center"/>
            </w:pPr>
            <w:r>
              <w:rPr>
                <w:color w:val="000000"/>
                <w:sz w:val="20"/>
                <w:szCs w:val="20"/>
              </w:rPr>
              <w:t>0.15</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AD4A4AA" w14:textId="77777777" w:rsidR="009C7837" w:rsidRDefault="005222E0" w:rsidP="00FF0D21">
            <w:pPr>
              <w:jc w:val="center"/>
            </w:pPr>
            <w:r>
              <w:rPr>
                <w:color w:val="000000"/>
                <w:sz w:val="20"/>
                <w:szCs w:val="20"/>
              </w:rPr>
              <w:t>0.19</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ABE17ED" w14:textId="77777777" w:rsidR="009C7837" w:rsidRDefault="005222E0" w:rsidP="00FF0D21">
            <w:pPr>
              <w:jc w:val="center"/>
            </w:pPr>
            <w:r>
              <w:rPr>
                <w:color w:val="000000"/>
                <w:sz w:val="20"/>
                <w:szCs w:val="20"/>
              </w:rPr>
              <w:t>0.18</w:t>
            </w:r>
          </w:p>
        </w:tc>
      </w:tr>
      <w:tr w:rsidR="009C7837" w14:paraId="28EF0510" w14:textId="77777777">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87B247B" w14:textId="77777777" w:rsidR="009C7837" w:rsidRDefault="005222E0" w:rsidP="00FF0D21">
            <w:r>
              <w:rPr>
                <w:b/>
                <w:bCs/>
                <w:color w:val="000000"/>
                <w:sz w:val="20"/>
                <w:szCs w:val="20"/>
              </w:rPr>
              <w:t>Debt to Assets Ratio</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7335C87" w14:textId="77777777" w:rsidR="009C7837" w:rsidRDefault="005222E0" w:rsidP="00FF0D21">
            <w:pPr>
              <w:jc w:val="center"/>
            </w:pPr>
            <w:r>
              <w:rPr>
                <w:color w:val="000000"/>
                <w:sz w:val="20"/>
                <w:szCs w:val="20"/>
              </w:rPr>
              <w:t>0.14</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871525A" w14:textId="77777777" w:rsidR="009C7837" w:rsidRDefault="005222E0" w:rsidP="00FF0D21">
            <w:pPr>
              <w:jc w:val="center"/>
            </w:pPr>
            <w:r>
              <w:rPr>
                <w:color w:val="000000"/>
                <w:sz w:val="20"/>
                <w:szCs w:val="20"/>
              </w:rPr>
              <w:t>0.07</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E712017" w14:textId="77777777" w:rsidR="009C7837" w:rsidRDefault="005222E0" w:rsidP="00FF0D21">
            <w:pPr>
              <w:jc w:val="center"/>
            </w:pPr>
            <w:r>
              <w:rPr>
                <w:color w:val="000000"/>
                <w:sz w:val="20"/>
                <w:szCs w:val="20"/>
              </w:rPr>
              <w:t>0.09</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4E8BA38" w14:textId="77777777" w:rsidR="009C7837" w:rsidRDefault="005222E0" w:rsidP="00FF0D21">
            <w:pPr>
              <w:jc w:val="center"/>
            </w:pPr>
            <w:r>
              <w:rPr>
                <w:color w:val="000000"/>
                <w:sz w:val="20"/>
                <w:szCs w:val="20"/>
              </w:rPr>
              <w:t>0.11</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F3CC219" w14:textId="77777777" w:rsidR="009C7837" w:rsidRDefault="005222E0" w:rsidP="00FF0D21">
            <w:pPr>
              <w:jc w:val="center"/>
            </w:pPr>
            <w:r>
              <w:rPr>
                <w:color w:val="000000"/>
                <w:sz w:val="20"/>
                <w:szCs w:val="20"/>
              </w:rPr>
              <w:t>0.11</w:t>
            </w:r>
          </w:p>
        </w:tc>
      </w:tr>
      <w:tr w:rsidR="009C7837" w14:paraId="000F97FF" w14:textId="77777777">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4A1F154" w14:textId="77777777" w:rsidR="009C7837" w:rsidRDefault="005222E0" w:rsidP="00FF0D21">
            <w:r>
              <w:rPr>
                <w:b/>
                <w:bCs/>
                <w:color w:val="000000"/>
                <w:sz w:val="20"/>
                <w:szCs w:val="20"/>
              </w:rPr>
              <w:t>Interest Coverage Ratio</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3B41E67" w14:textId="77777777" w:rsidR="009C7837" w:rsidRDefault="005222E0" w:rsidP="00FF0D21">
            <w:pPr>
              <w:jc w:val="center"/>
            </w:pPr>
            <w:r>
              <w:rPr>
                <w:color w:val="000000"/>
                <w:sz w:val="20"/>
                <w:szCs w:val="20"/>
              </w:rPr>
              <w:t>22.1x</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FFF04B3" w14:textId="77777777" w:rsidR="009C7837" w:rsidRDefault="005222E0" w:rsidP="00FF0D21">
            <w:pPr>
              <w:jc w:val="center"/>
            </w:pPr>
            <w:r>
              <w:rPr>
                <w:color w:val="000000"/>
                <w:sz w:val="20"/>
                <w:szCs w:val="20"/>
              </w:rPr>
              <w:t>87.3x</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564121B" w14:textId="77777777" w:rsidR="009C7837" w:rsidRDefault="005222E0" w:rsidP="00FF0D21">
            <w:pPr>
              <w:jc w:val="center"/>
            </w:pPr>
            <w:r>
              <w:rPr>
                <w:color w:val="000000"/>
                <w:sz w:val="20"/>
                <w:szCs w:val="20"/>
              </w:rPr>
              <w:t>44.2x</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B176FCC" w14:textId="77777777" w:rsidR="009C7837" w:rsidRDefault="005222E0" w:rsidP="00FF0D21">
            <w:pPr>
              <w:jc w:val="center"/>
            </w:pPr>
            <w:r>
              <w:rPr>
                <w:color w:val="000000"/>
                <w:sz w:val="20"/>
                <w:szCs w:val="20"/>
              </w:rPr>
              <w:t>18.3x</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D28C4B7" w14:textId="77777777" w:rsidR="009C7837" w:rsidRDefault="005222E0" w:rsidP="00FF0D21">
            <w:pPr>
              <w:jc w:val="center"/>
            </w:pPr>
            <w:r>
              <w:rPr>
                <w:color w:val="000000"/>
                <w:sz w:val="20"/>
                <w:szCs w:val="20"/>
              </w:rPr>
              <w:t>9.6x</w:t>
            </w:r>
          </w:p>
        </w:tc>
      </w:tr>
    </w:tbl>
    <w:p w14:paraId="31ACCD36" w14:textId="77777777" w:rsidR="009C7837" w:rsidRDefault="005222E0" w:rsidP="00FF0D21">
      <w:pPr>
        <w:spacing w:before="100" w:after="60"/>
        <w:jc w:val="center"/>
      </w:pPr>
      <w:r>
        <w:rPr>
          <w:noProof/>
        </w:rPr>
        <w:lastRenderedPageBreak/>
        <w:drawing>
          <wp:inline distT="0" distB="0" distL="0" distR="0" wp14:anchorId="6E947911" wp14:editId="76A4E396">
            <wp:extent cx="5391150" cy="3139440"/>
            <wp:effectExtent l="0" t="0" r="0" b="3810"/>
            <wp:docPr id="1164269060" name="Picture 1164269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391150" cy="3139440"/>
                    </a:xfrm>
                    <a:prstGeom prst="rect">
                      <a:avLst/>
                    </a:prstGeom>
                  </pic:spPr>
                </pic:pic>
              </a:graphicData>
            </a:graphic>
          </wp:inline>
        </w:drawing>
      </w:r>
    </w:p>
    <w:p w14:paraId="4D495819" w14:textId="77777777" w:rsidR="009C7837" w:rsidRDefault="005222E0" w:rsidP="00FF0D21">
      <w:pPr>
        <w:spacing w:before="60" w:after="220"/>
        <w:jc w:val="center"/>
      </w:pPr>
      <w:r>
        <w:rPr>
          <w:b/>
          <w:bCs/>
          <w:i/>
          <w:iCs/>
          <w:sz w:val="20"/>
          <w:szCs w:val="20"/>
        </w:rPr>
        <w:t xml:space="preserve">Figure 5. </w:t>
      </w:r>
      <w:r>
        <w:rPr>
          <w:i/>
          <w:iCs/>
          <w:color w:val="444444"/>
          <w:sz w:val="20"/>
          <w:szCs w:val="20"/>
        </w:rPr>
        <w:t>Capital Structure Comparison: 2021 vs 2025, Tesla Inc. (USD $M). Source: Tesla SEC 10-K Annual Reports (2021 and 2025).</w:t>
      </w:r>
    </w:p>
    <w:p w14:paraId="19B6B2EA" w14:textId="2F0FAFBB" w:rsidR="0090421E" w:rsidRPr="0090421E" w:rsidRDefault="0090421E" w:rsidP="00FF0D21">
      <w:pPr>
        <w:spacing w:after="60"/>
        <w:rPr>
          <w:color w:val="000000"/>
        </w:rPr>
      </w:pPr>
      <w:r>
        <w:rPr>
          <w:color w:val="000000"/>
        </w:rPr>
        <w:t>Tesla’s gearing figures are quite conservative. After using the record profits of 2022 to pay off large amounts of debt, the debt-to-equity ratio dropped sharply from 0.29 in 2021 to just 0.13 in 2022, before settling at 0.18 by 2025. Equity now accounts for around 60% of total financing compared to 49% in 2021 (Stock Dividend Screener, 2025), showing how much the structure has shifted away from leverage over the period. Interest coverage has weakened as profits have declined - from a peak of 87.3x in 2022 to 9.6x in 2025 - though even at that lower level it remains well above what most lenders or credit analysts would consider concerning. For context, many investment-grade companies operate with interest coverage of 3x to 5x, so Tesla’s position is still very secure. The main strategic implication is that Tesla has significant unused borrowing capacity which, as Section 3 argues, it should be actively deploying.</w:t>
      </w:r>
    </w:p>
    <w:p w14:paraId="10FA76E1" w14:textId="77777777" w:rsidR="0090421E" w:rsidRPr="0090421E" w:rsidRDefault="0090421E" w:rsidP="00FF0D21">
      <w:pPr>
        <w:pStyle w:val="Heading2"/>
      </w:pPr>
      <w:bookmarkStart w:id="44" w:name="_Toc227865620"/>
      <w:r>
        <w:t>1.5 Cash Flow</w:t>
      </w:r>
      <w:bookmarkEnd w:id="44"/>
    </w:p>
    <w:p w14:paraId="6C4B2DD0" w14:textId="5AFCFA56" w:rsidR="009C7837" w:rsidRPr="0090421E" w:rsidRDefault="0090421E" w:rsidP="00FF0D21">
      <w:pPr>
        <w:spacing w:after="60"/>
        <w:rPr>
          <w:color w:val="000000"/>
        </w:rPr>
      </w:pPr>
      <w:r>
        <w:rPr>
          <w:color w:val="000000"/>
        </w:rPr>
        <w:t>Key cash flow metrics are shown in Table 5. Figure 6 puts revenue and free cash flow side by side to show how the two have moved relative to each other.</w:t>
      </w:r>
    </w:p>
    <w:p w14:paraId="7BD0C985" w14:textId="67CA8155" w:rsidR="0090421E" w:rsidRDefault="0090421E" w:rsidP="00FF0D21">
      <w:pPr>
        <w:pStyle w:val="Caption"/>
        <w:keepNext/>
        <w:spacing w:line="360" w:lineRule="auto"/>
      </w:pPr>
      <w:bookmarkStart w:id="45" w:name="_Toc224126293"/>
      <w:bookmarkStart w:id="46" w:name="_Toc224248305"/>
      <w:bookmarkStart w:id="47" w:name="_Toc224248894"/>
      <w:bookmarkStart w:id="48" w:name="_Toc227865577"/>
      <w:bookmarkStart w:id="49" w:name="_Toc227865610"/>
      <w:r>
        <w:t xml:space="preserve">Table </w:t>
      </w:r>
      <w:fldSimple w:instr=" SEQ Table \* ARABIC ">
        <w:r>
          <w:rPr>
            <w:noProof/>
          </w:rPr>
          <w:t>5</w:t>
        </w:r>
      </w:fldSimple>
      <w:r>
        <w:t>: Cash Flow Ratios, Tesla Inc. 2021 to 2025. Source: Tesla SEC 10-K Annual Reports (Tesla, Inc., 2021 to 2025a).</w:t>
      </w:r>
      <w:bookmarkEnd w:id="45"/>
      <w:bookmarkEnd w:id="46"/>
      <w:bookmarkEnd w:id="47"/>
      <w:bookmarkEnd w:id="48"/>
      <w:bookmarkEnd w:id="4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76"/>
        <w:gridCol w:w="1290"/>
        <w:gridCol w:w="1290"/>
        <w:gridCol w:w="1290"/>
        <w:gridCol w:w="1290"/>
        <w:gridCol w:w="1290"/>
      </w:tblGrid>
      <w:tr w:rsidR="009C7837" w14:paraId="01512F55" w14:textId="77777777">
        <w:tc>
          <w:tcPr>
            <w:tcW w:w="2576"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B29673F" w14:textId="77777777" w:rsidR="009C7837" w:rsidRDefault="005222E0" w:rsidP="00FF0D21">
            <w:pPr>
              <w:jc w:val="center"/>
            </w:pPr>
            <w:r>
              <w:rPr>
                <w:b/>
                <w:bCs/>
                <w:color w:val="000000"/>
                <w:sz w:val="20"/>
                <w:szCs w:val="20"/>
              </w:rPr>
              <w:t>Metric</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E6A97E8" w14:textId="77777777" w:rsidR="009C7837" w:rsidRDefault="005222E0" w:rsidP="00FF0D21">
            <w:pPr>
              <w:jc w:val="center"/>
            </w:pPr>
            <w:r>
              <w:rPr>
                <w:b/>
                <w:bCs/>
                <w:color w:val="000000"/>
                <w:sz w:val="20"/>
                <w:szCs w:val="20"/>
              </w:rPr>
              <w:t>2021</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A5265B6" w14:textId="77777777" w:rsidR="009C7837" w:rsidRDefault="005222E0" w:rsidP="00FF0D21">
            <w:pPr>
              <w:jc w:val="center"/>
            </w:pPr>
            <w:r>
              <w:rPr>
                <w:b/>
                <w:bCs/>
                <w:color w:val="000000"/>
                <w:sz w:val="20"/>
                <w:szCs w:val="20"/>
              </w:rPr>
              <w:t>2022</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614ED6E" w14:textId="77777777" w:rsidR="009C7837" w:rsidRDefault="005222E0" w:rsidP="00FF0D21">
            <w:pPr>
              <w:jc w:val="center"/>
            </w:pPr>
            <w:r>
              <w:rPr>
                <w:b/>
                <w:bCs/>
                <w:color w:val="000000"/>
                <w:sz w:val="20"/>
                <w:szCs w:val="20"/>
              </w:rPr>
              <w:t>2023</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BE5679C" w14:textId="77777777" w:rsidR="009C7837" w:rsidRDefault="005222E0" w:rsidP="00FF0D21">
            <w:pPr>
              <w:jc w:val="center"/>
            </w:pPr>
            <w:r>
              <w:rPr>
                <w:b/>
                <w:bCs/>
                <w:color w:val="000000"/>
                <w:sz w:val="20"/>
                <w:szCs w:val="20"/>
              </w:rPr>
              <w:t>2024</w:t>
            </w:r>
          </w:p>
        </w:tc>
        <w:tc>
          <w:tcPr>
            <w:tcW w:w="129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1AC48C90" w14:textId="77777777" w:rsidR="009C7837" w:rsidRDefault="005222E0" w:rsidP="00FF0D21">
            <w:pPr>
              <w:jc w:val="center"/>
            </w:pPr>
            <w:r>
              <w:rPr>
                <w:b/>
                <w:bCs/>
                <w:color w:val="000000"/>
                <w:sz w:val="20"/>
                <w:szCs w:val="20"/>
              </w:rPr>
              <w:t>2025</w:t>
            </w:r>
          </w:p>
        </w:tc>
      </w:tr>
      <w:tr w:rsidR="009C7837" w14:paraId="1DDC7453" w14:textId="77777777">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2917A24" w14:textId="77777777" w:rsidR="009C7837" w:rsidRDefault="005222E0" w:rsidP="00FF0D21">
            <w:r>
              <w:rPr>
                <w:b/>
                <w:bCs/>
                <w:color w:val="000000"/>
                <w:sz w:val="20"/>
                <w:szCs w:val="20"/>
              </w:rPr>
              <w:lastRenderedPageBreak/>
              <w:t>Operating CF to Revenue</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2077BA4" w14:textId="77777777" w:rsidR="009C7837" w:rsidRDefault="005222E0" w:rsidP="00FF0D21">
            <w:pPr>
              <w:jc w:val="center"/>
            </w:pPr>
            <w:r>
              <w:rPr>
                <w:color w:val="000000"/>
                <w:sz w:val="20"/>
                <w:szCs w:val="20"/>
              </w:rPr>
              <w:t>21.4%</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41F0946" w14:textId="77777777" w:rsidR="009C7837" w:rsidRDefault="005222E0" w:rsidP="00FF0D21">
            <w:pPr>
              <w:jc w:val="center"/>
            </w:pPr>
            <w:r>
              <w:rPr>
                <w:color w:val="000000"/>
                <w:sz w:val="20"/>
                <w:szCs w:val="20"/>
              </w:rPr>
              <w:t>18.1%</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5B3978D" w14:textId="77777777" w:rsidR="009C7837" w:rsidRDefault="005222E0" w:rsidP="00FF0D21">
            <w:pPr>
              <w:jc w:val="center"/>
            </w:pPr>
            <w:r>
              <w:rPr>
                <w:color w:val="000000"/>
                <w:sz w:val="20"/>
                <w:szCs w:val="20"/>
              </w:rPr>
              <w:t>13.7%</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5C9BCE2" w14:textId="77777777" w:rsidR="009C7837" w:rsidRDefault="005222E0" w:rsidP="00FF0D21">
            <w:pPr>
              <w:jc w:val="center"/>
            </w:pPr>
            <w:r>
              <w:rPr>
                <w:color w:val="000000"/>
                <w:sz w:val="20"/>
                <w:szCs w:val="20"/>
              </w:rPr>
              <w:t>15.3%</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76020F0" w14:textId="77777777" w:rsidR="009C7837" w:rsidRDefault="005222E0" w:rsidP="00FF0D21">
            <w:pPr>
              <w:jc w:val="center"/>
            </w:pPr>
            <w:r>
              <w:rPr>
                <w:color w:val="000000"/>
                <w:sz w:val="20"/>
                <w:szCs w:val="20"/>
              </w:rPr>
              <w:t>13.7%</w:t>
            </w:r>
          </w:p>
        </w:tc>
      </w:tr>
      <w:tr w:rsidR="009C7837" w14:paraId="5D1854AC" w14:textId="77777777">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D676587" w14:textId="77777777" w:rsidR="009C7837" w:rsidRDefault="005222E0" w:rsidP="00FF0D21">
            <w:r>
              <w:rPr>
                <w:b/>
                <w:bCs/>
                <w:color w:val="000000"/>
                <w:sz w:val="20"/>
                <w:szCs w:val="20"/>
              </w:rPr>
              <w:t>Free Cash Flow ($M)</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2AEA98E" w14:textId="77777777" w:rsidR="009C7837" w:rsidRDefault="005222E0" w:rsidP="00FF0D21">
            <w:pPr>
              <w:jc w:val="center"/>
            </w:pPr>
            <w:r>
              <w:rPr>
                <w:color w:val="000000"/>
                <w:sz w:val="20"/>
                <w:szCs w:val="20"/>
              </w:rPr>
              <w:t>5,015</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1ABB1A9" w14:textId="77777777" w:rsidR="009C7837" w:rsidRDefault="005222E0" w:rsidP="00FF0D21">
            <w:pPr>
              <w:jc w:val="center"/>
            </w:pPr>
            <w:r>
              <w:rPr>
                <w:color w:val="000000"/>
                <w:sz w:val="20"/>
                <w:szCs w:val="20"/>
              </w:rPr>
              <w:t>7,566</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2CB6AA7" w14:textId="77777777" w:rsidR="009C7837" w:rsidRDefault="005222E0" w:rsidP="00FF0D21">
            <w:pPr>
              <w:jc w:val="center"/>
            </w:pPr>
            <w:r>
              <w:rPr>
                <w:color w:val="000000"/>
                <w:sz w:val="20"/>
                <w:szCs w:val="20"/>
              </w:rPr>
              <w:t>4,358</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0C73C5E" w14:textId="77777777" w:rsidR="009C7837" w:rsidRDefault="005222E0" w:rsidP="00FF0D21">
            <w:pPr>
              <w:jc w:val="center"/>
            </w:pPr>
            <w:r>
              <w:rPr>
                <w:color w:val="000000"/>
                <w:sz w:val="20"/>
                <w:szCs w:val="20"/>
              </w:rPr>
              <w:t>3,584</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663C8BA" w14:textId="77777777" w:rsidR="009C7837" w:rsidRDefault="005222E0" w:rsidP="00FF0D21">
            <w:pPr>
              <w:jc w:val="center"/>
            </w:pPr>
            <w:r>
              <w:rPr>
                <w:color w:val="000000"/>
                <w:sz w:val="20"/>
                <w:szCs w:val="20"/>
              </w:rPr>
              <w:t>6,220</w:t>
            </w:r>
          </w:p>
        </w:tc>
      </w:tr>
      <w:tr w:rsidR="009C7837" w14:paraId="36AF5D7F" w14:textId="77777777">
        <w:tc>
          <w:tcPr>
            <w:tcW w:w="25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97520CE" w14:textId="77777777" w:rsidR="009C7837" w:rsidRDefault="005222E0" w:rsidP="00FF0D21">
            <w:r>
              <w:rPr>
                <w:b/>
                <w:bCs/>
                <w:color w:val="000000"/>
                <w:sz w:val="20"/>
                <w:szCs w:val="20"/>
              </w:rPr>
              <w:t>Capex to Revenue</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D783BE6" w14:textId="77777777" w:rsidR="009C7837" w:rsidRDefault="005222E0" w:rsidP="00FF0D21">
            <w:pPr>
              <w:jc w:val="center"/>
            </w:pPr>
            <w:r>
              <w:rPr>
                <w:color w:val="000000"/>
                <w:sz w:val="20"/>
                <w:szCs w:val="20"/>
              </w:rPr>
              <w:t>12.1%</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89EE82E" w14:textId="77777777" w:rsidR="009C7837" w:rsidRDefault="005222E0" w:rsidP="00FF0D21">
            <w:pPr>
              <w:jc w:val="center"/>
            </w:pPr>
            <w:r>
              <w:rPr>
                <w:color w:val="000000"/>
                <w:sz w:val="20"/>
                <w:szCs w:val="20"/>
              </w:rPr>
              <w:t>8.8%</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33E0FD7" w14:textId="77777777" w:rsidR="009C7837" w:rsidRDefault="005222E0" w:rsidP="00FF0D21">
            <w:pPr>
              <w:jc w:val="center"/>
            </w:pPr>
            <w:r>
              <w:rPr>
                <w:color w:val="000000"/>
                <w:sz w:val="20"/>
                <w:szCs w:val="20"/>
              </w:rPr>
              <w:t>9.2%</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EF290DC" w14:textId="77777777" w:rsidR="009C7837" w:rsidRDefault="005222E0" w:rsidP="00FF0D21">
            <w:pPr>
              <w:jc w:val="center"/>
            </w:pPr>
            <w:r>
              <w:rPr>
                <w:color w:val="000000"/>
                <w:sz w:val="20"/>
                <w:szCs w:val="20"/>
              </w:rPr>
              <w:t>11.6%</w:t>
            </w:r>
          </w:p>
        </w:tc>
        <w:tc>
          <w:tcPr>
            <w:tcW w:w="129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AAC1505" w14:textId="77777777" w:rsidR="009C7837" w:rsidRDefault="005222E0" w:rsidP="00FF0D21">
            <w:pPr>
              <w:jc w:val="center"/>
            </w:pPr>
            <w:r>
              <w:rPr>
                <w:color w:val="000000"/>
                <w:sz w:val="20"/>
                <w:szCs w:val="20"/>
              </w:rPr>
              <w:t>9.0%</w:t>
            </w:r>
          </w:p>
        </w:tc>
      </w:tr>
    </w:tbl>
    <w:p w14:paraId="337FE33D" w14:textId="77777777" w:rsidR="0090421E" w:rsidRDefault="005222E0" w:rsidP="00FF0D21">
      <w:pPr>
        <w:keepNext/>
        <w:spacing w:before="100" w:after="60"/>
        <w:jc w:val="center"/>
      </w:pPr>
      <w:r>
        <w:rPr>
          <w:noProof/>
        </w:rPr>
        <w:drawing>
          <wp:inline distT="0" distB="0" distL="0" distR="0" wp14:anchorId="74F2BDAC" wp14:editId="0519996B">
            <wp:extent cx="5391150" cy="2535555"/>
            <wp:effectExtent l="0" t="0" r="0" b="0"/>
            <wp:docPr id="1502266783" name="Picture 1502266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5"/>
                    <a:srcRect t="5937"/>
                    <a:stretch>
                      <a:fillRect/>
                    </a:stretch>
                  </pic:blipFill>
                  <pic:spPr bwMode="auto">
                    <a:xfrm>
                      <a:off x="0" y="0"/>
                      <a:ext cx="5391150" cy="2535555"/>
                    </a:xfrm>
                    <a:prstGeom prst="rect">
                      <a:avLst/>
                    </a:prstGeom>
                    <a:ln>
                      <a:noFill/>
                    </a:ln>
                    <a:extLst>
                      <a:ext uri="{53640926-AAD7-44D8-BBD7-CCE9431645EC}">
                        <a14:shadowObscured xmlns:a14="http://schemas.microsoft.com/office/drawing/2010/main"/>
                      </a:ext>
                    </a:extLst>
                  </pic:spPr>
                </pic:pic>
              </a:graphicData>
            </a:graphic>
          </wp:inline>
        </w:drawing>
      </w:r>
    </w:p>
    <w:p w14:paraId="03824F2C" w14:textId="09836AB8" w:rsidR="009C7837" w:rsidRDefault="0090421E" w:rsidP="00FF0D21">
      <w:pPr>
        <w:pStyle w:val="Caption"/>
        <w:spacing w:line="360" w:lineRule="auto"/>
        <w:jc w:val="center"/>
      </w:pPr>
      <w:bookmarkStart w:id="50" w:name="_Toc224126435"/>
      <w:bookmarkStart w:id="51" w:name="_Toc224248895"/>
      <w:bookmarkStart w:id="52" w:name="_Toc227865578"/>
      <w:bookmarkStart w:id="53" w:name="_Toc227865603"/>
      <w:r>
        <w:t xml:space="preserve">Figure </w:t>
      </w:r>
      <w:fldSimple w:instr=" SEQ Figure \* ARABIC ">
        <w:r>
          <w:rPr>
            <w:noProof/>
          </w:rPr>
          <w:t>5</w:t>
        </w:r>
      </w:fldSimple>
      <w:r>
        <w:t>: Total Revenue and Free Cash Flow, Tesla Inc. 2021 to 2025. Source: Tesla SEC 10-K Annual Reports (2021 to 2025).</w:t>
      </w:r>
      <w:bookmarkEnd w:id="50"/>
      <w:bookmarkEnd w:id="51"/>
      <w:bookmarkEnd w:id="52"/>
      <w:bookmarkEnd w:id="53"/>
    </w:p>
    <w:p w14:paraId="61F90053" w14:textId="7FB3EA73" w:rsidR="0090421E" w:rsidRPr="0090421E" w:rsidRDefault="0090421E" w:rsidP="00FF0D21">
      <w:pPr>
        <w:spacing w:after="60"/>
        <w:rPr>
          <w:color w:val="000000"/>
        </w:rPr>
      </w:pPr>
      <w:r>
        <w:rPr>
          <w:color w:val="000000"/>
        </w:rPr>
        <w:t>Operating cash as a share of revenue fell from 21.4% in 2021 to 13.7% by 2025, squeezed by lower margins and greater working capital demands. Free cash flow had a difficult middle period - $7.6 billion in 2022, dropping to $4.4 billion in 2023, and then to $3.6 billion in 2024 as capital expenditure peaked at $11.3 billion during the most intensive phase of factory and infrastructure building. It then recovered to $6.2 billion in 2025 as capex fell back to $8.5 billion and the construction phase began to wind down (Tesla, Inc., 2025a). The critical point is that Tesla generated positive free cash flow in every single year of the review period, even during the peak of its investment cycle - something many fast-growing companies fail to achieve.</w:t>
      </w:r>
    </w:p>
    <w:p w14:paraId="288E55FB" w14:textId="7A8C28E3" w:rsidR="0090421E" w:rsidRPr="0090421E" w:rsidRDefault="0090421E" w:rsidP="00FF0D21">
      <w:pPr>
        <w:pStyle w:val="Heading2"/>
      </w:pPr>
      <w:bookmarkStart w:id="54" w:name="_Toc227865621"/>
      <w:r>
        <w:t>1.6 Strengths and Threats</w:t>
      </w:r>
      <w:bookmarkEnd w:id="54"/>
    </w:p>
    <w:p w14:paraId="77855240" w14:textId="77777777" w:rsidR="0090421E" w:rsidRPr="0090421E" w:rsidRDefault="0090421E" w:rsidP="00FF0D21">
      <w:pPr>
        <w:spacing w:after="60"/>
        <w:rPr>
          <w:color w:val="000000"/>
        </w:rPr>
      </w:pPr>
      <w:r>
        <w:rPr>
          <w:color w:val="000000"/>
        </w:rPr>
        <w:t xml:space="preserve">Pulling all five ratio categories together, a clear picture emerges. The balance sheet is genuinely strong: $44 billion in cash, gearing of just 0.18, structurally low receivables from the direct-sales model, and positive free cash flow maintained throughout the entire review period - these represent genuine and durable financial strengths that give Tesla considerable strategic flexibility. The concerns are concentrated in the income statement and efficiency metrics. Profitability across every margin measure has declined each year since 2022. The asset base is expanding faster than the </w:t>
      </w:r>
      <w:r>
        <w:rPr>
          <w:color w:val="000000"/>
        </w:rPr>
        <w:lastRenderedPageBreak/>
        <w:t>revenue it is expected to generate. The cash conversion cycle has flipped from a structural advantage into a mild drag. And competitive pressure from lower-cost manufacturers, particularly BYD, continues to intensify in Tesla’s most important markets (International Banker, 2025). The balance sheet is robust; the income statement needs attention.</w:t>
      </w:r>
    </w:p>
    <w:p w14:paraId="50B159CF" w14:textId="3F7D9F31" w:rsidR="0090421E" w:rsidRPr="0090421E" w:rsidRDefault="0090421E" w:rsidP="00FF0D21">
      <w:pPr>
        <w:pStyle w:val="Heading1"/>
      </w:pPr>
      <w:bookmarkStart w:id="55" w:name="_Toc227865622"/>
      <w:r>
        <w:t>2. Working Capital Management</w:t>
      </w:r>
      <w:bookmarkEnd w:id="55"/>
    </w:p>
    <w:p w14:paraId="3ECF3E14" w14:textId="77777777" w:rsidR="0090421E" w:rsidRPr="0090421E" w:rsidRDefault="0090421E" w:rsidP="00FF0D21">
      <w:pPr>
        <w:spacing w:after="60"/>
        <w:rPr>
          <w:color w:val="000000"/>
        </w:rPr>
      </w:pPr>
      <w:r>
        <w:rPr>
          <w:color w:val="000000"/>
        </w:rPr>
        <w:t>Managing working capital is about keeping the right balance between what the business owns in the short term and what it owes, so that operations run smoothly and cash is used efficiently (Atrill and McLaney, 2022). Table 6 shows where Tesla stood on this across the five years.</w:t>
      </w:r>
    </w:p>
    <w:p w14:paraId="3C875722" w14:textId="77777777" w:rsidR="009C7837" w:rsidRDefault="009C7837" w:rsidP="00FF0D21">
      <w:pPr>
        <w:spacing w:after="60"/>
      </w:pPr>
    </w:p>
    <w:p w14:paraId="270F118B" w14:textId="5C576AEF" w:rsidR="0090421E" w:rsidRDefault="0090421E" w:rsidP="00FF0D21">
      <w:pPr>
        <w:pStyle w:val="Caption"/>
        <w:keepNext/>
        <w:spacing w:line="360" w:lineRule="auto"/>
      </w:pPr>
      <w:bookmarkStart w:id="56" w:name="_Toc224126294"/>
      <w:bookmarkStart w:id="57" w:name="_Toc224248306"/>
      <w:bookmarkStart w:id="58" w:name="_Toc224248896"/>
      <w:bookmarkStart w:id="59" w:name="_Toc227865579"/>
      <w:bookmarkStart w:id="60" w:name="_Toc227865611"/>
      <w:r>
        <w:t xml:space="preserve">Table </w:t>
      </w:r>
      <w:fldSimple w:instr=" SEQ Table \* ARABIC ">
        <w:r>
          <w:rPr>
            <w:noProof/>
          </w:rPr>
          <w:t>6</w:t>
        </w:r>
      </w:fldSimple>
      <w:r>
        <w:t>: Working Capital Components, Tesla Inc. 2021 to 2025. Source: Tesla SEC 10-K Annual Reports (Tesla, Inc., 2021 to 2025a).</w:t>
      </w:r>
      <w:bookmarkEnd w:id="56"/>
      <w:bookmarkEnd w:id="57"/>
      <w:bookmarkEnd w:id="58"/>
      <w:bookmarkEnd w:id="59"/>
      <w:bookmarkEnd w:id="6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26"/>
        <w:gridCol w:w="1660"/>
        <w:gridCol w:w="1560"/>
        <w:gridCol w:w="1560"/>
        <w:gridCol w:w="1520"/>
      </w:tblGrid>
      <w:tr w:rsidR="009C7837" w14:paraId="5F599AF2" w14:textId="77777777">
        <w:tc>
          <w:tcPr>
            <w:tcW w:w="2726"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2F2692F6" w14:textId="77777777" w:rsidR="009C7837" w:rsidRDefault="005222E0" w:rsidP="00FF0D21">
            <w:pPr>
              <w:jc w:val="center"/>
            </w:pPr>
            <w:r>
              <w:rPr>
                <w:b/>
                <w:bCs/>
                <w:color w:val="000000"/>
                <w:sz w:val="20"/>
                <w:szCs w:val="20"/>
              </w:rPr>
              <w:t>Item ($M)</w:t>
            </w:r>
          </w:p>
        </w:tc>
        <w:tc>
          <w:tcPr>
            <w:tcW w:w="16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5E0B883" w14:textId="77777777" w:rsidR="009C7837" w:rsidRDefault="005222E0" w:rsidP="00FF0D21">
            <w:pPr>
              <w:jc w:val="center"/>
            </w:pPr>
            <w:r>
              <w:rPr>
                <w:b/>
                <w:bCs/>
                <w:color w:val="000000"/>
                <w:sz w:val="20"/>
                <w:szCs w:val="20"/>
              </w:rPr>
              <w:t>2021 / 2022</w:t>
            </w:r>
          </w:p>
        </w:tc>
        <w:tc>
          <w:tcPr>
            <w:tcW w:w="15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9136EED" w14:textId="77777777" w:rsidR="009C7837" w:rsidRDefault="005222E0" w:rsidP="00FF0D21">
            <w:pPr>
              <w:jc w:val="center"/>
            </w:pPr>
            <w:r>
              <w:rPr>
                <w:b/>
                <w:bCs/>
                <w:color w:val="000000"/>
                <w:sz w:val="20"/>
                <w:szCs w:val="20"/>
              </w:rPr>
              <w:t>2023</w:t>
            </w:r>
          </w:p>
        </w:tc>
        <w:tc>
          <w:tcPr>
            <w:tcW w:w="156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9936553" w14:textId="77777777" w:rsidR="009C7837" w:rsidRDefault="005222E0" w:rsidP="00FF0D21">
            <w:pPr>
              <w:jc w:val="center"/>
            </w:pPr>
            <w:r>
              <w:rPr>
                <w:b/>
                <w:bCs/>
                <w:color w:val="000000"/>
                <w:sz w:val="20"/>
                <w:szCs w:val="20"/>
              </w:rPr>
              <w:t>2024</w:t>
            </w:r>
          </w:p>
        </w:tc>
        <w:tc>
          <w:tcPr>
            <w:tcW w:w="1520"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6A2D1DA" w14:textId="77777777" w:rsidR="009C7837" w:rsidRDefault="005222E0" w:rsidP="00FF0D21">
            <w:pPr>
              <w:jc w:val="center"/>
            </w:pPr>
            <w:r>
              <w:rPr>
                <w:b/>
                <w:bCs/>
                <w:color w:val="000000"/>
                <w:sz w:val="20"/>
                <w:szCs w:val="20"/>
              </w:rPr>
              <w:t>2025</w:t>
            </w:r>
          </w:p>
        </w:tc>
      </w:tr>
      <w:tr w:rsidR="009C7837" w14:paraId="5D91521B" w14:textId="77777777">
        <w:tc>
          <w:tcPr>
            <w:tcW w:w="27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B9A0E68" w14:textId="77777777" w:rsidR="009C7837" w:rsidRDefault="005222E0" w:rsidP="00FF0D21">
            <w:r>
              <w:rPr>
                <w:b/>
                <w:bCs/>
                <w:color w:val="000000"/>
                <w:sz w:val="20"/>
                <w:szCs w:val="20"/>
              </w:rPr>
              <w:t>Total Current Assets</w:t>
            </w:r>
          </w:p>
        </w:tc>
        <w:tc>
          <w:tcPr>
            <w:tcW w:w="16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027731D" w14:textId="77777777" w:rsidR="009C7837" w:rsidRDefault="005222E0" w:rsidP="00FF0D21">
            <w:pPr>
              <w:jc w:val="center"/>
            </w:pPr>
            <w:r>
              <w:rPr>
                <w:color w:val="000000"/>
                <w:sz w:val="20"/>
                <w:szCs w:val="20"/>
              </w:rPr>
              <w:t>27,100 / 40,917</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477F660" w14:textId="77777777" w:rsidR="009C7837" w:rsidRDefault="005222E0" w:rsidP="00FF0D21">
            <w:pPr>
              <w:jc w:val="center"/>
            </w:pPr>
            <w:r>
              <w:rPr>
                <w:color w:val="000000"/>
                <w:sz w:val="20"/>
                <w:szCs w:val="20"/>
              </w:rPr>
              <w:t>49,616</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933AEB8" w14:textId="77777777" w:rsidR="009C7837" w:rsidRDefault="005222E0" w:rsidP="00FF0D21">
            <w:pPr>
              <w:jc w:val="center"/>
            </w:pPr>
            <w:r>
              <w:rPr>
                <w:color w:val="000000"/>
                <w:sz w:val="20"/>
                <w:szCs w:val="20"/>
              </w:rPr>
              <w:t>58,360</w:t>
            </w:r>
          </w:p>
        </w:tc>
        <w:tc>
          <w:tcPr>
            <w:tcW w:w="15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EC2ADC7" w14:textId="77777777" w:rsidR="009C7837" w:rsidRDefault="005222E0" w:rsidP="00FF0D21">
            <w:pPr>
              <w:jc w:val="center"/>
            </w:pPr>
            <w:r>
              <w:rPr>
                <w:color w:val="000000"/>
                <w:sz w:val="20"/>
                <w:szCs w:val="20"/>
              </w:rPr>
              <w:t>68,642</w:t>
            </w:r>
          </w:p>
        </w:tc>
      </w:tr>
      <w:tr w:rsidR="009C7837" w14:paraId="63AB7F61" w14:textId="77777777">
        <w:tc>
          <w:tcPr>
            <w:tcW w:w="27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B07B319" w14:textId="77777777" w:rsidR="009C7837" w:rsidRDefault="005222E0" w:rsidP="00FF0D21">
            <w:r>
              <w:rPr>
                <w:b/>
                <w:bCs/>
                <w:color w:val="000000"/>
                <w:sz w:val="20"/>
                <w:szCs w:val="20"/>
              </w:rPr>
              <w:t>Total Current Liabilities</w:t>
            </w:r>
          </w:p>
        </w:tc>
        <w:tc>
          <w:tcPr>
            <w:tcW w:w="16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16E7F07" w14:textId="77777777" w:rsidR="009C7837" w:rsidRDefault="005222E0" w:rsidP="00FF0D21">
            <w:pPr>
              <w:jc w:val="center"/>
            </w:pPr>
            <w:r>
              <w:rPr>
                <w:color w:val="000000"/>
                <w:sz w:val="20"/>
                <w:szCs w:val="20"/>
              </w:rPr>
              <w:t>19,705 / 26,709</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70C0B2E" w14:textId="77777777" w:rsidR="009C7837" w:rsidRDefault="005222E0" w:rsidP="00FF0D21">
            <w:pPr>
              <w:jc w:val="center"/>
            </w:pPr>
            <w:r>
              <w:rPr>
                <w:color w:val="000000"/>
                <w:sz w:val="20"/>
                <w:szCs w:val="20"/>
              </w:rPr>
              <w:t>28,748</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415C32B" w14:textId="77777777" w:rsidR="009C7837" w:rsidRDefault="005222E0" w:rsidP="00FF0D21">
            <w:pPr>
              <w:jc w:val="center"/>
            </w:pPr>
            <w:r>
              <w:rPr>
                <w:color w:val="000000"/>
                <w:sz w:val="20"/>
                <w:szCs w:val="20"/>
              </w:rPr>
              <w:t>28,821</w:t>
            </w:r>
          </w:p>
        </w:tc>
        <w:tc>
          <w:tcPr>
            <w:tcW w:w="15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1ED3231" w14:textId="77777777" w:rsidR="009C7837" w:rsidRDefault="005222E0" w:rsidP="00FF0D21">
            <w:pPr>
              <w:jc w:val="center"/>
            </w:pPr>
            <w:r>
              <w:rPr>
                <w:color w:val="000000"/>
                <w:sz w:val="20"/>
                <w:szCs w:val="20"/>
              </w:rPr>
              <w:t>31,714</w:t>
            </w:r>
          </w:p>
        </w:tc>
      </w:tr>
      <w:tr w:rsidR="009C7837" w14:paraId="43E24503" w14:textId="77777777">
        <w:tc>
          <w:tcPr>
            <w:tcW w:w="27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5429690" w14:textId="77777777" w:rsidR="009C7837" w:rsidRDefault="005222E0" w:rsidP="00FF0D21">
            <w:r>
              <w:rPr>
                <w:b/>
                <w:bCs/>
                <w:color w:val="000000"/>
                <w:sz w:val="20"/>
                <w:szCs w:val="20"/>
              </w:rPr>
              <w:t>Net Working Capital</w:t>
            </w:r>
          </w:p>
        </w:tc>
        <w:tc>
          <w:tcPr>
            <w:tcW w:w="16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696E27D" w14:textId="77777777" w:rsidR="009C7837" w:rsidRDefault="005222E0" w:rsidP="00FF0D21">
            <w:pPr>
              <w:jc w:val="center"/>
            </w:pPr>
            <w:r>
              <w:rPr>
                <w:color w:val="000000"/>
                <w:sz w:val="20"/>
                <w:szCs w:val="20"/>
              </w:rPr>
              <w:t>7,395 / 14,208</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57B9687" w14:textId="77777777" w:rsidR="009C7837" w:rsidRDefault="005222E0" w:rsidP="00FF0D21">
            <w:pPr>
              <w:jc w:val="center"/>
            </w:pPr>
            <w:r>
              <w:rPr>
                <w:color w:val="000000"/>
                <w:sz w:val="20"/>
                <w:szCs w:val="20"/>
              </w:rPr>
              <w:t>20,868</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14A6699" w14:textId="77777777" w:rsidR="009C7837" w:rsidRDefault="005222E0" w:rsidP="00FF0D21">
            <w:pPr>
              <w:jc w:val="center"/>
            </w:pPr>
            <w:r>
              <w:rPr>
                <w:color w:val="000000"/>
                <w:sz w:val="20"/>
                <w:szCs w:val="20"/>
              </w:rPr>
              <w:t>29,539</w:t>
            </w:r>
          </w:p>
        </w:tc>
        <w:tc>
          <w:tcPr>
            <w:tcW w:w="15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E4EE634" w14:textId="77777777" w:rsidR="009C7837" w:rsidRDefault="005222E0" w:rsidP="00FF0D21">
            <w:pPr>
              <w:jc w:val="center"/>
            </w:pPr>
            <w:r>
              <w:rPr>
                <w:color w:val="000000"/>
                <w:sz w:val="20"/>
                <w:szCs w:val="20"/>
              </w:rPr>
              <w:t>36,928</w:t>
            </w:r>
          </w:p>
        </w:tc>
      </w:tr>
      <w:tr w:rsidR="009C7837" w14:paraId="45101232" w14:textId="77777777">
        <w:tc>
          <w:tcPr>
            <w:tcW w:w="27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A7E620C" w14:textId="77777777" w:rsidR="009C7837" w:rsidRDefault="005222E0" w:rsidP="00FF0D21">
            <w:r>
              <w:rPr>
                <w:b/>
                <w:bCs/>
                <w:color w:val="000000"/>
                <w:sz w:val="20"/>
                <w:szCs w:val="20"/>
              </w:rPr>
              <w:t>Cash and Investments</w:t>
            </w:r>
          </w:p>
        </w:tc>
        <w:tc>
          <w:tcPr>
            <w:tcW w:w="16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D845E05" w14:textId="77777777" w:rsidR="009C7837" w:rsidRDefault="005222E0" w:rsidP="00FF0D21">
            <w:pPr>
              <w:jc w:val="center"/>
            </w:pPr>
            <w:r>
              <w:rPr>
                <w:color w:val="000000"/>
                <w:sz w:val="20"/>
                <w:szCs w:val="20"/>
              </w:rPr>
              <w:t>17,707 / 22,185</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A17C2BB" w14:textId="77777777" w:rsidR="009C7837" w:rsidRDefault="005222E0" w:rsidP="00FF0D21">
            <w:pPr>
              <w:jc w:val="center"/>
            </w:pPr>
            <w:r>
              <w:rPr>
                <w:color w:val="000000"/>
                <w:sz w:val="20"/>
                <w:szCs w:val="20"/>
              </w:rPr>
              <w:t>29,094</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C963C67" w14:textId="77777777" w:rsidR="009C7837" w:rsidRDefault="005222E0" w:rsidP="00FF0D21">
            <w:pPr>
              <w:jc w:val="center"/>
            </w:pPr>
            <w:r>
              <w:rPr>
                <w:color w:val="000000"/>
                <w:sz w:val="20"/>
                <w:szCs w:val="20"/>
              </w:rPr>
              <w:t>36,563</w:t>
            </w:r>
          </w:p>
        </w:tc>
        <w:tc>
          <w:tcPr>
            <w:tcW w:w="15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A98054C" w14:textId="77777777" w:rsidR="009C7837" w:rsidRDefault="005222E0" w:rsidP="00FF0D21">
            <w:pPr>
              <w:jc w:val="center"/>
            </w:pPr>
            <w:r>
              <w:rPr>
                <w:color w:val="000000"/>
                <w:sz w:val="20"/>
                <w:szCs w:val="20"/>
              </w:rPr>
              <w:t>44,059</w:t>
            </w:r>
          </w:p>
        </w:tc>
      </w:tr>
      <w:tr w:rsidR="009C7837" w14:paraId="027B3CFC" w14:textId="77777777">
        <w:tc>
          <w:tcPr>
            <w:tcW w:w="27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496DCFC" w14:textId="77777777" w:rsidR="009C7837" w:rsidRDefault="005222E0" w:rsidP="00FF0D21">
            <w:r>
              <w:rPr>
                <w:b/>
                <w:bCs/>
                <w:color w:val="000000"/>
                <w:sz w:val="20"/>
                <w:szCs w:val="20"/>
              </w:rPr>
              <w:t>Accounts Receivable</w:t>
            </w:r>
          </w:p>
        </w:tc>
        <w:tc>
          <w:tcPr>
            <w:tcW w:w="16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AA87AB2" w14:textId="77777777" w:rsidR="009C7837" w:rsidRDefault="005222E0" w:rsidP="00FF0D21">
            <w:pPr>
              <w:jc w:val="center"/>
            </w:pPr>
            <w:r>
              <w:rPr>
                <w:color w:val="000000"/>
                <w:sz w:val="20"/>
                <w:szCs w:val="20"/>
              </w:rPr>
              <w:t>1,986 / 3,116</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C7805FC" w14:textId="77777777" w:rsidR="009C7837" w:rsidRDefault="005222E0" w:rsidP="00FF0D21">
            <w:pPr>
              <w:jc w:val="center"/>
            </w:pPr>
            <w:r>
              <w:rPr>
                <w:color w:val="000000"/>
                <w:sz w:val="20"/>
                <w:szCs w:val="20"/>
              </w:rPr>
              <w:t>3,319</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38A7030" w14:textId="77777777" w:rsidR="009C7837" w:rsidRDefault="005222E0" w:rsidP="00FF0D21">
            <w:pPr>
              <w:jc w:val="center"/>
            </w:pPr>
            <w:r>
              <w:rPr>
                <w:color w:val="000000"/>
                <w:sz w:val="20"/>
                <w:szCs w:val="20"/>
              </w:rPr>
              <w:t>4,255</w:t>
            </w:r>
          </w:p>
        </w:tc>
        <w:tc>
          <w:tcPr>
            <w:tcW w:w="15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0FE9A88" w14:textId="77777777" w:rsidR="009C7837" w:rsidRDefault="005222E0" w:rsidP="00FF0D21">
            <w:pPr>
              <w:jc w:val="center"/>
            </w:pPr>
            <w:r>
              <w:rPr>
                <w:color w:val="000000"/>
                <w:sz w:val="20"/>
                <w:szCs w:val="20"/>
              </w:rPr>
              <w:t>4,598</w:t>
            </w:r>
          </w:p>
        </w:tc>
      </w:tr>
      <w:tr w:rsidR="009C7837" w14:paraId="1FE27216" w14:textId="77777777">
        <w:tc>
          <w:tcPr>
            <w:tcW w:w="27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CDF4066" w14:textId="77777777" w:rsidR="009C7837" w:rsidRDefault="005222E0" w:rsidP="00FF0D21">
            <w:r>
              <w:rPr>
                <w:b/>
                <w:bCs/>
                <w:color w:val="000000"/>
                <w:sz w:val="20"/>
                <w:szCs w:val="20"/>
              </w:rPr>
              <w:t>Inventories</w:t>
            </w:r>
          </w:p>
        </w:tc>
        <w:tc>
          <w:tcPr>
            <w:tcW w:w="16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BB67362" w14:textId="77777777" w:rsidR="009C7837" w:rsidRDefault="005222E0" w:rsidP="00FF0D21">
            <w:pPr>
              <w:jc w:val="center"/>
            </w:pPr>
            <w:r>
              <w:rPr>
                <w:color w:val="000000"/>
                <w:sz w:val="20"/>
                <w:szCs w:val="20"/>
              </w:rPr>
              <w:t>5,757 / 12,839</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175376B" w14:textId="77777777" w:rsidR="009C7837" w:rsidRDefault="005222E0" w:rsidP="00FF0D21">
            <w:pPr>
              <w:jc w:val="center"/>
            </w:pPr>
            <w:r>
              <w:rPr>
                <w:color w:val="000000"/>
                <w:sz w:val="20"/>
                <w:szCs w:val="20"/>
              </w:rPr>
              <w:t>13,626</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8DBBBEB" w14:textId="77777777" w:rsidR="009C7837" w:rsidRDefault="005222E0" w:rsidP="00FF0D21">
            <w:pPr>
              <w:jc w:val="center"/>
            </w:pPr>
            <w:r>
              <w:rPr>
                <w:color w:val="000000"/>
                <w:sz w:val="20"/>
                <w:szCs w:val="20"/>
              </w:rPr>
              <w:t>12,017</w:t>
            </w:r>
          </w:p>
        </w:tc>
        <w:tc>
          <w:tcPr>
            <w:tcW w:w="15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0C4FB1F" w14:textId="77777777" w:rsidR="009C7837" w:rsidRDefault="005222E0" w:rsidP="00FF0D21">
            <w:pPr>
              <w:jc w:val="center"/>
            </w:pPr>
            <w:r>
              <w:rPr>
                <w:color w:val="000000"/>
                <w:sz w:val="20"/>
                <w:szCs w:val="20"/>
              </w:rPr>
              <w:t>12,392</w:t>
            </w:r>
          </w:p>
        </w:tc>
      </w:tr>
      <w:tr w:rsidR="009C7837" w14:paraId="3DCDC80D" w14:textId="77777777">
        <w:tc>
          <w:tcPr>
            <w:tcW w:w="27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D3F74B5" w14:textId="77777777" w:rsidR="009C7837" w:rsidRDefault="005222E0" w:rsidP="00FF0D21">
            <w:r>
              <w:rPr>
                <w:b/>
                <w:bCs/>
                <w:color w:val="000000"/>
                <w:sz w:val="20"/>
                <w:szCs w:val="20"/>
              </w:rPr>
              <w:t>Accounts Payable</w:t>
            </w:r>
          </w:p>
        </w:tc>
        <w:tc>
          <w:tcPr>
            <w:tcW w:w="16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66D2A5F" w14:textId="77777777" w:rsidR="009C7837" w:rsidRDefault="005222E0" w:rsidP="00FF0D21">
            <w:pPr>
              <w:jc w:val="center"/>
            </w:pPr>
            <w:r>
              <w:rPr>
                <w:color w:val="000000"/>
                <w:sz w:val="20"/>
                <w:szCs w:val="20"/>
              </w:rPr>
              <w:t>10,025 / 15,255</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4FF3BCD" w14:textId="77777777" w:rsidR="009C7837" w:rsidRDefault="005222E0" w:rsidP="00FF0D21">
            <w:pPr>
              <w:jc w:val="center"/>
            </w:pPr>
            <w:r>
              <w:rPr>
                <w:color w:val="000000"/>
                <w:sz w:val="20"/>
                <w:szCs w:val="20"/>
              </w:rPr>
              <w:t>14,431</w:t>
            </w:r>
          </w:p>
        </w:tc>
        <w:tc>
          <w:tcPr>
            <w:tcW w:w="156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EA617A3" w14:textId="77777777" w:rsidR="009C7837" w:rsidRDefault="005222E0" w:rsidP="00FF0D21">
            <w:pPr>
              <w:jc w:val="center"/>
            </w:pPr>
            <w:r>
              <w:rPr>
                <w:color w:val="000000"/>
                <w:sz w:val="20"/>
                <w:szCs w:val="20"/>
              </w:rPr>
              <w:t>12,474</w:t>
            </w:r>
          </w:p>
        </w:tc>
        <w:tc>
          <w:tcPr>
            <w:tcW w:w="1520"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4E5C545" w14:textId="77777777" w:rsidR="009C7837" w:rsidRDefault="005222E0" w:rsidP="00FF0D21">
            <w:pPr>
              <w:jc w:val="center"/>
            </w:pPr>
            <w:r>
              <w:rPr>
                <w:color w:val="000000"/>
                <w:sz w:val="20"/>
                <w:szCs w:val="20"/>
              </w:rPr>
              <w:t>13,371</w:t>
            </w:r>
          </w:p>
        </w:tc>
      </w:tr>
    </w:tbl>
    <w:p w14:paraId="1A80685A" w14:textId="1403A362" w:rsidR="009C7837" w:rsidRDefault="009C7837" w:rsidP="00FF0D21">
      <w:pPr>
        <w:spacing w:before="60" w:after="200"/>
      </w:pPr>
    </w:p>
    <w:p w14:paraId="3EC5259E" w14:textId="77777777" w:rsidR="0011741B" w:rsidRPr="0011741B" w:rsidRDefault="0011741B" w:rsidP="00FF0D21">
      <w:pPr>
        <w:pStyle w:val="Heading2"/>
      </w:pPr>
      <w:bookmarkStart w:id="61" w:name="_Toc227865623"/>
      <w:r>
        <w:t>2.1 Net Working Capital</w:t>
      </w:r>
      <w:bookmarkEnd w:id="61"/>
    </w:p>
    <w:p w14:paraId="2C40EC8D" w14:textId="77777777" w:rsidR="0011741B" w:rsidRPr="0011741B" w:rsidRDefault="0011741B" w:rsidP="00FF0D21">
      <w:r>
        <w:t>Net working capital went from $7.4 billion in 2021 to $36.9 billion by 2025, though almost all of that growth was cash sitting on the balance sheet rather than any expansion in trade receivables or inventory. Current liabilities barely moved - between $26.7 and $31.7 billion throughout - which is exactly why the liquidity ratios improved so steadily. It is a comfortable position on paper, but carrying that level of idle cash is a capital allocation question the restructuring plan in Section 3 has to answer.</w:t>
      </w:r>
    </w:p>
    <w:p w14:paraId="51BFA202" w14:textId="77777777" w:rsidR="0011741B" w:rsidRPr="0011741B" w:rsidRDefault="0011741B" w:rsidP="00FF0D21">
      <w:pPr>
        <w:pStyle w:val="Heading2"/>
      </w:pPr>
      <w:bookmarkStart w:id="62" w:name="_Toc227865624"/>
      <w:r>
        <w:lastRenderedPageBreak/>
        <w:t>2.2 Receivables and Inventory</w:t>
      </w:r>
      <w:bookmarkEnd w:id="62"/>
    </w:p>
    <w:p w14:paraId="3FB6F6D3" w14:textId="77777777" w:rsidR="0011741B" w:rsidRPr="0011741B" w:rsidRDefault="0011741B" w:rsidP="00FF0D21">
      <w:r>
        <w:t>Selling direct to customers rather than through dealers means Tesla’s receivables are always going to be low. DSO of 13 to 18 days versus an industry average of 46 days (CFO Dive, 2024) says it all - customers pay quickly and the business collects efficiently. This is a structural advantage that traditional automakers simply cannot replicate given their reliance on dealer networks and extended credit terms. Receivables also tracked revenue growth quite closely throughout the period, so there is no sign of deterioration in how promptly customers are paying. Inventory is a different story. It nearly doubled between 2021 and 2022 to $12.8 billion as two new Gigafactories opened at the same time and COVID disrupted supply chains, sending DIO up to 77 days. By 2024 that was back under control at 55 days (DigitalDefynd, 2025), with a small uptick to 58 in 2025 as Tesla stocked up deliberately ahead of new model launches.</w:t>
      </w:r>
    </w:p>
    <w:p w14:paraId="6927DD28" w14:textId="77777777" w:rsidR="0011741B" w:rsidRPr="0011741B" w:rsidRDefault="0011741B" w:rsidP="00FF0D21">
      <w:pPr>
        <w:pStyle w:val="Heading2"/>
      </w:pPr>
      <w:bookmarkStart w:id="63" w:name="_Toc227865625"/>
      <w:r>
        <w:t>2.3 Payables and Cash Conversion Cycle</w:t>
      </w:r>
      <w:bookmarkEnd w:id="63"/>
    </w:p>
    <w:p w14:paraId="395C45F0" w14:textId="2886E7C3" w:rsidR="0011741B" w:rsidRPr="0011741B" w:rsidRDefault="0011741B" w:rsidP="00FF0D21">
      <w:r>
        <w:t>The biggest working capital story in this period is the DPO drop from 92 days in 2022 down to 57 days in 2024. That one change was enough to push the CCC from minus 26 days to plus 13. When it was negative, Tesla had what Musk once called an operational sweet spot - customers paying before the company had to pay its suppliers (Seeking Alpha, 2018). That is free financing, and losing it matters. It has not been written about enough in mainstream Tesla analysis, but it represents a genuine structural weakening of the working capital position.</w:t>
      </w:r>
    </w:p>
    <w:p w14:paraId="23F3CC13" w14:textId="77777777" w:rsidR="0011741B" w:rsidRDefault="0011741B" w:rsidP="00FF0D21">
      <w:r>
        <w:t>The fix is straightforward in principle: renegotiate supplier payment terms back to the 75-85 day range. Tesla has the financial credibility and balance sheet strength to make this happen. Large, creditworthy customers regularly push suppliers on payment terms, and Tesla’s $44 billion cash position gives it substantial leverage in those conversations. Extending DPO by even 20 days could take 15 to 20 days off the CCC and release several billion dollars of working capital at no borrowing cost whatsoever. Combined with keeping inventory days below 55 days through tighter production scheduling, which the 2024 performance showed is achievable, Tesla could recover most of the working capital advantage it held in 2021 and 2022 (Brigham and Houston, 2019).</w:t>
      </w:r>
    </w:p>
    <w:p w14:paraId="6C1D3EAD" w14:textId="77777777" w:rsidR="0011741B" w:rsidRPr="0011741B" w:rsidRDefault="0011741B" w:rsidP="00FF0D21"/>
    <w:p w14:paraId="7BFEBEEF" w14:textId="7DD34883" w:rsidR="0011741B" w:rsidRPr="0011741B" w:rsidRDefault="0011741B" w:rsidP="00FF0D21">
      <w:pPr>
        <w:pStyle w:val="Heading1"/>
      </w:pPr>
      <w:bookmarkStart w:id="64" w:name="_Toc227865626"/>
      <w:r>
        <w:lastRenderedPageBreak/>
        <w:t>3 Strategic Financial Restructuring Plan</w:t>
      </w:r>
      <w:bookmarkEnd w:id="64"/>
    </w:p>
    <w:p w14:paraId="76EFD5AD" w14:textId="77777777" w:rsidR="0011741B" w:rsidRPr="0011741B" w:rsidRDefault="0011741B" w:rsidP="00FF0D21">
      <w:r>
        <w:t>Financial restructuring, at its core, is about rethinking how a company is funded, where it invests, and how it runs itself day to day, all to create better long-term returns for shareholders (Brealey, Myers and Allen, 2020). The analysis in Sections 1 and 2 points to four areas that need attention.</w:t>
      </w:r>
    </w:p>
    <w:p w14:paraId="69E53B9E" w14:textId="77777777" w:rsidR="0011741B" w:rsidRPr="0011741B" w:rsidRDefault="0011741B" w:rsidP="00FF0D21">
      <w:pPr>
        <w:pStyle w:val="Heading2"/>
      </w:pPr>
      <w:bookmarkStart w:id="65" w:name="_Toc227865627"/>
      <w:r>
        <w:t>3.1 Investment and Capital Returns</w:t>
      </w:r>
      <w:bookmarkEnd w:id="65"/>
    </w:p>
    <w:p w14:paraId="1A2CFA49" w14:textId="771499D2" w:rsidR="0011741B" w:rsidRPr="0011741B" w:rsidRDefault="0011741B" w:rsidP="00FF0D21">
      <w:r>
        <w:t>$44.1 billion in cash is a remarkable amount for any company to be holding. Some of it clearly makes sense - a $20 billion capital expenditure programme is planned for 2026 (TradingView News, 2026) and maintaining a liquidity buffer against operational uncertainty is always prudent for a company expanding as rapidly as Tesla. But beyond those legitimate requirements, carrying cash well in excess of strategic needs is simply a drag on shareholder returns, as capital that could be compounding at the business’s rate of return sits earning relatively little (Brealey, Myers and Allen, 2020). Tesla currently pays no dividend and has barely touched share buybacks despite generating consistent free cash flow year after year. A structured buyback programme of $2 to $3 billion annually, funded from free cash flow, would be a practical starting point. It signals management’s confidence in the company’s long-term prospects, reduces the outstanding share count over time, and improves earnings per share. Research consistently demonstrates that buybacks create value when a company’s shares trade below intrinsic worth (Ross, Westerfield and Jordan, 2019).</w:t>
      </w:r>
    </w:p>
    <w:p w14:paraId="4A8A8CD9" w14:textId="77777777" w:rsidR="0011741B" w:rsidRPr="0011741B" w:rsidRDefault="0011741B" w:rsidP="00FF0D21">
      <w:pPr>
        <w:pStyle w:val="Heading2"/>
      </w:pPr>
      <w:bookmarkStart w:id="66" w:name="_Toc227865628"/>
      <w:r>
        <w:t>3.2 Capital Structure Optimisation</w:t>
      </w:r>
      <w:bookmarkEnd w:id="66"/>
    </w:p>
    <w:p w14:paraId="404A41DD" w14:textId="77777777" w:rsidR="0011741B" w:rsidRPr="0011741B" w:rsidRDefault="0011741B" w:rsidP="00FF0D21">
      <w:r>
        <w:t xml:space="preserve">A debt-to-equity of 0.18 and interest cover of 9.6x together suggest Tesla is carrying far less debt than it could comfortably handle. That is actually a problem - equity is more expensive than debt, so under-leveraging pushes up the cost of capital unnecessarily (Modigliani and Miller, as referenced in Brealey, Myers and Allen, 2020). Most automotive peers operate with significantly higher leverage; Tesla’s conservative stance, while reducing financial risk, means it is leaving value on the table every year. Taking on $5 to $8 billion in long-term debt earmarked for AI infrastructure and Gigafactory expansion would lower the WACC, generate interest tax shield savings, and better match how the business is financed to the long useful life of those assets. </w:t>
      </w:r>
      <w:r>
        <w:lastRenderedPageBreak/>
        <w:t>It would also lower Tesla’s hurdle rate, which directly affects whether projects like those in Section 4 are worth doing - a connection the investment appraisal section makes clear.</w:t>
      </w:r>
    </w:p>
    <w:p w14:paraId="7BCD9DBD" w14:textId="77777777" w:rsidR="0011741B" w:rsidRPr="0011741B" w:rsidRDefault="0011741B" w:rsidP="00FF0D21">
      <w:pPr>
        <w:pStyle w:val="Heading2"/>
      </w:pPr>
      <w:bookmarkStart w:id="67" w:name="_Toc227865629"/>
      <w:r>
        <w:t>3.3 Recovery of Margin and Diversification of Revenue</w:t>
      </w:r>
      <w:bookmarkEnd w:id="67"/>
    </w:p>
    <w:p w14:paraId="1A294F6D" w14:textId="0C6D50AB" w:rsidR="0011741B" w:rsidRPr="0011741B" w:rsidRDefault="0011741B" w:rsidP="00FF0D21">
      <w:r>
        <w:t>4.6% operating margin in 2025 is not where Tesla needs to be, and getting it back up is the most pressing financial challenge on the CFO’s agenda. Three things could realistically move the needle in a meaningful way. First, the next-generation vehicle platform standardises components and architecture across the whole model range, which should drive significant manufacturing cost reductions and is expected to bring per-unit cost below $35,000 (AInvest, 2025). This is the single most important lever for gross margin recovery. Second, Full Self-Driving subscriptions and the Robotaxi service that went live in Austin in June 2025 (TradingView News, 2026) are high-margin revenue streams that, as they grow, will pull the overall margin mix upwards. Third, the Energy business hit a $1.1 billion quarterly gross profit in Q3 2025 (DCF Modeling, 2025) - it deserves more capital and strategic attention. On the cost side, SG&amp;A grew from $4.5 billion to $5.8 billion while revenues were falling. A proper zero-based review of that spend could find $500 million to $800 million in savings.</w:t>
      </w:r>
    </w:p>
    <w:p w14:paraId="3DD8D480" w14:textId="77777777" w:rsidR="0011741B" w:rsidRPr="0011741B" w:rsidRDefault="0011741B" w:rsidP="00FF0D21">
      <w:pPr>
        <w:pStyle w:val="Heading2"/>
      </w:pPr>
      <w:bookmarkStart w:id="68" w:name="_Toc227865630"/>
      <w:r>
        <w:t>3.4 Working Capital Efficiency</w:t>
      </w:r>
      <w:bookmarkEnd w:id="68"/>
    </w:p>
    <w:p w14:paraId="425D0C6A" w14:textId="0125E488" w:rsidR="0011741B" w:rsidRPr="0011741B" w:rsidRDefault="0011741B" w:rsidP="00FF0D21">
      <w:r>
        <w:t>Section 2 already made the case for extending DPO back to 75-85 days while keeping inventory days below 55. Doing both together could bring the Cash Conversion Cycle back towards zero or into negative territory, restoring the interest-free working capital funding that contributed meaningfully to Tesla’s cash generation in 2021 and 2022. The mechanics are straightforward: every additional day of supplier credit is cash that stays in the business rather than leaving it. Brigham and Houston (2019) frame this balance between maintaining adequate liquidity and maximising efficiency from the operating cycle as the ideal working capital position - and it is one Tesla previously had and should be focused on recovering.</w:t>
      </w:r>
    </w:p>
    <w:p w14:paraId="14380B02" w14:textId="77777777" w:rsidR="0011741B" w:rsidRDefault="0011741B" w:rsidP="00FF0D21">
      <w:bookmarkStart w:id="69" w:name="_Toc224122218"/>
    </w:p>
    <w:p w14:paraId="51468710" w14:textId="77777777" w:rsidR="0011741B" w:rsidRDefault="0011741B" w:rsidP="00FF0D21"/>
    <w:p w14:paraId="14DCFF98" w14:textId="61FA8B2D" w:rsidR="009C7837" w:rsidRDefault="0011741B" w:rsidP="00FF0D21">
      <w:pPr>
        <w:pStyle w:val="Heading1"/>
      </w:pPr>
      <w:bookmarkStart w:id="70" w:name="_Toc227865631"/>
      <w:r>
        <w:t>4 Investment Appraisal and Capital Budgeting</w:t>
      </w:r>
      <w:bookmarkEnd w:id="69"/>
      <w:bookmarkEnd w:id="70"/>
    </w:p>
    <w:p w14:paraId="06615050" w14:textId="77777777" w:rsidR="0011741B" w:rsidRPr="0011741B" w:rsidRDefault="0011741B" w:rsidP="00FF0D21">
      <w:bookmarkStart w:id="71" w:name="_Toc224122219"/>
      <w:r>
        <w:lastRenderedPageBreak/>
        <w:t>Capital budgeting comes down to one question: is this investment worth doing? The tools used here help answer that (Brealey, Myers and Allen, 2020). Three hypothetical projects are assessed, each costing £50 million upfront, running for five years, depreciated straight-line to zero at £10 million a year, with a 10% required return. Appendix A has all the detailed workings.</w:t>
      </w:r>
    </w:p>
    <w:p w14:paraId="3FF70DC2" w14:textId="77777777" w:rsidR="0011741B" w:rsidRDefault="0011741B" w:rsidP="00FF0D21"/>
    <w:p w14:paraId="049236FD" w14:textId="419D05DF" w:rsidR="009C7837" w:rsidRDefault="005222E0" w:rsidP="00FF0D21">
      <w:pPr>
        <w:pStyle w:val="Heading2"/>
      </w:pPr>
      <w:bookmarkStart w:id="72" w:name="_Toc227865632"/>
      <w:r>
        <w:t>4.1 Project Cash Flows</w:t>
      </w:r>
      <w:bookmarkEnd w:id="71"/>
      <w:bookmarkEnd w:id="72"/>
    </w:p>
    <w:p w14:paraId="78543AEF" w14:textId="121FD46A" w:rsidR="009C7837" w:rsidRDefault="005222E0" w:rsidP="00FF0D21">
      <w:pPr>
        <w:spacing w:after="120"/>
      </w:pPr>
      <w:r>
        <w:rPr>
          <w:b/>
          <w:bCs/>
        </w:rPr>
        <w:t xml:space="preserve">Project A:  </w:t>
      </w:r>
      <w:r>
        <w:t>Year 1: £10M, Year 2: £12M, Year 3: £14M, Year 4: £10M, Year 5: £8M, Total inflows: £54M</w:t>
      </w:r>
    </w:p>
    <w:p w14:paraId="5265D769" w14:textId="6E36A7DA" w:rsidR="009C7837" w:rsidRDefault="005222E0" w:rsidP="00FF0D21">
      <w:pPr>
        <w:spacing w:after="120"/>
      </w:pPr>
      <w:r>
        <w:rPr>
          <w:b/>
          <w:bCs/>
        </w:rPr>
        <w:t xml:space="preserve">Project B:  </w:t>
      </w:r>
      <w:r>
        <w:t>Year 1: £11M, Year 2: £11M, Year 3: £11M, Year 4: £11M, Year 5: £11M, Total inflows: £55M (uniform annuity)</w:t>
      </w:r>
    </w:p>
    <w:p w14:paraId="2805C943" w14:textId="399A2805" w:rsidR="009C7837" w:rsidRDefault="005222E0" w:rsidP="00FF0D21">
      <w:pPr>
        <w:spacing w:after="160"/>
      </w:pPr>
      <w:r>
        <w:rPr>
          <w:b/>
          <w:bCs/>
        </w:rPr>
        <w:t xml:space="preserve">Project C:  </w:t>
      </w:r>
      <w:r>
        <w:t>Year 1: £5M, Year 2: £10M, Year 3: £20M, Year 4: £25M, Year 5: £5M, Total inflows: £65M</w:t>
      </w:r>
    </w:p>
    <w:p w14:paraId="0106DB52" w14:textId="77777777" w:rsidR="009C7837" w:rsidRDefault="005222E0" w:rsidP="00FF0D21">
      <w:pPr>
        <w:pStyle w:val="Heading2"/>
      </w:pPr>
      <w:bookmarkStart w:id="73" w:name="_Toc224122220"/>
      <w:bookmarkStart w:id="74" w:name="_Toc227865633"/>
      <w:r>
        <w:t>4.2 Payback Period</w:t>
      </w:r>
      <w:bookmarkEnd w:id="73"/>
      <w:bookmarkEnd w:id="74"/>
    </w:p>
    <w:p w14:paraId="62C8D666" w14:textId="6C157E7A" w:rsidR="00F450A8" w:rsidRPr="00F450A8" w:rsidRDefault="00F450A8" w:rsidP="00FF0D21">
      <w:pPr>
        <w:spacing w:after="120"/>
        <w:rPr>
          <w:color w:val="000000"/>
        </w:rPr>
      </w:pPr>
      <w:r>
        <w:rPr>
          <w:color w:val="000000"/>
        </w:rPr>
        <w:t>Payback tells you how quickly the initial investment comes back through cash inflows (Atrill and McLaney, 2022). Simple and fast to calculate, though it ignores cash flows after the cutoff and does nothing with the time value of money (Ross, Westerfield and Jordan, 2019). Cumulative workings are in Appendix A.</w:t>
      </w:r>
    </w:p>
    <w:p w14:paraId="6CD81238" w14:textId="77777777" w:rsidR="009C7837" w:rsidRDefault="005222E0" w:rsidP="00FF0D21">
      <w:pPr>
        <w:spacing w:after="120"/>
      </w:pPr>
      <w:r>
        <w:rPr>
          <w:b/>
          <w:bCs/>
        </w:rPr>
        <w:t xml:space="preserve">Project A:  </w:t>
      </w:r>
      <w:r>
        <w:t xml:space="preserve">Cumulative inflows reach £46M after Year 4. Remaining: £4M. Year 5 cash flow: £8M. Payback = 4 + (4 / 8) = </w:t>
      </w:r>
      <w:r>
        <w:rPr>
          <w:b/>
          <w:bCs/>
        </w:rPr>
        <w:t>4.5 years.</w:t>
      </w:r>
    </w:p>
    <w:p w14:paraId="383FCF87" w14:textId="77777777" w:rsidR="009C7837" w:rsidRDefault="005222E0" w:rsidP="00FF0D21">
      <w:pPr>
        <w:spacing w:after="120"/>
      </w:pPr>
      <w:r>
        <w:rPr>
          <w:b/>
          <w:bCs/>
        </w:rPr>
        <w:t xml:space="preserve">Project B:  </w:t>
      </w:r>
      <w:r>
        <w:t xml:space="preserve">Cumulative inflows reach £44M after Year 4. Remaining: £6M. Year 5 cash flow: £11M. Payback = 4 + (6 / 11) = </w:t>
      </w:r>
      <w:r>
        <w:rPr>
          <w:b/>
          <w:bCs/>
        </w:rPr>
        <w:t>4.5 years.</w:t>
      </w:r>
    </w:p>
    <w:p w14:paraId="03093827" w14:textId="77777777" w:rsidR="009C7837" w:rsidRDefault="005222E0" w:rsidP="00FF0D21">
      <w:pPr>
        <w:spacing w:after="120"/>
      </w:pPr>
      <w:r>
        <w:rPr>
          <w:b/>
          <w:bCs/>
        </w:rPr>
        <w:t xml:space="preserve">Project C:  </w:t>
      </w:r>
      <w:r>
        <w:t xml:space="preserve">Cumulative inflows reach £35M after Year 3. Remaining: £15M. Year 4 cash flow: £25M. Payback = 3 + (15 / 25) = </w:t>
      </w:r>
      <w:r>
        <w:rPr>
          <w:b/>
          <w:bCs/>
        </w:rPr>
        <w:t>3.6 years.</w:t>
      </w:r>
    </w:p>
    <w:p w14:paraId="13BBD5EF" w14:textId="77777777" w:rsidR="009C7837" w:rsidRDefault="005222E0" w:rsidP="00FF0D21">
      <w:pPr>
        <w:spacing w:after="120"/>
      </w:pPr>
      <w:r>
        <w:rPr>
          <w:color w:val="000000"/>
        </w:rPr>
        <w:t>At 3.6 years, Project C pays back nearly a full year ahead of A and B, both of which take 4.5 years. On this measure it is the clear winner.</w:t>
      </w:r>
    </w:p>
    <w:p w14:paraId="280AFA49" w14:textId="77777777" w:rsidR="009C7837" w:rsidRPr="001A7CA0" w:rsidRDefault="005222E0" w:rsidP="00FF0D21">
      <w:pPr>
        <w:pStyle w:val="Heading2"/>
      </w:pPr>
      <w:bookmarkStart w:id="75" w:name="_Toc224122221"/>
      <w:bookmarkStart w:id="76" w:name="_Toc227865634"/>
      <w:r>
        <w:t>4.3 Accounting Rate of Return</w:t>
      </w:r>
      <w:bookmarkEnd w:id="75"/>
      <w:bookmarkEnd w:id="76"/>
    </w:p>
    <w:p w14:paraId="71806481" w14:textId="77777777" w:rsidR="00F450A8" w:rsidRPr="00F450A8" w:rsidRDefault="00F450A8" w:rsidP="00FF0D21">
      <w:pPr>
        <w:spacing w:after="120"/>
        <w:rPr>
          <w:color w:val="000000"/>
        </w:rPr>
      </w:pPr>
      <w:r>
        <w:rPr>
          <w:color w:val="000000"/>
        </w:rPr>
        <w:lastRenderedPageBreak/>
        <w:t>ARR looks at average annual accounting profit as a percentage of the average investment (£25M in each case given the straight-line depreciation). Appendix A has the workings.</w:t>
      </w:r>
    </w:p>
    <w:p w14:paraId="0795B904" w14:textId="77777777" w:rsidR="009C7837" w:rsidRDefault="005222E0" w:rsidP="00FF0D21">
      <w:pPr>
        <w:spacing w:after="120"/>
      </w:pPr>
      <w:r>
        <w:rPr>
          <w:b/>
          <w:bCs/>
        </w:rPr>
        <w:t xml:space="preserve">Project A:  </w:t>
      </w:r>
      <w:r>
        <w:t xml:space="preserve">Average cash flow: £10.8M. Less depreciation £10M = profit £0.8M. ARR = £0.8M / £25M = </w:t>
      </w:r>
      <w:r>
        <w:rPr>
          <w:b/>
          <w:bCs/>
        </w:rPr>
        <w:t>3.2%.</w:t>
      </w:r>
    </w:p>
    <w:p w14:paraId="15E79351" w14:textId="77777777" w:rsidR="009C7837" w:rsidRDefault="005222E0" w:rsidP="00FF0D21">
      <w:pPr>
        <w:spacing w:after="120"/>
      </w:pPr>
      <w:r>
        <w:rPr>
          <w:b/>
          <w:bCs/>
        </w:rPr>
        <w:t xml:space="preserve">Project B:  </w:t>
      </w:r>
      <w:r>
        <w:t xml:space="preserve">Average cash flow: £11.0M. Less depreciation £10M = profit £1.0M. ARR = £1.0M / £25M = </w:t>
      </w:r>
      <w:r>
        <w:rPr>
          <w:b/>
          <w:bCs/>
        </w:rPr>
        <w:t>4.0%.</w:t>
      </w:r>
    </w:p>
    <w:p w14:paraId="700B3B20" w14:textId="77777777" w:rsidR="009C7837" w:rsidRDefault="005222E0" w:rsidP="00FF0D21">
      <w:pPr>
        <w:spacing w:after="120"/>
      </w:pPr>
      <w:r>
        <w:rPr>
          <w:b/>
          <w:bCs/>
        </w:rPr>
        <w:t xml:space="preserve">Project C:  </w:t>
      </w:r>
      <w:r>
        <w:t xml:space="preserve">Average cash flow: £13.0M. Less depreciation £10M = profit £3.0M. ARR = £3.0M / £25M = </w:t>
      </w:r>
      <w:r>
        <w:rPr>
          <w:b/>
          <w:bCs/>
        </w:rPr>
        <w:t>12.0%.</w:t>
      </w:r>
    </w:p>
    <w:p w14:paraId="79E83D5F" w14:textId="77777777" w:rsidR="009C7837" w:rsidRDefault="005222E0" w:rsidP="00FF0D21">
      <w:pPr>
        <w:spacing w:after="120"/>
      </w:pPr>
      <w:r>
        <w:rPr>
          <w:color w:val="000000"/>
        </w:rPr>
        <w:t>Project C leads again - 12.0% ARR against 4.0% for B and 3.2% for A. Like payback, ARR does not discount future cash flows, so it should not be used as the only decision tool. NPV is needed alongside it (Atrill and McLaney, 2022).</w:t>
      </w:r>
    </w:p>
    <w:p w14:paraId="5D87645D" w14:textId="77777777" w:rsidR="009C7837" w:rsidRPr="001A7CA0" w:rsidRDefault="005222E0" w:rsidP="00FF0D21">
      <w:pPr>
        <w:pStyle w:val="Heading2"/>
      </w:pPr>
      <w:bookmarkStart w:id="77" w:name="_Toc224122222"/>
      <w:bookmarkStart w:id="78" w:name="_Toc227865635"/>
      <w:r>
        <w:t>4.4 Net Present Value</w:t>
      </w:r>
      <w:bookmarkEnd w:id="77"/>
      <w:bookmarkEnd w:id="78"/>
    </w:p>
    <w:p w14:paraId="2E22318E" w14:textId="77777777" w:rsidR="009C7837" w:rsidRDefault="005222E0" w:rsidP="00FF0D21">
      <w:pPr>
        <w:spacing w:after="120"/>
      </w:pPr>
      <w:r>
        <w:rPr>
          <w:color w:val="000000"/>
        </w:rPr>
        <w:t>NPV discounts every future cash flow back to present value and nets off the initial investment (Brealey, Myers and Allen, 2020). Positive means value is created; negative means it is not. At 10%, the discount factors used are: 0.9091, 0.8264, 0.7513, 0.6830, 0.6209 for Years 1 to 5. Full workings are in Appendix A.</w:t>
      </w:r>
    </w:p>
    <w:p w14:paraId="70D3F265" w14:textId="3A774882" w:rsidR="009C7837" w:rsidRDefault="005222E0" w:rsidP="00FF0D21">
      <w:pPr>
        <w:spacing w:after="120"/>
      </w:pPr>
      <w:r>
        <w:rPr>
          <w:b/>
          <w:bCs/>
        </w:rPr>
        <w:t xml:space="preserve">Project A NPV: </w:t>
      </w:r>
      <w:r>
        <w:t>(10 x 0.9091) + (12 x 0.8264) + (14 x 0.7513) + (10 x 0.6830) + (8 x 0.6209) minus 50</w:t>
      </w:r>
    </w:p>
    <w:p w14:paraId="3C2825BD" w14:textId="1E8F97A2" w:rsidR="009C7837" w:rsidRDefault="005222E0" w:rsidP="00FF0D21">
      <w:pPr>
        <w:spacing w:after="120"/>
      </w:pPr>
      <w:r>
        <w:rPr>
          <w:b/>
          <w:bCs/>
        </w:rPr>
        <w:t xml:space="preserve">  = </w:t>
      </w:r>
      <w:r>
        <w:t xml:space="preserve">9.09 + 9.92 + 10.52 + 6.83 + 4.97 = 41.33 minus 50 = </w:t>
      </w:r>
      <w:r>
        <w:rPr>
          <w:b/>
          <w:bCs/>
        </w:rPr>
        <w:t>NPV: minus £8.67M</w:t>
      </w:r>
    </w:p>
    <w:p w14:paraId="20AB945E" w14:textId="77777777" w:rsidR="00F450A8" w:rsidRDefault="00F450A8" w:rsidP="00FF0D21">
      <w:pPr>
        <w:spacing w:after="120"/>
      </w:pPr>
    </w:p>
    <w:p w14:paraId="6B3C8658" w14:textId="73C874FF" w:rsidR="009C7837" w:rsidRDefault="005222E0" w:rsidP="00FF0D21">
      <w:pPr>
        <w:spacing w:after="120"/>
      </w:pPr>
      <w:r>
        <w:rPr>
          <w:b/>
          <w:bCs/>
        </w:rPr>
        <w:t xml:space="preserve">Project B NPV: </w:t>
      </w:r>
      <w:r>
        <w:t>(11 x 0.9091) + (11 x 0.8264) + (11 x 0.7513) + (11 x 0.6830) + (11 x 0.6209) minus 50</w:t>
      </w:r>
    </w:p>
    <w:p w14:paraId="0BFAD123" w14:textId="6C3D6121" w:rsidR="009C7837" w:rsidRDefault="005222E0" w:rsidP="00FF0D21">
      <w:pPr>
        <w:spacing w:after="120"/>
      </w:pPr>
      <w:r>
        <w:rPr>
          <w:b/>
          <w:bCs/>
        </w:rPr>
        <w:t xml:space="preserve">  = </w:t>
      </w:r>
      <w:r>
        <w:t xml:space="preserve">10.00 + 9.09 + 8.26 + 7.51 + 6.83 = 41.69 minus 50 = </w:t>
      </w:r>
      <w:r>
        <w:rPr>
          <w:b/>
          <w:bCs/>
        </w:rPr>
        <w:t>NPV: minus £8.31M</w:t>
      </w:r>
    </w:p>
    <w:p w14:paraId="3035E63C" w14:textId="77777777" w:rsidR="009C7837" w:rsidRDefault="009C7837" w:rsidP="00FF0D21">
      <w:pPr>
        <w:spacing w:after="60"/>
      </w:pPr>
    </w:p>
    <w:p w14:paraId="1ECE6051" w14:textId="09C430FE" w:rsidR="009C7837" w:rsidRDefault="005222E0" w:rsidP="00FF0D21">
      <w:pPr>
        <w:spacing w:after="120"/>
      </w:pPr>
      <w:r>
        <w:rPr>
          <w:b/>
          <w:bCs/>
        </w:rPr>
        <w:t xml:space="preserve">Project C NPV: </w:t>
      </w:r>
      <w:r>
        <w:t>(5 x 0.9091) + (10 x 0.8264) + (20 x 0.7513) + (25 x 0.6830) + (5 x 0.6209) minus 50</w:t>
      </w:r>
    </w:p>
    <w:p w14:paraId="6E51D911" w14:textId="46983972" w:rsidR="009C7837" w:rsidRDefault="005222E0" w:rsidP="00FF0D21">
      <w:pPr>
        <w:spacing w:after="160"/>
      </w:pPr>
      <w:r>
        <w:rPr>
          <w:b/>
          <w:bCs/>
        </w:rPr>
        <w:t xml:space="preserve">  = </w:t>
      </w:r>
      <w:r>
        <w:t xml:space="preserve">4.55 + 8.26 + 15.03 + 17.08 + 3.10 = 48.02 minus 50 = </w:t>
      </w:r>
      <w:r>
        <w:rPr>
          <w:b/>
          <w:bCs/>
        </w:rPr>
        <w:t>NPV: minus £1.99M</w:t>
      </w:r>
    </w:p>
    <w:p w14:paraId="22681D08" w14:textId="77777777" w:rsidR="00F450A8" w:rsidRPr="00F450A8" w:rsidRDefault="00F450A8" w:rsidP="00FF0D21">
      <w:pPr>
        <w:spacing w:after="60"/>
        <w:rPr>
          <w:color w:val="000000"/>
        </w:rPr>
      </w:pPr>
      <w:r>
        <w:rPr>
          <w:color w:val="000000"/>
        </w:rPr>
        <w:lastRenderedPageBreak/>
        <w:t>None of the three projects produces a positive NPV at the 10% discount rate. Project C comes closest at minus £1.99M, considerably better than Project A at minus £8.67M and Project B at minus £8.31M. The gap between C and the other two is substantial - over £6 million difference in present value terms. Running a sensitivity test at 8% flips Project C into positive territory at approximately plus £0.5M. This is a significant finding because it directly links the investment appraisal to the restructuring plan in Section 3: if Tesla executes the debt issuance strategy and lowers its weighted average cost of capital, projects that currently fail the investment threshold could become financially viable.</w:t>
      </w:r>
    </w:p>
    <w:p w14:paraId="0F2E85B7" w14:textId="77777777" w:rsidR="00F450A8" w:rsidRPr="00F450A8" w:rsidRDefault="00F450A8" w:rsidP="00FF0D21">
      <w:pPr>
        <w:spacing w:after="60"/>
        <w:rPr>
          <w:color w:val="000000"/>
        </w:rPr>
      </w:pPr>
      <w:r>
        <w:rPr>
          <w:color w:val="000000"/>
        </w:rPr>
        <w:t>Figure 7 presents the NPV distribution of all three projects, and Figure 8 shows cumulative cash flows during their respective lives where the payback crossover occurs for each.</w:t>
      </w:r>
    </w:p>
    <w:p w14:paraId="747B88ED" w14:textId="360C58DF" w:rsidR="001A7CA0" w:rsidRDefault="005222E0" w:rsidP="00FF0D21">
      <w:pPr>
        <w:keepNext/>
        <w:spacing w:before="100" w:after="60"/>
        <w:jc w:val="center"/>
      </w:pPr>
      <w:r>
        <w:rPr>
          <w:noProof/>
        </w:rPr>
        <w:drawing>
          <wp:inline distT="0" distB="0" distL="0" distR="0" wp14:anchorId="44282B9D" wp14:editId="72976BB8">
            <wp:extent cx="5391150" cy="2527935"/>
            <wp:effectExtent l="0" t="0" r="0" b="5715"/>
            <wp:docPr id="1158569337" name="Picture 1158569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6"/>
                    <a:srcRect t="6219"/>
                    <a:stretch>
                      <a:fillRect/>
                    </a:stretch>
                  </pic:blipFill>
                  <pic:spPr bwMode="auto">
                    <a:xfrm>
                      <a:off x="0" y="0"/>
                      <a:ext cx="5391150" cy="2527935"/>
                    </a:xfrm>
                    <a:prstGeom prst="rect">
                      <a:avLst/>
                    </a:prstGeom>
                    <a:ln>
                      <a:noFill/>
                    </a:ln>
                    <a:extLst>
                      <a:ext uri="{53640926-AAD7-44D8-BBD7-CCE9431645EC}">
                        <a14:shadowObscured xmlns:a14="http://schemas.microsoft.com/office/drawing/2010/main"/>
                      </a:ext>
                    </a:extLst>
                  </pic:spPr>
                </pic:pic>
              </a:graphicData>
            </a:graphic>
          </wp:inline>
        </w:drawing>
      </w:r>
    </w:p>
    <w:p w14:paraId="350E0655" w14:textId="5DDA62DC" w:rsidR="009C7837" w:rsidRDefault="001A7CA0" w:rsidP="00FF0D21">
      <w:pPr>
        <w:pStyle w:val="Caption"/>
        <w:spacing w:line="360" w:lineRule="auto"/>
        <w:jc w:val="center"/>
      </w:pPr>
      <w:bookmarkStart w:id="79" w:name="_Toc224248897"/>
      <w:bookmarkStart w:id="80" w:name="_Toc227865580"/>
      <w:bookmarkStart w:id="81" w:name="_Toc227865604"/>
      <w:bookmarkStart w:id="82" w:name="_Toc224126436"/>
      <w:r>
        <w:t xml:space="preserve">Figure </w:t>
      </w:r>
      <w:fldSimple w:instr=" SEQ Figure \* ARABIC ">
        <w:r>
          <w:rPr>
            <w:noProof/>
          </w:rPr>
          <w:t>6</w:t>
        </w:r>
      </w:fldSimple>
      <w:r>
        <w:t>: Net Present Value Comparison at 10% Discount Rate, Projects A, B and C.</w:t>
      </w:r>
      <w:bookmarkEnd w:id="79"/>
      <w:bookmarkEnd w:id="80"/>
      <w:bookmarkEnd w:id="81"/>
      <w:r>
        <w:t xml:space="preserve"> </w:t>
      </w:r>
      <w:bookmarkEnd w:id="82"/>
    </w:p>
    <w:p w14:paraId="3AA489FA" w14:textId="77777777" w:rsidR="009C7837" w:rsidRDefault="009C7837" w:rsidP="00FF0D21">
      <w:pPr>
        <w:spacing w:after="60"/>
      </w:pPr>
    </w:p>
    <w:p w14:paraId="27D59CBF" w14:textId="77777777" w:rsidR="001A7CA0" w:rsidRDefault="005222E0" w:rsidP="00FF0D21">
      <w:pPr>
        <w:keepNext/>
        <w:spacing w:before="100" w:after="60"/>
        <w:jc w:val="center"/>
      </w:pPr>
      <w:r>
        <w:rPr>
          <w:noProof/>
        </w:rPr>
        <w:lastRenderedPageBreak/>
        <w:drawing>
          <wp:inline distT="0" distB="0" distL="0" distR="0" wp14:anchorId="1E302313" wp14:editId="7A11E2B6">
            <wp:extent cx="5391150" cy="2512695"/>
            <wp:effectExtent l="0" t="0" r="0" b="1905"/>
            <wp:docPr id="1127581230" name="Picture 112758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7"/>
                    <a:srcRect t="6784"/>
                    <a:stretch>
                      <a:fillRect/>
                    </a:stretch>
                  </pic:blipFill>
                  <pic:spPr bwMode="auto">
                    <a:xfrm>
                      <a:off x="0" y="0"/>
                      <a:ext cx="5391150" cy="2512695"/>
                    </a:xfrm>
                    <a:prstGeom prst="rect">
                      <a:avLst/>
                    </a:prstGeom>
                    <a:ln>
                      <a:noFill/>
                    </a:ln>
                    <a:extLst>
                      <a:ext uri="{53640926-AAD7-44D8-BBD7-CCE9431645EC}">
                        <a14:shadowObscured xmlns:a14="http://schemas.microsoft.com/office/drawing/2010/main"/>
                      </a:ext>
                    </a:extLst>
                  </pic:spPr>
                </pic:pic>
              </a:graphicData>
            </a:graphic>
          </wp:inline>
        </w:drawing>
      </w:r>
    </w:p>
    <w:p w14:paraId="554E022D" w14:textId="1E0F6B77" w:rsidR="009C7837" w:rsidRDefault="001A7CA0" w:rsidP="00FF0D21">
      <w:pPr>
        <w:pStyle w:val="Caption"/>
        <w:spacing w:line="360" w:lineRule="auto"/>
        <w:jc w:val="center"/>
      </w:pPr>
      <w:bookmarkStart w:id="83" w:name="_Toc224248898"/>
      <w:bookmarkStart w:id="84" w:name="_Toc227865581"/>
      <w:bookmarkStart w:id="85" w:name="_Toc227865605"/>
      <w:bookmarkStart w:id="86" w:name="_Toc224126437"/>
      <w:r>
        <w:t xml:space="preserve">Figure </w:t>
      </w:r>
      <w:fldSimple w:instr=" SEQ Figure \* ARABIC ">
        <w:r>
          <w:rPr>
            <w:noProof/>
          </w:rPr>
          <w:t>7</w:t>
        </w:r>
      </w:fldSimple>
      <w:r>
        <w:t>: Cumulative Cash Flows, Projects A, B and C.</w:t>
      </w:r>
      <w:bookmarkEnd w:id="83"/>
      <w:bookmarkEnd w:id="84"/>
      <w:bookmarkEnd w:id="85"/>
      <w:r>
        <w:t xml:space="preserve"> </w:t>
      </w:r>
      <w:bookmarkEnd w:id="86"/>
    </w:p>
    <w:p w14:paraId="2CB667B1" w14:textId="610B7D14" w:rsidR="009C7837" w:rsidRDefault="009C7837" w:rsidP="00FF0D21">
      <w:pPr>
        <w:spacing w:before="60" w:after="220"/>
        <w:jc w:val="center"/>
      </w:pPr>
    </w:p>
    <w:p w14:paraId="6CB4C7FE" w14:textId="77777777" w:rsidR="009C7837" w:rsidRDefault="005222E0" w:rsidP="00FF0D21">
      <w:pPr>
        <w:pStyle w:val="Heading2"/>
      </w:pPr>
      <w:bookmarkStart w:id="87" w:name="_Toc224122223"/>
      <w:bookmarkStart w:id="88" w:name="_Toc227865636"/>
      <w:r>
        <w:t>4.5 Internal Rate of Return</w:t>
      </w:r>
      <w:bookmarkEnd w:id="87"/>
      <w:bookmarkEnd w:id="88"/>
    </w:p>
    <w:p w14:paraId="4CF7DE63" w14:textId="6841CFB2" w:rsidR="001A7CA0" w:rsidRDefault="001A7CA0" w:rsidP="00FF0D21">
      <w:r>
        <w:t>IRR is the rate at which NPV hits zero. If it beats 10% the project is in; if not, it is out (Brealey, Myers and Allen, 2020). It is calculated here by interpolating between an 8% result (positive NPV) and 10% (negative NPV).</w:t>
      </w:r>
    </w:p>
    <w:p w14:paraId="561040BB" w14:textId="65BE34AE" w:rsidR="009C7837" w:rsidRDefault="005222E0" w:rsidP="00FF0D21">
      <w:pPr>
        <w:spacing w:after="120"/>
      </w:pPr>
      <w:r>
        <w:rPr>
          <w:b/>
          <w:bCs/>
        </w:rPr>
        <w:t xml:space="preserve">Project C at 8%:  </w:t>
      </w:r>
      <w:r>
        <w:t>NPV is approximately plus £0.5M (positive)</w:t>
      </w:r>
    </w:p>
    <w:p w14:paraId="48902ADD" w14:textId="77777777" w:rsidR="009C7837" w:rsidRDefault="005222E0" w:rsidP="00FF0D21">
      <w:pPr>
        <w:spacing w:after="120"/>
      </w:pPr>
      <w:r>
        <w:rPr>
          <w:b/>
          <w:bCs/>
        </w:rPr>
        <w:t xml:space="preserve">Project C at 10%:  </w:t>
      </w:r>
      <w:r>
        <w:t>NPV is minus £1.99M (negative)</w:t>
      </w:r>
    </w:p>
    <w:p w14:paraId="5DC92D76" w14:textId="2BAA28C3" w:rsidR="009C7837" w:rsidRDefault="005222E0" w:rsidP="00FF0D21">
      <w:pPr>
        <w:spacing w:after="120"/>
      </w:pPr>
      <w:r>
        <w:t>IRR (C) = 8% + [0.5 / (0.5 + 1.99)] x (10% - 8%) = 8% + [0.5 / 2.49] x 2% = 8% + 0.40% = approximately 8.4%</w:t>
      </w:r>
    </w:p>
    <w:p w14:paraId="09E1E528" w14:textId="77777777" w:rsidR="009C7837" w:rsidRDefault="009C7837" w:rsidP="00FF0D21">
      <w:pPr>
        <w:spacing w:after="60"/>
      </w:pPr>
    </w:p>
    <w:p w14:paraId="3A20E87A" w14:textId="67824A20" w:rsidR="009C7837" w:rsidRPr="001A7CA0" w:rsidRDefault="005222E0" w:rsidP="00FF0D21">
      <w:pPr>
        <w:spacing w:after="160"/>
      </w:pPr>
      <w:r>
        <w:rPr>
          <w:b/>
          <w:bCs/>
        </w:rPr>
        <w:t xml:space="preserve">Project A IRR:  </w:t>
      </w:r>
      <w:r>
        <w:t xml:space="preserve">approximately 7.8%, </w:t>
      </w:r>
      <w:r>
        <w:rPr>
          <w:b/>
          <w:bCs/>
        </w:rPr>
        <w:t xml:space="preserve">Project B IRR: </w:t>
      </w:r>
      <w:r>
        <w:t xml:space="preserve">approximately 8.1%, </w:t>
      </w:r>
      <w:r>
        <w:rPr>
          <w:b/>
          <w:bCs/>
        </w:rPr>
        <w:t xml:space="preserve">Project C IRR:  </w:t>
      </w:r>
      <w:r>
        <w:t>approximately 8.4%</w:t>
      </w:r>
    </w:p>
    <w:p w14:paraId="245C63C9" w14:textId="77777777" w:rsidR="001A7CA0" w:rsidRPr="001A7CA0" w:rsidRDefault="001A7CA0" w:rsidP="00FF0D21">
      <w:bookmarkStart w:id="89" w:name="_Toc224122224"/>
      <w:r>
        <w:t>All three fall short of the 10% hurdle rate. Project C gets closest with an IRR of around 8.4%, ahead of Project B at 8.1% and Project A at 7.8%. The gap between C’s IRR and the hurdle rate is only 1.6 percentage points - much smaller than for A or B. If the capital structure changes proposed in Section 3 bring Tesla’s effective hurdle rate down to 8%, Project C moves from a rejected investment to an acceptable one.</w:t>
      </w:r>
    </w:p>
    <w:p w14:paraId="1BD17577" w14:textId="77777777" w:rsidR="009C7837" w:rsidRDefault="005222E0" w:rsidP="00FF0D21">
      <w:pPr>
        <w:pStyle w:val="Heading2"/>
      </w:pPr>
      <w:bookmarkStart w:id="90" w:name="_Toc227865637"/>
      <w:r>
        <w:t>4.6 Appraisal Summary</w:t>
      </w:r>
      <w:bookmarkEnd w:id="89"/>
      <w:bookmarkEnd w:id="90"/>
    </w:p>
    <w:p w14:paraId="45A0DB44" w14:textId="143F4132" w:rsidR="009C7837" w:rsidRDefault="005222E0" w:rsidP="00FF0D21">
      <w:pPr>
        <w:spacing w:after="120"/>
      </w:pPr>
      <w:r>
        <w:rPr>
          <w:color w:val="000000"/>
        </w:rPr>
        <w:lastRenderedPageBreak/>
        <w:t>Table 7 summarises the results across all four appraisal methods.</w:t>
      </w:r>
    </w:p>
    <w:p w14:paraId="2A7E4C6C" w14:textId="4EE2786B" w:rsidR="001A7CA0" w:rsidRDefault="001A7CA0" w:rsidP="00FF0D21">
      <w:pPr>
        <w:pStyle w:val="Caption"/>
        <w:keepNext/>
        <w:spacing w:line="360" w:lineRule="auto"/>
      </w:pPr>
      <w:bookmarkStart w:id="91" w:name="_Toc224126295"/>
      <w:bookmarkStart w:id="92" w:name="_Toc224248307"/>
      <w:bookmarkStart w:id="93" w:name="_Toc224248899"/>
      <w:bookmarkStart w:id="94" w:name="_Toc227865582"/>
      <w:bookmarkStart w:id="95" w:name="_Toc227865612"/>
      <w:r>
        <w:t xml:space="preserve">Table </w:t>
      </w:r>
      <w:fldSimple w:instr=" SEQ Table \* ARABIC ">
        <w:r>
          <w:rPr>
            <w:noProof/>
          </w:rPr>
          <w:t>7</w:t>
        </w:r>
      </w:fldSimple>
      <w:r>
        <w:t>: Investment Appraisal Summary, Projects A, B and C.</w:t>
      </w:r>
      <w:bookmarkEnd w:id="91"/>
      <w:bookmarkEnd w:id="92"/>
      <w:bookmarkEnd w:id="93"/>
      <w:bookmarkEnd w:id="94"/>
      <w:bookmarkEnd w:id="95"/>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26"/>
        <w:gridCol w:w="1525"/>
        <w:gridCol w:w="1525"/>
        <w:gridCol w:w="1525"/>
        <w:gridCol w:w="1525"/>
      </w:tblGrid>
      <w:tr w:rsidR="009C7837" w14:paraId="506FAE1B" w14:textId="77777777">
        <w:tc>
          <w:tcPr>
            <w:tcW w:w="2926"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708AA07" w14:textId="77777777" w:rsidR="009C7837" w:rsidRDefault="005222E0" w:rsidP="00FF0D21">
            <w:pPr>
              <w:jc w:val="center"/>
            </w:pPr>
            <w:r>
              <w:rPr>
                <w:b/>
                <w:bCs/>
                <w:color w:val="000000"/>
                <w:sz w:val="20"/>
                <w:szCs w:val="20"/>
              </w:rPr>
              <w:t>Method</w:t>
            </w:r>
          </w:p>
        </w:tc>
        <w:tc>
          <w:tcPr>
            <w:tcW w:w="1525"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26F9EB8" w14:textId="77777777" w:rsidR="009C7837" w:rsidRDefault="005222E0" w:rsidP="00FF0D21">
            <w:pPr>
              <w:jc w:val="center"/>
            </w:pPr>
            <w:r>
              <w:rPr>
                <w:b/>
                <w:bCs/>
                <w:color w:val="000000"/>
                <w:sz w:val="20"/>
                <w:szCs w:val="20"/>
              </w:rPr>
              <w:t>Project A</w:t>
            </w:r>
          </w:p>
        </w:tc>
        <w:tc>
          <w:tcPr>
            <w:tcW w:w="1525"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F28B9F4" w14:textId="77777777" w:rsidR="009C7837" w:rsidRDefault="005222E0" w:rsidP="00FF0D21">
            <w:pPr>
              <w:jc w:val="center"/>
            </w:pPr>
            <w:r>
              <w:rPr>
                <w:b/>
                <w:bCs/>
                <w:color w:val="000000"/>
                <w:sz w:val="20"/>
                <w:szCs w:val="20"/>
              </w:rPr>
              <w:t>Project B</w:t>
            </w:r>
          </w:p>
        </w:tc>
        <w:tc>
          <w:tcPr>
            <w:tcW w:w="1525"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872BFEC" w14:textId="77777777" w:rsidR="009C7837" w:rsidRDefault="005222E0" w:rsidP="00FF0D21">
            <w:pPr>
              <w:jc w:val="center"/>
            </w:pPr>
            <w:r>
              <w:rPr>
                <w:b/>
                <w:bCs/>
                <w:color w:val="000000"/>
                <w:sz w:val="20"/>
                <w:szCs w:val="20"/>
              </w:rPr>
              <w:t>Project C</w:t>
            </w:r>
          </w:p>
        </w:tc>
        <w:tc>
          <w:tcPr>
            <w:tcW w:w="1525"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4539AB5B" w14:textId="77777777" w:rsidR="009C7837" w:rsidRDefault="005222E0" w:rsidP="00FF0D21">
            <w:pPr>
              <w:jc w:val="center"/>
            </w:pPr>
            <w:r>
              <w:rPr>
                <w:b/>
                <w:bCs/>
                <w:color w:val="000000"/>
                <w:sz w:val="20"/>
                <w:szCs w:val="20"/>
              </w:rPr>
              <w:t>Preferred</w:t>
            </w:r>
          </w:p>
        </w:tc>
      </w:tr>
      <w:tr w:rsidR="009C7837" w14:paraId="50949E3E" w14:textId="77777777">
        <w:tc>
          <w:tcPr>
            <w:tcW w:w="29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77718CC" w14:textId="77777777" w:rsidR="009C7837" w:rsidRDefault="005222E0" w:rsidP="00FF0D21">
            <w:r>
              <w:rPr>
                <w:b/>
                <w:bCs/>
                <w:color w:val="000000"/>
                <w:sz w:val="20"/>
                <w:szCs w:val="20"/>
              </w:rPr>
              <w:t>Payback Period</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EFF45E4" w14:textId="77777777" w:rsidR="009C7837" w:rsidRDefault="005222E0" w:rsidP="00FF0D21">
            <w:pPr>
              <w:jc w:val="center"/>
            </w:pPr>
            <w:r>
              <w:rPr>
                <w:color w:val="000000"/>
                <w:sz w:val="20"/>
                <w:szCs w:val="20"/>
              </w:rPr>
              <w:t>4.5 years</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229185E" w14:textId="77777777" w:rsidR="009C7837" w:rsidRDefault="005222E0" w:rsidP="00FF0D21">
            <w:pPr>
              <w:jc w:val="center"/>
            </w:pPr>
            <w:r>
              <w:rPr>
                <w:color w:val="000000"/>
                <w:sz w:val="20"/>
                <w:szCs w:val="20"/>
              </w:rPr>
              <w:t>4.5 years</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D988E22" w14:textId="77777777" w:rsidR="009C7837" w:rsidRDefault="005222E0" w:rsidP="00FF0D21">
            <w:pPr>
              <w:jc w:val="center"/>
            </w:pPr>
            <w:r>
              <w:rPr>
                <w:color w:val="000000"/>
                <w:sz w:val="20"/>
                <w:szCs w:val="20"/>
              </w:rPr>
              <w:t>3.6 years</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091B333" w14:textId="77777777" w:rsidR="009C7837" w:rsidRDefault="005222E0" w:rsidP="00FF0D21">
            <w:pPr>
              <w:jc w:val="center"/>
            </w:pPr>
            <w:r>
              <w:rPr>
                <w:color w:val="000000"/>
                <w:sz w:val="20"/>
                <w:szCs w:val="20"/>
              </w:rPr>
              <w:t>C</w:t>
            </w:r>
          </w:p>
        </w:tc>
      </w:tr>
      <w:tr w:rsidR="009C7837" w14:paraId="0ABBF1FC" w14:textId="77777777">
        <w:tc>
          <w:tcPr>
            <w:tcW w:w="29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0878DE2" w14:textId="77777777" w:rsidR="009C7837" w:rsidRDefault="005222E0" w:rsidP="00FF0D21">
            <w:r>
              <w:rPr>
                <w:b/>
                <w:bCs/>
                <w:color w:val="000000"/>
                <w:sz w:val="20"/>
                <w:szCs w:val="20"/>
              </w:rPr>
              <w:t>Accounting Rate of Return</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B5AFD62" w14:textId="77777777" w:rsidR="009C7837" w:rsidRDefault="005222E0" w:rsidP="00FF0D21">
            <w:pPr>
              <w:jc w:val="center"/>
            </w:pPr>
            <w:r>
              <w:rPr>
                <w:color w:val="000000"/>
                <w:sz w:val="20"/>
                <w:szCs w:val="20"/>
              </w:rPr>
              <w:t>3.2%</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CB749D5" w14:textId="77777777" w:rsidR="009C7837" w:rsidRDefault="005222E0" w:rsidP="00FF0D21">
            <w:pPr>
              <w:jc w:val="center"/>
            </w:pPr>
            <w:r>
              <w:rPr>
                <w:color w:val="000000"/>
                <w:sz w:val="20"/>
                <w:szCs w:val="20"/>
              </w:rPr>
              <w:t>4.0%</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E9830D1" w14:textId="77777777" w:rsidR="009C7837" w:rsidRDefault="005222E0" w:rsidP="00FF0D21">
            <w:pPr>
              <w:jc w:val="center"/>
            </w:pPr>
            <w:r>
              <w:rPr>
                <w:color w:val="000000"/>
                <w:sz w:val="20"/>
                <w:szCs w:val="20"/>
              </w:rPr>
              <w:t>12.0%</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F95A3DB" w14:textId="77777777" w:rsidR="009C7837" w:rsidRDefault="005222E0" w:rsidP="00FF0D21">
            <w:pPr>
              <w:jc w:val="center"/>
            </w:pPr>
            <w:r>
              <w:rPr>
                <w:color w:val="000000"/>
                <w:sz w:val="20"/>
                <w:szCs w:val="20"/>
              </w:rPr>
              <w:t>C</w:t>
            </w:r>
          </w:p>
        </w:tc>
      </w:tr>
      <w:tr w:rsidR="009C7837" w14:paraId="47F9247C" w14:textId="77777777">
        <w:tc>
          <w:tcPr>
            <w:tcW w:w="29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73F19D3" w14:textId="77777777" w:rsidR="009C7837" w:rsidRDefault="005222E0" w:rsidP="00FF0D21">
            <w:r>
              <w:rPr>
                <w:b/>
                <w:bCs/>
                <w:color w:val="000000"/>
                <w:sz w:val="20"/>
                <w:szCs w:val="20"/>
              </w:rPr>
              <w:t>Net Present Value (10%)</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ACEA637" w14:textId="77777777" w:rsidR="009C7837" w:rsidRDefault="005222E0" w:rsidP="00FF0D21">
            <w:pPr>
              <w:jc w:val="center"/>
            </w:pPr>
            <w:r>
              <w:rPr>
                <w:color w:val="000000"/>
                <w:sz w:val="20"/>
                <w:szCs w:val="20"/>
              </w:rPr>
              <w:t>-£8.67M</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4CB81C4" w14:textId="77777777" w:rsidR="009C7837" w:rsidRDefault="005222E0" w:rsidP="00FF0D21">
            <w:pPr>
              <w:jc w:val="center"/>
            </w:pPr>
            <w:r>
              <w:rPr>
                <w:color w:val="000000"/>
                <w:sz w:val="20"/>
                <w:szCs w:val="20"/>
              </w:rPr>
              <w:t>-£8.31M</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E3E2AB8" w14:textId="77777777" w:rsidR="009C7837" w:rsidRDefault="005222E0" w:rsidP="00FF0D21">
            <w:pPr>
              <w:jc w:val="center"/>
            </w:pPr>
            <w:r>
              <w:rPr>
                <w:color w:val="000000"/>
                <w:sz w:val="20"/>
                <w:szCs w:val="20"/>
              </w:rPr>
              <w:t>-£1.99M</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1F9D1F9" w14:textId="77777777" w:rsidR="009C7837" w:rsidRDefault="005222E0" w:rsidP="00FF0D21">
            <w:pPr>
              <w:jc w:val="center"/>
            </w:pPr>
            <w:r>
              <w:rPr>
                <w:color w:val="000000"/>
                <w:sz w:val="20"/>
                <w:szCs w:val="20"/>
              </w:rPr>
              <w:t>C</w:t>
            </w:r>
          </w:p>
        </w:tc>
      </w:tr>
      <w:tr w:rsidR="009C7837" w14:paraId="5ED429DA" w14:textId="77777777">
        <w:tc>
          <w:tcPr>
            <w:tcW w:w="292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BF97985" w14:textId="77777777" w:rsidR="009C7837" w:rsidRDefault="005222E0" w:rsidP="00FF0D21">
            <w:r>
              <w:rPr>
                <w:b/>
                <w:bCs/>
                <w:color w:val="000000"/>
                <w:sz w:val="20"/>
                <w:szCs w:val="20"/>
              </w:rPr>
              <w:t>Internal Rate of Return</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CB7C04D" w14:textId="77777777" w:rsidR="009C7837" w:rsidRDefault="005222E0" w:rsidP="00FF0D21">
            <w:pPr>
              <w:jc w:val="center"/>
            </w:pPr>
            <w:r>
              <w:rPr>
                <w:color w:val="000000"/>
                <w:sz w:val="20"/>
                <w:szCs w:val="20"/>
              </w:rPr>
              <w:t>~7.8%</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05933C5" w14:textId="77777777" w:rsidR="009C7837" w:rsidRDefault="005222E0" w:rsidP="00FF0D21">
            <w:pPr>
              <w:jc w:val="center"/>
            </w:pPr>
            <w:r>
              <w:rPr>
                <w:color w:val="000000"/>
                <w:sz w:val="20"/>
                <w:szCs w:val="20"/>
              </w:rPr>
              <w:t>~8.1%</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923F8B0" w14:textId="77777777" w:rsidR="009C7837" w:rsidRDefault="005222E0" w:rsidP="00FF0D21">
            <w:pPr>
              <w:jc w:val="center"/>
            </w:pPr>
            <w:r>
              <w:rPr>
                <w:color w:val="000000"/>
                <w:sz w:val="20"/>
                <w:szCs w:val="20"/>
              </w:rPr>
              <w:t>~8.4%</w:t>
            </w:r>
          </w:p>
        </w:tc>
        <w:tc>
          <w:tcPr>
            <w:tcW w:w="1525"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40855E6" w14:textId="77777777" w:rsidR="009C7837" w:rsidRDefault="005222E0" w:rsidP="00FF0D21">
            <w:pPr>
              <w:jc w:val="center"/>
            </w:pPr>
            <w:r>
              <w:rPr>
                <w:color w:val="000000"/>
                <w:sz w:val="20"/>
                <w:szCs w:val="20"/>
              </w:rPr>
              <w:t>C</w:t>
            </w:r>
          </w:p>
        </w:tc>
      </w:tr>
    </w:tbl>
    <w:p w14:paraId="0C566D1C" w14:textId="5ACE8AB5" w:rsidR="009C7837" w:rsidRDefault="009C7837" w:rsidP="00FF0D21">
      <w:pPr>
        <w:spacing w:before="60" w:after="200"/>
      </w:pPr>
    </w:p>
    <w:p w14:paraId="0DB393A4" w14:textId="77777777" w:rsidR="001A7CA0" w:rsidRPr="001A7CA0" w:rsidRDefault="001A7CA0" w:rsidP="00FF0D21">
      <w:pPr>
        <w:spacing w:after="60"/>
        <w:rPr>
          <w:color w:val="000000"/>
        </w:rPr>
      </w:pPr>
      <w:r>
        <w:rPr>
          <w:color w:val="000000"/>
        </w:rPr>
        <w:t>Project C leads on every single measure: shortest payback at 3.6 years, highest ARR at 12.0%, least negative NPV at minus £1.99M, and highest IRR at approximately 8.4%. There is no ambiguity in the ranking. When a project consistently outperforms across all four methods, regardless of their individual limitations, that is a strong and reliable signal that it is the right standalone choice.</w:t>
      </w:r>
    </w:p>
    <w:p w14:paraId="3D33B732" w14:textId="77777777" w:rsidR="001A7CA0" w:rsidRPr="001A7CA0" w:rsidRDefault="001A7CA0" w:rsidP="00FF0D21">
      <w:pPr>
        <w:pStyle w:val="Heading2"/>
      </w:pPr>
      <w:bookmarkStart w:id="96" w:name="_Toc227865638"/>
      <w:r>
        <w:t>4.7 Capital Rationing</w:t>
      </w:r>
      <w:bookmarkEnd w:id="96"/>
    </w:p>
    <w:p w14:paraId="0407D0FC" w14:textId="77777777" w:rsidR="001A7CA0" w:rsidRPr="001A7CA0" w:rsidRDefault="001A7CA0" w:rsidP="00FF0D21">
      <w:pPr>
        <w:spacing w:after="60"/>
        <w:rPr>
          <w:color w:val="000000"/>
        </w:rPr>
      </w:pPr>
      <w:r>
        <w:rPr>
          <w:color w:val="000000"/>
        </w:rPr>
        <w:t>Three projects at £50M each adds up to £150M, which is £50M over budget. So one project has to be left out. Table 8 shows what each two-project combination would cost and what combined NPV it produces.</w:t>
      </w:r>
    </w:p>
    <w:p w14:paraId="24ECFD2D" w14:textId="77777777" w:rsidR="009C7837" w:rsidRDefault="009C7837" w:rsidP="00FF0D21">
      <w:pPr>
        <w:spacing w:after="60"/>
      </w:pPr>
    </w:p>
    <w:p w14:paraId="0195941B" w14:textId="66A3606B" w:rsidR="001A7CA0" w:rsidRDefault="001A7CA0" w:rsidP="00FF0D21">
      <w:pPr>
        <w:pStyle w:val="Caption"/>
        <w:keepNext/>
        <w:spacing w:line="360" w:lineRule="auto"/>
      </w:pPr>
      <w:bookmarkStart w:id="97" w:name="_Toc224126296"/>
      <w:bookmarkStart w:id="98" w:name="_Toc224248308"/>
      <w:bookmarkStart w:id="99" w:name="_Toc224248900"/>
      <w:bookmarkStart w:id="100" w:name="_Toc227865583"/>
      <w:bookmarkStart w:id="101" w:name="_Toc227865613"/>
      <w:r>
        <w:t xml:space="preserve">Table </w:t>
      </w:r>
      <w:fldSimple w:instr=" SEQ Table \* ARABIC ">
        <w:r>
          <w:rPr>
            <w:noProof/>
          </w:rPr>
          <w:t>8</w:t>
        </w:r>
      </w:fldSimple>
      <w:r>
        <w:t>: Capital Rationing Analysis under a GBP 100M Budget</w:t>
      </w:r>
      <w:bookmarkEnd w:id="97"/>
      <w:bookmarkEnd w:id="98"/>
      <w:r>
        <w:t>.</w:t>
      </w:r>
      <w:bookmarkEnd w:id="99"/>
      <w:bookmarkEnd w:id="100"/>
      <w:bookmarkEnd w:id="10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76"/>
        <w:gridCol w:w="1662"/>
        <w:gridCol w:w="1662"/>
        <w:gridCol w:w="1762"/>
        <w:gridCol w:w="1764"/>
      </w:tblGrid>
      <w:tr w:rsidR="009C7837" w14:paraId="1E4CABC9" w14:textId="77777777">
        <w:tc>
          <w:tcPr>
            <w:tcW w:w="2176"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32B97280" w14:textId="77777777" w:rsidR="009C7837" w:rsidRDefault="005222E0" w:rsidP="00FF0D21">
            <w:pPr>
              <w:jc w:val="center"/>
            </w:pPr>
            <w:r>
              <w:rPr>
                <w:b/>
                <w:bCs/>
                <w:color w:val="000000"/>
                <w:sz w:val="20"/>
                <w:szCs w:val="20"/>
              </w:rPr>
              <w:t>Combination</w:t>
            </w:r>
          </w:p>
        </w:tc>
        <w:tc>
          <w:tcPr>
            <w:tcW w:w="1662"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F6A7976" w14:textId="77777777" w:rsidR="009C7837" w:rsidRDefault="005222E0" w:rsidP="00FF0D21">
            <w:pPr>
              <w:jc w:val="center"/>
            </w:pPr>
            <w:r>
              <w:rPr>
                <w:b/>
                <w:bCs/>
                <w:color w:val="000000"/>
                <w:sz w:val="20"/>
                <w:szCs w:val="20"/>
              </w:rPr>
              <w:t>Total Cost</w:t>
            </w:r>
          </w:p>
        </w:tc>
        <w:tc>
          <w:tcPr>
            <w:tcW w:w="1662"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02C258FF" w14:textId="77777777" w:rsidR="009C7837" w:rsidRDefault="005222E0" w:rsidP="00FF0D21">
            <w:pPr>
              <w:jc w:val="center"/>
            </w:pPr>
            <w:r>
              <w:rPr>
                <w:b/>
                <w:bCs/>
                <w:color w:val="000000"/>
                <w:sz w:val="20"/>
                <w:szCs w:val="20"/>
              </w:rPr>
              <w:t>Combined NPV</w:t>
            </w:r>
          </w:p>
        </w:tc>
        <w:tc>
          <w:tcPr>
            <w:tcW w:w="1762"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74DCD9CB" w14:textId="77777777" w:rsidR="009C7837" w:rsidRDefault="005222E0" w:rsidP="00FF0D21">
            <w:pPr>
              <w:jc w:val="center"/>
            </w:pPr>
            <w:r>
              <w:rPr>
                <w:b/>
                <w:bCs/>
                <w:color w:val="000000"/>
                <w:sz w:val="20"/>
                <w:szCs w:val="20"/>
              </w:rPr>
              <w:t>Feasible?</w:t>
            </w:r>
          </w:p>
        </w:tc>
        <w:tc>
          <w:tcPr>
            <w:tcW w:w="1764" w:type="dxa"/>
            <w:tcBorders>
              <w:top w:val="single" w:sz="1" w:space="0" w:color="999999"/>
              <w:left w:val="single" w:sz="1" w:space="0" w:color="999999"/>
              <w:bottom w:val="single" w:sz="1" w:space="0" w:color="999999"/>
              <w:right w:val="single" w:sz="1" w:space="0" w:color="999999"/>
            </w:tcBorders>
            <w:tcMar>
              <w:top w:w="80" w:type="dxa"/>
              <w:left w:w="100" w:type="dxa"/>
              <w:bottom w:w="80" w:type="dxa"/>
              <w:right w:w="100" w:type="dxa"/>
            </w:tcMar>
            <w:vAlign w:val="center"/>
          </w:tcPr>
          <w:p w14:paraId="579C3290" w14:textId="77777777" w:rsidR="009C7837" w:rsidRDefault="005222E0" w:rsidP="00FF0D21">
            <w:pPr>
              <w:jc w:val="center"/>
            </w:pPr>
            <w:r>
              <w:rPr>
                <w:b/>
                <w:bCs/>
                <w:color w:val="000000"/>
                <w:sz w:val="20"/>
                <w:szCs w:val="20"/>
              </w:rPr>
              <w:t>Recommended</w:t>
            </w:r>
          </w:p>
        </w:tc>
      </w:tr>
      <w:tr w:rsidR="009C7837" w14:paraId="77B98CB9"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E66FFF4" w14:textId="77777777" w:rsidR="009C7837" w:rsidRDefault="005222E0" w:rsidP="00FF0D21">
            <w:r>
              <w:rPr>
                <w:color w:val="000000"/>
                <w:sz w:val="20"/>
                <w:szCs w:val="20"/>
              </w:rPr>
              <w:t>Projects A and B</w:t>
            </w:r>
          </w:p>
        </w:tc>
        <w:tc>
          <w:tcPr>
            <w:tcW w:w="16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0762DD9" w14:textId="77777777" w:rsidR="009C7837" w:rsidRDefault="005222E0" w:rsidP="00FF0D21">
            <w:pPr>
              <w:jc w:val="center"/>
            </w:pPr>
            <w:r>
              <w:rPr>
                <w:color w:val="000000"/>
                <w:sz w:val="20"/>
                <w:szCs w:val="20"/>
              </w:rPr>
              <w:t>£100M</w:t>
            </w:r>
          </w:p>
        </w:tc>
        <w:tc>
          <w:tcPr>
            <w:tcW w:w="16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60C9C18F" w14:textId="77777777" w:rsidR="009C7837" w:rsidRDefault="005222E0" w:rsidP="00FF0D21">
            <w:pPr>
              <w:jc w:val="center"/>
            </w:pPr>
            <w:r>
              <w:rPr>
                <w:color w:val="000000"/>
                <w:sz w:val="20"/>
                <w:szCs w:val="20"/>
              </w:rPr>
              <w:t>-£16.98M</w:t>
            </w:r>
          </w:p>
        </w:tc>
        <w:tc>
          <w:tcPr>
            <w:tcW w:w="17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7138216" w14:textId="77777777" w:rsidR="009C7837" w:rsidRDefault="005222E0" w:rsidP="00FF0D21">
            <w:pPr>
              <w:jc w:val="center"/>
            </w:pPr>
            <w:r>
              <w:rPr>
                <w:color w:val="000000"/>
                <w:sz w:val="20"/>
                <w:szCs w:val="20"/>
              </w:rPr>
              <w:t>Yes</w:t>
            </w:r>
          </w:p>
        </w:tc>
        <w:tc>
          <w:tcPr>
            <w:tcW w:w="176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272587E" w14:textId="77777777" w:rsidR="009C7837" w:rsidRDefault="005222E0" w:rsidP="00FF0D21">
            <w:pPr>
              <w:jc w:val="center"/>
            </w:pPr>
            <w:r>
              <w:rPr>
                <w:color w:val="000000"/>
                <w:sz w:val="20"/>
                <w:szCs w:val="20"/>
              </w:rPr>
              <w:t>No</w:t>
            </w:r>
          </w:p>
        </w:tc>
      </w:tr>
      <w:tr w:rsidR="009C7837" w14:paraId="1749B892"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45882D5" w14:textId="77777777" w:rsidR="009C7837" w:rsidRDefault="005222E0" w:rsidP="00FF0D21">
            <w:r>
              <w:rPr>
                <w:b/>
                <w:bCs/>
                <w:color w:val="000000"/>
                <w:sz w:val="20"/>
                <w:szCs w:val="20"/>
              </w:rPr>
              <w:t>Projects A and C</w:t>
            </w:r>
          </w:p>
        </w:tc>
        <w:tc>
          <w:tcPr>
            <w:tcW w:w="16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29FE5E4" w14:textId="77777777" w:rsidR="009C7837" w:rsidRDefault="005222E0" w:rsidP="00FF0D21">
            <w:pPr>
              <w:jc w:val="center"/>
            </w:pPr>
            <w:r>
              <w:rPr>
                <w:b/>
                <w:bCs/>
                <w:color w:val="000000"/>
                <w:sz w:val="20"/>
                <w:szCs w:val="20"/>
              </w:rPr>
              <w:t>£100M</w:t>
            </w:r>
          </w:p>
        </w:tc>
        <w:tc>
          <w:tcPr>
            <w:tcW w:w="16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7B4344B9" w14:textId="77777777" w:rsidR="009C7837" w:rsidRDefault="005222E0" w:rsidP="00FF0D21">
            <w:pPr>
              <w:jc w:val="center"/>
            </w:pPr>
            <w:r>
              <w:rPr>
                <w:b/>
                <w:bCs/>
                <w:color w:val="000000"/>
                <w:sz w:val="20"/>
                <w:szCs w:val="20"/>
              </w:rPr>
              <w:t>-£10.66M</w:t>
            </w:r>
          </w:p>
        </w:tc>
        <w:tc>
          <w:tcPr>
            <w:tcW w:w="17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EB078CC" w14:textId="77777777" w:rsidR="009C7837" w:rsidRDefault="005222E0" w:rsidP="00FF0D21">
            <w:pPr>
              <w:jc w:val="center"/>
            </w:pPr>
            <w:r>
              <w:rPr>
                <w:b/>
                <w:bCs/>
                <w:color w:val="000000"/>
                <w:sz w:val="20"/>
                <w:szCs w:val="20"/>
              </w:rPr>
              <w:t>Yes</w:t>
            </w:r>
          </w:p>
        </w:tc>
        <w:tc>
          <w:tcPr>
            <w:tcW w:w="176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3317133C" w14:textId="4B7E6D54" w:rsidR="009C7837" w:rsidRDefault="005222E0" w:rsidP="00FF0D21">
            <w:pPr>
              <w:jc w:val="center"/>
            </w:pPr>
            <w:r>
              <w:rPr>
                <w:b/>
                <w:bCs/>
                <w:color w:val="000000"/>
                <w:sz w:val="20"/>
                <w:szCs w:val="20"/>
              </w:rPr>
              <w:t>YES</w:t>
            </w:r>
          </w:p>
        </w:tc>
      </w:tr>
      <w:tr w:rsidR="009C7837" w14:paraId="187A4617"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23A6F5E" w14:textId="77777777" w:rsidR="009C7837" w:rsidRDefault="005222E0" w:rsidP="00FF0D21">
            <w:r>
              <w:rPr>
                <w:color w:val="000000"/>
                <w:sz w:val="20"/>
                <w:szCs w:val="20"/>
              </w:rPr>
              <w:t>Projects B and C</w:t>
            </w:r>
          </w:p>
        </w:tc>
        <w:tc>
          <w:tcPr>
            <w:tcW w:w="16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16CF10B7" w14:textId="77777777" w:rsidR="009C7837" w:rsidRDefault="005222E0" w:rsidP="00FF0D21">
            <w:pPr>
              <w:jc w:val="center"/>
            </w:pPr>
            <w:r>
              <w:rPr>
                <w:color w:val="000000"/>
                <w:sz w:val="20"/>
                <w:szCs w:val="20"/>
              </w:rPr>
              <w:t>£100M</w:t>
            </w:r>
          </w:p>
        </w:tc>
        <w:tc>
          <w:tcPr>
            <w:tcW w:w="16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0C0EC5D" w14:textId="77777777" w:rsidR="009C7837" w:rsidRDefault="005222E0" w:rsidP="00FF0D21">
            <w:pPr>
              <w:jc w:val="center"/>
            </w:pPr>
            <w:r>
              <w:rPr>
                <w:color w:val="000000"/>
                <w:sz w:val="20"/>
                <w:szCs w:val="20"/>
              </w:rPr>
              <w:t>-£10.30M</w:t>
            </w:r>
          </w:p>
        </w:tc>
        <w:tc>
          <w:tcPr>
            <w:tcW w:w="17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43878E3" w14:textId="77777777" w:rsidR="009C7837" w:rsidRDefault="005222E0" w:rsidP="00FF0D21">
            <w:pPr>
              <w:jc w:val="center"/>
            </w:pPr>
            <w:r>
              <w:rPr>
                <w:color w:val="000000"/>
                <w:sz w:val="20"/>
                <w:szCs w:val="20"/>
              </w:rPr>
              <w:t>Yes</w:t>
            </w:r>
          </w:p>
        </w:tc>
        <w:tc>
          <w:tcPr>
            <w:tcW w:w="176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58272C9" w14:textId="77777777" w:rsidR="009C7837" w:rsidRDefault="005222E0" w:rsidP="00FF0D21">
            <w:pPr>
              <w:jc w:val="center"/>
            </w:pPr>
            <w:r>
              <w:rPr>
                <w:color w:val="000000"/>
                <w:sz w:val="20"/>
                <w:szCs w:val="20"/>
              </w:rPr>
              <w:t>No</w:t>
            </w:r>
          </w:p>
        </w:tc>
      </w:tr>
      <w:tr w:rsidR="009C7837" w14:paraId="0D45346C" w14:textId="77777777">
        <w:tc>
          <w:tcPr>
            <w:tcW w:w="2176"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25DF9542" w14:textId="77777777" w:rsidR="009C7837" w:rsidRDefault="005222E0" w:rsidP="00FF0D21">
            <w:r>
              <w:rPr>
                <w:color w:val="000000"/>
                <w:sz w:val="20"/>
                <w:szCs w:val="20"/>
              </w:rPr>
              <w:t>All three (A+B+C)</w:t>
            </w:r>
          </w:p>
        </w:tc>
        <w:tc>
          <w:tcPr>
            <w:tcW w:w="16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0D6DC199" w14:textId="77777777" w:rsidR="009C7837" w:rsidRDefault="005222E0" w:rsidP="00FF0D21">
            <w:pPr>
              <w:jc w:val="center"/>
            </w:pPr>
            <w:r>
              <w:rPr>
                <w:color w:val="000000"/>
                <w:sz w:val="20"/>
                <w:szCs w:val="20"/>
              </w:rPr>
              <w:t>£150M</w:t>
            </w:r>
          </w:p>
        </w:tc>
        <w:tc>
          <w:tcPr>
            <w:tcW w:w="16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46A8BC09" w14:textId="77777777" w:rsidR="009C7837" w:rsidRDefault="005222E0" w:rsidP="00FF0D21">
            <w:pPr>
              <w:jc w:val="center"/>
            </w:pPr>
            <w:r>
              <w:rPr>
                <w:color w:val="000000"/>
                <w:sz w:val="20"/>
                <w:szCs w:val="20"/>
              </w:rPr>
              <w:t>-£19.0M</w:t>
            </w:r>
          </w:p>
        </w:tc>
        <w:tc>
          <w:tcPr>
            <w:tcW w:w="1762"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2427A9D" w14:textId="77777777" w:rsidR="009C7837" w:rsidRDefault="005222E0" w:rsidP="00FF0D21">
            <w:pPr>
              <w:jc w:val="center"/>
            </w:pPr>
            <w:r>
              <w:rPr>
                <w:color w:val="000000"/>
                <w:sz w:val="20"/>
                <w:szCs w:val="20"/>
              </w:rPr>
              <w:t>No (over budget)</w:t>
            </w:r>
          </w:p>
        </w:tc>
        <w:tc>
          <w:tcPr>
            <w:tcW w:w="1764" w:type="dxa"/>
            <w:tcBorders>
              <w:top w:val="single" w:sz="1" w:space="0" w:color="999999"/>
              <w:left w:val="single" w:sz="1" w:space="0" w:color="999999"/>
              <w:bottom w:val="single" w:sz="1" w:space="0" w:color="999999"/>
              <w:right w:val="single" w:sz="1" w:space="0" w:color="999999"/>
            </w:tcBorders>
            <w:tcMar>
              <w:top w:w="60" w:type="dxa"/>
              <w:left w:w="100" w:type="dxa"/>
              <w:bottom w:w="60" w:type="dxa"/>
              <w:right w:w="100" w:type="dxa"/>
            </w:tcMar>
          </w:tcPr>
          <w:p w14:paraId="5B66AE9A" w14:textId="77777777" w:rsidR="009C7837" w:rsidRDefault="005222E0" w:rsidP="00FF0D21">
            <w:pPr>
              <w:jc w:val="center"/>
            </w:pPr>
            <w:r>
              <w:rPr>
                <w:color w:val="000000"/>
                <w:sz w:val="20"/>
                <w:szCs w:val="20"/>
              </w:rPr>
              <w:t>No</w:t>
            </w:r>
          </w:p>
        </w:tc>
      </w:tr>
    </w:tbl>
    <w:p w14:paraId="32F8CAFB" w14:textId="28B43B7D" w:rsidR="009C7837" w:rsidRDefault="009C7837" w:rsidP="00FF0D21">
      <w:pPr>
        <w:spacing w:before="60" w:after="200"/>
      </w:pPr>
    </w:p>
    <w:p w14:paraId="2BC4351D" w14:textId="77777777" w:rsidR="001A7CA0" w:rsidRPr="001A7CA0" w:rsidRDefault="001A7CA0" w:rsidP="00FF0D21">
      <w:pPr>
        <w:rPr>
          <w:color w:val="000000"/>
        </w:rPr>
      </w:pPr>
      <w:r>
        <w:rPr>
          <w:color w:val="000000"/>
        </w:rPr>
        <w:t>A and C together is the recommendation. Combined NPV of minus £10.66M is the best available, and the cash flow profiles complement each other well - A front-loads its returns which helps with short-term cash needs, while C delivers the strongest long-</w:t>
      </w:r>
      <w:r>
        <w:rPr>
          <w:color w:val="000000"/>
        </w:rPr>
        <w:lastRenderedPageBreak/>
        <w:t>run performance. With a lower hurdle rate from the Section 3 debt strategy, this pairing could move from approximately break-even to genuinely value-positive.</w:t>
      </w:r>
    </w:p>
    <w:p w14:paraId="6354838A" w14:textId="61F33D11" w:rsidR="009C7837" w:rsidRDefault="009C7837" w:rsidP="00FF0D21"/>
    <w:p w14:paraId="3C4728B7" w14:textId="77777777" w:rsidR="009C7837" w:rsidRPr="001A7CA0" w:rsidRDefault="005222E0" w:rsidP="00FF0D21">
      <w:pPr>
        <w:pStyle w:val="Heading1"/>
      </w:pPr>
      <w:bookmarkStart w:id="102" w:name="_Toc224122226"/>
      <w:bookmarkStart w:id="103" w:name="_Toc227865639"/>
      <w:r>
        <w:t>Conclusion</w:t>
      </w:r>
      <w:bookmarkEnd w:id="102"/>
      <w:bookmarkEnd w:id="103"/>
    </w:p>
    <w:p w14:paraId="5609582C" w14:textId="77777777" w:rsidR="001A7CA0" w:rsidRPr="001A7CA0" w:rsidRDefault="001A7CA0" w:rsidP="00FF0D21">
      <w:pPr>
        <w:rPr>
          <w:color w:val="000000"/>
        </w:rPr>
      </w:pPr>
      <w:r>
        <w:rPr>
          <w:color w:val="000000"/>
        </w:rPr>
        <w:t>Looking back across all four sections, what emerges is a business that is financially strong in some important ways but facing real structural challenges in others. The balance sheet is genuinely impressive: exceptional liquidity, low borrowing, and positive free cash flow every year without exception. But the income statement has been deteriorating steadily since 2022 as the EV price war grinds on, R&amp;D costs keep climbing, and competitors like BYD continue to take market share.</w:t>
      </w:r>
    </w:p>
    <w:p w14:paraId="3F88730A" w14:textId="77777777" w:rsidR="001A7CA0" w:rsidRPr="001A7CA0" w:rsidRDefault="001A7CA0" w:rsidP="00FF0D21">
      <w:pPr>
        <w:rPr>
          <w:color w:val="000000"/>
        </w:rPr>
      </w:pPr>
      <w:r>
        <w:rPr>
          <w:color w:val="000000"/>
        </w:rPr>
        <w:t>The working capital section flagged the flip from a negative to a positive cash conversion cycle as a structural issue requiring attention. It is not a crisis in isolation, but it does represent the loss of a genuine competitive financing advantage that Tesla had in 2021 and 2022 and allowed it to fund growth cheaply. Extending supplier payment terms and keeping inventory tighter are the two most practical levers available to address it.</w:t>
      </w:r>
    </w:p>
    <w:p w14:paraId="70B2256A" w14:textId="77777777" w:rsidR="001A7CA0" w:rsidRPr="001A7CA0" w:rsidRDefault="001A7CA0" w:rsidP="00FF0D21">
      <w:pPr>
        <w:rPr>
          <w:color w:val="000000"/>
        </w:rPr>
      </w:pPr>
      <w:r>
        <w:rPr>
          <w:color w:val="000000"/>
        </w:rPr>
        <w:t>The restructuring recommendations tie together into four connected priorities: putting excess cash to work through a structured buyback programme; borrowing strategically to lower the weighted average cost of capital; rebuilding margins through the new vehicle platform, software and services monetisation, and the energy business; and recovering working capital efficiency by extending payables terms. These are not independent priorities - they reinforce each other in important ways. Lower gearing reduces the cost of capital, which makes capital projects more viable. Better working capital management releases cash, which funds buybacks. Margin recovery improves the free cash flow that underwrites the whole strategy.</w:t>
      </w:r>
    </w:p>
    <w:p w14:paraId="7D524B17" w14:textId="7CD34AD4" w:rsidR="001A7CA0" w:rsidRPr="001A7CA0" w:rsidRDefault="001A7CA0" w:rsidP="00FF0D21">
      <w:pPr>
        <w:rPr>
          <w:color w:val="000000"/>
        </w:rPr>
      </w:pPr>
      <w:r>
        <w:rPr>
          <w:color w:val="000000"/>
        </w:rPr>
        <w:t>Project C is the strongest standalone investment across all four appraisal methods, and the combination of A and C is the optimal use of the £100M capital budget. The argument that connects Section 3 to Section 4 is the cost of capital: by taking on strategically targeted debt and lowering the WACC, Tesla can reduce its hurdle rate to a point where projects that currently show negative NPVs become financially viable. That is ultimately the central financial insight of this report - restructuring and capital budgeting are not separate decisions, they are directly linked.</w:t>
      </w:r>
    </w:p>
    <w:p w14:paraId="04C2EEED" w14:textId="77777777" w:rsidR="001A7CA0" w:rsidRDefault="001A7CA0" w:rsidP="00FF0D21">
      <w:bookmarkStart w:id="104" w:name="_Toc224122227"/>
    </w:p>
    <w:p w14:paraId="5BD8D283" w14:textId="2DAA992C" w:rsidR="009C7837" w:rsidRPr="001A7CA0" w:rsidRDefault="005222E0" w:rsidP="00FF0D21">
      <w:pPr>
        <w:pStyle w:val="Heading1"/>
      </w:pPr>
      <w:bookmarkStart w:id="105" w:name="_Toc227865640"/>
      <w:r>
        <w:t>References</w:t>
      </w:r>
      <w:bookmarkEnd w:id="104"/>
      <w:bookmarkEnd w:id="105"/>
    </w:p>
    <w:p w14:paraId="2810C8BA" w14:textId="77777777" w:rsidR="009C7837" w:rsidRDefault="005222E0" w:rsidP="00FF0D21">
      <w:pPr>
        <w:pStyle w:val="ListParagraph"/>
        <w:numPr>
          <w:ilvl w:val="0"/>
          <w:numId w:val="3"/>
        </w:numPr>
        <w:spacing w:line="360" w:lineRule="auto"/>
        <w:jc w:val="both"/>
      </w:pPr>
      <w:r>
        <w:t>AInvest (2025) Tesla’s 2025 digital transformation: paving the future of autonomous mobility and AI-driven manufacturing. [Online] Available at: https://www.ainvest.com [Accessed 1 March 2026].</w:t>
      </w:r>
    </w:p>
    <w:p w14:paraId="26F158F2" w14:textId="77777777" w:rsidR="009C7837" w:rsidRDefault="005222E0" w:rsidP="00FF0D21">
      <w:pPr>
        <w:pStyle w:val="ListParagraph"/>
        <w:numPr>
          <w:ilvl w:val="0"/>
          <w:numId w:val="3"/>
        </w:numPr>
        <w:spacing w:line="360" w:lineRule="auto"/>
        <w:jc w:val="both"/>
      </w:pPr>
      <w:r>
        <w:t>Artificall (2025) Tesla’s 2025 prospects: navigating risks and opportunities. Available at: https://artificall.com/analysis/companies/tesla-inc/ [Accessed 28 February 2026].</w:t>
      </w:r>
    </w:p>
    <w:p w14:paraId="13EDF96F" w14:textId="77777777" w:rsidR="009C7837" w:rsidRDefault="005222E0" w:rsidP="00FF0D21">
      <w:pPr>
        <w:pStyle w:val="ListParagraph"/>
        <w:numPr>
          <w:ilvl w:val="0"/>
          <w:numId w:val="3"/>
        </w:numPr>
        <w:spacing w:line="360" w:lineRule="auto"/>
        <w:jc w:val="both"/>
      </w:pPr>
      <w:r>
        <w:t>Atrill, P. and McLaney, E. (2022) Financial management for decision makers. 10th edn. Harlow: Pearson.</w:t>
      </w:r>
    </w:p>
    <w:p w14:paraId="2B86CFAC" w14:textId="77777777" w:rsidR="009C7837" w:rsidRDefault="005222E0" w:rsidP="00FF0D21">
      <w:pPr>
        <w:pStyle w:val="ListParagraph"/>
        <w:numPr>
          <w:ilvl w:val="0"/>
          <w:numId w:val="3"/>
        </w:numPr>
        <w:spacing w:line="360" w:lineRule="auto"/>
        <w:jc w:val="both"/>
      </w:pPr>
      <w:r>
        <w:t>Brealey, R.A., Myers, S.C. and Allen, F. (2020) Principles of corporate finance. 13th edn. New York: McGraw-Hill.</w:t>
      </w:r>
    </w:p>
    <w:p w14:paraId="6DD9C3BC" w14:textId="77777777" w:rsidR="009C7837" w:rsidRDefault="005222E0" w:rsidP="00FF0D21">
      <w:pPr>
        <w:pStyle w:val="ListParagraph"/>
        <w:numPr>
          <w:ilvl w:val="0"/>
          <w:numId w:val="3"/>
        </w:numPr>
        <w:spacing w:line="360" w:lineRule="auto"/>
        <w:jc w:val="both"/>
      </w:pPr>
      <w:r>
        <w:t>Brigham, E.F. and Houston, J.F. (2019) Fundamentals of financial management. 15th edn. Mason, OH: Cengage Learning.</w:t>
      </w:r>
    </w:p>
    <w:p w14:paraId="563703B9" w14:textId="77777777" w:rsidR="009C7837" w:rsidRDefault="005222E0" w:rsidP="00FF0D21">
      <w:pPr>
        <w:pStyle w:val="ListParagraph"/>
        <w:numPr>
          <w:ilvl w:val="0"/>
          <w:numId w:val="3"/>
        </w:numPr>
        <w:spacing w:line="360" w:lineRule="auto"/>
        <w:jc w:val="both"/>
      </w:pPr>
      <w:r>
        <w:t>CFO Dive (2024) Driving excellence in receivables: how Tesla, Ford and others steer the auto industry’s cash flow. Available at: https://www.cfodive.com (Accessed 3 March 2026).</w:t>
      </w:r>
    </w:p>
    <w:p w14:paraId="1796B6F0" w14:textId="77777777" w:rsidR="009C7837" w:rsidRDefault="005222E0" w:rsidP="00FF0D21">
      <w:pPr>
        <w:pStyle w:val="ListParagraph"/>
        <w:numPr>
          <w:ilvl w:val="0"/>
          <w:numId w:val="3"/>
        </w:numPr>
        <w:spacing w:line="360" w:lineRule="auto"/>
        <w:jc w:val="both"/>
      </w:pPr>
      <w:r>
        <w:t>DCF Modeling (2025) Breaking down Tesla, Inc. (TSLA) financial health: key insights for investors. Available at: https://dcfmodeling.com/blogs/health/tsla-financial-health (Accessed 2 March 2026).</w:t>
      </w:r>
    </w:p>
    <w:p w14:paraId="0BF4C9CA" w14:textId="77777777" w:rsidR="009C7837" w:rsidRDefault="005222E0" w:rsidP="00FF0D21">
      <w:pPr>
        <w:pStyle w:val="ListParagraph"/>
        <w:numPr>
          <w:ilvl w:val="0"/>
          <w:numId w:val="3"/>
        </w:numPr>
        <w:spacing w:line="360" w:lineRule="auto"/>
        <w:jc w:val="both"/>
      </w:pPr>
      <w:r>
        <w:t>DigitalDefynd (2025) Analysing Tesla’s financial strategy over the years. [Online] https://digitaldefynd.com/IQ/tesla-financial-strategy/ (Accessed 4 March 2026).</w:t>
      </w:r>
    </w:p>
    <w:p w14:paraId="48EE117D" w14:textId="77777777" w:rsidR="009C7837" w:rsidRDefault="005222E0" w:rsidP="00FF0D21">
      <w:pPr>
        <w:pStyle w:val="ListParagraph"/>
        <w:numPr>
          <w:ilvl w:val="0"/>
          <w:numId w:val="3"/>
        </w:numPr>
        <w:spacing w:line="360" w:lineRule="auto"/>
        <w:jc w:val="both"/>
      </w:pPr>
      <w:r>
        <w:t>International Banker (2025) As Tesla falters, BYD steps up to assert its global EV market dominance. Available at: https://internationalbanker.com [Accessed 6 March 2026].</w:t>
      </w:r>
    </w:p>
    <w:p w14:paraId="7021D0B5" w14:textId="77777777" w:rsidR="009C7837" w:rsidRDefault="005222E0" w:rsidP="00FF0D21">
      <w:pPr>
        <w:pStyle w:val="ListParagraph"/>
        <w:numPr>
          <w:ilvl w:val="0"/>
          <w:numId w:val="3"/>
        </w:numPr>
        <w:spacing w:line="360" w:lineRule="auto"/>
        <w:jc w:val="both"/>
      </w:pPr>
      <w:r>
        <w:t>International Energy Agency (2024) Global EV outlook 2024: trends in the electric vehicle industry. Paris: IEA. Available at: https://www.iea.org/reports/global-ev-outlook-2024 (Accessed 1 March 2026).</w:t>
      </w:r>
    </w:p>
    <w:p w14:paraId="5C50A9F6" w14:textId="77777777" w:rsidR="009C7837" w:rsidRDefault="005222E0" w:rsidP="00FF0D21">
      <w:pPr>
        <w:pStyle w:val="ListParagraph"/>
        <w:numPr>
          <w:ilvl w:val="0"/>
          <w:numId w:val="3"/>
        </w:numPr>
        <w:spacing w:line="360" w:lineRule="auto"/>
        <w:jc w:val="both"/>
      </w:pPr>
      <w:r>
        <w:t>La Rosa, N. (2021) Analysing financial performance: using integrated ratio analysis. Abingdon: Routledge.</w:t>
      </w:r>
    </w:p>
    <w:p w14:paraId="1D952619" w14:textId="77777777" w:rsidR="009C7837" w:rsidRDefault="005222E0" w:rsidP="00FF0D21">
      <w:pPr>
        <w:pStyle w:val="ListParagraph"/>
        <w:numPr>
          <w:ilvl w:val="0"/>
          <w:numId w:val="3"/>
        </w:numPr>
        <w:spacing w:line="360" w:lineRule="auto"/>
        <w:jc w:val="both"/>
      </w:pPr>
      <w:r>
        <w:lastRenderedPageBreak/>
        <w:t>Macrotrends (2025) Tesla research and development expenses: 2012–2025. Available at: https://www.macrotrends.net (Accessed 5 March 2026).</w:t>
      </w:r>
    </w:p>
    <w:p w14:paraId="7DE35DDA" w14:textId="77777777" w:rsidR="009C7837" w:rsidRDefault="005222E0" w:rsidP="00FF0D21">
      <w:pPr>
        <w:pStyle w:val="ListParagraph"/>
        <w:numPr>
          <w:ilvl w:val="0"/>
          <w:numId w:val="3"/>
        </w:numPr>
        <w:spacing w:line="360" w:lineRule="auto"/>
        <w:jc w:val="both"/>
      </w:pPr>
      <w:r>
        <w:t>ResearchGate (2024) Analysis of financial performance for Tesla: based on comparison with General Motors, Ford, and Toyota. Available at: https://www.researchgate.net/publication/383514496 [Accessed 4 March 2026].</w:t>
      </w:r>
    </w:p>
    <w:p w14:paraId="16946D0F" w14:textId="77777777" w:rsidR="009C7837" w:rsidRDefault="005222E0" w:rsidP="00FF0D21">
      <w:pPr>
        <w:pStyle w:val="ListParagraph"/>
        <w:numPr>
          <w:ilvl w:val="0"/>
          <w:numId w:val="3"/>
        </w:numPr>
        <w:spacing w:line="360" w:lineRule="auto"/>
        <w:jc w:val="both"/>
      </w:pPr>
      <w:r>
        <w:t>Ross, S.A., Westerfield, R.W. and Jordan, B.D. (2019) Fundamentals of corporate finance. 12th edn. New York: McGraw-Hill.</w:t>
      </w:r>
    </w:p>
    <w:p w14:paraId="57288B79" w14:textId="77777777" w:rsidR="009C7837" w:rsidRDefault="005222E0" w:rsidP="00FF0D21">
      <w:pPr>
        <w:pStyle w:val="ListParagraph"/>
        <w:numPr>
          <w:ilvl w:val="0"/>
          <w:numId w:val="3"/>
        </w:numPr>
        <w:spacing w:line="360" w:lineRule="auto"/>
        <w:jc w:val="both"/>
      </w:pPr>
      <w:r>
        <w:t>Seeking Alpha (2018) Tesla’s unusual source of cash. Available at: https://seekingalpha.com/article/4100718 (Accessed 3 March 2026).</w:t>
      </w:r>
    </w:p>
    <w:p w14:paraId="497B958C" w14:textId="77777777" w:rsidR="009C7837" w:rsidRDefault="005222E0" w:rsidP="00FF0D21">
      <w:pPr>
        <w:pStyle w:val="ListParagraph"/>
        <w:numPr>
          <w:ilvl w:val="0"/>
          <w:numId w:val="3"/>
        </w:numPr>
        <w:spacing w:line="360" w:lineRule="auto"/>
        <w:jc w:val="both"/>
      </w:pPr>
      <w:r>
        <w:t>Stock Analysis on Net (2025a) Tesla Inc.: analysis of profitability ratios. Available at: https://www.stock-analysis-on.net/NASDAQ/Company/Tesla-Inc/Ratios/Profitability (Accessed 2 March 2026).</w:t>
      </w:r>
    </w:p>
    <w:p w14:paraId="2524E79D" w14:textId="77777777" w:rsidR="009C7837" w:rsidRDefault="005222E0" w:rsidP="00FF0D21">
      <w:pPr>
        <w:pStyle w:val="ListParagraph"/>
        <w:numPr>
          <w:ilvl w:val="0"/>
          <w:numId w:val="3"/>
        </w:numPr>
        <w:spacing w:line="360" w:lineRule="auto"/>
        <w:jc w:val="both"/>
      </w:pPr>
      <w:r>
        <w:t>Stock Analysis on Net (2025b) Tesla Inc.: analysis of short-term activity ratios. Available at: https://www.stock-analysis-on.net/NASDAQ/Company/Tesla-Inc/Ratios/Short-term-Operating-Activity [Accessed 3 March 2026].</w:t>
      </w:r>
    </w:p>
    <w:p w14:paraId="13D63E04" w14:textId="77777777" w:rsidR="009C7837" w:rsidRDefault="005222E0" w:rsidP="00FF0D21">
      <w:pPr>
        <w:pStyle w:val="ListParagraph"/>
        <w:numPr>
          <w:ilvl w:val="0"/>
          <w:numId w:val="3"/>
        </w:numPr>
        <w:spacing w:line="360" w:lineRule="auto"/>
        <w:jc w:val="both"/>
      </w:pPr>
      <w:r>
        <w:t>Stock Analysis on Net (2025c) Tesla Inc.: analysis of solvency ratios. Available at: https://www.stock-analysis-on.net/NASDAQ/Company/Tesla-Inc/Ratios/Long-term-Debt-and-Solvency (Accessed 4 March 2026).</w:t>
      </w:r>
    </w:p>
    <w:p w14:paraId="1D15D9F9" w14:textId="77777777" w:rsidR="009C7837" w:rsidRDefault="005222E0" w:rsidP="00FF0D21">
      <w:pPr>
        <w:pStyle w:val="ListParagraph"/>
        <w:numPr>
          <w:ilvl w:val="0"/>
          <w:numId w:val="3"/>
        </w:numPr>
        <w:spacing w:line="360" w:lineRule="auto"/>
        <w:jc w:val="both"/>
      </w:pPr>
      <w:r>
        <w:t>Stock Dividend Screener (2025) Tesla debt ratios: debt-to-equity, capital structure and more. Available at: https://stockdividendscreener.com [Accessed 5 March 2026].</w:t>
      </w:r>
    </w:p>
    <w:p w14:paraId="6A57F9F9" w14:textId="77777777" w:rsidR="009C7837" w:rsidRDefault="005222E0" w:rsidP="00FF0D21">
      <w:pPr>
        <w:pStyle w:val="ListParagraph"/>
        <w:numPr>
          <w:ilvl w:val="0"/>
          <w:numId w:val="3"/>
        </w:numPr>
        <w:spacing w:line="360" w:lineRule="auto"/>
        <w:jc w:val="both"/>
      </w:pPr>
      <w:r>
        <w:t>Sustainability Magazine (2024) How BYD has beaten Tesla and could dominate global EV sales. Available at: https://sustainabilitymag.com (Accessed 6 March 2026).</w:t>
      </w:r>
    </w:p>
    <w:p w14:paraId="4C1DC177" w14:textId="77777777" w:rsidR="009C7837" w:rsidRDefault="005222E0" w:rsidP="00FF0D21">
      <w:pPr>
        <w:pStyle w:val="ListParagraph"/>
        <w:numPr>
          <w:ilvl w:val="0"/>
          <w:numId w:val="3"/>
        </w:numPr>
        <w:spacing w:line="360" w:lineRule="auto"/>
        <w:jc w:val="both"/>
      </w:pPr>
      <w:r>
        <w:t>Tesla, Inc. (2021) Annual report on Form 10-K for the fiscal year ended 31 December 2021. Austin: Tesla, Inc. Available at: https://www.sec.gov/Archives/edgar/data/1318605/000095017022000796/tsla-20211231.htm (Accessed: 15 February 2026).</w:t>
      </w:r>
    </w:p>
    <w:p w14:paraId="2C93BD4F" w14:textId="77777777" w:rsidR="009C7837" w:rsidRDefault="005222E0" w:rsidP="00FF0D21">
      <w:pPr>
        <w:pStyle w:val="ListParagraph"/>
        <w:numPr>
          <w:ilvl w:val="0"/>
          <w:numId w:val="3"/>
        </w:numPr>
        <w:spacing w:line="360" w:lineRule="auto"/>
        <w:jc w:val="both"/>
      </w:pPr>
      <w:r>
        <w:t>Tesla, Inc. (2022) Annual report on Form 10-K for the fiscal year ended 31 December 2022. Austin: Tesla, Inc. Available at: https://www.sec.gov/Archives/edgar/data/1318605/000095017023001409/tsla-20221231.htm (Accessed 15 February 2026).</w:t>
      </w:r>
    </w:p>
    <w:p w14:paraId="3AD259B0" w14:textId="77777777" w:rsidR="009C7837" w:rsidRDefault="005222E0" w:rsidP="00FF0D21">
      <w:pPr>
        <w:pStyle w:val="ListParagraph"/>
        <w:numPr>
          <w:ilvl w:val="0"/>
          <w:numId w:val="3"/>
        </w:numPr>
        <w:spacing w:line="360" w:lineRule="auto"/>
        <w:jc w:val="both"/>
      </w:pPr>
      <w:r>
        <w:lastRenderedPageBreak/>
        <w:t>Tesla, Inc. (2023) Annual report on Form 10-K for the fiscal year ended 31 December 2023. Austin: Tesla, Inc. Available at: https://www.sec.gov/Archives/edgar/data/1318605/000162828024002390/tsla-20231231.htm [Accessed 15 February 2026].</w:t>
      </w:r>
    </w:p>
    <w:p w14:paraId="32C7948C" w14:textId="77777777" w:rsidR="009C7837" w:rsidRDefault="005222E0" w:rsidP="00FF0D21">
      <w:pPr>
        <w:pStyle w:val="ListParagraph"/>
        <w:numPr>
          <w:ilvl w:val="0"/>
          <w:numId w:val="3"/>
        </w:numPr>
        <w:spacing w:line="360" w:lineRule="auto"/>
        <w:jc w:val="both"/>
      </w:pPr>
      <w:r>
        <w:t>Tesla, Inc. (2024) Annual report on Form 10-K for the fiscal year ended 31 December 2024. Austin: Tesla, Inc. Available at: https://www.sec.gov/Archives/edgar/data/1318605/000162828025003063/tsla-20241231.htm [Accessed 15 February 2026].</w:t>
      </w:r>
    </w:p>
    <w:p w14:paraId="2D9A9002" w14:textId="77777777" w:rsidR="009C7837" w:rsidRDefault="005222E0" w:rsidP="00FF0D21">
      <w:pPr>
        <w:pStyle w:val="ListParagraph"/>
        <w:numPr>
          <w:ilvl w:val="0"/>
          <w:numId w:val="3"/>
        </w:numPr>
        <w:spacing w:line="360" w:lineRule="auto"/>
        <w:jc w:val="both"/>
      </w:pPr>
      <w:r>
        <w:t>Tesla, Inc. (2025a) Annual report on Form 10-K for the fiscal year ended 31 December 2025. Austin: Tesla, Inc. Available at: https://www.sec.gov/Archives/edgar/data/1318605/000162828026003952/tsla-20251231.htm (Accessed 28 February 2026).</w:t>
      </w:r>
    </w:p>
    <w:p w14:paraId="1D936BB4" w14:textId="77777777" w:rsidR="009C7837" w:rsidRDefault="005222E0" w:rsidP="00FF0D21">
      <w:pPr>
        <w:pStyle w:val="ListParagraph"/>
        <w:numPr>
          <w:ilvl w:val="0"/>
          <w:numId w:val="3"/>
        </w:numPr>
        <w:spacing w:line="360" w:lineRule="auto"/>
        <w:jc w:val="both"/>
      </w:pPr>
      <w:r>
        <w:t>TradingView News (2026) Tesla, Inc. SEC 10-K annual report. Available at: https://www.tradingview.com (Accessed 5 March 2026).</w:t>
      </w:r>
    </w:p>
    <w:p w14:paraId="3B979D1A" w14:textId="77777777" w:rsidR="009C7837" w:rsidRDefault="005222E0" w:rsidP="00FF0D21">
      <w:pPr>
        <w:pStyle w:val="ListParagraph"/>
        <w:numPr>
          <w:ilvl w:val="0"/>
          <w:numId w:val="3"/>
        </w:numPr>
        <w:spacing w:line="360" w:lineRule="auto"/>
        <w:jc w:val="both"/>
      </w:pPr>
      <w:r>
        <w:t>WhichEV (2024) Tesla’s price cuts worked while keeping margins well above VW. Available at: https://www.whichev.net (Accessed 4 March 2026).</w:t>
      </w:r>
    </w:p>
    <w:p w14:paraId="4272B793" w14:textId="77777777" w:rsidR="009C7837" w:rsidRDefault="005222E0" w:rsidP="00FF0D21">
      <w:r>
        <w:br w:type="page"/>
      </w:r>
    </w:p>
    <w:p w14:paraId="37AC32A7" w14:textId="3067599A" w:rsidR="00C00B63" w:rsidRDefault="00C00B63" w:rsidP="00FF0D21">
      <w:pPr>
        <w:pStyle w:val="Heading1"/>
      </w:pPr>
      <w:bookmarkStart w:id="106" w:name="_Toc227865641"/>
      <w:r>
        <w:lastRenderedPageBreak/>
        <w:t>Appendix A: Excel Output - Financial Data, Ratio Analysis and Investment Appraisal</w:t>
      </w:r>
      <w:bookmarkEnd w:id="106"/>
    </w:p>
    <w:p w14:paraId="64201359" w14:textId="77777777" w:rsidR="00C00B63" w:rsidRDefault="00C00B63" w:rsidP="00FF0D21">
      <w:pPr>
        <w:spacing w:after="120"/>
      </w:pPr>
      <w:r>
        <w:rPr>
          <w:color w:val="000000"/>
        </w:rPr>
        <w:t>The Excel workbook submitted with this report (Tesla_Financial_Analysis.xlsx) contains all the underlying data and calculations. Financial figures come directly from Tesla’s SEC 10-K filings. All ratios are formula-driven and linked back to the source data, and the investment appraisal workings cover Sections 4.2 to 4.7 in full.</w:t>
      </w:r>
    </w:p>
    <w:p w14:paraId="3D931FA3" w14:textId="16DEFDAC" w:rsidR="00C00B63" w:rsidRDefault="00565695" w:rsidP="00FF0D21">
      <w:pPr>
        <w:pStyle w:val="Heading2"/>
      </w:pPr>
      <w:bookmarkStart w:id="107" w:name="_Toc227865642"/>
      <w:r>
        <w:t>A.1 Financial Data - Income Statement (2021-2025)</w:t>
      </w:r>
      <w:bookmarkEnd w:id="107"/>
    </w:p>
    <w:p w14:paraId="1955F811" w14:textId="1D9BCB6F" w:rsidR="00C00B63" w:rsidRDefault="00C00B63" w:rsidP="00FF0D21">
      <w:pPr>
        <w:spacing w:after="120"/>
      </w:pPr>
      <w:r>
        <w:rPr>
          <w:color w:val="000000"/>
        </w:rPr>
        <w:t>Figure A1 shows the income statement figures from Tesla’s 10-K filings, 2021 to 2025, in USD millions. It covers revenue, gross profit, operating income, net income, R&amp;D, SG&amp;A, D&amp;A, and EBITDA. These are the input figures for all the profitability and efficiency ratios in Section 1.</w:t>
      </w:r>
    </w:p>
    <w:p w14:paraId="121A7660" w14:textId="241459E9" w:rsidR="00C00B63" w:rsidRDefault="00216DAC" w:rsidP="00FF0D21">
      <w:pPr>
        <w:spacing w:before="80" w:after="60"/>
      </w:pPr>
      <w:r>
        <w:rPr>
          <w:noProof/>
        </w:rPr>
        <w:drawing>
          <wp:inline distT="0" distB="0" distL="0" distR="0" wp14:anchorId="3BCA03FB" wp14:editId="45CF9AA7">
            <wp:extent cx="5731510" cy="3800475"/>
            <wp:effectExtent l="0" t="0" r="2540" b="9525"/>
            <wp:docPr id="1467972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972137" name=""/>
                    <pic:cNvPicPr/>
                  </pic:nvPicPr>
                  <pic:blipFill>
                    <a:blip r:embed="rId18"/>
                    <a:stretch>
                      <a:fillRect/>
                    </a:stretch>
                  </pic:blipFill>
                  <pic:spPr>
                    <a:xfrm>
                      <a:off x="0" y="0"/>
                      <a:ext cx="5731510" cy="3800475"/>
                    </a:xfrm>
                    <a:prstGeom prst="rect">
                      <a:avLst/>
                    </a:prstGeom>
                  </pic:spPr>
                </pic:pic>
              </a:graphicData>
            </a:graphic>
          </wp:inline>
        </w:drawing>
      </w:r>
    </w:p>
    <w:p w14:paraId="1C3BFE52" w14:textId="77777777" w:rsidR="00C00B63" w:rsidRDefault="00C00B63" w:rsidP="00FF0D21">
      <w:pPr>
        <w:spacing w:before="60" w:after="200"/>
      </w:pPr>
      <w:r>
        <w:rPr>
          <w:b/>
          <w:bCs/>
          <w:i/>
          <w:iCs/>
          <w:color w:val="000000"/>
          <w:sz w:val="20"/>
          <w:szCs w:val="20"/>
        </w:rPr>
        <w:t xml:space="preserve">Figure A1.  </w:t>
      </w:r>
      <w:r>
        <w:rPr>
          <w:i/>
          <w:iCs/>
          <w:color w:val="444444"/>
          <w:sz w:val="20"/>
          <w:szCs w:val="20"/>
        </w:rPr>
        <w:t>Tesla Inc. Consolidated Income Statement (USD $M), 2021 to 2025. Source: Tesla, Inc. SEC 10-K Annual Reports (2021 to 2025a).</w:t>
      </w:r>
    </w:p>
    <w:p w14:paraId="2008DD00" w14:textId="71EF1A50" w:rsidR="00C00B63" w:rsidRDefault="00C00B63" w:rsidP="00FF0D21">
      <w:pPr>
        <w:pStyle w:val="Heading2"/>
      </w:pPr>
      <w:bookmarkStart w:id="108" w:name="_Toc227865643"/>
      <w:r>
        <w:t>A.2 Financial Data - Balance Sheet (2021-2025)</w:t>
      </w:r>
      <w:bookmarkEnd w:id="108"/>
    </w:p>
    <w:p w14:paraId="6666E640" w14:textId="2680BA88" w:rsidR="00C00B63" w:rsidRDefault="00C00B63" w:rsidP="00FF0D21">
      <w:pPr>
        <w:spacing w:after="120"/>
      </w:pPr>
      <w:r>
        <w:rPr>
          <w:color w:val="000000"/>
        </w:rPr>
        <w:lastRenderedPageBreak/>
        <w:t>Figure A2 has the balance sheet for 2021 to 2025. Assets, liabilities, and equity are all shown, with the working capital items - receivables, inventories, payables, and cash - broken out separately since these feed directly into the liquidity and efficiency ratios in Sections 1.2, 1.3 and 2.</w:t>
      </w:r>
    </w:p>
    <w:p w14:paraId="149C06E2" w14:textId="480820DA" w:rsidR="00C00B63" w:rsidRDefault="002B2243" w:rsidP="00FF0D21">
      <w:pPr>
        <w:spacing w:before="80" w:after="60"/>
      </w:pPr>
      <w:r>
        <w:rPr>
          <w:noProof/>
        </w:rPr>
        <w:drawing>
          <wp:inline distT="0" distB="0" distL="0" distR="0" wp14:anchorId="7AE12B40" wp14:editId="688FDBC6">
            <wp:extent cx="5731510" cy="4562475"/>
            <wp:effectExtent l="0" t="0" r="2540" b="9525"/>
            <wp:docPr id="907122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122046" name=""/>
                    <pic:cNvPicPr/>
                  </pic:nvPicPr>
                  <pic:blipFill>
                    <a:blip r:embed="rId19"/>
                    <a:stretch>
                      <a:fillRect/>
                    </a:stretch>
                  </pic:blipFill>
                  <pic:spPr>
                    <a:xfrm>
                      <a:off x="0" y="0"/>
                      <a:ext cx="5731510" cy="4562475"/>
                    </a:xfrm>
                    <a:prstGeom prst="rect">
                      <a:avLst/>
                    </a:prstGeom>
                  </pic:spPr>
                </pic:pic>
              </a:graphicData>
            </a:graphic>
          </wp:inline>
        </w:drawing>
      </w:r>
    </w:p>
    <w:p w14:paraId="40C0D994" w14:textId="77777777" w:rsidR="00C00B63" w:rsidRDefault="00C00B63" w:rsidP="00FF0D21">
      <w:pPr>
        <w:spacing w:before="60" w:after="200"/>
      </w:pPr>
      <w:r>
        <w:rPr>
          <w:b/>
          <w:bCs/>
          <w:i/>
          <w:iCs/>
          <w:color w:val="000000"/>
          <w:sz w:val="20"/>
          <w:szCs w:val="20"/>
        </w:rPr>
        <w:t xml:space="preserve">Figure A2.  </w:t>
      </w:r>
      <w:r>
        <w:rPr>
          <w:i/>
          <w:iCs/>
          <w:color w:val="444444"/>
          <w:sz w:val="20"/>
          <w:szCs w:val="20"/>
        </w:rPr>
        <w:t>Tesla Inc. Consolidated Balance Sheet (USD $M), 2021 to 2025. Source: Tesla, Inc. SEC 10-K Annual Reports (2021 to 2025a).</w:t>
      </w:r>
    </w:p>
    <w:p w14:paraId="4778C423" w14:textId="731A441E" w:rsidR="00C00B63" w:rsidRDefault="00C00B63" w:rsidP="00FF0D21">
      <w:pPr>
        <w:pStyle w:val="Heading2"/>
      </w:pPr>
      <w:bookmarkStart w:id="109" w:name="_Toc227865644"/>
      <w:r>
        <w:t>A.3 Financial Data - Cash Flow Statement (2021-2025)</w:t>
      </w:r>
      <w:bookmarkEnd w:id="109"/>
    </w:p>
    <w:p w14:paraId="7F094FD9" w14:textId="77777777" w:rsidR="00C00B63" w:rsidRDefault="00C00B63" w:rsidP="00FF0D21">
      <w:pPr>
        <w:spacing w:after="120"/>
      </w:pPr>
      <w:r>
        <w:rPr>
          <w:color w:val="000000"/>
        </w:rPr>
        <w:t>Figure A3 shows the cash flow statement across all five years, split into operating, investing, and financing activities. Capital expenditure and free cash flow are highlighted separately given how central they are to both Section 1.5 and the restructuring discussion in Section 3.</w:t>
      </w:r>
    </w:p>
    <w:p w14:paraId="49B2B1B4" w14:textId="5F8FBE2F" w:rsidR="00C00B63" w:rsidRDefault="00481CC0" w:rsidP="00FF0D21">
      <w:pPr>
        <w:spacing w:before="80" w:after="60"/>
      </w:pPr>
      <w:r>
        <w:rPr>
          <w:noProof/>
        </w:rPr>
        <w:lastRenderedPageBreak/>
        <w:drawing>
          <wp:inline distT="0" distB="0" distL="0" distR="0" wp14:anchorId="287FF4BB" wp14:editId="6DAC8461">
            <wp:extent cx="5731510" cy="4165600"/>
            <wp:effectExtent l="0" t="0" r="2540" b="6350"/>
            <wp:docPr id="757763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63666" name=""/>
                    <pic:cNvPicPr/>
                  </pic:nvPicPr>
                  <pic:blipFill>
                    <a:blip r:embed="rId20"/>
                    <a:stretch>
                      <a:fillRect/>
                    </a:stretch>
                  </pic:blipFill>
                  <pic:spPr>
                    <a:xfrm>
                      <a:off x="0" y="0"/>
                      <a:ext cx="5731510" cy="4165600"/>
                    </a:xfrm>
                    <a:prstGeom prst="rect">
                      <a:avLst/>
                    </a:prstGeom>
                  </pic:spPr>
                </pic:pic>
              </a:graphicData>
            </a:graphic>
          </wp:inline>
        </w:drawing>
      </w:r>
    </w:p>
    <w:p w14:paraId="67583309" w14:textId="77777777" w:rsidR="00C00B63" w:rsidRDefault="00C00B63" w:rsidP="00FF0D21">
      <w:pPr>
        <w:spacing w:before="60" w:after="200"/>
      </w:pPr>
      <w:r>
        <w:rPr>
          <w:b/>
          <w:bCs/>
          <w:i/>
          <w:iCs/>
          <w:color w:val="000000"/>
          <w:sz w:val="20"/>
          <w:szCs w:val="20"/>
        </w:rPr>
        <w:t xml:space="preserve">Figure A3.  </w:t>
      </w:r>
      <w:r>
        <w:rPr>
          <w:i/>
          <w:iCs/>
          <w:color w:val="444444"/>
          <w:sz w:val="20"/>
          <w:szCs w:val="20"/>
        </w:rPr>
        <w:t>Tesla Inc. Consolidated Cash Flow Statement (USD $M), 2021 to 2025. Source: Tesla, Inc. SEC 10-K Annual Reports (2021 to 2025a).</w:t>
      </w:r>
    </w:p>
    <w:p w14:paraId="3DAAC8A5" w14:textId="22DAC0EB" w:rsidR="00C00B63" w:rsidRDefault="00C00B63" w:rsidP="00FF0D21"/>
    <w:p w14:paraId="5BE03CC1" w14:textId="0E5F6D56" w:rsidR="00C00B63" w:rsidRDefault="00C00B63" w:rsidP="00FF0D21">
      <w:pPr>
        <w:pStyle w:val="Heading2"/>
      </w:pPr>
      <w:bookmarkStart w:id="110" w:name="_Toc227865645"/>
      <w:r>
        <w:t>A.4 Ratio Analysis - All Five Categories (2021-2025)</w:t>
      </w:r>
      <w:bookmarkEnd w:id="110"/>
    </w:p>
    <w:p w14:paraId="448797A6" w14:textId="7D2093A1" w:rsidR="00C00B63" w:rsidRDefault="00C00B63" w:rsidP="00FF0D21">
      <w:pPr>
        <w:spacing w:after="120"/>
      </w:pPr>
      <w:r>
        <w:rPr>
          <w:color w:val="000000"/>
        </w:rPr>
        <w:t>Figure A4 contains the full ratio analysis across all five categories. A formula column explains how each ratio is calculated. The Cash Conversion Cycle is DIO plus DSO minus DPO. All figures are formula-calculated and pull directly from the financial data in A1 to A3.</w:t>
      </w:r>
    </w:p>
    <w:p w14:paraId="20D1857C" w14:textId="77777777" w:rsidR="00C00B63" w:rsidRDefault="00C00B63" w:rsidP="00FF0D21">
      <w:pPr>
        <w:spacing w:after="60"/>
      </w:pPr>
    </w:p>
    <w:p w14:paraId="20FAB925" w14:textId="29F72D66" w:rsidR="00C00B63" w:rsidRDefault="000E262B" w:rsidP="00FF0D21">
      <w:pPr>
        <w:spacing w:before="80" w:after="60"/>
      </w:pPr>
      <w:r>
        <w:rPr>
          <w:noProof/>
        </w:rPr>
        <w:lastRenderedPageBreak/>
        <w:drawing>
          <wp:inline distT="0" distB="0" distL="0" distR="0" wp14:anchorId="0A957E38" wp14:editId="0FC3EE1D">
            <wp:extent cx="5731510" cy="5302885"/>
            <wp:effectExtent l="0" t="0" r="2540" b="0"/>
            <wp:docPr id="1696183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183255" name=""/>
                    <pic:cNvPicPr/>
                  </pic:nvPicPr>
                  <pic:blipFill>
                    <a:blip r:embed="rId21"/>
                    <a:stretch>
                      <a:fillRect/>
                    </a:stretch>
                  </pic:blipFill>
                  <pic:spPr>
                    <a:xfrm>
                      <a:off x="0" y="0"/>
                      <a:ext cx="5731510" cy="5302885"/>
                    </a:xfrm>
                    <a:prstGeom prst="rect">
                      <a:avLst/>
                    </a:prstGeom>
                  </pic:spPr>
                </pic:pic>
              </a:graphicData>
            </a:graphic>
          </wp:inline>
        </w:drawing>
      </w:r>
    </w:p>
    <w:p w14:paraId="4D9D84C7" w14:textId="43ECD43A" w:rsidR="00C00B63" w:rsidRDefault="00C00B63" w:rsidP="00FF0D21">
      <w:pPr>
        <w:spacing w:before="60" w:after="200"/>
      </w:pPr>
      <w:r>
        <w:rPr>
          <w:b/>
          <w:bCs/>
          <w:i/>
          <w:iCs/>
          <w:color w:val="000000"/>
          <w:sz w:val="20"/>
          <w:szCs w:val="20"/>
        </w:rPr>
        <w:t xml:space="preserve">Figure A4.  </w:t>
      </w:r>
      <w:r>
        <w:rPr>
          <w:i/>
          <w:iCs/>
          <w:color w:val="444444"/>
          <w:sz w:val="20"/>
          <w:szCs w:val="20"/>
        </w:rPr>
        <w:t>Tesla Inc. Financial Ratio Analysis - All Five Categories, 2021 to 2025 .</w:t>
      </w:r>
    </w:p>
    <w:p w14:paraId="2EFB92F2" w14:textId="0FD4F2CF" w:rsidR="00C00B63" w:rsidRDefault="00C00B63" w:rsidP="00FF0D21"/>
    <w:p w14:paraId="044120CA" w14:textId="6A927665" w:rsidR="00C00B63" w:rsidRDefault="00C00B63" w:rsidP="00FF0D21">
      <w:pPr>
        <w:pStyle w:val="Heading2"/>
      </w:pPr>
      <w:bookmarkStart w:id="111" w:name="_Toc227865646"/>
      <w:r>
        <w:t>A.5 Investment Appraisal - Assumptions, Cash Flows, Payback, ARR, NPV and IRR</w:t>
      </w:r>
      <w:bookmarkEnd w:id="111"/>
    </w:p>
    <w:p w14:paraId="519394D0" w14:textId="6DBC6B6A" w:rsidR="00C00B63" w:rsidRDefault="00C00B63" w:rsidP="00FF0D21">
      <w:pPr>
        <w:spacing w:after="120"/>
      </w:pPr>
      <w:r>
        <w:rPr>
          <w:color w:val="000000"/>
        </w:rPr>
        <w:t>Figure A5 has the investment appraisal model in full. Assumptions at the top are £50M initial cost, five-year life, straight-line depreciation, and a 10% discount rate. Discount factors follow the 1/(1.10)^n formula. Cash flows and discounted amounts are shown for all three projects, with a summary table pulling together payback, ARR, NPV, and IRR results. The capital rationing section works through every feasible two-project combination within the £100M budget and confirms A and C as the recommended pairing.</w:t>
      </w:r>
    </w:p>
    <w:p w14:paraId="25C0C894" w14:textId="77777777" w:rsidR="00C00B63" w:rsidRDefault="00C00B63" w:rsidP="00FF0D21">
      <w:pPr>
        <w:spacing w:after="60"/>
      </w:pPr>
    </w:p>
    <w:p w14:paraId="6FDBA783" w14:textId="4C6B705C" w:rsidR="00C00B63" w:rsidRDefault="00E14064" w:rsidP="00FF0D21">
      <w:pPr>
        <w:spacing w:before="80" w:after="60"/>
      </w:pPr>
      <w:r>
        <w:rPr>
          <w:noProof/>
        </w:rPr>
        <w:drawing>
          <wp:inline distT="0" distB="0" distL="0" distR="0" wp14:anchorId="50C24C11" wp14:editId="4A992703">
            <wp:extent cx="5731510" cy="1483360"/>
            <wp:effectExtent l="0" t="0" r="2540" b="2540"/>
            <wp:docPr id="41239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9377" name=""/>
                    <pic:cNvPicPr/>
                  </pic:nvPicPr>
                  <pic:blipFill>
                    <a:blip r:embed="rId22"/>
                    <a:stretch>
                      <a:fillRect/>
                    </a:stretch>
                  </pic:blipFill>
                  <pic:spPr>
                    <a:xfrm>
                      <a:off x="0" y="0"/>
                      <a:ext cx="5731510" cy="1483360"/>
                    </a:xfrm>
                    <a:prstGeom prst="rect">
                      <a:avLst/>
                    </a:prstGeom>
                  </pic:spPr>
                </pic:pic>
              </a:graphicData>
            </a:graphic>
          </wp:inline>
        </w:drawing>
      </w:r>
    </w:p>
    <w:p w14:paraId="170FAD95" w14:textId="1E66CFA9" w:rsidR="0063357B" w:rsidRDefault="0063357B" w:rsidP="00FF0D21">
      <w:pPr>
        <w:spacing w:before="80" w:after="60"/>
      </w:pPr>
      <w:r>
        <w:rPr>
          <w:noProof/>
        </w:rPr>
        <w:drawing>
          <wp:inline distT="0" distB="0" distL="0" distR="0" wp14:anchorId="69394DA6" wp14:editId="6BDD4BC0">
            <wp:extent cx="5731510" cy="1182370"/>
            <wp:effectExtent l="0" t="0" r="2540" b="0"/>
            <wp:docPr id="202505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5812" name=""/>
                    <pic:cNvPicPr/>
                  </pic:nvPicPr>
                  <pic:blipFill>
                    <a:blip r:embed="rId23"/>
                    <a:stretch>
                      <a:fillRect/>
                    </a:stretch>
                  </pic:blipFill>
                  <pic:spPr>
                    <a:xfrm>
                      <a:off x="0" y="0"/>
                      <a:ext cx="5731510" cy="1182370"/>
                    </a:xfrm>
                    <a:prstGeom prst="rect">
                      <a:avLst/>
                    </a:prstGeom>
                  </pic:spPr>
                </pic:pic>
              </a:graphicData>
            </a:graphic>
          </wp:inline>
        </w:drawing>
      </w:r>
    </w:p>
    <w:p w14:paraId="71170D79" w14:textId="2FF272E3" w:rsidR="00FB4BE7" w:rsidRDefault="00FB4BE7" w:rsidP="00FF0D21">
      <w:pPr>
        <w:spacing w:before="80" w:after="60"/>
      </w:pPr>
      <w:r>
        <w:rPr>
          <w:noProof/>
        </w:rPr>
        <w:drawing>
          <wp:inline distT="0" distB="0" distL="0" distR="0" wp14:anchorId="032E307B" wp14:editId="0EBEED46">
            <wp:extent cx="5731510" cy="2099310"/>
            <wp:effectExtent l="0" t="0" r="2540" b="0"/>
            <wp:docPr id="647703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03351" name=""/>
                    <pic:cNvPicPr/>
                  </pic:nvPicPr>
                  <pic:blipFill>
                    <a:blip r:embed="rId24"/>
                    <a:stretch>
                      <a:fillRect/>
                    </a:stretch>
                  </pic:blipFill>
                  <pic:spPr>
                    <a:xfrm>
                      <a:off x="0" y="0"/>
                      <a:ext cx="5731510" cy="2099310"/>
                    </a:xfrm>
                    <a:prstGeom prst="rect">
                      <a:avLst/>
                    </a:prstGeom>
                  </pic:spPr>
                </pic:pic>
              </a:graphicData>
            </a:graphic>
          </wp:inline>
        </w:drawing>
      </w:r>
    </w:p>
    <w:p w14:paraId="499ABEC1" w14:textId="186A8F0F" w:rsidR="00746D39" w:rsidRDefault="00746D39" w:rsidP="00FF0D21">
      <w:pPr>
        <w:spacing w:before="80" w:after="60"/>
      </w:pPr>
      <w:r>
        <w:rPr>
          <w:noProof/>
        </w:rPr>
        <w:drawing>
          <wp:inline distT="0" distB="0" distL="0" distR="0" wp14:anchorId="4AFEEC4B" wp14:editId="7A3B1476">
            <wp:extent cx="5731510" cy="1814195"/>
            <wp:effectExtent l="0" t="0" r="2540" b="0"/>
            <wp:docPr id="1917830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30038" name=""/>
                    <pic:cNvPicPr/>
                  </pic:nvPicPr>
                  <pic:blipFill>
                    <a:blip r:embed="rId25"/>
                    <a:stretch>
                      <a:fillRect/>
                    </a:stretch>
                  </pic:blipFill>
                  <pic:spPr>
                    <a:xfrm>
                      <a:off x="0" y="0"/>
                      <a:ext cx="5731510" cy="1814195"/>
                    </a:xfrm>
                    <a:prstGeom prst="rect">
                      <a:avLst/>
                    </a:prstGeom>
                  </pic:spPr>
                </pic:pic>
              </a:graphicData>
            </a:graphic>
          </wp:inline>
        </w:drawing>
      </w:r>
    </w:p>
    <w:p w14:paraId="5B49C12B" w14:textId="5158DAED" w:rsidR="009C7837" w:rsidRDefault="00C00B63" w:rsidP="00FF0D21">
      <w:pPr>
        <w:spacing w:before="60" w:after="200"/>
      </w:pPr>
      <w:r>
        <w:rPr>
          <w:b/>
          <w:bCs/>
          <w:i/>
          <w:iCs/>
          <w:color w:val="000000"/>
          <w:sz w:val="20"/>
          <w:szCs w:val="20"/>
        </w:rPr>
        <w:t xml:space="preserve">Figure A5.  </w:t>
      </w:r>
      <w:r>
        <w:rPr>
          <w:i/>
          <w:iCs/>
          <w:color w:val="444444"/>
          <w:sz w:val="20"/>
          <w:szCs w:val="20"/>
        </w:rPr>
        <w:t>Investment Appraisal - Assumptions, Discount Factors, Project Cash Flows, Appraisal Summary and Capital Rationing (£M).</w:t>
      </w:r>
    </w:p>
    <w:sectPr w:rsidR="009C7837" w:rsidSect="00C1600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4FF91" w14:textId="77777777" w:rsidR="00E9276E" w:rsidRDefault="00E9276E" w:rsidP="00AC460F">
      <w:pPr>
        <w:spacing w:line="240" w:lineRule="auto"/>
      </w:pPr>
      <w:r>
        <w:separator/>
      </w:r>
    </w:p>
  </w:endnote>
  <w:endnote w:type="continuationSeparator" w:id="0">
    <w:p w14:paraId="138BFE97" w14:textId="77777777" w:rsidR="00E9276E" w:rsidRDefault="00E9276E" w:rsidP="00AC46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976194"/>
      <w:docPartObj>
        <w:docPartGallery w:val="Page Numbers (Bottom of Page)"/>
        <w:docPartUnique/>
      </w:docPartObj>
    </w:sdtPr>
    <w:sdtEndPr>
      <w:rPr>
        <w:noProof/>
      </w:rPr>
    </w:sdtEndPr>
    <w:sdtContent>
      <w:p w14:paraId="269D8BE7" w14:textId="7DD4F546" w:rsidR="00C1600B" w:rsidRDefault="00C160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5804A" w14:textId="77777777" w:rsidR="00C1600B" w:rsidRDefault="00C16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40245" w14:textId="77777777" w:rsidR="00E9276E" w:rsidRDefault="00E9276E" w:rsidP="00AC460F">
      <w:pPr>
        <w:spacing w:line="240" w:lineRule="auto"/>
      </w:pPr>
      <w:r>
        <w:separator/>
      </w:r>
    </w:p>
  </w:footnote>
  <w:footnote w:type="continuationSeparator" w:id="0">
    <w:p w14:paraId="37D290C5" w14:textId="77777777" w:rsidR="00E9276E" w:rsidRDefault="00E9276E" w:rsidP="00AC46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67893"/>
    <w:multiLevelType w:val="hybridMultilevel"/>
    <w:tmpl w:val="C9E036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842F67"/>
    <w:multiLevelType w:val="hybridMultilevel"/>
    <w:tmpl w:val="9BE2BA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0420945"/>
    <w:multiLevelType w:val="hybridMultilevel"/>
    <w:tmpl w:val="AE6020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559261D"/>
    <w:multiLevelType w:val="multilevel"/>
    <w:tmpl w:val="B1269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1B4CB3"/>
    <w:multiLevelType w:val="hybridMultilevel"/>
    <w:tmpl w:val="1BEC8A9A"/>
    <w:lvl w:ilvl="0" w:tplc="BD9A3342">
      <w:start w:val="1"/>
      <w:numFmt w:val="bullet"/>
      <w:lvlText w:val="●"/>
      <w:lvlJc w:val="left"/>
      <w:pPr>
        <w:ind w:left="720" w:hanging="360"/>
      </w:pPr>
    </w:lvl>
    <w:lvl w:ilvl="1" w:tplc="EE0A7C5C">
      <w:start w:val="1"/>
      <w:numFmt w:val="bullet"/>
      <w:lvlText w:val="○"/>
      <w:lvlJc w:val="left"/>
      <w:pPr>
        <w:ind w:left="1440" w:hanging="360"/>
      </w:pPr>
    </w:lvl>
    <w:lvl w:ilvl="2" w:tplc="6CE4EB9E">
      <w:start w:val="1"/>
      <w:numFmt w:val="bullet"/>
      <w:lvlText w:val="■"/>
      <w:lvlJc w:val="left"/>
      <w:pPr>
        <w:ind w:left="2160" w:hanging="360"/>
      </w:pPr>
    </w:lvl>
    <w:lvl w:ilvl="3" w:tplc="C9C04B4C">
      <w:start w:val="1"/>
      <w:numFmt w:val="bullet"/>
      <w:lvlText w:val="●"/>
      <w:lvlJc w:val="left"/>
      <w:pPr>
        <w:ind w:left="2880" w:hanging="360"/>
      </w:pPr>
    </w:lvl>
    <w:lvl w:ilvl="4" w:tplc="392E043C">
      <w:start w:val="1"/>
      <w:numFmt w:val="bullet"/>
      <w:lvlText w:val="○"/>
      <w:lvlJc w:val="left"/>
      <w:pPr>
        <w:ind w:left="3600" w:hanging="360"/>
      </w:pPr>
    </w:lvl>
    <w:lvl w:ilvl="5" w:tplc="DF02CE48">
      <w:start w:val="1"/>
      <w:numFmt w:val="bullet"/>
      <w:lvlText w:val="■"/>
      <w:lvlJc w:val="left"/>
      <w:pPr>
        <w:ind w:left="4320" w:hanging="360"/>
      </w:pPr>
    </w:lvl>
    <w:lvl w:ilvl="6" w:tplc="447E1FAC">
      <w:start w:val="1"/>
      <w:numFmt w:val="bullet"/>
      <w:lvlText w:val="●"/>
      <w:lvlJc w:val="left"/>
      <w:pPr>
        <w:ind w:left="5040" w:hanging="360"/>
      </w:pPr>
    </w:lvl>
    <w:lvl w:ilvl="7" w:tplc="873A203C">
      <w:start w:val="1"/>
      <w:numFmt w:val="bullet"/>
      <w:lvlText w:val="●"/>
      <w:lvlJc w:val="left"/>
      <w:pPr>
        <w:ind w:left="5760" w:hanging="360"/>
      </w:pPr>
    </w:lvl>
    <w:lvl w:ilvl="8" w:tplc="1CBE1EB2">
      <w:start w:val="1"/>
      <w:numFmt w:val="bullet"/>
      <w:lvlText w:val="●"/>
      <w:lvlJc w:val="left"/>
      <w:pPr>
        <w:ind w:left="6480" w:hanging="360"/>
      </w:pPr>
    </w:lvl>
  </w:abstractNum>
  <w:num w:numId="1" w16cid:durableId="2102985556">
    <w:abstractNumId w:val="4"/>
    <w:lvlOverride w:ilvl="0">
      <w:startOverride w:val="1"/>
    </w:lvlOverride>
  </w:num>
  <w:num w:numId="2" w16cid:durableId="2064399411">
    <w:abstractNumId w:val="2"/>
  </w:num>
  <w:num w:numId="3" w16cid:durableId="192118639">
    <w:abstractNumId w:val="1"/>
  </w:num>
  <w:num w:numId="4" w16cid:durableId="742946937">
    <w:abstractNumId w:val="3"/>
  </w:num>
  <w:num w:numId="5" w16cid:durableId="322046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837"/>
    <w:rsid w:val="00045039"/>
    <w:rsid w:val="00087582"/>
    <w:rsid w:val="000E262B"/>
    <w:rsid w:val="00114D8E"/>
    <w:rsid w:val="0011741B"/>
    <w:rsid w:val="0014181B"/>
    <w:rsid w:val="001A7CA0"/>
    <w:rsid w:val="001F7ADB"/>
    <w:rsid w:val="0020188B"/>
    <w:rsid w:val="00216DAC"/>
    <w:rsid w:val="0023740A"/>
    <w:rsid w:val="00251FE6"/>
    <w:rsid w:val="002B2243"/>
    <w:rsid w:val="002C5709"/>
    <w:rsid w:val="00336CAC"/>
    <w:rsid w:val="0037156A"/>
    <w:rsid w:val="003B2077"/>
    <w:rsid w:val="00440A48"/>
    <w:rsid w:val="00446B82"/>
    <w:rsid w:val="0045400B"/>
    <w:rsid w:val="00481CC0"/>
    <w:rsid w:val="004A565A"/>
    <w:rsid w:val="004A7594"/>
    <w:rsid w:val="004E1CBF"/>
    <w:rsid w:val="004F439E"/>
    <w:rsid w:val="005222E0"/>
    <w:rsid w:val="00532065"/>
    <w:rsid w:val="00565695"/>
    <w:rsid w:val="00612FF0"/>
    <w:rsid w:val="0063357B"/>
    <w:rsid w:val="006C0B21"/>
    <w:rsid w:val="00706DE9"/>
    <w:rsid w:val="00746D39"/>
    <w:rsid w:val="00821B8E"/>
    <w:rsid w:val="00877AD4"/>
    <w:rsid w:val="008A7300"/>
    <w:rsid w:val="008A7590"/>
    <w:rsid w:val="008F4252"/>
    <w:rsid w:val="0090421E"/>
    <w:rsid w:val="00915012"/>
    <w:rsid w:val="009A7132"/>
    <w:rsid w:val="009C7837"/>
    <w:rsid w:val="00A30AA6"/>
    <w:rsid w:val="00A3673B"/>
    <w:rsid w:val="00A404F3"/>
    <w:rsid w:val="00A83C0F"/>
    <w:rsid w:val="00AC460F"/>
    <w:rsid w:val="00AD7B57"/>
    <w:rsid w:val="00B00770"/>
    <w:rsid w:val="00B02156"/>
    <w:rsid w:val="00B51A84"/>
    <w:rsid w:val="00B94C3F"/>
    <w:rsid w:val="00BA147B"/>
    <w:rsid w:val="00C00B63"/>
    <w:rsid w:val="00C1600B"/>
    <w:rsid w:val="00C33B31"/>
    <w:rsid w:val="00C50367"/>
    <w:rsid w:val="00C665B7"/>
    <w:rsid w:val="00DC273E"/>
    <w:rsid w:val="00DF4774"/>
    <w:rsid w:val="00E14064"/>
    <w:rsid w:val="00E66BBA"/>
    <w:rsid w:val="00E9276E"/>
    <w:rsid w:val="00EA6D12"/>
    <w:rsid w:val="00F450A8"/>
    <w:rsid w:val="00F53144"/>
    <w:rsid w:val="00FB0741"/>
    <w:rsid w:val="00FB4BE7"/>
    <w:rsid w:val="00FD541A"/>
    <w:rsid w:val="00FE2B8B"/>
    <w:rsid w:val="00FE5D23"/>
    <w:rsid w:val="00FF0D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48AC"/>
  <w15:docId w15:val="{93E193E4-BCF5-43FD-88A3-646166C4A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47B"/>
    <w:pPr>
      <w:spacing w:line="360" w:lineRule="auto"/>
      <w:jc w:val="both"/>
    </w:pPr>
  </w:style>
  <w:style w:type="paragraph" w:styleId="Heading1">
    <w:name w:val="heading 1"/>
    <w:uiPriority w:val="9"/>
    <w:qFormat/>
    <w:rsid w:val="00B94C3F"/>
    <w:pPr>
      <w:spacing w:before="320" w:after="160" w:line="360" w:lineRule="auto"/>
      <w:outlineLvl w:val="0"/>
    </w:pPr>
    <w:rPr>
      <w:b/>
      <w:bCs/>
      <w:color w:val="0B769F" w:themeColor="accent4" w:themeShade="BF"/>
      <w:sz w:val="36"/>
      <w:szCs w:val="28"/>
    </w:rPr>
  </w:style>
  <w:style w:type="paragraph" w:styleId="Heading2">
    <w:name w:val="heading 2"/>
    <w:uiPriority w:val="9"/>
    <w:unhideWhenUsed/>
    <w:qFormat/>
    <w:rsid w:val="00B94C3F"/>
    <w:pPr>
      <w:spacing w:before="240" w:after="120" w:line="360" w:lineRule="auto"/>
      <w:outlineLvl w:val="1"/>
    </w:pPr>
    <w:rPr>
      <w:b/>
      <w:bCs/>
      <w:color w:val="0B769F" w:themeColor="accent4" w:themeShade="BF"/>
      <w:sz w:val="32"/>
      <w:szCs w:val="26"/>
    </w:rPr>
  </w:style>
  <w:style w:type="paragraph" w:styleId="Heading3">
    <w:name w:val="heading 3"/>
    <w:uiPriority w:val="9"/>
    <w:semiHidden/>
    <w:unhideWhenUsed/>
    <w:qFormat/>
    <w:rsid w:val="00B94C3F"/>
    <w:pPr>
      <w:spacing w:line="360" w:lineRule="auto"/>
      <w:outlineLvl w:val="2"/>
    </w:pPr>
    <w:rPr>
      <w:b/>
      <w:color w:val="0B769F" w:themeColor="accent4" w:themeShade="BF"/>
      <w:sz w:val="2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1">
    <w:name w:val="toc 1"/>
    <w:basedOn w:val="Normal"/>
    <w:next w:val="Normal"/>
    <w:autoRedefine/>
    <w:uiPriority w:val="39"/>
    <w:unhideWhenUsed/>
    <w:rsid w:val="00B94C3F"/>
    <w:pPr>
      <w:spacing w:after="100"/>
    </w:pPr>
  </w:style>
  <w:style w:type="paragraph" w:styleId="TOC2">
    <w:name w:val="toc 2"/>
    <w:basedOn w:val="Normal"/>
    <w:next w:val="Normal"/>
    <w:autoRedefine/>
    <w:uiPriority w:val="39"/>
    <w:unhideWhenUsed/>
    <w:rsid w:val="00B94C3F"/>
    <w:pPr>
      <w:spacing w:after="100"/>
      <w:ind w:left="240"/>
    </w:pPr>
  </w:style>
  <w:style w:type="paragraph" w:styleId="Caption">
    <w:name w:val="caption"/>
    <w:basedOn w:val="Normal"/>
    <w:next w:val="Normal"/>
    <w:uiPriority w:val="35"/>
    <w:unhideWhenUsed/>
    <w:qFormat/>
    <w:rsid w:val="00B94C3F"/>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45400B"/>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ableofFigures">
    <w:name w:val="table of figures"/>
    <w:basedOn w:val="Normal"/>
    <w:next w:val="Normal"/>
    <w:uiPriority w:val="99"/>
    <w:unhideWhenUsed/>
    <w:rsid w:val="00877AD4"/>
    <w:pPr>
      <w:spacing w:before="120" w:after="120"/>
    </w:pPr>
  </w:style>
  <w:style w:type="paragraph" w:styleId="Header">
    <w:name w:val="header"/>
    <w:basedOn w:val="Normal"/>
    <w:link w:val="HeaderChar"/>
    <w:uiPriority w:val="99"/>
    <w:unhideWhenUsed/>
    <w:rsid w:val="00AC460F"/>
    <w:pPr>
      <w:tabs>
        <w:tab w:val="center" w:pos="4513"/>
        <w:tab w:val="right" w:pos="9026"/>
      </w:tabs>
      <w:spacing w:line="240" w:lineRule="auto"/>
    </w:pPr>
  </w:style>
  <w:style w:type="character" w:customStyle="1" w:styleId="HeaderChar">
    <w:name w:val="Header Char"/>
    <w:basedOn w:val="DefaultParagraphFont"/>
    <w:link w:val="Header"/>
    <w:uiPriority w:val="99"/>
    <w:rsid w:val="00AC460F"/>
  </w:style>
  <w:style w:type="paragraph" w:styleId="Footer">
    <w:name w:val="footer"/>
    <w:basedOn w:val="Normal"/>
    <w:link w:val="FooterChar"/>
    <w:uiPriority w:val="99"/>
    <w:unhideWhenUsed/>
    <w:rsid w:val="00AC460F"/>
    <w:pPr>
      <w:tabs>
        <w:tab w:val="center" w:pos="4513"/>
        <w:tab w:val="right" w:pos="9026"/>
      </w:tabs>
      <w:spacing w:line="240" w:lineRule="auto"/>
    </w:pPr>
  </w:style>
  <w:style w:type="character" w:customStyle="1" w:styleId="FooterChar">
    <w:name w:val="Footer Char"/>
    <w:basedOn w:val="DefaultParagraphFont"/>
    <w:link w:val="Footer"/>
    <w:uiPriority w:val="99"/>
    <w:rsid w:val="00AC460F"/>
  </w:style>
  <w:style w:type="character" w:styleId="UnresolvedMention">
    <w:name w:val="Unresolved Mention"/>
    <w:basedOn w:val="DefaultParagraphFont"/>
    <w:uiPriority w:val="99"/>
    <w:semiHidden/>
    <w:unhideWhenUsed/>
    <w:rsid w:val="00C665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F63B4-A1AD-410B-A9F2-AB7AE3A2F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6583</Words>
  <Characters>37524</Characters>
  <Application>Microsoft Office Word</Application>
  <DocSecurity>0</DocSecurity>
  <Lines>312</Lines>
  <Paragraphs>88</Paragraphs>
  <ScaleCrop>false</ScaleCrop>
  <Company/>
  <LinksUpToDate>false</LinksUpToDate>
  <CharactersWithSpaces>44019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Sadhana Kumari</cp:lastModifiedBy>
  <cp:revision>6</cp:revision>
  <cp:lastPrinted>2026-04-23T18:36:00Z</cp:lastPrinted>
  <dcterms:created xsi:type="dcterms:W3CDTF">2026-04-24T07:57:00Z</dcterms:created>
  <dcterms:modified xsi:type="dcterms:W3CDTF">2026-04-24T08:15:00Z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7e8a4063-8181-493b-89eb-f2352123ec20</vt:lpwstr>
  </property>
</Properties>
</file>