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421F2D" w14:textId="026A4693" w:rsidR="003821B5" w:rsidRDefault="003821B5" w:rsidP="003821B5">
      <w:pPr>
        <w:pStyle w:val="Title"/>
      </w:pPr>
      <w:r>
        <w:t>What Limits, If Any, Should Be Placed Upon Our Freedom of Speech?</w:t>
      </w:r>
    </w:p>
    <w:p w14:paraId="42223265" w14:textId="77777777" w:rsidR="003821B5" w:rsidRPr="003821B5" w:rsidRDefault="003821B5" w:rsidP="003821B5"/>
    <w:p w14:paraId="5DEE330F" w14:textId="3CDD0629" w:rsidR="005968BD" w:rsidRDefault="005968BD" w:rsidP="005968BD">
      <w:r>
        <w:t>Within a Western society, freedom of speech is often considered a good thing, and that it is obvious that we should be given such a right. However, speech could cause harm, whether directly or indirectly. As a result, should there be limits to our freedom of speech in the same way that there are limitations to our freedom of actions? In this essay I will address three main arguments to what limits, if any should be placed upon our freedom of speech.</w:t>
      </w:r>
    </w:p>
    <w:p w14:paraId="25200C57" w14:textId="40A22376" w:rsidR="005968BD" w:rsidRDefault="005968BD" w:rsidP="005968BD">
      <w:r>
        <w:t>The first argument that should be considered is that we should have complete freedom of speech. This argument can, at face v</w:t>
      </w:r>
      <w:r w:rsidR="00530300">
        <w:t>alue</w:t>
      </w:r>
      <w:r>
        <w:t xml:space="preserve">, be supported by different laws that are in place to protect people’s rights. The most obvious being the First Amendment in the United States. This </w:t>
      </w:r>
      <w:r w:rsidR="008A118D">
        <w:t>declares</w:t>
      </w:r>
      <w:r>
        <w:t xml:space="preserve"> that the state has no right to interfere in a person</w:t>
      </w:r>
      <w:r w:rsidR="008263BF">
        <w:t>’</w:t>
      </w:r>
      <w:r>
        <w:t xml:space="preserve">s freedom of </w:t>
      </w:r>
      <w:r w:rsidR="008263BF">
        <w:t xml:space="preserve">belief and the expression of such a </w:t>
      </w:r>
      <w:r w:rsidR="00530300">
        <w:t>belief</w:t>
      </w:r>
      <w:r w:rsidR="008263BF">
        <w:t>. Although this may seem like an obvious right within many western societies this can still lead to issues. For example, one person</w:t>
      </w:r>
      <w:r w:rsidR="008A118D">
        <w:t>’</w:t>
      </w:r>
      <w:r w:rsidR="008263BF">
        <w:t>s right to freedom of speech can lead to an infringement of someone’s right to live without fear. This can be further supported by the Declaration of Human Rights by the United Nations. Where Article 19 states that:</w:t>
      </w:r>
    </w:p>
    <w:p w14:paraId="49CDB599" w14:textId="6D8F484A" w:rsidR="008263BF" w:rsidRDefault="008263BF" w:rsidP="008263BF">
      <w:pPr>
        <w:ind w:left="720"/>
      </w:pPr>
      <w:r>
        <w:rPr>
          <w:rFonts w:cs="Arial"/>
          <w:sz w:val="21"/>
          <w:szCs w:val="21"/>
          <w:lang w:val="en"/>
        </w:rPr>
        <w:t>Everyone has the right to freedom of opinion and expression; this right includes freedom to   hold opinions without interference and to seek, receive and impart information and ideas through any media and regardless of frontiers</w:t>
      </w:r>
      <w:r>
        <w:rPr>
          <w:rStyle w:val="FootnoteReference"/>
        </w:rPr>
        <w:footnoteReference w:id="1"/>
      </w:r>
    </w:p>
    <w:p w14:paraId="5B6DF497" w14:textId="25A45BFB" w:rsidR="008263BF" w:rsidRDefault="008263BF" w:rsidP="008263BF">
      <w:r>
        <w:t>However, there are sub sections to the article that states there are certain restrictions to o</w:t>
      </w:r>
      <w:r w:rsidR="00530300">
        <w:t>u</w:t>
      </w:r>
      <w:r>
        <w:t>r freedom of speech if it is for the protection of national security; public order, health or morals; or the reputation of others.</w:t>
      </w:r>
      <w:r>
        <w:rPr>
          <w:rStyle w:val="FootnoteReference"/>
        </w:rPr>
        <w:footnoteReference w:id="2"/>
      </w:r>
      <w:r>
        <w:t xml:space="preserve"> </w:t>
      </w:r>
      <w:r w:rsidR="00530300">
        <w:t>Therefore suggesting that there should be minimal limits to our freedom of speech,</w:t>
      </w:r>
      <w:r w:rsidR="00630E92">
        <w:t xml:space="preserve"> but</w:t>
      </w:r>
      <w:r w:rsidR="00530300">
        <w:t xml:space="preserve"> only if it is for the greater good of a country.</w:t>
      </w:r>
    </w:p>
    <w:p w14:paraId="6F04C06B" w14:textId="4F0F34D1" w:rsidR="00530300" w:rsidRDefault="008263BF" w:rsidP="005968BD">
      <w:r>
        <w:t xml:space="preserve">Another argument for </w:t>
      </w:r>
      <w:r w:rsidR="00496360">
        <w:t>there being no limits placed upon our freedom of speech is that if we were to restrict our freedom of speech, it would most probably be limited to arguments that we consider distasteful or untrue</w:t>
      </w:r>
      <w:r w:rsidR="00793163">
        <w:t>. This would then assume the idea that our current views are infallible,</w:t>
      </w:r>
      <w:r w:rsidR="00E937D3">
        <w:t xml:space="preserve"> which is untrue</w:t>
      </w:r>
      <w:r w:rsidR="00605F27">
        <w:rPr>
          <w:rStyle w:val="FootnoteReference"/>
        </w:rPr>
        <w:footnoteReference w:id="3"/>
      </w:r>
      <w:r w:rsidR="00E937D3">
        <w:t xml:space="preserve">. </w:t>
      </w:r>
      <w:r w:rsidR="008A118D">
        <w:t>This is as,</w:t>
      </w:r>
      <w:r w:rsidR="00E937D3">
        <w:t xml:space="preserve"> both historically and geographically people assume different beliefs to be true. In history people have been prosecuted for beliefs that we now consider to be acceptable, for example, it was not until 1967 that homosexuality was legalised in</w:t>
      </w:r>
      <w:r w:rsidR="005E4343">
        <w:t xml:space="preserve"> England and Wales</w:t>
      </w:r>
      <w:r w:rsidR="008A118D">
        <w:t>.</w:t>
      </w:r>
      <w:r w:rsidR="00E937D3">
        <w:rPr>
          <w:rStyle w:val="FootnoteReference"/>
        </w:rPr>
        <w:footnoteReference w:id="4"/>
      </w:r>
      <w:r w:rsidR="005E4343">
        <w:t xml:space="preserve"> Furthermore, within history, people have been prosecuted for spreading a belief that is now widely accepted. The most prominent example being the crucifixion of Jesus for spreading Christianity, which is now the most popular religion.  </w:t>
      </w:r>
    </w:p>
    <w:p w14:paraId="6DFDF2CD" w14:textId="03C59C9F" w:rsidR="005968BD" w:rsidRDefault="00770312" w:rsidP="005968BD">
      <w:r>
        <w:t xml:space="preserve">Along with historical differences in what is considered acceptable, there are also geographical differences. For example, in the U.S it is considered acceptable to carry arms, whereas it is against the law to do so in the U.K. These differences highlight that there should be freedom of speech as it </w:t>
      </w:r>
      <w:r>
        <w:lastRenderedPageBreak/>
        <w:t>allows for individuality and expression. Furthermore, if there was not freedom of speech, according to Mill, there would not be any development of ideas and what is seen as acceptable</w:t>
      </w:r>
      <w:r w:rsidR="00134D0F">
        <w:rPr>
          <w:rStyle w:val="FootnoteReference"/>
        </w:rPr>
        <w:footnoteReference w:id="5"/>
      </w:r>
      <w:r>
        <w:t xml:space="preserve">. This can be clearly illustrated within the Civil Rights Movement in </w:t>
      </w:r>
      <w:r w:rsidR="00605F27">
        <w:t>the U.S during the 1950’s and 1960’s, where popular opinion was being changed. This therefore supports Mill where he argued</w:t>
      </w:r>
      <w:r w:rsidR="00BF5B4E">
        <w:t xml:space="preserve"> that we need freedom of speech so that we can act in a way that makes changes for issues that we care about</w:t>
      </w:r>
      <w:r w:rsidR="00605F27">
        <w:rPr>
          <w:rStyle w:val="FootnoteReference"/>
        </w:rPr>
        <w:footnoteReference w:id="6"/>
      </w:r>
      <w:r w:rsidR="00605F27">
        <w:t>. As a result, it could be argued that there should not be limits placed upon our freedom of speech as having freedom of speech, without fear of prosecution</w:t>
      </w:r>
      <w:r w:rsidR="00FC6DCC">
        <w:t>,</w:t>
      </w:r>
      <w:r w:rsidR="00605F27">
        <w:t xml:space="preserve"> can lead to positive social change. </w:t>
      </w:r>
    </w:p>
    <w:p w14:paraId="7A84D5DA" w14:textId="1439A821" w:rsidR="008F74A1" w:rsidRDefault="00FC6DCC" w:rsidP="005968BD">
      <w:r>
        <w:t xml:space="preserve">Despite Mill’s main argument that we should have freedom of speech he does recognise that there are times where our freedom of speech should be limited, known as the Harm or Liberty Principle. It states that </w:t>
      </w:r>
      <w:r w:rsidRPr="00FC6DCC">
        <w:t>“</w:t>
      </w:r>
      <w:r w:rsidR="00630E92">
        <w:rPr>
          <w:rFonts w:cs="Arial"/>
          <w:color w:val="222222"/>
          <w:shd w:val="clear" w:color="auto" w:fill="FFFFFF"/>
        </w:rPr>
        <w:t>t</w:t>
      </w:r>
      <w:r w:rsidRPr="00FC6DCC">
        <w:rPr>
          <w:rFonts w:cs="Arial"/>
          <w:color w:val="222222"/>
          <w:shd w:val="clear" w:color="auto" w:fill="FFFFFF"/>
        </w:rPr>
        <w:t>he only purpose for which power can be rightfully exercised over any member of a civilized community, against his will, is to prevent harm to others.</w:t>
      </w:r>
      <w:r w:rsidRPr="00FC6DCC">
        <w:t>”</w:t>
      </w:r>
      <w:r>
        <w:rPr>
          <w:rStyle w:val="FootnoteReference"/>
        </w:rPr>
        <w:footnoteReference w:id="7"/>
      </w:r>
      <w:r>
        <w:t xml:space="preserve"> This is as there </w:t>
      </w:r>
      <w:r w:rsidR="00630E92">
        <w:t>are</w:t>
      </w:r>
      <w:r>
        <w:t xml:space="preserve"> times where our words can cause harm towards other</w:t>
      </w:r>
      <w:r w:rsidR="00530300">
        <w:t>s</w:t>
      </w:r>
      <w:r>
        <w:t>, whether it is directly calling for violence or indirectly doing so. Mill highlights this with the example of a person telling an angry mob that the corn dealer is ripping them off</w:t>
      </w:r>
      <w:r w:rsidR="00FB1D5D">
        <w:rPr>
          <w:rStyle w:val="FootnoteReference"/>
        </w:rPr>
        <w:footnoteReference w:id="8"/>
      </w:r>
      <w:r>
        <w:t>. In this situation</w:t>
      </w:r>
      <w:r w:rsidR="00FB1D5D">
        <w:t xml:space="preserve">, it could be argued that the persons freedom of speech should be limited as it would </w:t>
      </w:r>
      <w:r w:rsidR="00530300">
        <w:t>inevitably</w:t>
      </w:r>
      <w:r w:rsidR="00FB1D5D">
        <w:t xml:space="preserve"> lead to violence. It is the harm that a person could cause that gives a sufficient reason to why they should be limited to</w:t>
      </w:r>
      <w:r w:rsidR="008F74A1">
        <w:t xml:space="preserve"> being able</w:t>
      </w:r>
      <w:r w:rsidR="00FB1D5D">
        <w:t xml:space="preserve"> </w:t>
      </w:r>
      <w:r w:rsidR="008F74A1">
        <w:t xml:space="preserve">to </w:t>
      </w:r>
      <w:r w:rsidR="00FB1D5D">
        <w:t xml:space="preserve">say </w:t>
      </w:r>
      <w:r w:rsidR="008F74A1">
        <w:t>whatever</w:t>
      </w:r>
      <w:r w:rsidR="00FB1D5D">
        <w:t xml:space="preserve"> they want.</w:t>
      </w:r>
      <w:r w:rsidR="008F74A1">
        <w:t xml:space="preserve"> </w:t>
      </w:r>
    </w:p>
    <w:p w14:paraId="10006B38" w14:textId="304655E7" w:rsidR="00EB53BB" w:rsidRDefault="008F74A1" w:rsidP="005968BD">
      <w:r>
        <w:t>There are, however</w:t>
      </w:r>
      <w:r w:rsidR="00EB53BB">
        <w:t>,</w:t>
      </w:r>
      <w:r>
        <w:t xml:space="preserve"> issues with </w:t>
      </w:r>
      <w:r w:rsidR="00EB53BB">
        <w:t>Mill’s harm principle. Primarily that</w:t>
      </w:r>
      <w:r w:rsidR="00134D0F">
        <w:t xml:space="preserve"> it</w:t>
      </w:r>
      <w:r w:rsidR="00EB53BB">
        <w:t xml:space="preserve"> is difficult to know what will cause harm to another person as a result of what we say. This is as, although within the example that Mill provides it is quite clear that violence would result from a person telling an angry mob that they are being taken advantage of, it is not always so predictable. For example, what is someone was to tell a group of people that they were being taken advantage of and then they all grouped together and started a riot. It could not be argued that they were expected to know that would be the outcome</w:t>
      </w:r>
      <w:r w:rsidR="00A715DA">
        <w:t>, highlighting that Mill’s example is flawed</w:t>
      </w:r>
      <w:r w:rsidR="00EB53BB">
        <w:t>.</w:t>
      </w:r>
      <w:r w:rsidR="00881D71">
        <w:t xml:space="preserve"> </w:t>
      </w:r>
      <w:r w:rsidR="00EB53BB">
        <w:t>Furthermore, if we were to accept this idea that we would be to blame if violence was caused as a result of what we say, it could lead to a society where everyone is too afraid to say when an injustice had taken place in fear that when they said it</w:t>
      </w:r>
      <w:r w:rsidR="00553DF2">
        <w:t>, violence would follow and they would be held responsible for it.</w:t>
      </w:r>
      <w:r w:rsidR="00881D71">
        <w:t xml:space="preserve"> </w:t>
      </w:r>
    </w:p>
    <w:p w14:paraId="60F6F923" w14:textId="607D573E" w:rsidR="00FC3ADF" w:rsidRDefault="00FC3ADF" w:rsidP="005968BD">
      <w:r>
        <w:t>A further issue with Mill’s harm principle is that it is difficult to distinguish what causes harm to another person. This is as actions can be split into</w:t>
      </w:r>
      <w:r w:rsidR="00E558EA">
        <w:t xml:space="preserve"> two classes, purely self-regarding and other-regarding actions.</w:t>
      </w:r>
      <w:r w:rsidR="00E558EA">
        <w:rPr>
          <w:rStyle w:val="FootnoteReference"/>
        </w:rPr>
        <w:footnoteReference w:id="9"/>
      </w:r>
      <w:r w:rsidR="00E558EA">
        <w:t xml:space="preserve"> This then causes an issue as the Harm principle argues that there is only justification for there being limits put upon our freedom of speech if they are other-regarding actions and that there should be no influence on self-regarding actions. However, any action that we do will have an effect on another person, even if that is minima</w:t>
      </w:r>
      <w:r w:rsidR="00313AE3">
        <w:t>l. Wolff uses the example of choosing a pair of shoes over another to highlight that all of our actions have an effect on someone else.</w:t>
      </w:r>
      <w:r w:rsidR="00313AE3">
        <w:rPr>
          <w:rStyle w:val="FootnoteReference"/>
        </w:rPr>
        <w:footnoteReference w:id="10"/>
      </w:r>
      <w:r w:rsidR="00313AE3">
        <w:t xml:space="preserve"> This is as, by choosing one pair over another you could harm one person’s business. Although this is a trivial example, it does prove useful in highlighting that it is very difficult to think of an action that is only </w:t>
      </w:r>
      <w:r w:rsidR="00A715DA">
        <w:t xml:space="preserve">purely </w:t>
      </w:r>
      <w:r w:rsidR="00313AE3">
        <w:t>self-regarding. Consequently, it could be argued that there either needs to be no restrictions or more r</w:t>
      </w:r>
      <w:r w:rsidR="00A715DA">
        <w:t>estrictions</w:t>
      </w:r>
      <w:r w:rsidR="00313AE3">
        <w:t xml:space="preserve"> put upon our freedom of speech tha</w:t>
      </w:r>
      <w:r w:rsidR="00A715DA">
        <w:t>n</w:t>
      </w:r>
      <w:r w:rsidR="00313AE3">
        <w:t xml:space="preserve"> Mill would argue as it is difficult to decide what is and is not acceptable, which would ultimately lead to confusion. </w:t>
      </w:r>
    </w:p>
    <w:p w14:paraId="7E1DDC89" w14:textId="3D338952" w:rsidR="008B3420" w:rsidRDefault="00FB1D5D" w:rsidP="005968BD">
      <w:r>
        <w:lastRenderedPageBreak/>
        <w:t>A further reason i</w:t>
      </w:r>
      <w:r w:rsidR="00A715DA">
        <w:t>t</w:t>
      </w:r>
      <w:r>
        <w:t xml:space="preserve"> could be argued that there should be limited placed upon our freedom of speech is if it encourages hate towards a certain group of people. This is as if an individual is given a platform to spread hate, it is then seen as more acceptable by the people around them</w:t>
      </w:r>
      <w:r w:rsidR="008F74A1">
        <w:t>. This can be supported by laws put in place by different countries around the world, including the law in the U.K that prohibits harassment and inciting others to commit a hate crime</w:t>
      </w:r>
      <w:r w:rsidR="008F74A1">
        <w:rPr>
          <w:rStyle w:val="FootnoteReference"/>
        </w:rPr>
        <w:footnoteReference w:id="11"/>
      </w:r>
      <w:r w:rsidR="008F74A1">
        <w:t>, which therefore puts limits upon our freedom of speech in order to protect people from directed crimes. It is therefore justifiable to place limits upon our freedom of speech if it can help to protect others and</w:t>
      </w:r>
      <w:r w:rsidR="00A715DA">
        <w:t xml:space="preserve"> ensures</w:t>
      </w:r>
      <w:r w:rsidR="008F74A1">
        <w:t xml:space="preserve"> that their human rights are </w:t>
      </w:r>
      <w:r w:rsidR="00A715DA">
        <w:t>upheld.</w:t>
      </w:r>
      <w:r w:rsidR="008F74A1">
        <w:t xml:space="preserve"> </w:t>
      </w:r>
    </w:p>
    <w:p w14:paraId="5DC47440" w14:textId="3007799C" w:rsidR="005968BD" w:rsidRDefault="008B3420" w:rsidP="005968BD">
      <w:r>
        <w:t xml:space="preserve">There is also an argument that Mill’s Harm Principle is </w:t>
      </w:r>
      <w:r w:rsidR="00A715DA">
        <w:t xml:space="preserve">not </w:t>
      </w:r>
      <w:r>
        <w:t>enough when putting limits on people’s freedom of speech, but instead an ‘Offence Princip</w:t>
      </w:r>
      <w:r w:rsidR="00A715DA">
        <w:t>l</w:t>
      </w:r>
      <w:r>
        <w:t xml:space="preserve">e’ as suggested by Feinberg is more appropriate. This is as, although less severe, causing offence to someone can still cause harm, especially if these offences are </w:t>
      </w:r>
      <w:r w:rsidR="00A715DA">
        <w:t>continued and extreme</w:t>
      </w:r>
      <w:r w:rsidR="00F00C30">
        <w:t>.</w:t>
      </w:r>
      <w:r>
        <w:rPr>
          <w:rStyle w:val="FootnoteReference"/>
        </w:rPr>
        <w:footnoteReference w:id="12"/>
      </w:r>
      <w:r w:rsidR="00F00C30">
        <w:t xml:space="preserve"> This is as what we say can be deeply offensive to another person, even when no physical harm is done. An example </w:t>
      </w:r>
      <w:r w:rsidR="00CF0299">
        <w:t>that is used by Feinberg is the example of loud building work. In this he argues that “extreme nuisances can actually reach the threshold of harm, as when building noises in the house next door prevent a student from studying at all on the evening before an examination”</w:t>
      </w:r>
      <w:r w:rsidR="00587661">
        <w:rPr>
          <w:rStyle w:val="FootnoteReference"/>
        </w:rPr>
        <w:footnoteReference w:id="13"/>
      </w:r>
      <w:r w:rsidR="00CF0299">
        <w:t xml:space="preserve">. This would result in harm as it could negatively affect the individuals results in that exam which could in turn mean that they do not get the grades that they need to progress in education. </w:t>
      </w:r>
      <w:r w:rsidR="00F00C30">
        <w:t>It could then be argued that speech that leads to people being deeply offended should be restricted as it would allow for more people in society to feel less persecuted and excluded</w:t>
      </w:r>
      <w:r w:rsidR="00A715DA">
        <w:t xml:space="preserve">, thus there should be limits placed upon our freedom of speech. </w:t>
      </w:r>
    </w:p>
    <w:p w14:paraId="4F53DEE5" w14:textId="5760BA0C" w:rsidR="00F00C30" w:rsidRDefault="00F00C30" w:rsidP="005968BD">
      <w:r>
        <w:t>However, there would b</w:t>
      </w:r>
      <w:r w:rsidR="00A715DA">
        <w:t>e</w:t>
      </w:r>
      <w:r>
        <w:t xml:space="preserve"> multiple problems with setting limits on freedom of speech if it would offend someone. The most basic criticism is that everyone takes offence differently. Consequently, it would be difficult to set and enforce a law that would prevent people from being offended. This</w:t>
      </w:r>
      <w:r w:rsidR="003E634C">
        <w:t xml:space="preserve"> </w:t>
      </w:r>
      <w:r>
        <w:t xml:space="preserve">raises further issues as what one person may find funny </w:t>
      </w:r>
      <w:r w:rsidR="003E634C">
        <w:t>another person may be offended by, this would be particularly true for when jokes are made as they are often made at the expense of someone else. In addition to this, some people may take offense to something that is unavoidable. A main example of this would be in a hospital where an individual may be offended by the sight of an injury. However, Feinberg does address such an issue, where he argues that in a situation such as this there is no one to resent and thus we can not take offence but that does not mean that we may not be offended.</w:t>
      </w:r>
      <w:r w:rsidR="003E634C">
        <w:rPr>
          <w:rStyle w:val="FootnoteReference"/>
        </w:rPr>
        <w:footnoteReference w:id="14"/>
      </w:r>
      <w:r w:rsidR="003E634C">
        <w:t xml:space="preserve"> Despite Feinberg addressing some of the issues that result because of the subjectivity of personal emotions, the issue still remains that it would be unjust to enforce such narrow rules to our freedom of speech </w:t>
      </w:r>
      <w:r w:rsidR="00CF0299">
        <w:t>as it could result in a subjective justice system.</w:t>
      </w:r>
    </w:p>
    <w:p w14:paraId="6C9907A5" w14:textId="12CC46B8" w:rsidR="00CF0299" w:rsidRDefault="00CF0299" w:rsidP="005968BD">
      <w:r>
        <w:t>To refute this criticism Feinberg argues that the we should not “attempt to control offensiveness by the criminal law when other modes of regulation can do the job as efficiently”</w:t>
      </w:r>
      <w:r>
        <w:rPr>
          <w:rStyle w:val="FootnoteReference"/>
        </w:rPr>
        <w:footnoteReference w:id="15"/>
      </w:r>
      <w:r>
        <w:t xml:space="preserve">. This would help to overcome some of the issues as mentioned above as it would help to prevent there from being an unjust and subjective state justice system. However, there would still remain </w:t>
      </w:r>
      <w:r w:rsidR="00587661">
        <w:t xml:space="preserve">a subjectivity to what the punishment is, even if a punishment was less severe and not enforced by the state. </w:t>
      </w:r>
    </w:p>
    <w:p w14:paraId="4CE1B373" w14:textId="4C164A7B" w:rsidR="00587661" w:rsidRDefault="00587661" w:rsidP="005968BD">
      <w:r>
        <w:t xml:space="preserve">However, there could still be some limits placed upon our freedom of speech based </w:t>
      </w:r>
      <w:r w:rsidR="00590A15">
        <w:t>off of</w:t>
      </w:r>
      <w:r>
        <w:t xml:space="preserve"> the offence principle that would be justified. An example of this would be banning symbols that have </w:t>
      </w:r>
      <w:r>
        <w:lastRenderedPageBreak/>
        <w:t>“no other function but to affront, insult, and threaten”</w:t>
      </w:r>
      <w:r>
        <w:rPr>
          <w:rStyle w:val="FootnoteReference"/>
        </w:rPr>
        <w:footnoteReference w:id="16"/>
      </w:r>
      <w:r>
        <w:t>, such as the Nazi swastika</w:t>
      </w:r>
      <w:r w:rsidR="00943623">
        <w:t xml:space="preserve"> or other symbols that are associated with barbaric historical events</w:t>
      </w:r>
      <w:r>
        <w:t>. This is as such symbols are objectively offensive and hateful</w:t>
      </w:r>
      <w:r w:rsidR="00943623">
        <w:t xml:space="preserve"> </w:t>
      </w:r>
      <w:r>
        <w:t>and are used to spread fear that can result in physical and mental harm.</w:t>
      </w:r>
      <w:r w:rsidR="00943623">
        <w:t xml:space="preserve"> Furthermore, such symbols are often used in order to get a response, which can lead to violence and other acts that are against the law. As a result, it means that people who are subjected to such actions are not able to respond in a way that they consider justifiable and therefore causes more suffering.</w:t>
      </w:r>
    </w:p>
    <w:p w14:paraId="6AFC1E59" w14:textId="0948AA62" w:rsidR="00943623" w:rsidRDefault="00943623" w:rsidP="005968BD">
      <w:r>
        <w:t>In conclusion, there should be some limits placed upon our freedom of speech, if what we say would result i</w:t>
      </w:r>
      <w:r w:rsidR="00AB33DF">
        <w:t>n</w:t>
      </w:r>
      <w:r>
        <w:t xml:space="preserve"> severe suffering, either physical or mental. This is as words can have a dramatic affect on an individual’s health, which </w:t>
      </w:r>
      <w:r w:rsidR="00AB33DF">
        <w:t>inevitably</w:t>
      </w:r>
      <w:r>
        <w:t xml:space="preserve"> leads to harm. Although it would be naive for a law to be put in place solely based off the Harm principle, as there is not always a way to know if our words will lead to violence, there should still be limits when it is inevitable that harm will be caused</w:t>
      </w:r>
      <w:r w:rsidR="00AB33DF">
        <w:t>.</w:t>
      </w:r>
      <w:r w:rsidR="00A02381">
        <w:t xml:space="preserve"> </w:t>
      </w:r>
      <w:r w:rsidR="00AB33DF">
        <w:t>T</w:t>
      </w:r>
      <w:r>
        <w:t>his is particularly true for symbols that reflect barbaric historical periods. To add to this there should be more of an emphasis</w:t>
      </w:r>
      <w:r w:rsidR="00A02381">
        <w:t xml:space="preserve"> put on issues of wellbeing, especially considering that currently there is a growing issue of mental health that is often ignore or bypassed when considering political issues.  </w:t>
      </w:r>
    </w:p>
    <w:p w14:paraId="5E5AEB33" w14:textId="60FDF39E" w:rsidR="003821B5" w:rsidRDefault="003821B5" w:rsidP="005968BD"/>
    <w:p w14:paraId="11C9F3DD" w14:textId="77777777" w:rsidR="00DF17E8" w:rsidRDefault="00DF17E8" w:rsidP="003821B5">
      <w:pPr>
        <w:pStyle w:val="Subtitle"/>
      </w:pPr>
    </w:p>
    <w:p w14:paraId="257DFA7F" w14:textId="77777777" w:rsidR="00DF17E8" w:rsidRDefault="00DF17E8" w:rsidP="003821B5">
      <w:pPr>
        <w:pStyle w:val="Subtitle"/>
      </w:pPr>
    </w:p>
    <w:p w14:paraId="24CB7BFB" w14:textId="77777777" w:rsidR="00DF17E8" w:rsidRDefault="00DF17E8" w:rsidP="003821B5">
      <w:pPr>
        <w:pStyle w:val="Subtitle"/>
      </w:pPr>
    </w:p>
    <w:p w14:paraId="5C4F0979" w14:textId="77777777" w:rsidR="00DF17E8" w:rsidRDefault="00DF17E8" w:rsidP="003821B5">
      <w:pPr>
        <w:pStyle w:val="Subtitle"/>
      </w:pPr>
    </w:p>
    <w:p w14:paraId="195BE40B" w14:textId="77777777" w:rsidR="00DF17E8" w:rsidRDefault="00DF17E8" w:rsidP="003821B5">
      <w:pPr>
        <w:pStyle w:val="Subtitle"/>
      </w:pPr>
    </w:p>
    <w:p w14:paraId="6E303F2D" w14:textId="77777777" w:rsidR="00DF17E8" w:rsidRDefault="00DF17E8" w:rsidP="003821B5">
      <w:pPr>
        <w:pStyle w:val="Subtitle"/>
      </w:pPr>
    </w:p>
    <w:p w14:paraId="01DDFBDF" w14:textId="77777777" w:rsidR="00DF17E8" w:rsidRDefault="00DF17E8" w:rsidP="003821B5">
      <w:pPr>
        <w:pStyle w:val="Subtitle"/>
      </w:pPr>
    </w:p>
    <w:p w14:paraId="723B2297" w14:textId="77777777" w:rsidR="00DF17E8" w:rsidRDefault="00DF17E8" w:rsidP="003821B5">
      <w:pPr>
        <w:pStyle w:val="Subtitle"/>
      </w:pPr>
    </w:p>
    <w:p w14:paraId="75A254E3" w14:textId="77777777" w:rsidR="00DF17E8" w:rsidRDefault="00DF17E8" w:rsidP="003821B5">
      <w:pPr>
        <w:pStyle w:val="Subtitle"/>
      </w:pPr>
    </w:p>
    <w:p w14:paraId="5299247D" w14:textId="77777777" w:rsidR="00DF17E8" w:rsidRDefault="00DF17E8" w:rsidP="003821B5">
      <w:pPr>
        <w:pStyle w:val="Subtitle"/>
      </w:pPr>
    </w:p>
    <w:p w14:paraId="6F7E1FE1" w14:textId="77777777" w:rsidR="00DF17E8" w:rsidRDefault="00DF17E8" w:rsidP="003821B5">
      <w:pPr>
        <w:pStyle w:val="Subtitle"/>
      </w:pPr>
    </w:p>
    <w:p w14:paraId="30C7121C" w14:textId="77777777" w:rsidR="00DF17E8" w:rsidRDefault="00DF17E8" w:rsidP="003821B5">
      <w:pPr>
        <w:pStyle w:val="Subtitle"/>
      </w:pPr>
    </w:p>
    <w:p w14:paraId="2B6419D7" w14:textId="77777777" w:rsidR="00DF17E8" w:rsidRDefault="00DF17E8" w:rsidP="003821B5">
      <w:pPr>
        <w:pStyle w:val="Subtitle"/>
      </w:pPr>
    </w:p>
    <w:p w14:paraId="47B31FA6" w14:textId="77777777" w:rsidR="00DF17E8" w:rsidRDefault="00DF17E8" w:rsidP="003821B5">
      <w:pPr>
        <w:pStyle w:val="Subtitle"/>
      </w:pPr>
    </w:p>
    <w:p w14:paraId="3DA11254" w14:textId="77777777" w:rsidR="00DF17E8" w:rsidRDefault="00DF17E8" w:rsidP="003821B5">
      <w:pPr>
        <w:pStyle w:val="Subtitle"/>
      </w:pPr>
    </w:p>
    <w:p w14:paraId="73270458" w14:textId="77777777" w:rsidR="00DF17E8" w:rsidRDefault="00DF17E8" w:rsidP="003821B5">
      <w:pPr>
        <w:pStyle w:val="Subtitle"/>
      </w:pPr>
    </w:p>
    <w:p w14:paraId="07EE78F3" w14:textId="77777777" w:rsidR="00DF17E8" w:rsidRDefault="00DF17E8" w:rsidP="003821B5">
      <w:pPr>
        <w:pStyle w:val="Subtitle"/>
      </w:pPr>
    </w:p>
    <w:p w14:paraId="1526B5AE" w14:textId="77777777" w:rsidR="00DF17E8" w:rsidRDefault="00DF17E8" w:rsidP="003821B5">
      <w:pPr>
        <w:pStyle w:val="Subtitle"/>
      </w:pPr>
    </w:p>
    <w:p w14:paraId="73A91C7A" w14:textId="77777777" w:rsidR="00DF17E8" w:rsidRDefault="00DF17E8" w:rsidP="003821B5">
      <w:pPr>
        <w:pStyle w:val="Subtitle"/>
      </w:pPr>
    </w:p>
    <w:p w14:paraId="0977EA6A" w14:textId="39B66FF4" w:rsidR="003821B5" w:rsidRDefault="003821B5" w:rsidP="003821B5">
      <w:pPr>
        <w:pStyle w:val="Subtitle"/>
      </w:pPr>
      <w:bookmarkStart w:id="0" w:name="_GoBack"/>
      <w:bookmarkEnd w:id="0"/>
      <w:r>
        <w:lastRenderedPageBreak/>
        <w:t>Bibliography</w:t>
      </w:r>
    </w:p>
    <w:p w14:paraId="4A2551F9" w14:textId="77777777" w:rsidR="00432E52" w:rsidRDefault="00432E52" w:rsidP="003821B5">
      <w:r>
        <w:t xml:space="preserve">Feinberg, J. </w:t>
      </w:r>
      <w:r w:rsidRPr="00405D28">
        <w:rPr>
          <w:i/>
          <w:iCs/>
        </w:rPr>
        <w:t>The Moral Limits of Criminal Law: Volume 2: Offense to Others</w:t>
      </w:r>
      <w:r>
        <w:rPr>
          <w:i/>
          <w:iCs/>
        </w:rPr>
        <w:t>,</w:t>
      </w:r>
      <w:r>
        <w:t xml:space="preserve"> (Oxford Scholarship Online, 2006)</w:t>
      </w:r>
    </w:p>
    <w:p w14:paraId="14C68EC2" w14:textId="77777777" w:rsidR="00432E52" w:rsidRDefault="00432E52" w:rsidP="00432E52">
      <w:r>
        <w:t xml:space="preserve">Mill, J. </w:t>
      </w:r>
      <w:r>
        <w:rPr>
          <w:i/>
          <w:iCs/>
        </w:rPr>
        <w:t xml:space="preserve">On Liberty, </w:t>
      </w:r>
      <w:r>
        <w:t xml:space="preserve">in </w:t>
      </w:r>
      <w:r>
        <w:rPr>
          <w:i/>
          <w:iCs/>
        </w:rPr>
        <w:t xml:space="preserve">Utilitarianism and Other Writings, </w:t>
      </w:r>
      <w:r>
        <w:t>ed. Mary Warnock, 2</w:t>
      </w:r>
      <w:r w:rsidRPr="003821B5">
        <w:rPr>
          <w:vertAlign w:val="superscript"/>
        </w:rPr>
        <w:t>nd</w:t>
      </w:r>
      <w:r>
        <w:t xml:space="preserve"> edn. ([1859] Glasgow: Collins, 2003)</w:t>
      </w:r>
    </w:p>
    <w:p w14:paraId="205F5F07" w14:textId="77777777" w:rsidR="00432E52" w:rsidRDefault="00432E52" w:rsidP="003821B5">
      <w:r>
        <w:rPr>
          <w:i/>
          <w:iCs/>
        </w:rPr>
        <w:t xml:space="preserve">Sexual Offences Act 1967, c.60 </w:t>
      </w:r>
      <w:r>
        <w:t>(London: The Stationary Office, 1967),</w:t>
      </w:r>
      <w:r>
        <w:rPr>
          <w:i/>
          <w:iCs/>
        </w:rPr>
        <w:t xml:space="preserve"> &lt;</w:t>
      </w:r>
      <w:hyperlink r:id="rId7" w:history="1">
        <w:r w:rsidRPr="00284FA8">
          <w:rPr>
            <w:rStyle w:val="Hyperlink"/>
          </w:rPr>
          <w:t>http://www.legislation.gov.uk/ukpga/1967/60/pdfs/ukpga_19670060_en.pdf</w:t>
        </w:r>
      </w:hyperlink>
      <w:r>
        <w:t>&gt; [Accessed: 3 March 2020]</w:t>
      </w:r>
    </w:p>
    <w:p w14:paraId="05CD4C04" w14:textId="77777777" w:rsidR="00432E52" w:rsidRDefault="00C9304C" w:rsidP="003821B5">
      <w:pPr>
        <w:rPr>
          <w:rStyle w:val="Hyperlink"/>
          <w:color w:val="auto"/>
          <w:u w:val="none"/>
        </w:rPr>
      </w:pPr>
      <w:hyperlink r:id="rId8" w:history="1">
        <w:r w:rsidR="00432E52">
          <w:t xml:space="preserve">U.K Government, </w:t>
        </w:r>
        <w:r w:rsidR="00432E52">
          <w:rPr>
            <w:i/>
            <w:iCs/>
          </w:rPr>
          <w:t xml:space="preserve">Report Hate Crime </w:t>
        </w:r>
        <w:r w:rsidR="00432E52">
          <w:t>(no date provided) &lt;</w:t>
        </w:r>
        <w:r w:rsidR="00432E52">
          <w:rPr>
            <w:rStyle w:val="Hyperlink"/>
          </w:rPr>
          <w:t>https://www.gov.uk/report-hate-crime</w:t>
        </w:r>
      </w:hyperlink>
      <w:r w:rsidR="00432E52">
        <w:rPr>
          <w:rStyle w:val="Hyperlink"/>
          <w:u w:val="none"/>
        </w:rPr>
        <w:t xml:space="preserve">&gt; </w:t>
      </w:r>
      <w:r w:rsidR="00432E52">
        <w:rPr>
          <w:rStyle w:val="Hyperlink"/>
          <w:color w:val="auto"/>
          <w:u w:val="none"/>
        </w:rPr>
        <w:t>[Accessed 3 March 2020]</w:t>
      </w:r>
    </w:p>
    <w:p w14:paraId="2FE9D8F8" w14:textId="77777777" w:rsidR="00432E52" w:rsidRPr="003821B5" w:rsidRDefault="00432E52" w:rsidP="00432E52">
      <w:r>
        <w:t xml:space="preserve">United Nations, </w:t>
      </w:r>
      <w:r>
        <w:rPr>
          <w:i/>
          <w:iCs/>
        </w:rPr>
        <w:t xml:space="preserve">Universal Declaration of Human Rights </w:t>
      </w:r>
      <w:r>
        <w:t>(no date provided) &lt;</w:t>
      </w:r>
      <w:hyperlink r:id="rId9" w:history="1">
        <w:r w:rsidRPr="00284FA8">
          <w:rPr>
            <w:rStyle w:val="Hyperlink"/>
          </w:rPr>
          <w:t>https://www.un.org/en/universal-declaration-human-rights/</w:t>
        </w:r>
      </w:hyperlink>
      <w:r>
        <w:t>&gt;</w:t>
      </w:r>
    </w:p>
    <w:p w14:paraId="39357FAE" w14:textId="77777777" w:rsidR="00432E52" w:rsidRDefault="00432E52" w:rsidP="003821B5">
      <w:r>
        <w:t xml:space="preserve">Wolff, J. </w:t>
      </w:r>
      <w:r>
        <w:rPr>
          <w:i/>
          <w:iCs/>
        </w:rPr>
        <w:t xml:space="preserve">An Introduction to Political Philosophy, </w:t>
      </w:r>
      <w:r>
        <w:t>3</w:t>
      </w:r>
      <w:r w:rsidRPr="006677E9">
        <w:rPr>
          <w:vertAlign w:val="superscript"/>
        </w:rPr>
        <w:t>rd</w:t>
      </w:r>
      <w:r>
        <w:t xml:space="preserve"> Edn. (Oxford: Oxford University Press, 2016)</w:t>
      </w:r>
    </w:p>
    <w:sectPr w:rsidR="00432E52" w:rsidSect="00605F27">
      <w:headerReference w:type="firs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266455" w14:textId="77777777" w:rsidR="00C9304C" w:rsidRDefault="00C9304C" w:rsidP="008263BF">
      <w:pPr>
        <w:spacing w:after="0" w:line="240" w:lineRule="auto"/>
      </w:pPr>
      <w:r>
        <w:separator/>
      </w:r>
    </w:p>
  </w:endnote>
  <w:endnote w:type="continuationSeparator" w:id="0">
    <w:p w14:paraId="5BEE1FE1" w14:textId="77777777" w:rsidR="00C9304C" w:rsidRDefault="00C9304C" w:rsidP="008263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F41EC5" w14:textId="77777777" w:rsidR="00C9304C" w:rsidRDefault="00C9304C" w:rsidP="008263BF">
      <w:pPr>
        <w:spacing w:after="0" w:line="240" w:lineRule="auto"/>
      </w:pPr>
      <w:r>
        <w:separator/>
      </w:r>
    </w:p>
  </w:footnote>
  <w:footnote w:type="continuationSeparator" w:id="0">
    <w:p w14:paraId="29C082BF" w14:textId="77777777" w:rsidR="00C9304C" w:rsidRDefault="00C9304C" w:rsidP="008263BF">
      <w:pPr>
        <w:spacing w:after="0" w:line="240" w:lineRule="auto"/>
      </w:pPr>
      <w:r>
        <w:continuationSeparator/>
      </w:r>
    </w:p>
  </w:footnote>
  <w:footnote w:id="1">
    <w:p w14:paraId="4AE3F94B" w14:textId="3567FEB3" w:rsidR="00CF0299" w:rsidRDefault="00CF0299">
      <w:pPr>
        <w:pStyle w:val="FootnoteText"/>
      </w:pPr>
      <w:r>
        <w:rPr>
          <w:rStyle w:val="FootnoteReference"/>
        </w:rPr>
        <w:footnoteRef/>
      </w:r>
      <w:r w:rsidR="009D35C0">
        <w:t xml:space="preserve"> United Nations, </w:t>
      </w:r>
      <w:r w:rsidR="009D35C0">
        <w:rPr>
          <w:i/>
          <w:iCs/>
        </w:rPr>
        <w:t xml:space="preserve">Universal Declaration of Human Rights </w:t>
      </w:r>
      <w:r w:rsidR="009D35C0">
        <w:t>(no date provided) &lt;</w:t>
      </w:r>
      <w:hyperlink r:id="rId1" w:history="1">
        <w:r w:rsidR="009D35C0" w:rsidRPr="00284FA8">
          <w:rPr>
            <w:rStyle w:val="Hyperlink"/>
          </w:rPr>
          <w:t>https://www.un.org/en/universal-declaration-human-rights/</w:t>
        </w:r>
      </w:hyperlink>
      <w:r w:rsidR="009D35C0">
        <w:t>&gt;</w:t>
      </w:r>
    </w:p>
  </w:footnote>
  <w:footnote w:id="2">
    <w:p w14:paraId="7ECD35FC" w14:textId="2CD54382" w:rsidR="00CF0299" w:rsidRDefault="00CF0299">
      <w:pPr>
        <w:pStyle w:val="FootnoteText"/>
      </w:pPr>
      <w:r>
        <w:rPr>
          <w:rStyle w:val="FootnoteReference"/>
        </w:rPr>
        <w:footnoteRef/>
      </w:r>
      <w:r>
        <w:t xml:space="preserve"> </w:t>
      </w:r>
      <w:r w:rsidR="009D35C0">
        <w:t>United Nations</w:t>
      </w:r>
      <w:r w:rsidR="00BF5B4E">
        <w:t>,</w:t>
      </w:r>
      <w:r w:rsidR="009D35C0">
        <w:t xml:space="preserve"> (no date provided)</w:t>
      </w:r>
    </w:p>
  </w:footnote>
  <w:footnote w:id="3">
    <w:p w14:paraId="472F5736" w14:textId="4D16B87E" w:rsidR="00CF0299" w:rsidRDefault="00CF0299">
      <w:pPr>
        <w:pStyle w:val="FootnoteText"/>
      </w:pPr>
      <w:r>
        <w:rPr>
          <w:rStyle w:val="FootnoteReference"/>
        </w:rPr>
        <w:footnoteRef/>
      </w:r>
      <w:r>
        <w:t xml:space="preserve"> </w:t>
      </w:r>
      <w:r w:rsidR="003821B5">
        <w:t xml:space="preserve">J. Mill, </w:t>
      </w:r>
      <w:r w:rsidR="003821B5">
        <w:rPr>
          <w:i/>
          <w:iCs/>
        </w:rPr>
        <w:t xml:space="preserve">On Liberty, </w:t>
      </w:r>
      <w:r w:rsidR="003821B5">
        <w:t xml:space="preserve">in </w:t>
      </w:r>
      <w:r w:rsidR="003821B5">
        <w:rPr>
          <w:i/>
          <w:iCs/>
        </w:rPr>
        <w:t xml:space="preserve">Utilitarianism and Other Writings, </w:t>
      </w:r>
      <w:r w:rsidR="003821B5">
        <w:t>ed. Mary Warnock, 2</w:t>
      </w:r>
      <w:r w:rsidR="003821B5" w:rsidRPr="003821B5">
        <w:rPr>
          <w:vertAlign w:val="superscript"/>
        </w:rPr>
        <w:t>nd</w:t>
      </w:r>
      <w:r w:rsidR="003821B5">
        <w:t xml:space="preserve"> edn. ([1859] Glasgow: Collins, 2003)</w:t>
      </w:r>
    </w:p>
  </w:footnote>
  <w:footnote w:id="4">
    <w:p w14:paraId="770BD144" w14:textId="47B63299" w:rsidR="00CF0299" w:rsidRDefault="00CF0299">
      <w:pPr>
        <w:pStyle w:val="FootnoteText"/>
      </w:pPr>
      <w:r>
        <w:rPr>
          <w:rStyle w:val="FootnoteReference"/>
        </w:rPr>
        <w:footnoteRef/>
      </w:r>
      <w:r>
        <w:t xml:space="preserve"> </w:t>
      </w:r>
      <w:r w:rsidR="006677E9">
        <w:rPr>
          <w:i/>
          <w:iCs/>
        </w:rPr>
        <w:t xml:space="preserve">Sexual Offences Act 1967, c.60 </w:t>
      </w:r>
      <w:r w:rsidR="006677E9">
        <w:t>(London: The Stationary Office, 1967),</w:t>
      </w:r>
      <w:r w:rsidR="006677E9">
        <w:rPr>
          <w:i/>
          <w:iCs/>
        </w:rPr>
        <w:t xml:space="preserve"> &lt;</w:t>
      </w:r>
      <w:hyperlink r:id="rId2" w:history="1">
        <w:r w:rsidR="006677E9" w:rsidRPr="00284FA8">
          <w:rPr>
            <w:rStyle w:val="Hyperlink"/>
          </w:rPr>
          <w:t>http://www.legislation.gov.uk/ukpga/1967/60/pdfs/ukpga_19670060_en.pdf</w:t>
        </w:r>
      </w:hyperlink>
      <w:r w:rsidR="006677E9">
        <w:t>&gt; [Accessed: 3 March 2020]</w:t>
      </w:r>
    </w:p>
  </w:footnote>
  <w:footnote w:id="5">
    <w:p w14:paraId="4F162ED1" w14:textId="036EC500" w:rsidR="00134D0F" w:rsidRDefault="00134D0F">
      <w:pPr>
        <w:pStyle w:val="FootnoteText"/>
      </w:pPr>
      <w:r>
        <w:rPr>
          <w:rStyle w:val="FootnoteReference"/>
        </w:rPr>
        <w:footnoteRef/>
      </w:r>
      <w:r>
        <w:t xml:space="preserve"> Mill, </w:t>
      </w:r>
      <w:r>
        <w:rPr>
          <w:i/>
          <w:iCs/>
        </w:rPr>
        <w:t xml:space="preserve">On Liberty, </w:t>
      </w:r>
      <w:r>
        <w:t xml:space="preserve">in </w:t>
      </w:r>
      <w:r>
        <w:rPr>
          <w:i/>
          <w:iCs/>
        </w:rPr>
        <w:t xml:space="preserve">Utilitarianism and Other Writings, </w:t>
      </w:r>
      <w:r>
        <w:t>ed. Mary Warnock</w:t>
      </w:r>
    </w:p>
  </w:footnote>
  <w:footnote w:id="6">
    <w:p w14:paraId="6C669CC7" w14:textId="6D187169" w:rsidR="00CF0299" w:rsidRDefault="00CF0299">
      <w:pPr>
        <w:pStyle w:val="FootnoteText"/>
      </w:pPr>
      <w:r>
        <w:rPr>
          <w:rStyle w:val="FootnoteReference"/>
        </w:rPr>
        <w:footnoteRef/>
      </w:r>
      <w:r>
        <w:t xml:space="preserve"> </w:t>
      </w:r>
      <w:r w:rsidR="003821B5">
        <w:t xml:space="preserve">Mill, </w:t>
      </w:r>
      <w:r w:rsidR="003821B5">
        <w:rPr>
          <w:i/>
          <w:iCs/>
        </w:rPr>
        <w:t xml:space="preserve">On Liberty, </w:t>
      </w:r>
      <w:r w:rsidR="003821B5">
        <w:t xml:space="preserve">in </w:t>
      </w:r>
      <w:r w:rsidR="003821B5">
        <w:rPr>
          <w:i/>
          <w:iCs/>
        </w:rPr>
        <w:t xml:space="preserve">Utilitarianism and Other Writings, </w:t>
      </w:r>
      <w:r w:rsidR="003821B5">
        <w:t>ed. Mary Warnock</w:t>
      </w:r>
    </w:p>
  </w:footnote>
  <w:footnote w:id="7">
    <w:p w14:paraId="30B1DB50" w14:textId="7C087FB6" w:rsidR="003821B5" w:rsidRPr="003821B5" w:rsidRDefault="00CF0299">
      <w:pPr>
        <w:pStyle w:val="FootnoteText"/>
      </w:pPr>
      <w:r>
        <w:rPr>
          <w:rStyle w:val="FootnoteReference"/>
        </w:rPr>
        <w:footnoteRef/>
      </w:r>
      <w:r w:rsidR="003821B5">
        <w:t xml:space="preserve"> Mill, </w:t>
      </w:r>
      <w:r w:rsidR="003821B5">
        <w:rPr>
          <w:i/>
          <w:iCs/>
        </w:rPr>
        <w:t xml:space="preserve">On Liberty, </w:t>
      </w:r>
      <w:r w:rsidR="003821B5">
        <w:t xml:space="preserve">in </w:t>
      </w:r>
      <w:r w:rsidR="003821B5">
        <w:rPr>
          <w:i/>
          <w:iCs/>
        </w:rPr>
        <w:t xml:space="preserve">Utilitarianism and Other Writings, </w:t>
      </w:r>
      <w:r w:rsidR="003821B5">
        <w:t xml:space="preserve">ed. Mary Warnock, pp. 94-5. </w:t>
      </w:r>
    </w:p>
  </w:footnote>
  <w:footnote w:id="8">
    <w:p w14:paraId="64C5BF46" w14:textId="323DF127" w:rsidR="00CF0299" w:rsidRDefault="00CF0299">
      <w:pPr>
        <w:pStyle w:val="FootnoteText"/>
      </w:pPr>
      <w:r>
        <w:rPr>
          <w:rStyle w:val="FootnoteReference"/>
        </w:rPr>
        <w:footnoteRef/>
      </w:r>
      <w:r>
        <w:t xml:space="preserve"> </w:t>
      </w:r>
      <w:r w:rsidR="006677E9">
        <w:t xml:space="preserve">J. Wolff, </w:t>
      </w:r>
      <w:r w:rsidR="006677E9">
        <w:rPr>
          <w:i/>
          <w:iCs/>
        </w:rPr>
        <w:t xml:space="preserve">An Introduction to Political Philosophy, </w:t>
      </w:r>
      <w:r w:rsidR="006677E9">
        <w:t>3</w:t>
      </w:r>
      <w:r w:rsidR="006677E9" w:rsidRPr="006677E9">
        <w:rPr>
          <w:vertAlign w:val="superscript"/>
        </w:rPr>
        <w:t>rd</w:t>
      </w:r>
      <w:r w:rsidR="006677E9">
        <w:t xml:space="preserve"> Edn. (Oxford</w:t>
      </w:r>
      <w:r w:rsidR="00405D28">
        <w:t>: Oxford University Press, 2016</w:t>
      </w:r>
      <w:r w:rsidR="006677E9">
        <w:t>)</w:t>
      </w:r>
      <w:r w:rsidR="00405D28">
        <w:t xml:space="preserve">, </w:t>
      </w:r>
      <w:r>
        <w:t>p</w:t>
      </w:r>
      <w:r w:rsidR="003821B5">
        <w:t>p</w:t>
      </w:r>
      <w:r w:rsidR="00405D28">
        <w:t xml:space="preserve">. </w:t>
      </w:r>
      <w:r>
        <w:t>111-12</w:t>
      </w:r>
      <w:r w:rsidR="00405D28">
        <w:t>.</w:t>
      </w:r>
    </w:p>
  </w:footnote>
  <w:footnote w:id="9">
    <w:p w14:paraId="28773EC0" w14:textId="316135C5" w:rsidR="00CF0299" w:rsidRPr="00405D28" w:rsidRDefault="00CF0299">
      <w:pPr>
        <w:pStyle w:val="FootnoteText"/>
      </w:pPr>
      <w:r>
        <w:rPr>
          <w:rStyle w:val="FootnoteReference"/>
        </w:rPr>
        <w:footnoteRef/>
      </w:r>
      <w:r>
        <w:t xml:space="preserve"> </w:t>
      </w:r>
      <w:r w:rsidR="00405D28">
        <w:t xml:space="preserve">Wolff, </w:t>
      </w:r>
      <w:r w:rsidR="00405D28">
        <w:rPr>
          <w:i/>
          <w:iCs/>
        </w:rPr>
        <w:t xml:space="preserve">An Introduction to Political Philosophy, </w:t>
      </w:r>
      <w:r w:rsidR="00405D28">
        <w:t>p. 112.</w:t>
      </w:r>
    </w:p>
  </w:footnote>
  <w:footnote w:id="10">
    <w:p w14:paraId="07B51604" w14:textId="7C76FBCF" w:rsidR="00CF0299" w:rsidRDefault="00CF0299">
      <w:pPr>
        <w:pStyle w:val="FootnoteText"/>
      </w:pPr>
      <w:r>
        <w:rPr>
          <w:rStyle w:val="FootnoteReference"/>
        </w:rPr>
        <w:footnoteRef/>
      </w:r>
      <w:r>
        <w:t xml:space="preserve"> </w:t>
      </w:r>
      <w:r w:rsidR="00405D28">
        <w:t xml:space="preserve">Wolff, </w:t>
      </w:r>
      <w:r w:rsidR="00405D28">
        <w:rPr>
          <w:i/>
          <w:iCs/>
        </w:rPr>
        <w:t xml:space="preserve">An Introduction to Political Philosophy, </w:t>
      </w:r>
      <w:r w:rsidR="00405D28">
        <w:t>p. 112.</w:t>
      </w:r>
    </w:p>
  </w:footnote>
  <w:footnote w:id="11">
    <w:p w14:paraId="71B6814C" w14:textId="699FB473" w:rsidR="00405D28" w:rsidRPr="00405D28" w:rsidRDefault="00CF0299">
      <w:pPr>
        <w:pStyle w:val="FootnoteText"/>
      </w:pPr>
      <w:r>
        <w:rPr>
          <w:rStyle w:val="FootnoteReference"/>
        </w:rPr>
        <w:footnoteRef/>
      </w:r>
      <w:r>
        <w:t xml:space="preserve"> </w:t>
      </w:r>
      <w:hyperlink r:id="rId3" w:history="1">
        <w:r w:rsidR="00405D28">
          <w:t xml:space="preserve">U.K Government, </w:t>
        </w:r>
        <w:r w:rsidR="00405D28">
          <w:rPr>
            <w:i/>
            <w:iCs/>
          </w:rPr>
          <w:t xml:space="preserve">Report Hate Crime </w:t>
        </w:r>
        <w:r w:rsidR="00405D28">
          <w:t>(no date provided) &lt;</w:t>
        </w:r>
        <w:r>
          <w:rPr>
            <w:rStyle w:val="Hyperlink"/>
          </w:rPr>
          <w:t>https://www.gov.uk/report-hate-crime</w:t>
        </w:r>
      </w:hyperlink>
      <w:r w:rsidR="00405D28">
        <w:rPr>
          <w:rStyle w:val="Hyperlink"/>
          <w:u w:val="none"/>
        </w:rPr>
        <w:t xml:space="preserve">&gt; </w:t>
      </w:r>
      <w:r w:rsidR="00405D28">
        <w:rPr>
          <w:rStyle w:val="Hyperlink"/>
          <w:color w:val="auto"/>
          <w:u w:val="none"/>
        </w:rPr>
        <w:t>[Accessed 3 March 2020]</w:t>
      </w:r>
    </w:p>
  </w:footnote>
  <w:footnote w:id="12">
    <w:p w14:paraId="27D2ABCD" w14:textId="0244387D" w:rsidR="00CF0299" w:rsidRDefault="00CF0299">
      <w:pPr>
        <w:pStyle w:val="FootnoteText"/>
      </w:pPr>
      <w:r>
        <w:rPr>
          <w:rStyle w:val="FootnoteReference"/>
        </w:rPr>
        <w:footnoteRef/>
      </w:r>
      <w:r>
        <w:t xml:space="preserve"> </w:t>
      </w:r>
      <w:r w:rsidR="00405D28">
        <w:t xml:space="preserve">J. Feinberg, </w:t>
      </w:r>
      <w:r w:rsidR="00405D28" w:rsidRPr="00405D28">
        <w:rPr>
          <w:i/>
          <w:iCs/>
        </w:rPr>
        <w:t>The Moral L</w:t>
      </w:r>
      <w:r w:rsidRPr="00405D28">
        <w:rPr>
          <w:i/>
          <w:iCs/>
        </w:rPr>
        <w:t xml:space="preserve">imits of </w:t>
      </w:r>
      <w:r w:rsidR="00405D28" w:rsidRPr="00405D28">
        <w:rPr>
          <w:i/>
          <w:iCs/>
        </w:rPr>
        <w:t>C</w:t>
      </w:r>
      <w:r w:rsidRPr="00405D28">
        <w:rPr>
          <w:i/>
          <w:iCs/>
        </w:rPr>
        <w:t xml:space="preserve">riminal </w:t>
      </w:r>
      <w:r w:rsidR="00405D28" w:rsidRPr="00405D28">
        <w:rPr>
          <w:i/>
          <w:iCs/>
        </w:rPr>
        <w:t>L</w:t>
      </w:r>
      <w:r w:rsidRPr="00405D28">
        <w:rPr>
          <w:i/>
          <w:iCs/>
        </w:rPr>
        <w:t>aw:</w:t>
      </w:r>
      <w:r w:rsidR="00405D28" w:rsidRPr="00405D28">
        <w:rPr>
          <w:i/>
          <w:iCs/>
        </w:rPr>
        <w:t xml:space="preserve"> Volume 2:</w:t>
      </w:r>
      <w:r w:rsidRPr="00405D28">
        <w:rPr>
          <w:i/>
          <w:iCs/>
        </w:rPr>
        <w:t xml:space="preserve"> </w:t>
      </w:r>
      <w:r w:rsidR="00405D28" w:rsidRPr="00405D28">
        <w:rPr>
          <w:i/>
          <w:iCs/>
        </w:rPr>
        <w:t>O</w:t>
      </w:r>
      <w:r w:rsidRPr="00405D28">
        <w:rPr>
          <w:i/>
          <w:iCs/>
        </w:rPr>
        <w:t xml:space="preserve">ffense to </w:t>
      </w:r>
      <w:r w:rsidR="00405D28" w:rsidRPr="00405D28">
        <w:rPr>
          <w:i/>
          <w:iCs/>
        </w:rPr>
        <w:t>O</w:t>
      </w:r>
      <w:r w:rsidRPr="00405D28">
        <w:rPr>
          <w:i/>
          <w:iCs/>
        </w:rPr>
        <w:t>thers</w:t>
      </w:r>
      <w:r w:rsidR="00BF5B4E">
        <w:rPr>
          <w:i/>
          <w:iCs/>
        </w:rPr>
        <w:t>,</w:t>
      </w:r>
      <w:r>
        <w:t xml:space="preserve"> </w:t>
      </w:r>
      <w:r w:rsidR="00BF5B4E">
        <w:t xml:space="preserve">(Oxford Scholarship Online, 2006), </w:t>
      </w:r>
      <w:r>
        <w:t>p</w:t>
      </w:r>
      <w:r w:rsidR="00BF5B4E">
        <w:t xml:space="preserve">. </w:t>
      </w:r>
      <w:r>
        <w:t>3</w:t>
      </w:r>
      <w:r w:rsidR="00BF5B4E">
        <w:t>.</w:t>
      </w:r>
    </w:p>
  </w:footnote>
  <w:footnote w:id="13">
    <w:p w14:paraId="77AFD049" w14:textId="3873A019" w:rsidR="00587661" w:rsidRDefault="00587661">
      <w:pPr>
        <w:pStyle w:val="FootnoteText"/>
      </w:pPr>
      <w:r>
        <w:rPr>
          <w:rStyle w:val="FootnoteReference"/>
        </w:rPr>
        <w:footnoteRef/>
      </w:r>
      <w:r>
        <w:t xml:space="preserve"> </w:t>
      </w:r>
      <w:r w:rsidR="00BF5B4E">
        <w:t xml:space="preserve">Feinberg, </w:t>
      </w:r>
      <w:r w:rsidR="00BF5B4E" w:rsidRPr="00405D28">
        <w:rPr>
          <w:i/>
          <w:iCs/>
        </w:rPr>
        <w:t>The Moral Limits of Criminal Law: Volume 2: Offense to Others</w:t>
      </w:r>
      <w:r w:rsidR="00BF5B4E">
        <w:rPr>
          <w:i/>
          <w:iCs/>
        </w:rPr>
        <w:t>,</w:t>
      </w:r>
      <w:r w:rsidR="00BF5B4E">
        <w:t xml:space="preserve"> </w:t>
      </w:r>
      <w:r>
        <w:t>p</w:t>
      </w:r>
      <w:r w:rsidR="00BF5B4E">
        <w:t xml:space="preserve">. </w:t>
      </w:r>
      <w:r>
        <w:t>5</w:t>
      </w:r>
      <w:r w:rsidR="00BF5B4E">
        <w:t>.</w:t>
      </w:r>
    </w:p>
  </w:footnote>
  <w:footnote w:id="14">
    <w:p w14:paraId="49F49D20" w14:textId="5B4BC909" w:rsidR="00CF0299" w:rsidRDefault="00CF0299">
      <w:pPr>
        <w:pStyle w:val="FootnoteText"/>
      </w:pPr>
      <w:r>
        <w:rPr>
          <w:rStyle w:val="FootnoteReference"/>
        </w:rPr>
        <w:footnoteRef/>
      </w:r>
      <w:r>
        <w:t xml:space="preserve"> </w:t>
      </w:r>
      <w:r w:rsidR="00BF5B4E">
        <w:t xml:space="preserve">Feinberg, </w:t>
      </w:r>
      <w:r w:rsidR="00BF5B4E" w:rsidRPr="00405D28">
        <w:rPr>
          <w:i/>
          <w:iCs/>
        </w:rPr>
        <w:t>The Moral Limits of Criminal Law: Volume 2: Offense to Others</w:t>
      </w:r>
      <w:r w:rsidR="00BF5B4E">
        <w:rPr>
          <w:i/>
          <w:iCs/>
        </w:rPr>
        <w:t>,</w:t>
      </w:r>
      <w:r w:rsidR="00BF5B4E">
        <w:t xml:space="preserve"> </w:t>
      </w:r>
      <w:r>
        <w:t>p</w:t>
      </w:r>
      <w:r w:rsidR="00BF5B4E">
        <w:t xml:space="preserve">. </w:t>
      </w:r>
      <w:r>
        <w:t>2</w:t>
      </w:r>
      <w:r w:rsidR="00BF5B4E">
        <w:t>.</w:t>
      </w:r>
    </w:p>
  </w:footnote>
  <w:footnote w:id="15">
    <w:p w14:paraId="717CECB0" w14:textId="394141A5" w:rsidR="00CF0299" w:rsidRDefault="00CF0299">
      <w:pPr>
        <w:pStyle w:val="FootnoteText"/>
      </w:pPr>
      <w:r>
        <w:rPr>
          <w:rStyle w:val="FootnoteReference"/>
        </w:rPr>
        <w:footnoteRef/>
      </w:r>
      <w:r>
        <w:t xml:space="preserve"> </w:t>
      </w:r>
      <w:r w:rsidR="00BF5B4E">
        <w:t xml:space="preserve">Feinberg, </w:t>
      </w:r>
      <w:r w:rsidR="00BF5B4E" w:rsidRPr="00405D28">
        <w:rPr>
          <w:i/>
          <w:iCs/>
        </w:rPr>
        <w:t>The Moral Limits of Criminal Law: Volume 2: Offense to Others</w:t>
      </w:r>
      <w:r w:rsidR="00BF5B4E">
        <w:rPr>
          <w:i/>
          <w:iCs/>
        </w:rPr>
        <w:t>,</w:t>
      </w:r>
      <w:r w:rsidR="00BF5B4E">
        <w:t xml:space="preserve"> </w:t>
      </w:r>
      <w:r>
        <w:t>p</w:t>
      </w:r>
      <w:r w:rsidR="00BF5B4E">
        <w:t xml:space="preserve">. </w:t>
      </w:r>
      <w:r>
        <w:t>3</w:t>
      </w:r>
      <w:r w:rsidR="00BF5B4E">
        <w:t>.</w:t>
      </w:r>
    </w:p>
  </w:footnote>
  <w:footnote w:id="16">
    <w:p w14:paraId="3985BC3E" w14:textId="608672C9" w:rsidR="00587661" w:rsidRDefault="00587661">
      <w:pPr>
        <w:pStyle w:val="FootnoteText"/>
      </w:pPr>
      <w:r>
        <w:rPr>
          <w:rStyle w:val="FootnoteReference"/>
        </w:rPr>
        <w:footnoteRef/>
      </w:r>
      <w:r>
        <w:t xml:space="preserve"> </w:t>
      </w:r>
      <w:r w:rsidR="00BF5B4E">
        <w:t xml:space="preserve">Feinberg, </w:t>
      </w:r>
      <w:r w:rsidR="00BF5B4E" w:rsidRPr="00405D28">
        <w:rPr>
          <w:i/>
          <w:iCs/>
        </w:rPr>
        <w:t>The Moral Limits of Criminal Law: Volume 2: Offense to Others</w:t>
      </w:r>
      <w:r w:rsidR="00BF5B4E">
        <w:rPr>
          <w:i/>
          <w:iCs/>
        </w:rPr>
        <w:t>,</w:t>
      </w:r>
      <w:r w:rsidR="00BF5B4E">
        <w:t xml:space="preserve"> </w:t>
      </w:r>
      <w:r>
        <w:t>p.</w:t>
      </w:r>
      <w:r w:rsidR="00BF5B4E">
        <w:t xml:space="preserve"> </w:t>
      </w:r>
      <w:r>
        <w:t>95</w:t>
      </w:r>
      <w:r w:rsidR="00BF5B4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7F1815" w14:textId="45D77707" w:rsidR="003821B5" w:rsidRDefault="003821B5">
    <w:pPr>
      <w:pStyle w:val="Header"/>
    </w:pPr>
    <w:r>
      <w:t>Caitlin Watts</w:t>
    </w:r>
  </w:p>
  <w:p w14:paraId="75FE1744" w14:textId="6C80ED0E" w:rsidR="003821B5" w:rsidRDefault="003821B5">
    <w:pPr>
      <w:pStyle w:val="Header"/>
    </w:pPr>
    <w:r>
      <w:t>1901401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8BD"/>
    <w:rsid w:val="00134D0F"/>
    <w:rsid w:val="002C52CB"/>
    <w:rsid w:val="00311977"/>
    <w:rsid w:val="00313AE3"/>
    <w:rsid w:val="003821B5"/>
    <w:rsid w:val="003E634C"/>
    <w:rsid w:val="00405D28"/>
    <w:rsid w:val="00432E52"/>
    <w:rsid w:val="00496360"/>
    <w:rsid w:val="004D3772"/>
    <w:rsid w:val="00530300"/>
    <w:rsid w:val="00553DF2"/>
    <w:rsid w:val="00587661"/>
    <w:rsid w:val="00590A15"/>
    <w:rsid w:val="005968BD"/>
    <w:rsid w:val="005E4343"/>
    <w:rsid w:val="00605F27"/>
    <w:rsid w:val="00630507"/>
    <w:rsid w:val="00630E92"/>
    <w:rsid w:val="006677E9"/>
    <w:rsid w:val="00770312"/>
    <w:rsid w:val="00793163"/>
    <w:rsid w:val="008263BF"/>
    <w:rsid w:val="00881D71"/>
    <w:rsid w:val="008A118D"/>
    <w:rsid w:val="008B3420"/>
    <w:rsid w:val="008F74A1"/>
    <w:rsid w:val="00943623"/>
    <w:rsid w:val="009D35C0"/>
    <w:rsid w:val="00A02381"/>
    <w:rsid w:val="00A715DA"/>
    <w:rsid w:val="00AB33DF"/>
    <w:rsid w:val="00AC4EA7"/>
    <w:rsid w:val="00B96639"/>
    <w:rsid w:val="00BF5B4E"/>
    <w:rsid w:val="00C9304C"/>
    <w:rsid w:val="00CF0299"/>
    <w:rsid w:val="00DF17E8"/>
    <w:rsid w:val="00E558EA"/>
    <w:rsid w:val="00E937D3"/>
    <w:rsid w:val="00EB53BB"/>
    <w:rsid w:val="00F00C30"/>
    <w:rsid w:val="00FB1D5D"/>
    <w:rsid w:val="00FC3ADF"/>
    <w:rsid w:val="00FC6D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068726"/>
  <w15:chartTrackingRefBased/>
  <w15:docId w15:val="{19260802-665B-4954-B09C-55E35CF20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968B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68BD"/>
    <w:rPr>
      <w:rFonts w:asciiTheme="majorHAnsi" w:eastAsiaTheme="majorEastAsia" w:hAnsiTheme="majorHAnsi" w:cstheme="majorBidi"/>
      <w:spacing w:val="-10"/>
      <w:kern w:val="28"/>
      <w:sz w:val="56"/>
      <w:szCs w:val="56"/>
    </w:rPr>
  </w:style>
  <w:style w:type="paragraph" w:styleId="FootnoteText">
    <w:name w:val="footnote text"/>
    <w:basedOn w:val="Normal"/>
    <w:link w:val="FootnoteTextChar"/>
    <w:uiPriority w:val="99"/>
    <w:semiHidden/>
    <w:unhideWhenUsed/>
    <w:rsid w:val="008263B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263BF"/>
    <w:rPr>
      <w:sz w:val="20"/>
      <w:szCs w:val="20"/>
    </w:rPr>
  </w:style>
  <w:style w:type="character" w:styleId="FootnoteReference">
    <w:name w:val="footnote reference"/>
    <w:basedOn w:val="DefaultParagraphFont"/>
    <w:uiPriority w:val="99"/>
    <w:semiHidden/>
    <w:unhideWhenUsed/>
    <w:rsid w:val="008263BF"/>
    <w:rPr>
      <w:vertAlign w:val="superscript"/>
    </w:rPr>
  </w:style>
  <w:style w:type="character" w:styleId="Hyperlink">
    <w:name w:val="Hyperlink"/>
    <w:basedOn w:val="DefaultParagraphFont"/>
    <w:uiPriority w:val="99"/>
    <w:unhideWhenUsed/>
    <w:rsid w:val="008263BF"/>
    <w:rPr>
      <w:color w:val="0000FF"/>
      <w:u w:val="single"/>
    </w:rPr>
  </w:style>
  <w:style w:type="paragraph" w:styleId="Header">
    <w:name w:val="header"/>
    <w:basedOn w:val="Normal"/>
    <w:link w:val="HeaderChar"/>
    <w:uiPriority w:val="99"/>
    <w:unhideWhenUsed/>
    <w:rsid w:val="002C52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52CB"/>
  </w:style>
  <w:style w:type="paragraph" w:styleId="Footer">
    <w:name w:val="footer"/>
    <w:basedOn w:val="Normal"/>
    <w:link w:val="FooterChar"/>
    <w:uiPriority w:val="99"/>
    <w:unhideWhenUsed/>
    <w:rsid w:val="002C52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52CB"/>
  </w:style>
  <w:style w:type="character" w:styleId="FollowedHyperlink">
    <w:name w:val="FollowedHyperlink"/>
    <w:basedOn w:val="DefaultParagraphFont"/>
    <w:uiPriority w:val="99"/>
    <w:semiHidden/>
    <w:unhideWhenUsed/>
    <w:rsid w:val="009D35C0"/>
    <w:rPr>
      <w:color w:val="954F72" w:themeColor="followedHyperlink"/>
      <w:u w:val="single"/>
    </w:rPr>
  </w:style>
  <w:style w:type="character" w:styleId="UnresolvedMention">
    <w:name w:val="Unresolved Mention"/>
    <w:basedOn w:val="DefaultParagraphFont"/>
    <w:uiPriority w:val="99"/>
    <w:semiHidden/>
    <w:unhideWhenUsed/>
    <w:rsid w:val="009D35C0"/>
    <w:rPr>
      <w:color w:val="605E5C"/>
      <w:shd w:val="clear" w:color="auto" w:fill="E1DFDD"/>
    </w:rPr>
  </w:style>
  <w:style w:type="paragraph" w:styleId="Subtitle">
    <w:name w:val="Subtitle"/>
    <w:basedOn w:val="Normal"/>
    <w:next w:val="Normal"/>
    <w:link w:val="SubtitleChar"/>
    <w:uiPriority w:val="11"/>
    <w:qFormat/>
    <w:rsid w:val="003821B5"/>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3821B5"/>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report-hate-crime" TargetMode="External"/><Relationship Id="rId3" Type="http://schemas.openxmlformats.org/officeDocument/2006/relationships/settings" Target="settings.xml"/><Relationship Id="rId7" Type="http://schemas.openxmlformats.org/officeDocument/2006/relationships/hyperlink" Target="http://www.legislation.gov.uk/ukpga/1967/60/pdfs/ukpga_19670060_en.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un.org/en/universal-declaration-human-rights/"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gov.uk/report-hate-crime" TargetMode="External"/><Relationship Id="rId2" Type="http://schemas.openxmlformats.org/officeDocument/2006/relationships/hyperlink" Target="http://www.legislation.gov.uk/ukpga/1967/60/pdfs/ukpga_19670060_en.pdf" TargetMode="External"/><Relationship Id="rId1" Type="http://schemas.openxmlformats.org/officeDocument/2006/relationships/hyperlink" Target="https://www.un.org/en/universal-declaration-human-righ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XSL" StyleName="ISO 690 - First Element and Date" Version="1987"/>
</file>

<file path=customXml/itemProps1.xml><?xml version="1.0" encoding="utf-8"?>
<ds:datastoreItem xmlns:ds="http://schemas.openxmlformats.org/officeDocument/2006/customXml" ds:itemID="{8AD593CE-333E-4679-94F0-A5558BFFB2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439</TotalTime>
  <Pages>1</Pages>
  <Words>1914</Words>
  <Characters>10911</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Watts</dc:creator>
  <cp:keywords/>
  <dc:description/>
  <cp:lastModifiedBy>Caitlin Watts</cp:lastModifiedBy>
  <cp:revision>8</cp:revision>
  <dcterms:created xsi:type="dcterms:W3CDTF">2020-03-04T11:50:00Z</dcterms:created>
  <dcterms:modified xsi:type="dcterms:W3CDTF">2020-03-06T07:22:00Z</dcterms:modified>
</cp:coreProperties>
</file>