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522475554"/>
        <w:docPartObj>
          <w:docPartGallery w:val="Cover Pages"/>
          <w:docPartUnique/>
        </w:docPartObj>
      </w:sdtPr>
      <w:sdtContent>
        <w:p w14:paraId="5384490A" w14:textId="3150A5FC" w:rsidR="007D1947" w:rsidRDefault="007D1947" w:rsidP="00623D21"/>
        <w:p w14:paraId="43E200DA" w14:textId="04098420" w:rsidR="006C2A20" w:rsidRPr="006C2A20" w:rsidRDefault="006C2A20" w:rsidP="006C2A20">
          <w:pPr>
            <w:jc w:val="center"/>
            <w:rPr>
              <w:b/>
              <w:lang w:val="en-US"/>
            </w:rPr>
          </w:pPr>
          <w:r w:rsidRPr="006C2A20">
            <w:rPr>
              <w:b/>
              <w:lang w:val="en-US"/>
            </w:rPr>
            <w:t>Strategic AI Governance in Multinational Organisations: Managing Risk, Regulation, and Trust – A Case Study of Unilever</w:t>
          </w:r>
        </w:p>
        <w:p w14:paraId="475B7674" w14:textId="280E5ABD" w:rsidR="007D1947" w:rsidRDefault="007D1947" w:rsidP="00623D21">
          <w:pPr>
            <w:rPr>
              <w:sz w:val="28"/>
              <w:szCs w:val="28"/>
            </w:rPr>
          </w:pPr>
        </w:p>
        <w:p w14:paraId="1ADC1124" w14:textId="238DEA65" w:rsidR="007D1947" w:rsidRDefault="007D1947" w:rsidP="00623D21">
          <w:r>
            <w:rPr>
              <w:noProof/>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802225852"/>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52BAF8D9" w14:textId="39CDA8F4" w:rsidR="007D1947" w:rsidRDefault="006946CC">
                                    <w:pPr>
                                      <w:pStyle w:val="NoSpacing"/>
                                      <w:spacing w:after="40"/>
                                      <w:jc w:val="center"/>
                                      <w:rPr>
                                        <w:caps/>
                                        <w:color w:val="5B9BD5" w:themeColor="accent1"/>
                                        <w:sz w:val="28"/>
                                        <w:szCs w:val="28"/>
                                      </w:rPr>
                                    </w:pPr>
                                    <w:r>
                                      <w:rPr>
                                        <w:caps/>
                                        <w:color w:val="5B9BD5" w:themeColor="accent1"/>
                                        <w:sz w:val="28"/>
                                        <w:szCs w:val="28"/>
                                      </w:rPr>
                                      <w:t>April 27,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866363041"/>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133023665"/>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802225852"/>
                            <w:dataBinding w:prefixMappings="xmlns:ns0='http://schemas.microsoft.com/office/2006/coverPageProps' " w:xpath="/ns0:CoverPageProperties[1]/ns0:PublishDate[1]" w:storeItemID="{55AF091B-3C7A-41E3-B477-F2FDAA23CFDA}"/>
                            <w:date w:fullDate="2026-04-27T00:00:00Z">
                              <w:dateFormat w:val="MMMM d, yyyy"/>
                              <w:lid w:val="en-US"/>
                              <w:storeMappedDataAs w:val="dateTime"/>
                              <w:calendar w:val="gregorian"/>
                            </w:date>
                          </w:sdtPr>
                          <w:sdtContent>
                            <w:p w14:paraId="52BAF8D9" w14:textId="39CDA8F4" w:rsidR="007D1947" w:rsidRDefault="006946CC">
                              <w:pPr>
                                <w:pStyle w:val="NoSpacing"/>
                                <w:spacing w:after="40"/>
                                <w:jc w:val="center"/>
                                <w:rPr>
                                  <w:caps/>
                                  <w:color w:val="5B9BD5" w:themeColor="accent1"/>
                                  <w:sz w:val="28"/>
                                  <w:szCs w:val="28"/>
                                </w:rPr>
                              </w:pPr>
                              <w:r>
                                <w:rPr>
                                  <w:caps/>
                                  <w:color w:val="5B9BD5" w:themeColor="accent1"/>
                                  <w:sz w:val="28"/>
                                  <w:szCs w:val="28"/>
                                </w:rPr>
                                <w:t>April 27, 2026</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866363041"/>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133023665"/>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p>
        <w:p w14:paraId="078A531F" w14:textId="30A47CB3" w:rsidR="007D1947" w:rsidRPr="00C41AF0" w:rsidRDefault="007D1947" w:rsidP="00127882">
          <w:pPr>
            <w:pStyle w:val="Heading1"/>
          </w:pPr>
          <w:r w:rsidRPr="00C41AF0">
            <w:br w:type="page"/>
          </w:r>
          <w:bookmarkStart w:id="0" w:name="_Toc225513310"/>
          <w:r w:rsidRPr="00C41AF0">
            <w:lastRenderedPageBreak/>
            <w:t>Executive Summary</w:t>
          </w:r>
          <w:bookmarkEnd w:id="0"/>
        </w:p>
        <w:p w14:paraId="510A5F20" w14:textId="7E7A790F" w:rsidR="00C15D58" w:rsidRDefault="006561BE" w:rsidP="00623D21">
          <w:r>
            <w:t>This report presents a strategic advisory report on AI governance in Unilever with particular reference to the risks and opportunities of using AI in the United Kingdom and the European Union. Unilever, being a worldwide FMCG powerhouse, uses AI to a great extent in marketing, supply chain, and analytic consumer spheres. Nevertheless, this increasing dependence on AI presents very important issues of data governance, ethics, regulations, and customer confidence.</w:t>
          </w:r>
        </w:p>
        <w:p w14:paraId="56D9D1BB" w14:textId="77777777" w:rsidR="006561BE" w:rsidRDefault="006561BE" w:rsidP="00623D21">
          <w:r>
            <w:t>The discussion reveals the most important distinctions between the flexible and principles-focused approach to regulation used in the UK and the strict and rules-oriented approach used in the EU according to the AI Act. Such variations allow new innovations and make it difficult to have homogeneous compliance in each region. In addition, this problem is accompanied by problems like algorithmic biases, the absence of transparency, and the risks of cross-border data regulators that outline the necessity of strong and ethically sound AI practices.</w:t>
          </w:r>
        </w:p>
        <w:p w14:paraId="7D4FC414" w14:textId="77777777" w:rsidR="006561BE" w:rsidRDefault="006561BE" w:rsidP="00623D21">
          <w:r>
            <w:t>Using theoretical models such as the Resource-Based View, the Stakeholder Theory, the institute theory, and the information ethics, the report shows that well-organised AI governance can be used as a strategic asset helping organisations to reconcile the regulatory considerations with competitive advantage. The findings also highlight the need to ensure that the customers remain without mistrust especially in the world that consumers are becoming more anxious about data privacy and ethical use of AI.</w:t>
          </w:r>
        </w:p>
        <w:p w14:paraId="78223F9A" w14:textId="77777777" w:rsidR="006561BE" w:rsidRDefault="006561BE" w:rsidP="00623D21">
          <w:r>
            <w:t>To solve these issues, three implementation stages are suggested, with the first one being the development of governance frameworks, the second one being the installation of ethical and lawful AI systems, and the final one being the establishment of Unilever as a responsible AI user. The plan will have timelines, specific performance measures and costs that will be made realistic and actionable.</w:t>
          </w:r>
        </w:p>
        <w:p w14:paraId="62AB7F7D" w14:textId="54EEFF64" w:rsidR="007D1947" w:rsidRDefault="006561BE" w:rsidP="00623D21">
          <w:r>
            <w:t>On the whole, the report believes that through an active and coordinated AI governance strategy, Unilever is able to address risks, enhance stakeholder trust and attain sustainable growth in a changing global AI environment.</w:t>
          </w:r>
        </w:p>
        <w:p w14:paraId="775DA3A7" w14:textId="15803BFA" w:rsidR="007D1947" w:rsidRDefault="007D1947" w:rsidP="00623D21"/>
        <w:p w14:paraId="50292428" w14:textId="217C8A50" w:rsidR="007D1947" w:rsidRDefault="007D1947" w:rsidP="00623D21"/>
        <w:p w14:paraId="0EAD00A7" w14:textId="77777777" w:rsidR="007D1947" w:rsidRDefault="007D1947" w:rsidP="00623D21"/>
        <w:sdt>
          <w:sdtPr>
            <w:rPr>
              <w:rFonts w:asciiTheme="minorHAnsi" w:hAnsiTheme="minorHAnsi"/>
              <w:b/>
              <w:sz w:val="28"/>
            </w:rPr>
            <w:id w:val="-1297214018"/>
            <w:docPartObj>
              <w:docPartGallery w:val="Table of Contents"/>
              <w:docPartUnique/>
            </w:docPartObj>
          </w:sdtPr>
          <w:sdtEndPr>
            <w:rPr>
              <w:rFonts w:ascii="Times New Roman" w:hAnsi="Times New Roman"/>
              <w:bCs/>
              <w:noProof/>
              <w:sz w:val="24"/>
            </w:rPr>
          </w:sdtEndPr>
          <w:sdtContent>
            <w:p w14:paraId="1DFECD67" w14:textId="77777777" w:rsidR="007D1947" w:rsidRPr="00760938" w:rsidRDefault="007D1947" w:rsidP="00623D21">
              <w:pPr>
                <w:rPr>
                  <w:b/>
                  <w:sz w:val="32"/>
                </w:rPr>
              </w:pPr>
              <w:r w:rsidRPr="00760938">
                <w:rPr>
                  <w:b/>
                  <w:sz w:val="32"/>
                </w:rPr>
                <w:t>Table of Contents</w:t>
              </w:r>
            </w:p>
            <w:p w14:paraId="513B06A0" w14:textId="6751CE39" w:rsidR="00760938" w:rsidRDefault="007D1947">
              <w:pPr>
                <w:pStyle w:val="TOC1"/>
                <w:tabs>
                  <w:tab w:val="right" w:leader="dot" w:pos="9016"/>
                </w:tabs>
                <w:rPr>
                  <w:rFonts w:asciiTheme="minorHAnsi" w:eastAsiaTheme="minorEastAsia" w:hAnsiTheme="minorHAnsi"/>
                  <w:noProof/>
                  <w:sz w:val="22"/>
                  <w:lang w:val="en-US"/>
                </w:rPr>
              </w:pPr>
              <w:r>
                <w:fldChar w:fldCharType="begin"/>
              </w:r>
              <w:r>
                <w:instrText xml:space="preserve"> TOC \o "1-3" \h \z \u </w:instrText>
              </w:r>
              <w:r>
                <w:fldChar w:fldCharType="separate"/>
              </w:r>
              <w:hyperlink w:anchor="_Toc225513310" w:history="1">
                <w:r w:rsidR="00760938" w:rsidRPr="00536D51">
                  <w:rPr>
                    <w:rStyle w:val="Hyperlink"/>
                    <w:noProof/>
                  </w:rPr>
                  <w:t>Executive Summary</w:t>
                </w:r>
                <w:r w:rsidR="00760938">
                  <w:rPr>
                    <w:noProof/>
                    <w:webHidden/>
                  </w:rPr>
                  <w:tab/>
                </w:r>
                <w:r w:rsidR="00760938">
                  <w:rPr>
                    <w:noProof/>
                    <w:webHidden/>
                  </w:rPr>
                  <w:fldChar w:fldCharType="begin"/>
                </w:r>
                <w:r w:rsidR="00760938">
                  <w:rPr>
                    <w:noProof/>
                    <w:webHidden/>
                  </w:rPr>
                  <w:instrText xml:space="preserve"> PAGEREF _Toc225513310 \h </w:instrText>
                </w:r>
                <w:r w:rsidR="00760938">
                  <w:rPr>
                    <w:noProof/>
                    <w:webHidden/>
                  </w:rPr>
                </w:r>
                <w:r w:rsidR="00760938">
                  <w:rPr>
                    <w:noProof/>
                    <w:webHidden/>
                  </w:rPr>
                  <w:fldChar w:fldCharType="separate"/>
                </w:r>
                <w:r w:rsidR="00760938">
                  <w:rPr>
                    <w:noProof/>
                    <w:webHidden/>
                  </w:rPr>
                  <w:t>1</w:t>
                </w:r>
                <w:r w:rsidR="00760938">
                  <w:rPr>
                    <w:noProof/>
                    <w:webHidden/>
                  </w:rPr>
                  <w:fldChar w:fldCharType="end"/>
                </w:r>
              </w:hyperlink>
            </w:p>
            <w:p w14:paraId="607A12E5" w14:textId="28B797E0" w:rsidR="00760938" w:rsidRDefault="00760938">
              <w:pPr>
                <w:pStyle w:val="TOC1"/>
                <w:tabs>
                  <w:tab w:val="right" w:leader="dot" w:pos="9016"/>
                </w:tabs>
                <w:rPr>
                  <w:rFonts w:asciiTheme="minorHAnsi" w:eastAsiaTheme="minorEastAsia" w:hAnsiTheme="minorHAnsi"/>
                  <w:noProof/>
                  <w:sz w:val="22"/>
                  <w:lang w:val="en-US"/>
                </w:rPr>
              </w:pPr>
              <w:hyperlink w:anchor="_Toc225513311" w:history="1">
                <w:r w:rsidRPr="00536D51">
                  <w:rPr>
                    <w:rStyle w:val="Hyperlink"/>
                    <w:noProof/>
                  </w:rPr>
                  <w:t>Introduction</w:t>
                </w:r>
                <w:r>
                  <w:rPr>
                    <w:noProof/>
                    <w:webHidden/>
                  </w:rPr>
                  <w:tab/>
                </w:r>
                <w:r>
                  <w:rPr>
                    <w:noProof/>
                    <w:webHidden/>
                  </w:rPr>
                  <w:fldChar w:fldCharType="begin"/>
                </w:r>
                <w:r>
                  <w:rPr>
                    <w:noProof/>
                    <w:webHidden/>
                  </w:rPr>
                  <w:instrText xml:space="preserve"> PAGEREF _Toc225513311 \h </w:instrText>
                </w:r>
                <w:r>
                  <w:rPr>
                    <w:noProof/>
                    <w:webHidden/>
                  </w:rPr>
                </w:r>
                <w:r>
                  <w:rPr>
                    <w:noProof/>
                    <w:webHidden/>
                  </w:rPr>
                  <w:fldChar w:fldCharType="separate"/>
                </w:r>
                <w:r>
                  <w:rPr>
                    <w:noProof/>
                    <w:webHidden/>
                  </w:rPr>
                  <w:t>3</w:t>
                </w:r>
                <w:r>
                  <w:rPr>
                    <w:noProof/>
                    <w:webHidden/>
                  </w:rPr>
                  <w:fldChar w:fldCharType="end"/>
                </w:r>
              </w:hyperlink>
            </w:p>
            <w:p w14:paraId="4633D52D" w14:textId="089A9084" w:rsidR="00760938" w:rsidRDefault="00760938">
              <w:pPr>
                <w:pStyle w:val="TOC1"/>
                <w:tabs>
                  <w:tab w:val="right" w:leader="dot" w:pos="9016"/>
                </w:tabs>
                <w:rPr>
                  <w:rFonts w:asciiTheme="minorHAnsi" w:eastAsiaTheme="minorEastAsia" w:hAnsiTheme="minorHAnsi"/>
                  <w:noProof/>
                  <w:sz w:val="22"/>
                  <w:lang w:val="en-US"/>
                </w:rPr>
              </w:pPr>
              <w:hyperlink w:anchor="_Toc225513312" w:history="1">
                <w:r w:rsidRPr="00536D51">
                  <w:rPr>
                    <w:rStyle w:val="Hyperlink"/>
                    <w:noProof/>
                  </w:rPr>
                  <w:t>Main</w:t>
                </w:r>
                <w:r w:rsidRPr="00536D51">
                  <w:rPr>
                    <w:rStyle w:val="Hyperlink"/>
                    <w:noProof/>
                  </w:rPr>
                  <w:t xml:space="preserve"> </w:t>
                </w:r>
                <w:r w:rsidRPr="00536D51">
                  <w:rPr>
                    <w:rStyle w:val="Hyperlink"/>
                    <w:noProof/>
                  </w:rPr>
                  <w:t>Findings</w:t>
                </w:r>
                <w:r>
                  <w:rPr>
                    <w:noProof/>
                    <w:webHidden/>
                  </w:rPr>
                  <w:tab/>
                </w:r>
                <w:r>
                  <w:rPr>
                    <w:noProof/>
                    <w:webHidden/>
                  </w:rPr>
                  <w:fldChar w:fldCharType="begin"/>
                </w:r>
                <w:r>
                  <w:rPr>
                    <w:noProof/>
                    <w:webHidden/>
                  </w:rPr>
                  <w:instrText xml:space="preserve"> PAGEREF _Toc225513312 \h </w:instrText>
                </w:r>
                <w:r>
                  <w:rPr>
                    <w:noProof/>
                    <w:webHidden/>
                  </w:rPr>
                </w:r>
                <w:r>
                  <w:rPr>
                    <w:noProof/>
                    <w:webHidden/>
                  </w:rPr>
                  <w:fldChar w:fldCharType="separate"/>
                </w:r>
                <w:r>
                  <w:rPr>
                    <w:noProof/>
                    <w:webHidden/>
                  </w:rPr>
                  <w:t>4</w:t>
                </w:r>
                <w:r>
                  <w:rPr>
                    <w:noProof/>
                    <w:webHidden/>
                  </w:rPr>
                  <w:fldChar w:fldCharType="end"/>
                </w:r>
              </w:hyperlink>
            </w:p>
            <w:p w14:paraId="4D85EE19" w14:textId="6AA0805D" w:rsidR="00760938" w:rsidRDefault="00760938">
              <w:pPr>
                <w:pStyle w:val="TOC2"/>
                <w:tabs>
                  <w:tab w:val="right" w:leader="dot" w:pos="9016"/>
                </w:tabs>
                <w:rPr>
                  <w:rFonts w:asciiTheme="minorHAnsi" w:eastAsiaTheme="minorEastAsia" w:hAnsiTheme="minorHAnsi"/>
                  <w:noProof/>
                  <w:sz w:val="22"/>
                  <w:lang w:val="en-US"/>
                </w:rPr>
              </w:pPr>
              <w:hyperlink w:anchor="_Toc225513313" w:history="1">
                <w:r w:rsidRPr="00536D51">
                  <w:rPr>
                    <w:rStyle w:val="Hyperlink"/>
                    <w:noProof/>
                  </w:rPr>
                  <w:t>Regulatory Analysis</w:t>
                </w:r>
                <w:r>
                  <w:rPr>
                    <w:noProof/>
                    <w:webHidden/>
                  </w:rPr>
                  <w:tab/>
                </w:r>
                <w:r>
                  <w:rPr>
                    <w:noProof/>
                    <w:webHidden/>
                  </w:rPr>
                  <w:fldChar w:fldCharType="begin"/>
                </w:r>
                <w:r>
                  <w:rPr>
                    <w:noProof/>
                    <w:webHidden/>
                  </w:rPr>
                  <w:instrText xml:space="preserve"> PAGEREF _Toc225513313 \h </w:instrText>
                </w:r>
                <w:r>
                  <w:rPr>
                    <w:noProof/>
                    <w:webHidden/>
                  </w:rPr>
                </w:r>
                <w:r>
                  <w:rPr>
                    <w:noProof/>
                    <w:webHidden/>
                  </w:rPr>
                  <w:fldChar w:fldCharType="separate"/>
                </w:r>
                <w:r>
                  <w:rPr>
                    <w:noProof/>
                    <w:webHidden/>
                  </w:rPr>
                  <w:t>4</w:t>
                </w:r>
                <w:r>
                  <w:rPr>
                    <w:noProof/>
                    <w:webHidden/>
                  </w:rPr>
                  <w:fldChar w:fldCharType="end"/>
                </w:r>
              </w:hyperlink>
            </w:p>
            <w:p w14:paraId="260C0B40" w14:textId="2D90CC4C" w:rsidR="00760938" w:rsidRDefault="00760938">
              <w:pPr>
                <w:pStyle w:val="TOC2"/>
                <w:tabs>
                  <w:tab w:val="right" w:leader="dot" w:pos="9016"/>
                </w:tabs>
                <w:rPr>
                  <w:rFonts w:asciiTheme="minorHAnsi" w:eastAsiaTheme="minorEastAsia" w:hAnsiTheme="minorHAnsi"/>
                  <w:noProof/>
                  <w:sz w:val="22"/>
                  <w:lang w:val="en-US"/>
                </w:rPr>
              </w:pPr>
              <w:hyperlink w:anchor="_Toc225513314" w:history="1">
                <w:r w:rsidRPr="00536D51">
                  <w:rPr>
                    <w:rStyle w:val="Hyperlink"/>
                    <w:noProof/>
                  </w:rPr>
                  <w:t>Data Governance</w:t>
                </w:r>
                <w:r>
                  <w:rPr>
                    <w:noProof/>
                    <w:webHidden/>
                  </w:rPr>
                  <w:tab/>
                </w:r>
                <w:r>
                  <w:rPr>
                    <w:noProof/>
                    <w:webHidden/>
                  </w:rPr>
                  <w:fldChar w:fldCharType="begin"/>
                </w:r>
                <w:r>
                  <w:rPr>
                    <w:noProof/>
                    <w:webHidden/>
                  </w:rPr>
                  <w:instrText xml:space="preserve"> PAGEREF _Toc225513314 \h </w:instrText>
                </w:r>
                <w:r>
                  <w:rPr>
                    <w:noProof/>
                    <w:webHidden/>
                  </w:rPr>
                </w:r>
                <w:r>
                  <w:rPr>
                    <w:noProof/>
                    <w:webHidden/>
                  </w:rPr>
                  <w:fldChar w:fldCharType="separate"/>
                </w:r>
                <w:r>
                  <w:rPr>
                    <w:noProof/>
                    <w:webHidden/>
                  </w:rPr>
                  <w:t>6</w:t>
                </w:r>
                <w:r>
                  <w:rPr>
                    <w:noProof/>
                    <w:webHidden/>
                  </w:rPr>
                  <w:fldChar w:fldCharType="end"/>
                </w:r>
              </w:hyperlink>
            </w:p>
            <w:p w14:paraId="37186BBE" w14:textId="01D8D769" w:rsidR="00760938" w:rsidRDefault="00760938">
              <w:pPr>
                <w:pStyle w:val="TOC2"/>
                <w:tabs>
                  <w:tab w:val="right" w:leader="dot" w:pos="9016"/>
                </w:tabs>
                <w:rPr>
                  <w:rFonts w:asciiTheme="minorHAnsi" w:eastAsiaTheme="minorEastAsia" w:hAnsiTheme="minorHAnsi"/>
                  <w:noProof/>
                  <w:sz w:val="22"/>
                  <w:lang w:val="en-US"/>
                </w:rPr>
              </w:pPr>
              <w:hyperlink w:anchor="_Toc225513315" w:history="1">
                <w:r w:rsidRPr="00536D51">
                  <w:rPr>
                    <w:rStyle w:val="Hyperlink"/>
                    <w:noProof/>
                  </w:rPr>
                  <w:t>Ethical AI</w:t>
                </w:r>
                <w:r>
                  <w:rPr>
                    <w:noProof/>
                    <w:webHidden/>
                  </w:rPr>
                  <w:tab/>
                </w:r>
                <w:r>
                  <w:rPr>
                    <w:noProof/>
                    <w:webHidden/>
                  </w:rPr>
                  <w:fldChar w:fldCharType="begin"/>
                </w:r>
                <w:r>
                  <w:rPr>
                    <w:noProof/>
                    <w:webHidden/>
                  </w:rPr>
                  <w:instrText xml:space="preserve"> PAGEREF _Toc225513315 \h </w:instrText>
                </w:r>
                <w:r>
                  <w:rPr>
                    <w:noProof/>
                    <w:webHidden/>
                  </w:rPr>
                </w:r>
                <w:r>
                  <w:rPr>
                    <w:noProof/>
                    <w:webHidden/>
                  </w:rPr>
                  <w:fldChar w:fldCharType="separate"/>
                </w:r>
                <w:r>
                  <w:rPr>
                    <w:noProof/>
                    <w:webHidden/>
                  </w:rPr>
                  <w:t>8</w:t>
                </w:r>
                <w:r>
                  <w:rPr>
                    <w:noProof/>
                    <w:webHidden/>
                  </w:rPr>
                  <w:fldChar w:fldCharType="end"/>
                </w:r>
              </w:hyperlink>
            </w:p>
            <w:p w14:paraId="3EEA3B87" w14:textId="720B5476" w:rsidR="00760938" w:rsidRDefault="00760938">
              <w:pPr>
                <w:pStyle w:val="TOC2"/>
                <w:tabs>
                  <w:tab w:val="right" w:leader="dot" w:pos="9016"/>
                </w:tabs>
                <w:rPr>
                  <w:rFonts w:asciiTheme="minorHAnsi" w:eastAsiaTheme="minorEastAsia" w:hAnsiTheme="minorHAnsi"/>
                  <w:noProof/>
                  <w:sz w:val="22"/>
                  <w:lang w:val="en-US"/>
                </w:rPr>
              </w:pPr>
              <w:hyperlink w:anchor="_Toc225513316" w:history="1">
                <w:r w:rsidRPr="00536D51">
                  <w:rPr>
                    <w:rStyle w:val="Hyperlink"/>
                    <w:noProof/>
                  </w:rPr>
                  <w:t>Customer Trust</w:t>
                </w:r>
                <w:r>
                  <w:rPr>
                    <w:noProof/>
                    <w:webHidden/>
                  </w:rPr>
                  <w:tab/>
                </w:r>
                <w:r>
                  <w:rPr>
                    <w:noProof/>
                    <w:webHidden/>
                  </w:rPr>
                  <w:fldChar w:fldCharType="begin"/>
                </w:r>
                <w:r>
                  <w:rPr>
                    <w:noProof/>
                    <w:webHidden/>
                  </w:rPr>
                  <w:instrText xml:space="preserve"> PAGEREF _Toc225513316 \h </w:instrText>
                </w:r>
                <w:r>
                  <w:rPr>
                    <w:noProof/>
                    <w:webHidden/>
                  </w:rPr>
                </w:r>
                <w:r>
                  <w:rPr>
                    <w:noProof/>
                    <w:webHidden/>
                  </w:rPr>
                  <w:fldChar w:fldCharType="separate"/>
                </w:r>
                <w:r>
                  <w:rPr>
                    <w:noProof/>
                    <w:webHidden/>
                  </w:rPr>
                  <w:t>10</w:t>
                </w:r>
                <w:r>
                  <w:rPr>
                    <w:noProof/>
                    <w:webHidden/>
                  </w:rPr>
                  <w:fldChar w:fldCharType="end"/>
                </w:r>
              </w:hyperlink>
            </w:p>
            <w:p w14:paraId="3AFA8C46" w14:textId="51F0090E" w:rsidR="00760938" w:rsidRDefault="00760938">
              <w:pPr>
                <w:pStyle w:val="TOC2"/>
                <w:tabs>
                  <w:tab w:val="right" w:leader="dot" w:pos="9016"/>
                </w:tabs>
                <w:rPr>
                  <w:rFonts w:asciiTheme="minorHAnsi" w:eastAsiaTheme="minorEastAsia" w:hAnsiTheme="minorHAnsi"/>
                  <w:noProof/>
                  <w:sz w:val="22"/>
                  <w:lang w:val="en-US"/>
                </w:rPr>
              </w:pPr>
              <w:hyperlink w:anchor="_Toc225513317" w:history="1">
                <w:r w:rsidRPr="00536D51">
                  <w:rPr>
                    <w:rStyle w:val="Hyperlink"/>
                    <w:noProof/>
                  </w:rPr>
                  <w:t>Macroeconomic Context</w:t>
                </w:r>
                <w:r>
                  <w:rPr>
                    <w:noProof/>
                    <w:webHidden/>
                  </w:rPr>
                  <w:tab/>
                </w:r>
                <w:r>
                  <w:rPr>
                    <w:noProof/>
                    <w:webHidden/>
                  </w:rPr>
                  <w:fldChar w:fldCharType="begin"/>
                </w:r>
                <w:r>
                  <w:rPr>
                    <w:noProof/>
                    <w:webHidden/>
                  </w:rPr>
                  <w:instrText xml:space="preserve"> PAGEREF _Toc225513317 \h </w:instrText>
                </w:r>
                <w:r>
                  <w:rPr>
                    <w:noProof/>
                    <w:webHidden/>
                  </w:rPr>
                </w:r>
                <w:r>
                  <w:rPr>
                    <w:noProof/>
                    <w:webHidden/>
                  </w:rPr>
                  <w:fldChar w:fldCharType="separate"/>
                </w:r>
                <w:r>
                  <w:rPr>
                    <w:noProof/>
                    <w:webHidden/>
                  </w:rPr>
                  <w:t>12</w:t>
                </w:r>
                <w:r>
                  <w:rPr>
                    <w:noProof/>
                    <w:webHidden/>
                  </w:rPr>
                  <w:fldChar w:fldCharType="end"/>
                </w:r>
              </w:hyperlink>
            </w:p>
            <w:p w14:paraId="38E4384A" w14:textId="08F21E67" w:rsidR="00760938" w:rsidRDefault="00760938">
              <w:pPr>
                <w:pStyle w:val="TOC1"/>
                <w:tabs>
                  <w:tab w:val="right" w:leader="dot" w:pos="9016"/>
                </w:tabs>
                <w:rPr>
                  <w:rFonts w:asciiTheme="minorHAnsi" w:eastAsiaTheme="minorEastAsia" w:hAnsiTheme="minorHAnsi"/>
                  <w:noProof/>
                  <w:sz w:val="22"/>
                  <w:lang w:val="en-US"/>
                </w:rPr>
              </w:pPr>
              <w:hyperlink w:anchor="_Toc225513318" w:history="1">
                <w:r w:rsidRPr="00536D51">
                  <w:rPr>
                    <w:rStyle w:val="Hyperlink"/>
                    <w:noProof/>
                  </w:rPr>
                  <w:t>Implementation Plan</w:t>
                </w:r>
                <w:r>
                  <w:rPr>
                    <w:noProof/>
                    <w:webHidden/>
                  </w:rPr>
                  <w:tab/>
                </w:r>
                <w:r>
                  <w:rPr>
                    <w:noProof/>
                    <w:webHidden/>
                  </w:rPr>
                  <w:fldChar w:fldCharType="begin"/>
                </w:r>
                <w:r>
                  <w:rPr>
                    <w:noProof/>
                    <w:webHidden/>
                  </w:rPr>
                  <w:instrText xml:space="preserve"> PAGEREF _Toc225513318 \h </w:instrText>
                </w:r>
                <w:r>
                  <w:rPr>
                    <w:noProof/>
                    <w:webHidden/>
                  </w:rPr>
                </w:r>
                <w:r>
                  <w:rPr>
                    <w:noProof/>
                    <w:webHidden/>
                  </w:rPr>
                  <w:fldChar w:fldCharType="separate"/>
                </w:r>
                <w:r>
                  <w:rPr>
                    <w:noProof/>
                    <w:webHidden/>
                  </w:rPr>
                  <w:t>15</w:t>
                </w:r>
                <w:r>
                  <w:rPr>
                    <w:noProof/>
                    <w:webHidden/>
                  </w:rPr>
                  <w:fldChar w:fldCharType="end"/>
                </w:r>
              </w:hyperlink>
            </w:p>
            <w:p w14:paraId="26504713" w14:textId="06FC3309" w:rsidR="00760938" w:rsidRDefault="00760938">
              <w:pPr>
                <w:pStyle w:val="TOC1"/>
                <w:tabs>
                  <w:tab w:val="right" w:leader="dot" w:pos="9016"/>
                </w:tabs>
                <w:rPr>
                  <w:rFonts w:asciiTheme="minorHAnsi" w:eastAsiaTheme="minorEastAsia" w:hAnsiTheme="minorHAnsi"/>
                  <w:noProof/>
                  <w:sz w:val="22"/>
                  <w:lang w:val="en-US"/>
                </w:rPr>
              </w:pPr>
              <w:hyperlink w:anchor="_Toc225513319" w:history="1">
                <w:r w:rsidRPr="00536D51">
                  <w:rPr>
                    <w:rStyle w:val="Hyperlink"/>
                    <w:noProof/>
                    <w:lang w:val="en-US"/>
                  </w:rPr>
                  <w:t>References</w:t>
                </w:r>
                <w:r>
                  <w:rPr>
                    <w:noProof/>
                    <w:webHidden/>
                  </w:rPr>
                  <w:tab/>
                </w:r>
                <w:r>
                  <w:rPr>
                    <w:noProof/>
                    <w:webHidden/>
                  </w:rPr>
                  <w:fldChar w:fldCharType="begin"/>
                </w:r>
                <w:r>
                  <w:rPr>
                    <w:noProof/>
                    <w:webHidden/>
                  </w:rPr>
                  <w:instrText xml:space="preserve"> PAGEREF _Toc225513319 \h </w:instrText>
                </w:r>
                <w:r>
                  <w:rPr>
                    <w:noProof/>
                    <w:webHidden/>
                  </w:rPr>
                </w:r>
                <w:r>
                  <w:rPr>
                    <w:noProof/>
                    <w:webHidden/>
                  </w:rPr>
                  <w:fldChar w:fldCharType="separate"/>
                </w:r>
                <w:r>
                  <w:rPr>
                    <w:noProof/>
                    <w:webHidden/>
                  </w:rPr>
                  <w:t>19</w:t>
                </w:r>
                <w:r>
                  <w:rPr>
                    <w:noProof/>
                    <w:webHidden/>
                  </w:rPr>
                  <w:fldChar w:fldCharType="end"/>
                </w:r>
              </w:hyperlink>
            </w:p>
            <w:p w14:paraId="05194699" w14:textId="4265AA17" w:rsidR="007D1947" w:rsidRDefault="007D1947" w:rsidP="00623D21">
              <w:r>
                <w:rPr>
                  <w:b/>
                  <w:bCs/>
                  <w:noProof/>
                </w:rPr>
                <w:fldChar w:fldCharType="end"/>
              </w:r>
              <w:r w:rsidR="00C15D58">
                <w:rPr>
                  <w:b/>
                  <w:bCs/>
                  <w:noProof/>
                </w:rPr>
                <w:t xml:space="preserve"> </w:t>
              </w:r>
            </w:p>
          </w:sdtContent>
        </w:sdt>
        <w:p w14:paraId="35B6052B" w14:textId="77777777" w:rsidR="007D1947" w:rsidRDefault="007D1947" w:rsidP="00623D21"/>
        <w:p w14:paraId="22F11532" w14:textId="77777777" w:rsidR="007D1947" w:rsidRDefault="007D1947" w:rsidP="00623D21"/>
        <w:p w14:paraId="15C6D916" w14:textId="77777777" w:rsidR="007D1947" w:rsidRDefault="007D1947" w:rsidP="00623D21"/>
        <w:p w14:paraId="0882E422" w14:textId="77777777" w:rsidR="007D1947" w:rsidRDefault="007D1947" w:rsidP="00623D21"/>
        <w:p w14:paraId="2076963D" w14:textId="77777777" w:rsidR="007D1947" w:rsidRDefault="007D1947" w:rsidP="00623D21"/>
        <w:p w14:paraId="006E6A3F" w14:textId="77777777" w:rsidR="007D1947" w:rsidRDefault="007D1947" w:rsidP="00623D21"/>
        <w:p w14:paraId="26EE9C53" w14:textId="77777777" w:rsidR="007D1947" w:rsidRDefault="007D1947" w:rsidP="00623D21"/>
        <w:p w14:paraId="2AEFE0CA" w14:textId="77777777" w:rsidR="007D1947" w:rsidRDefault="007D1947" w:rsidP="00623D21"/>
        <w:p w14:paraId="4F8F730C" w14:textId="77777777" w:rsidR="007D1947" w:rsidRDefault="007D1947" w:rsidP="00623D21"/>
        <w:p w14:paraId="4D3D6465" w14:textId="77777777" w:rsidR="007D1947" w:rsidRDefault="007D1947" w:rsidP="00623D21"/>
        <w:p w14:paraId="0576A273" w14:textId="77777777" w:rsidR="00065D34" w:rsidRDefault="00065D34" w:rsidP="00623D21">
          <w:pPr>
            <w:rPr>
              <w:rFonts w:eastAsiaTheme="majorEastAsia" w:cstheme="majorBidi"/>
              <w:b/>
              <w:color w:val="000000" w:themeColor="text1"/>
              <w:sz w:val="28"/>
              <w:szCs w:val="32"/>
            </w:rPr>
          </w:pPr>
          <w:r>
            <w:br w:type="page"/>
          </w:r>
        </w:p>
        <w:p w14:paraId="54C81D2A" w14:textId="6D16242C" w:rsidR="007D1947" w:rsidRDefault="007D1947" w:rsidP="00970445">
          <w:pPr>
            <w:pStyle w:val="Heading1"/>
          </w:pPr>
          <w:bookmarkStart w:id="1" w:name="_Toc225513311"/>
          <w:r>
            <w:lastRenderedPageBreak/>
            <w:t>Introduction</w:t>
          </w:r>
          <w:bookmarkEnd w:id="1"/>
          <w:r w:rsidR="00480872">
            <w:t xml:space="preserve"> </w:t>
          </w:r>
          <w:r w:rsidR="00D15A18">
            <w:t xml:space="preserve"> </w:t>
          </w:r>
        </w:p>
        <w:p w14:paraId="1351E1D1" w14:textId="178889D2" w:rsidR="006561BE" w:rsidRDefault="006561BE" w:rsidP="00623D21">
          <w:r w:rsidRPr="006561BE">
            <w:t>Artificial Intelligence (AI) has become a revolutionary technology that is changing the business model, operational efficiency, and customer engagement in all business markets. Multinational enterprises are turning to AI technologies more and more to supplement their decision making, automate their processes and provide customised customer experiences. Unilever is one such organisation and is a global and fast-moving consumer goods (FMCG) firm that is based in more than 190 countries with a large presence in the United Kingdom and the global market. Unilever has implemented AI in several of its operations, such as optimisation of supply chains, demand forecasting, digital marketing, and consumer analytics, and has shown strategic focus on data-driven innovation (Unilever, 2023).</w:t>
          </w:r>
        </w:p>
        <w:p w14:paraId="258D20AE" w14:textId="77777777" w:rsidR="001D10ED" w:rsidRDefault="001D10ED" w:rsidP="00623D21">
          <w:r>
            <w:rPr>
              <w:noProof/>
              <w:lang w:val="en-US"/>
            </w:rPr>
            <w:drawing>
              <wp:inline distT="0" distB="0" distL="0" distR="0" wp14:anchorId="05B5D40E" wp14:editId="395D3A8C">
                <wp:extent cx="5279294" cy="2771336"/>
                <wp:effectExtent l="0" t="0" r="0" b="0"/>
                <wp:docPr id="1" name="Picture 1" descr="Response to media speculation | Unilev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Response to media speculation | Unilever"/>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82725" cy="2773137"/>
                        </a:xfrm>
                        <a:prstGeom prst="rect">
                          <a:avLst/>
                        </a:prstGeom>
                        <a:noFill/>
                        <a:ln>
                          <a:noFill/>
                        </a:ln>
                      </pic:spPr>
                    </pic:pic>
                  </a:graphicData>
                </a:graphic>
              </wp:inline>
            </w:drawing>
          </w:r>
        </w:p>
        <w:p w14:paraId="6C1BF81B" w14:textId="7909F0F7" w:rsidR="001D10ED" w:rsidRDefault="001D10ED" w:rsidP="00B10E30">
          <w:pPr>
            <w:jc w:val="center"/>
          </w:pPr>
          <w:r>
            <w:t xml:space="preserve">Figure </w:t>
          </w:r>
          <w:fldSimple w:instr=" SEQ Figure \* ARABIC ">
            <w:r w:rsidR="00237750">
              <w:rPr>
                <w:noProof/>
              </w:rPr>
              <w:t>1</w:t>
            </w:r>
          </w:fldSimple>
          <w:r>
            <w:t>:</w:t>
          </w:r>
          <w:r w:rsidRPr="001D10ED">
            <w:t xml:space="preserve"> </w:t>
          </w:r>
          <w:r w:rsidRPr="006561BE">
            <w:t>Unilever</w:t>
          </w:r>
        </w:p>
        <w:p w14:paraId="7D66840B" w14:textId="666F0F9B" w:rsidR="001D10ED" w:rsidRPr="001D10ED" w:rsidRDefault="001D10ED" w:rsidP="00B10E30">
          <w:pPr>
            <w:jc w:val="center"/>
            <w:rPr>
              <w:sz w:val="22"/>
            </w:rPr>
          </w:pPr>
          <w:r w:rsidRPr="001D10ED">
            <w:rPr>
              <w:sz w:val="22"/>
            </w:rPr>
            <w:t>Source: (Unilever, 2023)</w:t>
          </w:r>
        </w:p>
        <w:p w14:paraId="4750CB78" w14:textId="77777777" w:rsidR="006561BE" w:rsidRPr="006561BE" w:rsidRDefault="006561BE" w:rsidP="000F02B7">
          <w:r w:rsidRPr="006561BE">
            <w:t>The rising relevance of AI in business can be explained by the fact that it generates competitive advantage due to efficiency improvement, predictability, and understanding of customers better. McKinsey (2023) asserts that organisations implementing AI at scale report high productivity and a growth in revenues, indicating that AI is a catalyst of digital transformation. Nevertheless, alongside these opportunities, AI presents a variety of data governance, ethical, regulatory compliance and customer trust risks. The risks are especially important to multinational companies that are present in varied regulatory contexts so that varying legal frameworks and cultural demands may pose operational as well as reputational issues.</w:t>
          </w:r>
        </w:p>
        <w:p w14:paraId="019A8B72" w14:textId="77777777" w:rsidR="006561BE" w:rsidRPr="006561BE" w:rsidRDefault="006561BE" w:rsidP="00623D21">
          <w:r w:rsidRPr="006561BE">
            <w:lastRenderedPageBreak/>
            <w:t>The issue in the middle of this report is the duality of AI as both the opportunity and a source of risk. Although AI creates new opportunities and expands, it poses threats to data privacy, bias in the algorithms, transparency, and accountability. In the case of companies such as Unilever, inability to adequately address such risks may result in penalties by the relevant authorities, loss of customer confidence and reputation. This is specifically applicable to the situation of changing AI regulations, where organisations have to operate across the boundaries of the different regions such as the United Kingdom, which has adopted a principles-based regulatory policy, and the European Union, which implements stricter and more legally enforceable policies, like the AI Act (UK DSIT, 2023; European Commission, 2024).</w:t>
          </w:r>
        </w:p>
        <w:p w14:paraId="39AAD7FB" w14:textId="77777777" w:rsidR="006561BE" w:rsidRDefault="006561BE" w:rsidP="00623D21">
          <w:pPr>
            <w:rPr>
              <w:b/>
            </w:rPr>
          </w:pPr>
          <w:r w:rsidRPr="006561BE">
            <w:t>This report assumes an advisory viewpoint and offers strategic suggestions to help Unilever address the risks associated with AI and ensures that the company retains its competitive advantage. The comparative analyses are on the United Kingdom and the European Union as the regulatory environments and their impact on organisational strategy within the context of varying legal and institutional environment. In order to provide a strict and systematic analysis, the report implements some of the most recognized academic theories such as Resource-Based View (Barney, 1991), Stakeholder Theory (Freeman, 1984), Institutional Theory (DiMaggio and Powell, 1983), and Information Ethics (</w:t>
          </w:r>
          <w:proofErr w:type="spellStart"/>
          <w:r w:rsidRPr="006561BE">
            <w:t>Floridi</w:t>
          </w:r>
          <w:proofErr w:type="spellEnd"/>
          <w:r w:rsidRPr="006561BE">
            <w:t>, 2019). The models help in examining regulatory, ethical, and strategic aspects of AI adoption, and the recommendations based on them are grounded on theory and practice.</w:t>
          </w:r>
        </w:p>
        <w:p w14:paraId="2E293EB9" w14:textId="3DDBF09F" w:rsidR="00480872" w:rsidRPr="007C48C1" w:rsidRDefault="00480872" w:rsidP="000F02B7">
          <w:pPr>
            <w:pStyle w:val="Heading1"/>
          </w:pPr>
          <w:bookmarkStart w:id="2" w:name="_Toc225513312"/>
          <w:r w:rsidRPr="007C48C1">
            <w:t>Main Findings</w:t>
          </w:r>
          <w:bookmarkEnd w:id="2"/>
        </w:p>
        <w:p w14:paraId="0CA4BF3E" w14:textId="1527815E" w:rsidR="00D15A18" w:rsidRPr="007C48C1" w:rsidRDefault="00D15A18" w:rsidP="000F02B7">
          <w:pPr>
            <w:pStyle w:val="Heading2"/>
          </w:pPr>
          <w:bookmarkStart w:id="3" w:name="_Toc225513313"/>
          <w:r w:rsidRPr="007C48C1">
            <w:t>Regulatory Analysis</w:t>
          </w:r>
          <w:bookmarkEnd w:id="3"/>
        </w:p>
        <w:p w14:paraId="3874338F" w14:textId="77777777" w:rsidR="007C48C1" w:rsidRPr="007C48C1" w:rsidRDefault="007C48C1" w:rsidP="00623D21">
          <w:pPr>
            <w:rPr>
              <w:lang w:val="en-US"/>
            </w:rPr>
          </w:pPr>
          <w:r w:rsidRPr="007C48C1">
            <w:rPr>
              <w:lang w:val="en-US"/>
            </w:rPr>
            <w:t>The high rate of adoption of Artificial Intelligence (AI) has seen the development of various regulatory strategies in different markets worldwide which poses a major strategic challenge to multinational organisations like Unilever. Unilever, being a corporation with a strong presence in the United Kingdom and the European Union, has to deal with two opposing regulatory frameworks that influence the evolution of the AI systems, their implementation, and regulation.</w:t>
          </w:r>
        </w:p>
        <w:p w14:paraId="5CEAC4F9" w14:textId="49C5653C" w:rsidR="007C48C1" w:rsidRPr="007C48C1" w:rsidRDefault="007743A8" w:rsidP="00623D21">
          <w:pPr>
            <w:rPr>
              <w:lang w:val="en-US"/>
            </w:rPr>
          </w:pPr>
          <w:r>
            <w:rPr>
              <w:lang w:val="en-US"/>
            </w:rPr>
            <w:t xml:space="preserve">According to </w:t>
          </w:r>
          <w:r w:rsidRPr="007743A8">
            <w:rPr>
              <w:lang w:val="en-US"/>
            </w:rPr>
            <w:t>UK Department for Science, Innovation and Technology (DSIT) (2023)</w:t>
          </w:r>
          <w:r>
            <w:rPr>
              <w:lang w:val="en-US"/>
            </w:rPr>
            <w:t xml:space="preserve">, </w:t>
          </w:r>
          <w:r w:rsidR="007C48C1" w:rsidRPr="007C48C1">
            <w:rPr>
              <w:lang w:val="en-US"/>
            </w:rPr>
            <w:t xml:space="preserve">Regulation on AI in the United Kingdom is </w:t>
          </w:r>
          <w:r>
            <w:rPr>
              <w:lang w:val="en-US"/>
            </w:rPr>
            <w:t xml:space="preserve">sector-led and principles-based. </w:t>
          </w:r>
          <w:r w:rsidR="007C48C1" w:rsidRPr="007C48C1">
            <w:rPr>
              <w:lang w:val="en-US"/>
            </w:rPr>
            <w:t xml:space="preserve">Instead of providing one general AI regulation, the UK framework uses the already established regulators, including the Information Commissioner’s Office (ICO), Competition and Markets Authority (CMA), and the Financial Conduct Authority (FCA), to implement five fundamental </w:t>
          </w:r>
          <w:r w:rsidR="007C48C1" w:rsidRPr="007C48C1">
            <w:rPr>
              <w:lang w:val="en-US"/>
            </w:rPr>
            <w:lastRenderedPageBreak/>
            <w:t xml:space="preserve">principles: safety, transparency, fairness, accountability, and contestability (DSIT, 2023). This is a more flexible model where organisations are given more freedom and adaptability in their innovation, especially useful in companies such as Unilever who are dependent on AI-based marketing analytics and supply chain </w:t>
          </w:r>
          <w:proofErr w:type="spellStart"/>
          <w:r w:rsidR="007C48C1" w:rsidRPr="007C48C1">
            <w:rPr>
              <w:lang w:val="en-US"/>
            </w:rPr>
            <w:t>optimisation</w:t>
          </w:r>
          <w:proofErr w:type="spellEnd"/>
          <w:r w:rsidR="007C48C1" w:rsidRPr="007C48C1">
            <w:rPr>
              <w:lang w:val="en-US"/>
            </w:rPr>
            <w:t xml:space="preserve">. </w:t>
          </w:r>
          <w:r w:rsidR="00D344E5">
            <w:rPr>
              <w:lang w:val="en-US"/>
            </w:rPr>
            <w:t xml:space="preserve"> </w:t>
          </w:r>
        </w:p>
        <w:p w14:paraId="35935DFF" w14:textId="77777777" w:rsidR="007C48C1" w:rsidRPr="007C48C1" w:rsidRDefault="007C48C1" w:rsidP="00623D21">
          <w:pPr>
            <w:rPr>
              <w:lang w:val="en-US"/>
            </w:rPr>
          </w:pPr>
          <w:r w:rsidRPr="007C48C1">
            <w:rPr>
              <w:lang w:val="en-US"/>
            </w:rPr>
            <w:t>Conversely, the European Union has implemented a detailed and legally binding regulatory framework by the EU Artificial Intelligence Act (2024). The EU approach classifies AI systems into high, limited, and minimal-risk categories, with strict requirements on high-risk applications, such as compliance evaluation, data management rules, transparency stipulations, and human controls (European Commission, 2024). Moreover, the Act imposes major financial fines with penalties of up to 7% of the global annual turnover in case of non-compliance. This rigidity in regulations forms a more predictable, yet challenging compliance environment of multinational firms.</w:t>
          </w:r>
        </w:p>
        <w:p w14:paraId="7189DBCC" w14:textId="77777777" w:rsidR="007C48C1" w:rsidRPr="007C48C1" w:rsidRDefault="007C48C1" w:rsidP="00623D21">
          <w:pPr>
            <w:rPr>
              <w:lang w:val="en-US"/>
            </w:rPr>
          </w:pPr>
          <w:r w:rsidRPr="007C48C1">
            <w:rPr>
              <w:lang w:val="en-US"/>
            </w:rPr>
            <w:t xml:space="preserve">Comparatively, the difference between the flexible model adopted by the UK and the rules-based system that the EU has provides both opportunities and threats to Unilever. The UK framework will allow the company to be nimble in competitive markets by quickly experimenting and innovating around AI-driven consumer engagement approaches. Nonetheless, this flexibility can put Unilever at risk of reputation unless ethical principles are upheld at all times, especially when it comes to such aspects as </w:t>
          </w:r>
          <w:proofErr w:type="spellStart"/>
          <w:r w:rsidRPr="007C48C1">
            <w:rPr>
              <w:lang w:val="en-US"/>
            </w:rPr>
            <w:t>personalised</w:t>
          </w:r>
          <w:proofErr w:type="spellEnd"/>
          <w:r w:rsidRPr="007C48C1">
            <w:rPr>
              <w:lang w:val="en-US"/>
            </w:rPr>
            <w:t xml:space="preserve"> advertisements and the use of consumer data. The tough demands of the EU on the other hand are more expensive in terms of compliance and complexity of operations, but offer a better legal clarity and consumer protection, which can build on long-term trust and brand recognition.</w:t>
          </w:r>
        </w:p>
        <w:p w14:paraId="50C20AFB" w14:textId="77777777" w:rsidR="007C48C1" w:rsidRPr="007C48C1" w:rsidRDefault="007C48C1" w:rsidP="00623D21">
          <w:pPr>
            <w:rPr>
              <w:lang w:val="en-US"/>
            </w:rPr>
          </w:pPr>
          <w:r w:rsidRPr="007C48C1">
            <w:rPr>
              <w:lang w:val="en-US"/>
            </w:rPr>
            <w:t>This difference in regulation can be also explained by the help of the Institutional Theory which states that organisations can change their practices according to the pressure of coercion, norms, and mimetic in their institutional environment (DiMaggio and Powell, 1983). Coercive pressures caused by the legally binding regulations force Unilever to employ stronger governance structures in the context of the EU, whereas normative and mimetic ones, e.g., industry best practices and peer benchmarking, are more important in the context of AI governance in the UK. This means that Unilever is forced to have a two-compliance strategy that aligns with the utmost level of regulation to ensure uniformity in the market.</w:t>
          </w:r>
        </w:p>
        <w:p w14:paraId="3F2C3259" w14:textId="0C7DF40C" w:rsidR="007C48C1" w:rsidRPr="007C48C1" w:rsidRDefault="007C48C1" w:rsidP="00623D21">
          <w:pPr>
            <w:rPr>
              <w:lang w:val="en-US"/>
            </w:rPr>
          </w:pPr>
          <w:r w:rsidRPr="007C48C1">
            <w:rPr>
              <w:lang w:val="en-US"/>
            </w:rPr>
            <w:t xml:space="preserve">Moreover, such notion as the Brussels Effect (Bradford, 2020) is especially applicable in this context. The toughness of the EU regulatory framework may also be a fact of life in the rest of the world the global standards that multinational firms have embraced to comply with the EU </w:t>
          </w:r>
          <w:r w:rsidRPr="007C48C1">
            <w:rPr>
              <w:lang w:val="en-US"/>
            </w:rPr>
            <w:lastRenderedPageBreak/>
            <w:t xml:space="preserve">regulations in all countries to minimize complexities and risks. In the case of Unilever, it means that it can be more effective to align its global AI governance strategy with the EU standards, rather than have different compliance systems in various regions. </w:t>
          </w:r>
          <w:r w:rsidR="00D344E5">
            <w:rPr>
              <w:lang w:val="en-US"/>
            </w:rPr>
            <w:t xml:space="preserve"> </w:t>
          </w:r>
        </w:p>
        <w:p w14:paraId="37F964E8" w14:textId="77777777" w:rsidR="007C48C1" w:rsidRDefault="007C48C1" w:rsidP="00623D21">
          <w:pPr>
            <w:rPr>
              <w:b/>
              <w:lang w:val="en-US"/>
            </w:rPr>
          </w:pPr>
          <w:r w:rsidRPr="007C48C1">
            <w:rPr>
              <w:lang w:val="en-US"/>
            </w:rPr>
            <w:t>These regulatory differences have important implications to the strategic decision-making of Unilever. To begin with, the company is to invest in the efficient compliance systems, i.e. AI auditing tools, data documentation procedures, cross-border data governance. Second, it should strike the right balance between innovation and regulatory compliance, so that AI-driven projects should not undermine ethical guidelines or customer confidence. Lastly, the dynamic aspect of AI regulation especially in the UK where more binding regulations are expected in future necessitates Unilever to be proactive and adaptive in governance.</w:t>
          </w:r>
        </w:p>
        <w:p w14:paraId="1B10E819" w14:textId="74FA0E09" w:rsidR="00CF4A35" w:rsidRDefault="00CF4A35" w:rsidP="00237750">
          <w:pPr>
            <w:pStyle w:val="Heading2"/>
            <w:rPr>
              <w:sz w:val="36"/>
            </w:rPr>
          </w:pPr>
          <w:bookmarkStart w:id="4" w:name="_Toc225513314"/>
          <w:r>
            <w:rPr>
              <w:rStyle w:val="Strong"/>
              <w:b/>
              <w:bCs w:val="0"/>
            </w:rPr>
            <w:t>Data Governance</w:t>
          </w:r>
          <w:bookmarkEnd w:id="4"/>
        </w:p>
        <w:p w14:paraId="48CB232D" w14:textId="16640DE0" w:rsidR="00943415" w:rsidRDefault="00943415" w:rsidP="00623D21">
          <w:r w:rsidRPr="00943415">
            <w:t>Artificial Intelligence (AI) adoption, especially in the field of multinational corporations like Unilever which heavily depend on consumer data, supply chain information, and digital analytics, cannot take place without a serious consideration of data governance (Gupta, 2023). Effective data governance also makes sure that the data is handled in a responsible, secure and legally-compliant way, as well as allow organisations to realise strategic value out of the AI-driven insights. Nonetheless, the growing size and sophistication of data use in artificial intelligence systems present a novel threat of privacy, transparency and international movement of data.</w:t>
          </w:r>
        </w:p>
        <w:p w14:paraId="1B6E7DBB" w14:textId="77777777" w:rsidR="00237750" w:rsidRDefault="00314C63" w:rsidP="00237750">
          <w:pPr>
            <w:keepNext/>
            <w:jc w:val="center"/>
          </w:pPr>
          <w:r>
            <w:rPr>
              <w:noProof/>
              <w:lang w:val="en-US"/>
            </w:rPr>
            <w:drawing>
              <wp:inline distT="0" distB="0" distL="0" distR="0" wp14:anchorId="6C586591" wp14:editId="7C7E2B29">
                <wp:extent cx="2579957" cy="2579957"/>
                <wp:effectExtent l="0" t="0" r="0" b="0"/>
                <wp:docPr id="3" name="Picture 3" descr="Data Governance – Definition, Vorteile, Tipps, To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Data Governance – Definition, Vorteile, Tipps, Tool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83242" cy="2583242"/>
                        </a:xfrm>
                        <a:prstGeom prst="rect">
                          <a:avLst/>
                        </a:prstGeom>
                        <a:noFill/>
                        <a:ln>
                          <a:noFill/>
                        </a:ln>
                      </pic:spPr>
                    </pic:pic>
                  </a:graphicData>
                </a:graphic>
              </wp:inline>
            </w:drawing>
          </w:r>
        </w:p>
        <w:p w14:paraId="1775098B" w14:textId="046DE7C9" w:rsidR="00314C63" w:rsidRDefault="00237750" w:rsidP="00237750">
          <w:pPr>
            <w:pStyle w:val="Caption"/>
            <w:jc w:val="center"/>
          </w:pPr>
          <w:r>
            <w:t xml:space="preserve">Figure </w:t>
          </w:r>
          <w:fldSimple w:instr=" SEQ Figure \* ARABIC ">
            <w:r>
              <w:rPr>
                <w:noProof/>
              </w:rPr>
              <w:t>2</w:t>
            </w:r>
          </w:fldSimple>
          <w:r>
            <w:t>:</w:t>
          </w:r>
          <w:r w:rsidRPr="001E3BD8">
            <w:t>Data Governance</w:t>
          </w:r>
        </w:p>
        <w:p w14:paraId="0698BB46" w14:textId="577DC2D4" w:rsidR="00314C63" w:rsidRPr="00237750" w:rsidRDefault="00314C63" w:rsidP="00237750">
          <w:pPr>
            <w:jc w:val="center"/>
            <w:rPr>
              <w:sz w:val="22"/>
            </w:rPr>
          </w:pPr>
          <w:r w:rsidRPr="00237750">
            <w:rPr>
              <w:sz w:val="22"/>
            </w:rPr>
            <w:t>Source: (Kortas, 2025)</w:t>
          </w:r>
        </w:p>
        <w:p w14:paraId="34115E95" w14:textId="77777777" w:rsidR="00943415" w:rsidRPr="00943415" w:rsidRDefault="00943415" w:rsidP="00623D21">
          <w:r w:rsidRPr="00943415">
            <w:lastRenderedPageBreak/>
            <w:t>Unilever uses massive amounts of consumer and operational data to allow AI applications including demand forecasting, personalised marketing, and product innovation. An example is the analytics based on AI, which allows the company to understand consumer preferences and market optimisation campaigns in various regions (Unilever, 2023). Although this data-based solution improves efficiency and competitiveness, it also brings up the issue of the manner in which data is gathered, processed, and stored and the issue of personal data and consumer privacy.</w:t>
          </w:r>
        </w:p>
        <w:p w14:paraId="1966576B" w14:textId="77777777" w:rsidR="00943415" w:rsidRPr="00943415" w:rsidRDefault="00943415" w:rsidP="00623D21">
          <w:r w:rsidRPr="00943415">
            <w:t>Another major concern in data governance is purpose limitation whereby organisations should only gather data with intent to drive particular activities and not to misuse such data in other activities. Within the regulatory provisions, including the UK General Data Protection Regulation (UK GDPR) and the EU GDPR, businesses should make sure that how they use the data is in accordance with the initial consent given by the users (ICO, 2020). In the case of Unilever, this poses difficulties in AI systems that constantly learn and use information anew in analytical insight possibly posing the risk of non-compliance in case the information is misused.</w:t>
          </w:r>
        </w:p>
        <w:p w14:paraId="06345CD2" w14:textId="77777777" w:rsidR="00943415" w:rsidRPr="00943415" w:rsidRDefault="00943415" w:rsidP="00623D21">
          <w:r w:rsidRPr="00943415">
            <w:t>The other important area is the data lineage and transparency which deals with the process of tracing the source, flow and transformation of data over the course of its existence. The AI systems are frequently based on complicated datasets received via various sources, and it is challenging to ensure complete visibility levels regarding the data flows. Such non-transparency may impede accountability and create the possibility of inaccuracies or bias in AI models. The Information Commissioner Office (ICO, 2020) advises organisations to have the capability to describe how automated decisions are arrived at, especially when they affect a person. In the case of Unilever, the transparency of AI-based marketing and consumer profiling is the key to regulatory compliance and customer loyalty.</w:t>
          </w:r>
        </w:p>
        <w:p w14:paraId="21D99991" w14:textId="77777777" w:rsidR="00943415" w:rsidRPr="00943415" w:rsidRDefault="00943415" w:rsidP="00623D21">
          <w:r w:rsidRPr="00943415">
            <w:t>Data transfers between countries also make it hard to govern data among multinational companies. Unilever has several jurisdictions and therefore has to transfer data between regions including the UK and EU. The regulatory differences however, can pose a challenge of compliance especially after the UK left the EU which has included more protections on the transfer of data. To keep data protection standards on a cross-border level, organisations are to use mechanisms like Standard Contractual Clauses (SCCs) to ensure that the same is enforced (European Commission, 2021). Inability to deal with such transfers successfully may lead to the legal and operational misfortunes of the companies.</w:t>
          </w:r>
        </w:p>
        <w:p w14:paraId="33E508C6" w14:textId="77777777" w:rsidR="00943415" w:rsidRPr="00943415" w:rsidRDefault="00943415" w:rsidP="00623D21">
          <w:r w:rsidRPr="00943415">
            <w:lastRenderedPageBreak/>
            <w:t>Theoretically, the concept of data governance can be examined in the context of Information Ethics that focuses on the equitable and ethical treatment of information in online contexts (</w:t>
          </w:r>
          <w:proofErr w:type="spellStart"/>
          <w:r w:rsidRPr="00943415">
            <w:t>Floridi</w:t>
          </w:r>
          <w:proofErr w:type="spellEnd"/>
          <w:r w:rsidRPr="00943415">
            <w:t>, 2019). This viewpoint goes beyond the rules of the law, and the moral obligation of organisations to safeguard user data and to make sure that AI systems are not abusing or misusing personal information. In the case of Unilever, the ethics-based approach to data governance will help the company to increase its reputation as a responsible corporate citizen, especially in the age of data privacy concerns.</w:t>
          </w:r>
        </w:p>
        <w:p w14:paraId="748E5723" w14:textId="77777777" w:rsidR="00943415" w:rsidRPr="00943415" w:rsidRDefault="00943415" w:rsidP="00623D21">
          <w:r w:rsidRPr="00943415">
            <w:t>Also, the lack of proper data governance can directly affect business performance and risk management. Regulatory fines, legal proceedings, and reputation may be harmed due to data breaches, abuse of personal data, or lack of transparency (Gupta, 2023). Data misuse scandals in other organisations have been high profile cases that have proven how much trust can be lost among the consumers when data governance is not in place. In the case of Unilever that competes in a very competitive FMCG market, it is crucial to ensure high data governance practice in order to preserve brand loyalty and stakeholder confidence.</w:t>
          </w:r>
        </w:p>
        <w:p w14:paraId="4080FACA" w14:textId="77777777" w:rsidR="00943415" w:rsidRDefault="00943415" w:rsidP="00623D21">
          <w:pPr>
            <w:rPr>
              <w:b/>
            </w:rPr>
          </w:pPr>
          <w:r w:rsidRPr="00943415">
            <w:t>Importantly, as the increasing use of AI depends on the need of ongoing investment in sophisticated governance structures, although Unilever has already developed data protection policies and sustainability commitments, they do not suffice. This involves installing solid data auditing mechanisms, the improvement of consent management procedures, and incorporation of privacy-by-design concepts in the development of AI. Moreover, organisations should find the balance between the use of the data and privacy protection, making sure that innovation is not at a cost of the ethical care.</w:t>
          </w:r>
        </w:p>
        <w:p w14:paraId="3DBF0C60" w14:textId="17CA21D7" w:rsidR="00293D6F" w:rsidRPr="00943415" w:rsidRDefault="00293D6F" w:rsidP="0048699D">
          <w:pPr>
            <w:pStyle w:val="Heading2"/>
          </w:pPr>
          <w:bookmarkStart w:id="5" w:name="_Toc225513315"/>
          <w:r w:rsidRPr="00943415">
            <w:rPr>
              <w:rStyle w:val="Strong"/>
              <w:b/>
              <w:bCs w:val="0"/>
            </w:rPr>
            <w:t>Ethical AI</w:t>
          </w:r>
          <w:bookmarkEnd w:id="5"/>
        </w:p>
        <w:p w14:paraId="321B20E3" w14:textId="6334F48B" w:rsidR="00961C1C" w:rsidRPr="00943415" w:rsidRDefault="00943415" w:rsidP="00961C1C">
          <w:r w:rsidRPr="00943415">
            <w:t xml:space="preserve">The introduction of Artificial Intelligence (AI) to the business world poses serious ethical considerations that go beyond lawful adherence and especially in the multinational organisations like Unilever. With the growing extent to which AI systems affect the process of decision-making, including marketing, product design, and consumer interactions, the issue of algorithmic bias, transparency, and accountability has come to </w:t>
          </w:r>
          <w:proofErr w:type="spellStart"/>
          <w:r w:rsidRPr="00943415">
            <w:t>center</w:t>
          </w:r>
          <w:proofErr w:type="spellEnd"/>
          <w:r w:rsidRPr="00943415">
            <w:t xml:space="preserve"> stage in responsible AI governance. These ethical risks are not only essential to regulatory alignment, but also to stakeholder trust and long-term competitive advantage.</w:t>
          </w:r>
        </w:p>
        <w:p w14:paraId="59415DC9" w14:textId="77777777" w:rsidR="00943415" w:rsidRPr="00943415" w:rsidRDefault="00943415" w:rsidP="00623D21">
          <w:r w:rsidRPr="00943415">
            <w:t xml:space="preserve">Algorithms bias is among the main ethical issues related to AI and occurs when AI models generate unfair or discrimination results based on biased training or inadequate model architectures. The marketing and consumer analytics based on AI in the context of Unilever </w:t>
          </w:r>
          <w:r w:rsidRPr="00943415">
            <w:lastRenderedPageBreak/>
            <w:t>are based on historical data to make predictions about consumer preferences and content personalisation. Nonetheless, when this information is based on the current social or cultural prejudice, AI systems can support stereotypes or omit individual demographic communities. The example of the Amazon AI recruitment tool that was discarded due to gender bias, which is one of the high-profile cases, proves the danger of using biased algorithms without proper control. In the case of Unilever, there are threats of similar risks in targeted advertising or product suggestions, which might result in reputational damage and ethical questioning.</w:t>
          </w:r>
        </w:p>
        <w:p w14:paraId="3BB7D0FF" w14:textId="77777777" w:rsidR="00943415" w:rsidRPr="00943415" w:rsidRDefault="00943415" w:rsidP="00623D21">
          <w:r w:rsidRPr="00943415">
            <w:t xml:space="preserve">The other important concern is explainability and transparency, which is also known as Explainable AI (XAI). Most AI models, especially machine learning ones are black boxes, where it is challenging to determine how decisions are made. The information commissioner office and other regulatory authorities urge that it is necessary to offer substantial explanations of automated decisions especially when it impacts consumers (ICO, 2020). In the case of Unilever, being transparent is vital in building a consumer trust and confidence particularly when AI is employed in order to shape the purchasing behaviour in the form of personalised marketing. The inability to explain may create the perception of manipulation or unfair targeting and </w:t>
          </w:r>
          <w:proofErr w:type="spellStart"/>
          <w:r w:rsidRPr="00943415">
            <w:t>nondestroy</w:t>
          </w:r>
          <w:proofErr w:type="spellEnd"/>
          <w:r w:rsidRPr="00943415">
            <w:t xml:space="preserve"> brand credibility.</w:t>
          </w:r>
        </w:p>
        <w:p w14:paraId="15D98C79" w14:textId="4CDC0DC3" w:rsidR="00943415" w:rsidRPr="00943415" w:rsidRDefault="00943415" w:rsidP="00623D21">
          <w:pPr>
            <w:rPr>
              <w:rFonts w:eastAsia="Times New Roman" w:cs="Times New Roman"/>
              <w:szCs w:val="24"/>
              <w:lang w:val="en-US"/>
            </w:rPr>
          </w:pPr>
          <w:r w:rsidRPr="00943415">
            <w:t>Another basic ethical issue is accountability. The more autonomous AI systems are, the more complicated the decisions and outcomes responsibility becomes. To make sure that human control is observed, the organisations need to develop strong governance frameworks, especially when the usage is high impact. The National Institute of Standards and Technolo</w:t>
          </w:r>
          <w:r>
            <w:t xml:space="preserve">gy AI Risk Management Framework </w:t>
          </w:r>
          <w:r w:rsidRPr="00943415">
            <w:t>emphasizes that accountability should be assigned throughout the AI lifecycle, including design and development, as well as during deployment and monitoring</w:t>
          </w:r>
          <w:r>
            <w:t xml:space="preserve"> </w:t>
          </w:r>
          <w:r w:rsidRPr="00943415">
            <w:rPr>
              <w:rFonts w:eastAsia="Times New Roman" w:cs="Times New Roman"/>
              <w:szCs w:val="24"/>
              <w:lang w:val="en-US"/>
            </w:rPr>
            <w:t>(National Institute of Standards and Technology, 2023)</w:t>
          </w:r>
          <w:r w:rsidRPr="00943415">
            <w:t>. In the case of Unilever, it means that special positions and management teams will be required to oversee ethical AI activities to ensure that risks are defined and addressed beforehand.</w:t>
          </w:r>
        </w:p>
        <w:p w14:paraId="55EEBC85" w14:textId="0C5A346C" w:rsidR="00943415" w:rsidRPr="00943415" w:rsidRDefault="00943415" w:rsidP="00623D21">
          <w:r w:rsidRPr="00943415">
            <w:t>Theoretically, ethical AI can be examined in the Information Ethics framework, which supports the idea of fair, transparent, and responsible data and digital technology utilisation (</w:t>
          </w:r>
          <w:proofErr w:type="spellStart"/>
          <w:r w:rsidRPr="00943415">
            <w:t>Floridi</w:t>
          </w:r>
          <w:proofErr w:type="spellEnd"/>
          <w:r w:rsidRPr="00943415">
            <w:t xml:space="preserve">, 2019). This theory underlines that organisations bear the moral responsibility to uphold the informational right of individuals such as privacy, autonomy and fairness. The application of this to Unilever is that ethical AI practices must not just be in line with the regulations but that they should be based on the well-being of the consumer and the impact to the society. This is </w:t>
          </w:r>
          <w:r w:rsidRPr="00943415">
            <w:lastRenderedPageBreak/>
            <w:t>more so especially considering that Unilever has a high level of sustainability and corporate social responsibility that makes the firm one of the leaders in ethical business practices.</w:t>
          </w:r>
        </w:p>
        <w:p w14:paraId="42C32DDB" w14:textId="77777777" w:rsidR="00943415" w:rsidRPr="00943415" w:rsidRDefault="00943415" w:rsidP="00623D21">
          <w:r w:rsidRPr="00943415">
            <w:t>Importantly, the business risk and strategy placement are closely connected to the ethical issues of AI. Lack of paying attention to ethical issues may lead to serious reputational losses, loss of customer confidence and even regulation. In a more open digital space, the consumer is also more conscious of how their information is handled and will be more willing to bring organisations to task over unethical behaviours. In the case of Unilever, which has to work with highly competitive consumer markets, the ethical integrity of the AI usage is the only thing that can help the company to retain the brand equity and customer loyalty.</w:t>
          </w:r>
        </w:p>
        <w:p w14:paraId="54C307D8" w14:textId="77777777" w:rsidR="00943415" w:rsidRPr="00943415" w:rsidRDefault="00943415" w:rsidP="00623D21">
          <w:r w:rsidRPr="00943415">
            <w:t>Nevertheless, it is not easy to solve the ethical AI. The establishment of strong ethical guidelines takes a lot of investment in technology, governance, and organisational culture. Also, model performance versus explainability is usually an issue, with more complex AI systems being less transparent. This leaves Unilever to strike a balance between the necessity to possess sophisticated AI in their operations and the necessity to be ethically responsible so that innovation does not impair trust.</w:t>
          </w:r>
        </w:p>
        <w:p w14:paraId="08B4B6B8" w14:textId="77777777" w:rsidR="00943415" w:rsidRDefault="00943415" w:rsidP="00623D21">
          <w:pPr>
            <w:rPr>
              <w:b/>
            </w:rPr>
          </w:pPr>
          <w:r w:rsidRPr="00943415">
            <w:t>In order to cope with these challenges, a number of strategic implications come into play. To begin with, Unilever needs to develop a system of bias detection and reduction, such as the use of varied training data and conducting algorithm audits on a regular basis. Second, the company ought to invest in Explainable AI tools that will improve transparency and give explanations to AI-based decisions. Thirdly, it is important to implement an AI ethics governance system, comprising an ethics review board and well-defined accountability models, as the key to responsible AI implementation. Lastly, ethical values should be institutionalised in organisational practices by continuously training the employees and involving stakeholders.</w:t>
          </w:r>
        </w:p>
        <w:p w14:paraId="47486A8C" w14:textId="71B6B117" w:rsidR="004125A9" w:rsidRPr="00C239DB" w:rsidRDefault="004125A9" w:rsidP="00C239DB">
          <w:pPr>
            <w:pStyle w:val="Heading2"/>
          </w:pPr>
          <w:bookmarkStart w:id="6" w:name="_Toc225513316"/>
          <w:r w:rsidRPr="00C239DB">
            <w:rPr>
              <w:rStyle w:val="Strong"/>
              <w:b/>
              <w:bCs w:val="0"/>
            </w:rPr>
            <w:t>Customer Trust</w:t>
          </w:r>
          <w:bookmarkEnd w:id="6"/>
        </w:p>
        <w:p w14:paraId="14BA3C33" w14:textId="77777777" w:rsidR="00A9434D" w:rsidRPr="00A9434D" w:rsidRDefault="00A9434D" w:rsidP="00623D21">
          <w:r w:rsidRPr="00A9434D">
            <w:t xml:space="preserve">Customer trust is </w:t>
          </w:r>
          <w:proofErr w:type="gramStart"/>
          <w:r w:rsidRPr="00A9434D">
            <w:t>a</w:t>
          </w:r>
          <w:proofErr w:type="gramEnd"/>
          <w:r w:rsidRPr="00A9434D">
            <w:t xml:space="preserve"> important success factor of an organisation when adopting Artificial Intelligence (AI), especially when it comes to consumer oriented multinational corporations like Unilever. Since AI technologies are increasingly defining the nature of company-customer relationships, including personalised marketing, product recommendations and data-based decision-making, the degree of trust that consumers put in them directly determines the perception of the brand, customer loyalty and profitability in the long term. Although AI can be used as a powerful tool to improve customer interaction, it also poses threats that can destroy trust unless effectively managed.</w:t>
          </w:r>
        </w:p>
        <w:p w14:paraId="47A43BD5" w14:textId="77777777" w:rsidR="00A9434D" w:rsidRPr="00A9434D" w:rsidRDefault="00A9434D" w:rsidP="00623D21">
          <w:r w:rsidRPr="00A9434D">
            <w:lastRenderedPageBreak/>
            <w:t>Unilever has been heavy on AI to analyse consumer behaviour, market strategy optimization and product personalization of its products in the global markets. Such capabilities help the company provide more relevant and targeted experiences, which enhances customer satisfaction and operations. Nevertheless, personal data are utilized in AI-driven systems, which brings up the issues of privacy, transparency, and perceived manipulation. The consumers can wonder how they are gathered and processed, especially when the processes involved in the work of AI systems are not visible and predictable. The Edelman Trust Barometer (2023) reveals that the aspect of how organisations manage data and technology are becoming important in determining trust in the business, and transparency and ethical behaviour are becoming central contributors to consumer trust.</w:t>
          </w:r>
        </w:p>
        <w:p w14:paraId="029822EA" w14:textId="77777777" w:rsidR="00A9434D" w:rsidRPr="00A9434D" w:rsidRDefault="00A9434D" w:rsidP="00623D21">
          <w:r w:rsidRPr="00A9434D">
            <w:t>The interaction between AI and customer trust can be discussed as effective in terms of the Stakeholder Theory, according to which organisations have to take into account and compromise the interests of various stakeholders, such as customers, regulators, employees, and investors (Freeman, 1984). Customers are one of the key stakeholder groups in regards to the adoption of AI, where their expectations go beyond a product quality and include ethical data use and responsible technology usage. In the case of Unilever, ensuring that AI plans do not undermine the expectations of the stakeholders is the key to building trust because technological innovation should not jeopardize the rights and well-being of consumers.</w:t>
          </w:r>
        </w:p>
        <w:p w14:paraId="218017E4" w14:textId="77777777" w:rsidR="00A9434D" w:rsidRPr="00A9434D" w:rsidRDefault="00A9434D" w:rsidP="00623D21">
          <w:r w:rsidRPr="00A9434D">
            <w:t>One of the issues related to preserving customer trust is the alleged inability of AI systems to be more transparent. In cases when consumers do not know about the use of their data or the way of decision-making, they can find AI-driven processes intrusive and manipulative. It is especially applicable to personalised advertising where AI algorithms study consumer behaviour to provide specific content. Although such practices might lead to an improved user experience, they might also raise the issue of surveillance and the inability to deal with personal information. When the consumers believe that their freedoms are under threat then the level of trust towards the brand may thus reduce greatly.</w:t>
          </w:r>
        </w:p>
        <w:p w14:paraId="4A21581A" w14:textId="77777777" w:rsidR="00A9434D" w:rsidRPr="00A9434D" w:rsidRDefault="00A9434D" w:rsidP="00623D21">
          <w:r w:rsidRPr="00A9434D">
            <w:t xml:space="preserve">The other matter is that there is a risk of trust asymmetry in which an organisation has a much higher amount of information regarding consumers as compared to the information that consumers have regarding an organisation and its data practices. Such imbalance may result in scepticism and a decrease in the desire to use AI-powered services. In the case of Unilever that deals with a highly competitive environment in the FMCG markets, any slight loss of trust can mean a lot in terms of market share and brand value. Trust in this case is not merely an ethical </w:t>
          </w:r>
          <w:r w:rsidRPr="00A9434D">
            <w:lastRenderedPageBreak/>
            <w:t>issue but it is also a business resource that affects consumer behaviour and business performance.</w:t>
          </w:r>
        </w:p>
        <w:p w14:paraId="7C3DB8DB" w14:textId="77777777" w:rsidR="00A9434D" w:rsidRPr="00A9434D" w:rsidRDefault="00A9434D" w:rsidP="00623D21">
          <w:r w:rsidRPr="00A9434D">
            <w:t>Moreover, the failure of AI governance may present reputational risks that are not directly related to financial situation. Misuse of personal data, bias algorithms, and lack of transparency may be highlighted in the negative publicity in a viral way, stirring the interests of various stakeholders and harming the reputation of brands. Considering that Unilever is highly socially responsible and sustainability-focused organisation, any perceived lack of alignment between the values it preaches and the activities of its AI may greatly damage its trustworthiness among the stakeholders.</w:t>
          </w:r>
        </w:p>
        <w:p w14:paraId="66E99A79" w14:textId="4B0304AF" w:rsidR="00A9434D" w:rsidRPr="00A9434D" w:rsidRDefault="00A9434D" w:rsidP="00623D21">
          <w:r w:rsidRPr="00A9434D">
            <w:t>Critically, any AI improves efficiency and personalisation but also generates an addiction to data-driven systems that do not necessarily correspond to the expectations of consumers. Organisations should thus find a balance between using AI to give them a competitive advantage and ethical standards that will foster trust. This involves shifting compliance-based methods toward the trust-based strategy, in which transparency, accountability, and empowerment of the user are prioritised.</w:t>
          </w:r>
        </w:p>
        <w:p w14:paraId="2D953B65" w14:textId="77777777" w:rsidR="00A9434D" w:rsidRDefault="00A9434D" w:rsidP="00623D21">
          <w:pPr>
            <w:rPr>
              <w:b/>
            </w:rPr>
          </w:pPr>
          <w:r w:rsidRPr="00A9434D">
            <w:t>In order to overcome these challenges, a number of strategic suggestions can be established. To begin with, Unilever needs to be more transparent about the use of AI by making the process of collecting, processing, and using consumer data more explicit. The availability of clear explanations of AI-informed decisions would aid uncertainty minimization and confidence among consumers. Second, the use of strong consent management systems will help to retain control over their data, which will enhance the idea of fairness and respect. Third, the company must embrace active stakeholder interaction as well as incorporating feedback systems through which consumers can raise concerns and shape AI practices. Lastly, by incorporating trust metrics (customer satisfaction, perceived transparency) in performance evaluation systems, trust can be tracked and enhanced in the long-term.</w:t>
          </w:r>
        </w:p>
        <w:p w14:paraId="366F71DF" w14:textId="5CBF2FAF" w:rsidR="00A23D66" w:rsidRDefault="00A23D66" w:rsidP="00C239DB">
          <w:pPr>
            <w:pStyle w:val="Heading2"/>
            <w:rPr>
              <w:sz w:val="36"/>
            </w:rPr>
          </w:pPr>
          <w:bookmarkStart w:id="7" w:name="_Toc225513317"/>
          <w:r>
            <w:rPr>
              <w:rStyle w:val="Strong"/>
              <w:b/>
              <w:bCs w:val="0"/>
            </w:rPr>
            <w:t>Macroeconomic Context</w:t>
          </w:r>
          <w:bookmarkEnd w:id="7"/>
        </w:p>
        <w:p w14:paraId="6456C53F" w14:textId="13D1CC73" w:rsidR="006A5D19" w:rsidRDefault="006A5D19" w:rsidP="00623D21">
          <w:r>
            <w:t xml:space="preserve">Artificial Intelligence (AI) is not merely influenced by the organisational strategies in its adoption and governance, but it is also greatly influenced by the macroeconomic forces. In the case of multinational companies like Unilever, which considers operating in various markets around the globe, these external forces, such as geopolitical, economic, regulatory fragmentation, environmental, social, and governance (ESG) forces, are essential factors in influencing the AI implementation and management. </w:t>
          </w:r>
          <w:r w:rsidR="0044082E">
            <w:t xml:space="preserve"> </w:t>
          </w:r>
        </w:p>
        <w:p w14:paraId="6FD9F952" w14:textId="77777777" w:rsidR="006A5D19" w:rsidRDefault="006A5D19" w:rsidP="00623D21">
          <w:r>
            <w:lastRenderedPageBreak/>
            <w:t>The growing geopolitical fragmentation of data and technology governance is one of the most widespread macro-level influences. To ensure the regulation of AI and data protection, governments in various regions vary in their approaches, making it challenging and inconsistent on the global scale. As an example, whereas the European Union has adopted a very strict regulatory framework using the AI Act, other jurisdictions, such as the United Kingdom, have embraced a more relaxed and principles-based regulation. This break is indicative of larger geopolitical rivalry in technology leadership and digital sovereignty. The World Economic Forum (WEF, 2023) suggests that this fragmentation may complicate the operations of multinational companies, and they need to adjust AI systems to various regulatory settings. In the case of Unilever, this implies a need to deal with different compliance demands without sacrificing uniformity in the operation of global business and thus this may elevate both the costs and the strategic risk.</w:t>
          </w:r>
        </w:p>
        <w:p w14:paraId="183EAD29" w14:textId="77777777" w:rsidR="006A5D19" w:rsidRDefault="006A5D19" w:rsidP="00623D21">
          <w:r>
            <w:t>The second important macroeconomic factor is the rising prominence of ESG (Environmental, Social, and Governance) in the decision-making process of the corporate world. Investors, regulators and consumers are also becoming more demanding that organisations demonstrate responsible and ethical use of technology, including AI. The application of ESG principles in the business strategy has increased the significance of transparency, accountability, and ethical governance in the application of AI. In the case of Unilever, where the company has established itself as a sustainability and responsible business entity, it is important to align AI plans with ESG anticipations. Otherwise, it may be negatively reflected in the form of negative publicity, a lack of investor trust, and a possible exclusion of the project at sustainability-oriented investment portfolios (WEF, 2023).</w:t>
          </w:r>
        </w:p>
        <w:p w14:paraId="3785C6CD" w14:textId="77777777" w:rsidR="006A5D19" w:rsidRDefault="006A5D19" w:rsidP="00623D21">
          <w:r>
            <w:t>The economic factors, especially the inflationary forces and cost limitations are other major factors that influence AI investment decisions. Though AI could be economically efficient in the long run and save money, one has to invest heavily in technological infrastructure, data management tools, and qualified staff during implementation. McKinsey (2023) reports that organisations are now placing more emphasis on AI initiatives that can provide measurable value in terms of return on investment (ROI) especially in uncertain economic conditions. In the case of Unilever, it poses a strategic dilemma: how to invest in more advanced AI capabilities and at the same time keep costs down and profits up. This trade-off holds particular significance in the FMCG industry, in which margin may be vulnerable to changes in the economy.</w:t>
          </w:r>
        </w:p>
        <w:p w14:paraId="22287633" w14:textId="77777777" w:rsidR="006A5D19" w:rsidRDefault="006A5D19" w:rsidP="00623D21">
          <w:r>
            <w:lastRenderedPageBreak/>
            <w:t>Also, the worldwide competition is growing with the businesses in all sectors using AI to drive productivity and creativity. Companies that are successful in using AI will get high competitive advantages, such as efficiency in their supply chains, better understanding of customers, and quicker decision-making. This, however, puts pressure on organisations that are always under strain to be innovative so as to stay in the market. In the case of Unilever, the use of innovative AI-based technologies by competitors will potentially benefit in the fields of demand forecasting, product development, and personalised marketing. In turn, this makes the company make sure that its AI strategy does not only comply with the regulatory and ethical requirements but also ensures long-term competitive differentiation.</w:t>
          </w:r>
        </w:p>
        <w:p w14:paraId="054B4032" w14:textId="77777777" w:rsidR="006A5D19" w:rsidRDefault="006A5D19" w:rsidP="00623D21">
          <w:r>
            <w:t>In theory, the macroeconomic environment can also be studied through the Resource-Based View (RBV) that places emphasis on the need to build valuable, rare, inimitable and non-substitutable (VRIN) resources in order to establish sustained competitive advantage (Barney, 1991). In these regards, powerful AI governance systems, such as data infrastructure, ethical policies, and compliance tools can be viewed as strategic resources that make Unilever stand out among its rivals. Investing in these capabilities would not only help the company to reduce the risks, but also, increase its capacity to capitalize on the AI in a complex global setting.</w:t>
          </w:r>
        </w:p>
        <w:p w14:paraId="32EA8473" w14:textId="77777777" w:rsidR="006A5D19" w:rsidRDefault="006A5D19" w:rsidP="00623D21">
          <w:r>
            <w:t>Nonetheless, the macroeconomic environment is also presenting uncertainties that need proactive and dynamic approaches. The dynamism of the environment due to swift changes in technology, changes in regulatory frameworks, and changes in consumer expectation demand stagnant mechanisms of AI governance. Organisations should therefore take the initiative and keep track of the developments taking place outside and modify their strategies to suit these changes. In the case of Unilever, this can be in terms of scenario planning, investment in dynamic AI systems, and interactions with the policymakers and industry organizations to foresee possible changes in regulations.</w:t>
          </w:r>
        </w:p>
        <w:p w14:paraId="69E7F1C9" w14:textId="77777777" w:rsidR="006A5D19" w:rsidRDefault="006A5D19" w:rsidP="00623D21">
          <w:r>
            <w:t>Most importantly, though the macroeconomic factors bring difficulties, they also offer the opportunities to organisations that would successfully tune their AI strategies to the global trends. Firms that lead in responsible AI governance have a higher chance of earning the trust of the stakeholders, acquiring investment, and ultimately becoming sustainable. In the case of Unilever, the ability to use its good brand reputation and sustainability will be a competitive edge in overcoming the challenges of the global AI environment.</w:t>
          </w:r>
        </w:p>
        <w:p w14:paraId="287E4C52" w14:textId="5F1AA274" w:rsidR="004458FD" w:rsidRPr="004458FD" w:rsidRDefault="004458FD" w:rsidP="0053185C">
          <w:pPr>
            <w:pStyle w:val="Heading1"/>
          </w:pPr>
          <w:bookmarkStart w:id="8" w:name="_Toc225513318"/>
          <w:r w:rsidRPr="004458FD">
            <w:rPr>
              <w:rStyle w:val="Strong"/>
              <w:b/>
              <w:bCs w:val="0"/>
            </w:rPr>
            <w:lastRenderedPageBreak/>
            <w:t>Implementation Plan</w:t>
          </w:r>
          <w:bookmarkEnd w:id="8"/>
          <w:r w:rsidRPr="004458FD">
            <w:rPr>
              <w:rStyle w:val="Strong"/>
              <w:b/>
              <w:bCs w:val="0"/>
            </w:rPr>
            <w:t xml:space="preserve">  </w:t>
          </w:r>
        </w:p>
        <w:p w14:paraId="5AA945D1" w14:textId="77777777" w:rsidR="00AD508A" w:rsidRDefault="00AD508A" w:rsidP="00623D21">
          <w:r>
            <w:t>Unilever needs to consider a progressive AI governance implementation model to successfully respond to the AI risks, as well as maintain its competitive advantage, following the UK and EU regulatory requirements, ethical AI standards, and the demand of trust among the stakeholders. This strategy will guarantee that the AI governance will not be seen as compliance exercise, but rather as a strategic capability, which is also aligned with the Resource-Based View (Barney, 1991).</w:t>
          </w:r>
        </w:p>
        <w:p w14:paraId="2CECCC57" w14:textId="77777777" w:rsidR="00AD508A" w:rsidRPr="00AD508A" w:rsidRDefault="00AD508A" w:rsidP="00623D21">
          <w:pPr>
            <w:rPr>
              <w:b/>
            </w:rPr>
          </w:pPr>
          <w:r w:rsidRPr="00AD508A">
            <w:rPr>
              <w:b/>
            </w:rPr>
            <w:t xml:space="preserve">Phase 1: Foundation (Months 1–6) </w:t>
          </w:r>
        </w:p>
        <w:p w14:paraId="298A0739" w14:textId="46545925" w:rsidR="00AD508A" w:rsidRDefault="00AD508A" w:rsidP="00623D21">
          <w:r>
            <w:t>The initial stage is dedicated to the creation of the governance frameworks and gaining transparency regarding the use of AI within the organisation.</w:t>
          </w:r>
        </w:p>
        <w:p w14:paraId="2F43DF83" w14:textId="77777777" w:rsidR="00AD508A" w:rsidRDefault="00AD508A" w:rsidP="00623D21">
          <w:r>
            <w:t>Unilever must establish a Chief AI Ethics Officer (CAIEO) and create a cross-functional AI Governance Committee to manage compliance, risk, and ethical practices. An AI system inventory risk classification needs to be enacted extensively to distinguish the high-risk applications, specifically in consumer analytics and marketing. Parallel to it, a regulatory gap analysis, to evaluate compliance with UK GDPR and EU AI Act, and a data audit, to chart data flows, consent mechanisms, and transfers between countries, should be conducted.</w:t>
          </w:r>
        </w:p>
        <w:p w14:paraId="59E27B35" w14:textId="77777777" w:rsidR="00AD508A" w:rsidRDefault="00AD508A" w:rsidP="00623D21">
          <w:r>
            <w:t>This step withdraws the Institutional Theory tensions, whereby it is required to meet regulatory expectations and anticipate legal convergence in the future. It is also the basis of establishing a valuable governance capability within the RBV framework.</w:t>
          </w:r>
        </w:p>
        <w:p w14:paraId="30A5986D" w14:textId="77777777" w:rsidR="00AD508A" w:rsidRPr="00AD508A" w:rsidRDefault="00AD508A" w:rsidP="00623D21">
          <w:pPr>
            <w:rPr>
              <w:b/>
            </w:rPr>
          </w:pPr>
          <w:r w:rsidRPr="00AD508A">
            <w:rPr>
              <w:b/>
            </w:rPr>
            <w:t xml:space="preserve">Phase 2: Build (Months 7–18) </w:t>
          </w:r>
        </w:p>
        <w:p w14:paraId="143F3DF2" w14:textId="44DB6B06" w:rsidR="00AD508A" w:rsidRDefault="00AD508A" w:rsidP="00623D21">
          <w:r>
            <w:t>The second stage entails integrating ethical transparent and compliant AI systems in business operations.</w:t>
          </w:r>
        </w:p>
        <w:p w14:paraId="59382B07" w14:textId="77777777" w:rsidR="00AD508A" w:rsidRDefault="00AD508A" w:rsidP="00623D21">
          <w:r>
            <w:t>Unilever ought to introduce conformity tests on high-risk AI systems according to the EU requirements and introduce the Explainable AI (XAI) tools to advance transparency in decision-making. A separate AI Ethics Review Board is needed to oversee bias, fairness, and accountability by AI models. Moreover, the organisation-wide training programmes must be provided so that the workers are familiar with ethical AI principles, data governance-related responsibilities, and regulatory requirements.</w:t>
          </w:r>
        </w:p>
        <w:p w14:paraId="5AD79BA2" w14:textId="77777777" w:rsidR="00AD508A" w:rsidRDefault="00AD508A" w:rsidP="00623D21">
          <w:r>
            <w:t>This stage corresponds to the Information Ethics (</w:t>
          </w:r>
          <w:proofErr w:type="spellStart"/>
          <w:r>
            <w:t>Floridi</w:t>
          </w:r>
          <w:proofErr w:type="spellEnd"/>
          <w:r>
            <w:t xml:space="preserve">, 2019) because of fairness and transparency, and Stakeholder Theory (Freeman, 1984) due to the focus on the expectations of </w:t>
          </w:r>
          <w:r>
            <w:lastRenderedPageBreak/>
            <w:t>the consumers, regulators, and employees. It makes governance an operation capacity but not an abstract idea.</w:t>
          </w:r>
        </w:p>
        <w:p w14:paraId="1C7A8BDE" w14:textId="77777777" w:rsidR="00AD508A" w:rsidRPr="00AA75B4" w:rsidRDefault="00AD508A" w:rsidP="00623D21">
          <w:pPr>
            <w:rPr>
              <w:b/>
            </w:rPr>
          </w:pPr>
          <w:r w:rsidRPr="00AA75B4">
            <w:rPr>
              <w:b/>
            </w:rPr>
            <w:t>Phase 3: Lead (Months 19–24)</w:t>
          </w:r>
        </w:p>
        <w:p w14:paraId="24547A59" w14:textId="77777777" w:rsidR="00AD508A" w:rsidRDefault="00AD508A" w:rsidP="00623D21">
          <w:r>
            <w:t>The last stage makes Unilever one of the responsible AI governance leaders and enhances confidence among stakeholders.</w:t>
          </w:r>
        </w:p>
        <w:p w14:paraId="57E672BC" w14:textId="77777777" w:rsidR="00AD508A" w:rsidRDefault="00AD508A" w:rsidP="00623D21">
          <w:r>
            <w:t>Unilever is advised to release a single Responsible AI report, which will reveal openness in AI application, risk management, and compliance activities. Active engagement with the UK and EU regulatory bodies will be proactive to make sure that the company keeps up with the changing policies. Ethical AI practices should be communicated through a global consumer trust campaign, and independent external audit should be performed to prove the effectiveness of governance.</w:t>
          </w:r>
        </w:p>
        <w:p w14:paraId="3ECC7E4C" w14:textId="26882245" w:rsidR="00AD508A" w:rsidRDefault="00AD508A" w:rsidP="00623D21">
          <w:r>
            <w:t>This stage indicates the Brussels Effect (Bradford, 2020) since adhering to the standards of the EU sets a standard on global compliance. It also improves brand recognition and strengthens AI governance as a strategic, inimitable resource according to the RBV model.</w:t>
          </w:r>
        </w:p>
        <w:tbl>
          <w:tblPr>
            <w:tblStyle w:val="GridTable4-Accent1"/>
            <w:tblW w:w="0" w:type="auto"/>
            <w:tblLook w:val="04A0" w:firstRow="1" w:lastRow="0" w:firstColumn="1" w:lastColumn="0" w:noHBand="0" w:noVBand="1"/>
          </w:tblPr>
          <w:tblGrid>
            <w:gridCol w:w="1422"/>
            <w:gridCol w:w="1133"/>
            <w:gridCol w:w="1943"/>
            <w:gridCol w:w="1733"/>
            <w:gridCol w:w="1519"/>
            <w:gridCol w:w="1266"/>
          </w:tblGrid>
          <w:tr w:rsidR="00DC322A" w:rsidRPr="00DC322A" w14:paraId="1D2FEA1C" w14:textId="77777777" w:rsidTr="00DC322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180F525" w14:textId="77777777" w:rsidR="00DC322A" w:rsidRPr="00DC322A" w:rsidRDefault="00DC322A" w:rsidP="00623D21">
                <w:pPr>
                  <w:rPr>
                    <w:lang w:val="en-US"/>
                  </w:rPr>
                </w:pPr>
                <w:r w:rsidRPr="00DC322A">
                  <w:rPr>
                    <w:lang w:val="en-US"/>
                  </w:rPr>
                  <w:t>Phase</w:t>
                </w:r>
              </w:p>
            </w:tc>
            <w:tc>
              <w:tcPr>
                <w:tcW w:w="0" w:type="auto"/>
                <w:hideMark/>
              </w:tcPr>
              <w:p w14:paraId="4B49484F" w14:textId="77777777" w:rsidR="00DC322A" w:rsidRPr="00DC322A" w:rsidRDefault="00DC322A" w:rsidP="00623D21">
                <w:pPr>
                  <w:cnfStyle w:val="100000000000" w:firstRow="1" w:lastRow="0" w:firstColumn="0" w:lastColumn="0" w:oddVBand="0" w:evenVBand="0" w:oddHBand="0" w:evenHBand="0" w:firstRowFirstColumn="0" w:firstRowLastColumn="0" w:lastRowFirstColumn="0" w:lastRowLastColumn="0"/>
                  <w:rPr>
                    <w:lang w:val="en-US"/>
                  </w:rPr>
                </w:pPr>
                <w:r w:rsidRPr="00DC322A">
                  <w:rPr>
                    <w:lang w:val="en-US"/>
                  </w:rPr>
                  <w:t>Timeline</w:t>
                </w:r>
              </w:p>
            </w:tc>
            <w:tc>
              <w:tcPr>
                <w:tcW w:w="0" w:type="auto"/>
                <w:hideMark/>
              </w:tcPr>
              <w:p w14:paraId="5567DD8F" w14:textId="77777777" w:rsidR="00DC322A" w:rsidRPr="00DC322A" w:rsidRDefault="00DC322A" w:rsidP="00623D21">
                <w:pPr>
                  <w:cnfStyle w:val="100000000000" w:firstRow="1" w:lastRow="0" w:firstColumn="0" w:lastColumn="0" w:oddVBand="0" w:evenVBand="0" w:oddHBand="0" w:evenHBand="0" w:firstRowFirstColumn="0" w:firstRowLastColumn="0" w:lastRowFirstColumn="0" w:lastRowLastColumn="0"/>
                  <w:rPr>
                    <w:lang w:val="en-US"/>
                  </w:rPr>
                </w:pPr>
                <w:r w:rsidRPr="00DC322A">
                  <w:rPr>
                    <w:lang w:val="en-US"/>
                  </w:rPr>
                  <w:t>Key Actions</w:t>
                </w:r>
              </w:p>
            </w:tc>
            <w:tc>
              <w:tcPr>
                <w:tcW w:w="0" w:type="auto"/>
                <w:hideMark/>
              </w:tcPr>
              <w:p w14:paraId="0CAB9A9B" w14:textId="77777777" w:rsidR="00DC322A" w:rsidRPr="00DC322A" w:rsidRDefault="00DC322A" w:rsidP="00623D21">
                <w:pPr>
                  <w:cnfStyle w:val="100000000000" w:firstRow="1" w:lastRow="0" w:firstColumn="0" w:lastColumn="0" w:oddVBand="0" w:evenVBand="0" w:oddHBand="0" w:evenHBand="0" w:firstRowFirstColumn="0" w:firstRowLastColumn="0" w:lastRowFirstColumn="0" w:lastRowLastColumn="0"/>
                  <w:rPr>
                    <w:lang w:val="en-US"/>
                  </w:rPr>
                </w:pPr>
                <w:r w:rsidRPr="00DC322A">
                  <w:rPr>
                    <w:lang w:val="en-US"/>
                  </w:rPr>
                  <w:t>Responsibility</w:t>
                </w:r>
              </w:p>
            </w:tc>
            <w:tc>
              <w:tcPr>
                <w:tcW w:w="0" w:type="auto"/>
                <w:hideMark/>
              </w:tcPr>
              <w:p w14:paraId="2E56F61D" w14:textId="77777777" w:rsidR="00DC322A" w:rsidRPr="00DC322A" w:rsidRDefault="00DC322A" w:rsidP="00623D21">
                <w:pPr>
                  <w:cnfStyle w:val="100000000000" w:firstRow="1" w:lastRow="0" w:firstColumn="0" w:lastColumn="0" w:oddVBand="0" w:evenVBand="0" w:oddHBand="0" w:evenHBand="0" w:firstRowFirstColumn="0" w:firstRowLastColumn="0" w:lastRowFirstColumn="0" w:lastRowLastColumn="0"/>
                  <w:rPr>
                    <w:lang w:val="en-US"/>
                  </w:rPr>
                </w:pPr>
                <w:r w:rsidRPr="00DC322A">
                  <w:rPr>
                    <w:lang w:val="en-US"/>
                  </w:rPr>
                  <w:t>KPIs (Measured How)</w:t>
                </w:r>
              </w:p>
            </w:tc>
            <w:tc>
              <w:tcPr>
                <w:tcW w:w="0" w:type="auto"/>
                <w:hideMark/>
              </w:tcPr>
              <w:p w14:paraId="592C8D27" w14:textId="77777777" w:rsidR="00DC322A" w:rsidRPr="00DC322A" w:rsidRDefault="00DC322A" w:rsidP="00623D21">
                <w:pPr>
                  <w:cnfStyle w:val="100000000000" w:firstRow="1" w:lastRow="0" w:firstColumn="0" w:lastColumn="0" w:oddVBand="0" w:evenVBand="0" w:oddHBand="0" w:evenHBand="0" w:firstRowFirstColumn="0" w:firstRowLastColumn="0" w:lastRowFirstColumn="0" w:lastRowLastColumn="0"/>
                  <w:rPr>
                    <w:lang w:val="en-US"/>
                  </w:rPr>
                </w:pPr>
                <w:r w:rsidRPr="00DC322A">
                  <w:rPr>
                    <w:lang w:val="en-US"/>
                  </w:rPr>
                  <w:t>Estimated Cost</w:t>
                </w:r>
              </w:p>
            </w:tc>
          </w:tr>
          <w:tr w:rsidR="00DC322A" w:rsidRPr="00DC322A" w14:paraId="44F14154" w14:textId="77777777" w:rsidTr="00DC3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234FEF3" w14:textId="77777777" w:rsidR="00DC322A" w:rsidRPr="00DC322A" w:rsidRDefault="00DC322A" w:rsidP="00623D21">
                <w:pPr>
                  <w:rPr>
                    <w:lang w:val="en-US"/>
                  </w:rPr>
                </w:pPr>
                <w:r w:rsidRPr="00DC322A">
                  <w:rPr>
                    <w:lang w:val="en-US"/>
                  </w:rPr>
                  <w:t>Phase 1: Foundation</w:t>
                </w:r>
              </w:p>
            </w:tc>
            <w:tc>
              <w:tcPr>
                <w:tcW w:w="0" w:type="auto"/>
                <w:hideMark/>
              </w:tcPr>
              <w:p w14:paraId="562594C1"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Months 1–6</w:t>
                </w:r>
              </w:p>
            </w:tc>
            <w:tc>
              <w:tcPr>
                <w:tcW w:w="0" w:type="auto"/>
                <w:hideMark/>
              </w:tcPr>
              <w:p w14:paraId="7AC8A034"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AI Governance Committee; AI inventory &amp; risk classification; regulatory gap analysis; data audit</w:t>
                </w:r>
              </w:p>
            </w:tc>
            <w:tc>
              <w:tcPr>
                <w:tcW w:w="0" w:type="auto"/>
                <w:hideMark/>
              </w:tcPr>
              <w:p w14:paraId="7DB6E0E6"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CAIEO, Legal &amp; Compliance, Data Teams</w:t>
                </w:r>
              </w:p>
            </w:tc>
            <w:tc>
              <w:tcPr>
                <w:tcW w:w="0" w:type="auto"/>
                <w:hideMark/>
              </w:tcPr>
              <w:p w14:paraId="6BDEDB0D"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100% AI systems identified; gap analysis completed; 90% data mapped</w:t>
                </w:r>
              </w:p>
            </w:tc>
            <w:tc>
              <w:tcPr>
                <w:tcW w:w="0" w:type="auto"/>
                <w:hideMark/>
              </w:tcPr>
              <w:p w14:paraId="5F867988"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£2–3 million</w:t>
                </w:r>
              </w:p>
            </w:tc>
          </w:tr>
          <w:tr w:rsidR="00DC322A" w:rsidRPr="00DC322A" w14:paraId="09FFBD9E" w14:textId="77777777" w:rsidTr="00DC322A">
            <w:tc>
              <w:tcPr>
                <w:cnfStyle w:val="001000000000" w:firstRow="0" w:lastRow="0" w:firstColumn="1" w:lastColumn="0" w:oddVBand="0" w:evenVBand="0" w:oddHBand="0" w:evenHBand="0" w:firstRowFirstColumn="0" w:firstRowLastColumn="0" w:lastRowFirstColumn="0" w:lastRowLastColumn="0"/>
                <w:tcW w:w="0" w:type="auto"/>
                <w:hideMark/>
              </w:tcPr>
              <w:p w14:paraId="76641512" w14:textId="77777777" w:rsidR="00DC322A" w:rsidRPr="00DC322A" w:rsidRDefault="00DC322A" w:rsidP="00623D21">
                <w:pPr>
                  <w:rPr>
                    <w:lang w:val="en-US"/>
                  </w:rPr>
                </w:pPr>
                <w:r w:rsidRPr="00DC322A">
                  <w:rPr>
                    <w:lang w:val="en-US"/>
                  </w:rPr>
                  <w:t>Phase 2: Build</w:t>
                </w:r>
              </w:p>
            </w:tc>
            <w:tc>
              <w:tcPr>
                <w:tcW w:w="0" w:type="auto"/>
                <w:hideMark/>
              </w:tcPr>
              <w:p w14:paraId="78894068" w14:textId="77777777" w:rsidR="00DC322A" w:rsidRPr="00DC322A" w:rsidRDefault="00DC322A" w:rsidP="00623D21">
                <w:pPr>
                  <w:cnfStyle w:val="000000000000" w:firstRow="0" w:lastRow="0" w:firstColumn="0" w:lastColumn="0" w:oddVBand="0" w:evenVBand="0" w:oddHBand="0" w:evenHBand="0" w:firstRowFirstColumn="0" w:firstRowLastColumn="0" w:lastRowFirstColumn="0" w:lastRowLastColumn="0"/>
                  <w:rPr>
                    <w:lang w:val="en-US"/>
                  </w:rPr>
                </w:pPr>
                <w:r w:rsidRPr="00DC322A">
                  <w:rPr>
                    <w:lang w:val="en-US"/>
                  </w:rPr>
                  <w:t>Months 7–18</w:t>
                </w:r>
              </w:p>
            </w:tc>
            <w:tc>
              <w:tcPr>
                <w:tcW w:w="0" w:type="auto"/>
                <w:hideMark/>
              </w:tcPr>
              <w:p w14:paraId="4478D323" w14:textId="77777777" w:rsidR="00DC322A" w:rsidRPr="00DC322A" w:rsidRDefault="00DC322A" w:rsidP="00623D21">
                <w:pPr>
                  <w:cnfStyle w:val="000000000000" w:firstRow="0" w:lastRow="0" w:firstColumn="0" w:lastColumn="0" w:oddVBand="0" w:evenVBand="0" w:oddHBand="0" w:evenHBand="0" w:firstRowFirstColumn="0" w:firstRowLastColumn="0" w:lastRowFirstColumn="0" w:lastRowLastColumn="0"/>
                  <w:rPr>
                    <w:lang w:val="en-US"/>
                  </w:rPr>
                </w:pPr>
                <w:r w:rsidRPr="00DC322A">
                  <w:rPr>
                    <w:lang w:val="en-US"/>
                  </w:rPr>
                  <w:t>Conformity assessments; XAI implementation; ethics review board; staff training (500+)</w:t>
                </w:r>
              </w:p>
            </w:tc>
            <w:tc>
              <w:tcPr>
                <w:tcW w:w="0" w:type="auto"/>
                <w:hideMark/>
              </w:tcPr>
              <w:p w14:paraId="6A48BB35" w14:textId="77777777" w:rsidR="00DC322A" w:rsidRPr="00DC322A" w:rsidRDefault="00DC322A" w:rsidP="00623D21">
                <w:pPr>
                  <w:cnfStyle w:val="000000000000" w:firstRow="0" w:lastRow="0" w:firstColumn="0" w:lastColumn="0" w:oddVBand="0" w:evenVBand="0" w:oddHBand="0" w:evenHBand="0" w:firstRowFirstColumn="0" w:firstRowLastColumn="0" w:lastRowFirstColumn="0" w:lastRowLastColumn="0"/>
                  <w:rPr>
                    <w:lang w:val="en-US"/>
                  </w:rPr>
                </w:pPr>
                <w:r w:rsidRPr="00DC322A">
                  <w:rPr>
                    <w:lang w:val="en-US"/>
                  </w:rPr>
                  <w:t>AI Committee, IT, HR</w:t>
                </w:r>
              </w:p>
            </w:tc>
            <w:tc>
              <w:tcPr>
                <w:tcW w:w="0" w:type="auto"/>
                <w:hideMark/>
              </w:tcPr>
              <w:p w14:paraId="0342C3C3" w14:textId="77777777" w:rsidR="00DC322A" w:rsidRPr="00DC322A" w:rsidRDefault="00DC322A" w:rsidP="00623D21">
                <w:pPr>
                  <w:cnfStyle w:val="000000000000" w:firstRow="0" w:lastRow="0" w:firstColumn="0" w:lastColumn="0" w:oddVBand="0" w:evenVBand="0" w:oddHBand="0" w:evenHBand="0" w:firstRowFirstColumn="0" w:firstRowLastColumn="0" w:lastRowFirstColumn="0" w:lastRowLastColumn="0"/>
                  <w:rPr>
                    <w:lang w:val="en-US"/>
                  </w:rPr>
                </w:pPr>
                <w:r w:rsidRPr="00DC322A">
                  <w:rPr>
                    <w:lang w:val="en-US"/>
                  </w:rPr>
                  <w:t xml:space="preserve">100% high-risk AI assessed; 30% reduction in bias incidents; </w:t>
                </w:r>
                <w:r w:rsidRPr="00DC322A">
                  <w:rPr>
                    <w:lang w:val="en-US"/>
                  </w:rPr>
                  <w:lastRenderedPageBreak/>
                  <w:t>80% staff trained</w:t>
                </w:r>
              </w:p>
            </w:tc>
            <w:tc>
              <w:tcPr>
                <w:tcW w:w="0" w:type="auto"/>
                <w:hideMark/>
              </w:tcPr>
              <w:p w14:paraId="335CCBB5" w14:textId="77777777" w:rsidR="00DC322A" w:rsidRPr="00DC322A" w:rsidRDefault="00DC322A" w:rsidP="00623D21">
                <w:pPr>
                  <w:cnfStyle w:val="000000000000" w:firstRow="0" w:lastRow="0" w:firstColumn="0" w:lastColumn="0" w:oddVBand="0" w:evenVBand="0" w:oddHBand="0" w:evenHBand="0" w:firstRowFirstColumn="0" w:firstRowLastColumn="0" w:lastRowFirstColumn="0" w:lastRowLastColumn="0"/>
                  <w:rPr>
                    <w:lang w:val="en-US"/>
                  </w:rPr>
                </w:pPr>
                <w:r w:rsidRPr="00DC322A">
                  <w:rPr>
                    <w:lang w:val="en-US"/>
                  </w:rPr>
                  <w:lastRenderedPageBreak/>
                  <w:t>£5–7 million</w:t>
                </w:r>
              </w:p>
            </w:tc>
          </w:tr>
          <w:tr w:rsidR="00DC322A" w:rsidRPr="00DC322A" w14:paraId="78DDEB23" w14:textId="77777777" w:rsidTr="00DC322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1A1F3B" w14:textId="77777777" w:rsidR="00DC322A" w:rsidRPr="00DC322A" w:rsidRDefault="00DC322A" w:rsidP="00623D21">
                <w:pPr>
                  <w:rPr>
                    <w:lang w:val="en-US"/>
                  </w:rPr>
                </w:pPr>
                <w:r w:rsidRPr="00DC322A">
                  <w:rPr>
                    <w:lang w:val="en-US"/>
                  </w:rPr>
                  <w:t>Phase 3: Lead</w:t>
                </w:r>
              </w:p>
            </w:tc>
            <w:tc>
              <w:tcPr>
                <w:tcW w:w="0" w:type="auto"/>
                <w:hideMark/>
              </w:tcPr>
              <w:p w14:paraId="0C2CE331"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Months 19–24</w:t>
                </w:r>
              </w:p>
            </w:tc>
            <w:tc>
              <w:tcPr>
                <w:tcW w:w="0" w:type="auto"/>
                <w:hideMark/>
              </w:tcPr>
              <w:p w14:paraId="31149097"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Responsible AI Report; regulatory engagement; trust campaign; external audits</w:t>
                </w:r>
              </w:p>
            </w:tc>
            <w:tc>
              <w:tcPr>
                <w:tcW w:w="0" w:type="auto"/>
                <w:hideMark/>
              </w:tcPr>
              <w:p w14:paraId="7CFBB6C3"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Corporate Affairs, Marketing, External Auditors</w:t>
                </w:r>
              </w:p>
            </w:tc>
            <w:tc>
              <w:tcPr>
                <w:tcW w:w="0" w:type="auto"/>
                <w:hideMark/>
              </w:tcPr>
              <w:p w14:paraId="5F9F42BC"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15% increase in trust scores; zero major compliance breaches; annual audit certification</w:t>
                </w:r>
              </w:p>
            </w:tc>
            <w:tc>
              <w:tcPr>
                <w:tcW w:w="0" w:type="auto"/>
                <w:hideMark/>
              </w:tcPr>
              <w:p w14:paraId="7BD015B6" w14:textId="77777777" w:rsidR="00DC322A" w:rsidRPr="00DC322A" w:rsidRDefault="00DC322A" w:rsidP="00623D21">
                <w:pPr>
                  <w:cnfStyle w:val="000000100000" w:firstRow="0" w:lastRow="0" w:firstColumn="0" w:lastColumn="0" w:oddVBand="0" w:evenVBand="0" w:oddHBand="1" w:evenHBand="0" w:firstRowFirstColumn="0" w:firstRowLastColumn="0" w:lastRowFirstColumn="0" w:lastRowLastColumn="0"/>
                  <w:rPr>
                    <w:lang w:val="en-US"/>
                  </w:rPr>
                </w:pPr>
                <w:r w:rsidRPr="00DC322A">
                  <w:rPr>
                    <w:lang w:val="en-US"/>
                  </w:rPr>
                  <w:t>£2–4 million</w:t>
                </w:r>
              </w:p>
            </w:tc>
          </w:tr>
        </w:tbl>
        <w:p w14:paraId="4F9771CE" w14:textId="77777777" w:rsidR="00DC322A" w:rsidRDefault="00DC322A" w:rsidP="00623D21"/>
        <w:p w14:paraId="461607F2" w14:textId="77777777" w:rsidR="00AD508A" w:rsidRDefault="00AD508A" w:rsidP="00623D21">
          <w:r>
            <w:t xml:space="preserve">Conclusion  </w:t>
          </w:r>
        </w:p>
        <w:p w14:paraId="563B9CB0" w14:textId="77777777" w:rsidR="00AD508A" w:rsidRDefault="00AD508A" w:rsidP="00623D21">
          <w:r>
            <w:t>The evaluation of Artificial Intelligence (AI) governance at Unilever shows that AI has immense potential as a driver of innovation, efficiency, and competitive advantage, but also poses a challenging set of regulatory, ethical, and strategic risks. Having business operations in several jurisdictions, especially the United Kingdom and the European Union, Unilever faces different opposing regulatory frameworks which need a well balanced and flexible approach. The loose system in present-day UK allows innovation but leads to uncertainty, whereas the strong system of regulations in the EU improves accountability, but heightens compliance requirements.</w:t>
          </w:r>
        </w:p>
        <w:p w14:paraId="47F6FA9B" w14:textId="77777777" w:rsidR="00AD508A" w:rsidRDefault="00AD508A" w:rsidP="00623D21">
          <w:r>
            <w:t>According to the findings, the governance of AI should go beyond legal requirements and include ethical aspects, efficient data management, and interacting with stakeholders. Algorithms discrimination, a lack of transparency, and data privacy threats can cause customer mistrust and reputational harm unless these issues are among the top management priorities. The theoretical approaches like Institutional Theory, Stakeholder Theory, and Information Ethics can be used in this scenario to offer some useful insights on how organisations can reconcile AI strategies with regulatory demands and stakeholder concerns.</w:t>
          </w:r>
        </w:p>
        <w:p w14:paraId="68F8F103" w14:textId="77777777" w:rsidR="00AD508A" w:rsidRDefault="00AD508A" w:rsidP="00623D21">
          <w:r>
            <w:t>Moreover, macroeconomic forces, such as ESG forces, geopolitical fragmentation, and competitive forces, also support the necessity of organisations having a proactive and robust AI approach. The implementation plan presented in the report shows that the introduction of a structured, gradual change, which is based on governance, the development of capabilities, and leadership, can allow Unilever to reduce risks and use AI as a strategic resource.</w:t>
          </w:r>
        </w:p>
        <w:p w14:paraId="735EB39C" w14:textId="3142DEBA" w:rsidR="00AA2A91" w:rsidRDefault="00AD508A" w:rsidP="00623D21">
          <w:r>
            <w:lastRenderedPageBreak/>
            <w:t>To sum up, a balance between innovation and responsibility is a key to the successful implementation of AI in multinational organisations. Through the integration of ethical considerations, resilience of governance systems, and alignment to all world standards, Unilever will not only be capable of dealing with the risks of AI-related factors but also increase competition power and stakeholder confidence in the long-term competitive environment of an ever-changing digital world.</w:t>
          </w:r>
        </w:p>
        <w:p w14:paraId="131D500D" w14:textId="77777777" w:rsidR="00AA2A91" w:rsidRDefault="00AA2A91" w:rsidP="00623D21"/>
        <w:p w14:paraId="6694B73F" w14:textId="77777777" w:rsidR="00AA2A91" w:rsidRDefault="00AA2A91" w:rsidP="00623D21"/>
        <w:p w14:paraId="7246D263" w14:textId="77777777" w:rsidR="00AA2A91" w:rsidRDefault="00AA2A91" w:rsidP="00623D21"/>
        <w:p w14:paraId="22020C63" w14:textId="77777777" w:rsidR="00AA2A91" w:rsidRDefault="00AA2A91" w:rsidP="00623D21"/>
        <w:p w14:paraId="43A20583" w14:textId="77777777" w:rsidR="00AA2A91" w:rsidRDefault="00AA2A91" w:rsidP="00623D21"/>
        <w:p w14:paraId="39BA3A5F" w14:textId="77777777" w:rsidR="00AA2A91" w:rsidRDefault="00AA2A91" w:rsidP="00623D21"/>
        <w:p w14:paraId="385E28CD" w14:textId="77777777" w:rsidR="00AA2A91" w:rsidRDefault="00AA2A91" w:rsidP="00623D21"/>
        <w:p w14:paraId="0F501598" w14:textId="77777777" w:rsidR="00AA2A91" w:rsidRDefault="00AA2A91" w:rsidP="00623D21"/>
        <w:p w14:paraId="0E5928E3" w14:textId="77777777" w:rsidR="00AA2A91" w:rsidRDefault="00AA2A91" w:rsidP="00623D21"/>
        <w:p w14:paraId="0D823694" w14:textId="77777777" w:rsidR="00AA2A91" w:rsidRDefault="00AA2A91" w:rsidP="00623D21"/>
        <w:p w14:paraId="57748263" w14:textId="77777777" w:rsidR="00AA2A91" w:rsidRDefault="00AA2A91" w:rsidP="00623D21"/>
        <w:p w14:paraId="2BBAF9C4" w14:textId="77777777" w:rsidR="00AA2A91" w:rsidRDefault="00AA2A91" w:rsidP="00623D21"/>
        <w:p w14:paraId="206DEFF7" w14:textId="77777777" w:rsidR="00C15D58" w:rsidRDefault="00C15D58" w:rsidP="00623D21">
          <w:pPr>
            <w:rPr>
              <w:rFonts w:eastAsiaTheme="majorEastAsia" w:cstheme="majorBidi"/>
              <w:b/>
              <w:color w:val="000000" w:themeColor="text1"/>
              <w:sz w:val="28"/>
              <w:szCs w:val="32"/>
            </w:rPr>
          </w:pPr>
          <w:r>
            <w:br w:type="page"/>
          </w:r>
        </w:p>
        <w:p w14:paraId="45180F36" w14:textId="76FFF360" w:rsidR="00437F39" w:rsidRDefault="00437F39" w:rsidP="00437F39">
          <w:pPr>
            <w:pStyle w:val="Heading1"/>
            <w:rPr>
              <w:lang w:val="en-US"/>
            </w:rPr>
          </w:pPr>
          <w:bookmarkStart w:id="9" w:name="_Toc225513319"/>
          <w:r>
            <w:rPr>
              <w:lang w:val="en-US"/>
            </w:rPr>
            <w:lastRenderedPageBreak/>
            <w:t>References</w:t>
          </w:r>
          <w:bookmarkEnd w:id="9"/>
          <w:r>
            <w:rPr>
              <w:lang w:val="en-US"/>
            </w:rPr>
            <w:t xml:space="preserve"> </w:t>
          </w:r>
        </w:p>
        <w:p w14:paraId="7E9ED90A" w14:textId="77777777" w:rsidR="00437F39" w:rsidRDefault="00437F39" w:rsidP="00437F39">
          <w:r>
            <w:t xml:space="preserve">Barney, J. (1991) ‘Firm resources and sustained competitive advantage’, </w:t>
          </w:r>
          <w:r>
            <w:rPr>
              <w:rStyle w:val="Emphasis"/>
            </w:rPr>
            <w:t>Journal of Management</w:t>
          </w:r>
          <w:r>
            <w:t>, 17(1), pp. 99–120.</w:t>
          </w:r>
        </w:p>
        <w:p w14:paraId="2EF95AFB" w14:textId="77777777" w:rsidR="00437F39" w:rsidRDefault="00437F39" w:rsidP="00437F39">
          <w:r>
            <w:t xml:space="preserve">Bradford, A. (2020) </w:t>
          </w:r>
          <w:r>
            <w:rPr>
              <w:rStyle w:val="Emphasis"/>
            </w:rPr>
            <w:t>The Brussels Effect: How the European Union Rules the World</w:t>
          </w:r>
          <w:r>
            <w:t>. Oxford: Oxford University Press.</w:t>
          </w:r>
        </w:p>
        <w:p w14:paraId="2F241CE3" w14:textId="77777777" w:rsidR="00437F39" w:rsidRDefault="00437F39" w:rsidP="00437F39">
          <w:r>
            <w:t xml:space="preserve">DiMaggio, P.J. and Powell, W.W. (1983) ‘The iron cage revisited: Institutional isomorphism and collective rationality’, </w:t>
          </w:r>
          <w:r>
            <w:rPr>
              <w:rStyle w:val="Emphasis"/>
            </w:rPr>
            <w:t>American Sociological Review</w:t>
          </w:r>
          <w:r>
            <w:t>, 48(2), pp. 147–160.</w:t>
          </w:r>
        </w:p>
        <w:p w14:paraId="1774F1CE" w14:textId="77777777" w:rsidR="00437F39" w:rsidRDefault="00437F39" w:rsidP="00437F39">
          <w:r>
            <w:t xml:space="preserve">Edelman (2023) </w:t>
          </w:r>
          <w:r>
            <w:rPr>
              <w:rStyle w:val="Emphasis"/>
            </w:rPr>
            <w:t>Edelman Trust Barometer 2023</w:t>
          </w:r>
          <w:r>
            <w:t xml:space="preserve">. Available at: </w:t>
          </w:r>
          <w:hyperlink r:id="rId9" w:tgtFrame="_new" w:history="1">
            <w:r>
              <w:rPr>
                <w:rStyle w:val="Hyperlink"/>
              </w:rPr>
              <w:t>https://www.edelman.com/trust/2023/trust-barometer</w:t>
            </w:r>
          </w:hyperlink>
          <w:r>
            <w:t xml:space="preserve"> (Accessed: 27 March 2026).</w:t>
          </w:r>
        </w:p>
        <w:p w14:paraId="7C6D2E4B" w14:textId="77777777" w:rsidR="00437F39" w:rsidRDefault="00437F39" w:rsidP="00437F39">
          <w:r>
            <w:t xml:space="preserve">European Commission (2021) </w:t>
          </w:r>
          <w:r>
            <w:rPr>
              <w:rStyle w:val="Emphasis"/>
            </w:rPr>
            <w:t>Standard Contractual Clauses for International Data Transfers</w:t>
          </w:r>
          <w:r>
            <w:t xml:space="preserve">. Available at: </w:t>
          </w:r>
          <w:hyperlink r:id="rId10" w:tgtFrame="_new" w:history="1">
            <w:r>
              <w:rPr>
                <w:rStyle w:val="Hyperlink"/>
              </w:rPr>
              <w:t>https://commission.europa.eu</w:t>
            </w:r>
          </w:hyperlink>
          <w:r>
            <w:t xml:space="preserve"> (Accessed: 27 March 2026).</w:t>
          </w:r>
        </w:p>
        <w:p w14:paraId="0395F7E0" w14:textId="77777777" w:rsidR="00437F39" w:rsidRDefault="00437F39" w:rsidP="00437F39">
          <w:r>
            <w:t xml:space="preserve">European Commission (2024) </w:t>
          </w:r>
          <w:r>
            <w:rPr>
              <w:rStyle w:val="Emphasis"/>
            </w:rPr>
            <w:t>Regulation (EU) 2024/1689 (Artificial Intelligence Act)</w:t>
          </w:r>
          <w:r>
            <w:t xml:space="preserve">. Available at: </w:t>
          </w:r>
          <w:hyperlink r:id="rId11" w:tgtFrame="_new" w:history="1">
            <w:r>
              <w:rPr>
                <w:rStyle w:val="Hyperlink"/>
              </w:rPr>
              <w:t>https://eur-lex.europa.eu</w:t>
            </w:r>
          </w:hyperlink>
          <w:r>
            <w:t xml:space="preserve"> (Accessed: 27 March 2026).</w:t>
          </w:r>
        </w:p>
        <w:p w14:paraId="2B52ECF8" w14:textId="77777777" w:rsidR="00437F39" w:rsidRDefault="00437F39" w:rsidP="00437F39">
          <w:proofErr w:type="spellStart"/>
          <w:r>
            <w:t>Floridi</w:t>
          </w:r>
          <w:proofErr w:type="spellEnd"/>
          <w:r>
            <w:t xml:space="preserve">, L. (2019) </w:t>
          </w:r>
          <w:r>
            <w:rPr>
              <w:rStyle w:val="Emphasis"/>
            </w:rPr>
            <w:t>Establishing the rules for building trustworthy AI</w:t>
          </w:r>
          <w:r>
            <w:t>. Oxford: Oxford University Press.</w:t>
          </w:r>
        </w:p>
        <w:p w14:paraId="2759C076" w14:textId="77777777" w:rsidR="00437F39" w:rsidRDefault="00437F39" w:rsidP="00437F39">
          <w:r>
            <w:t xml:space="preserve">Freeman, R.E. (1984) </w:t>
          </w:r>
          <w:r>
            <w:rPr>
              <w:rStyle w:val="Emphasis"/>
            </w:rPr>
            <w:t>Strategic Management: A Stakeholder Approach</w:t>
          </w:r>
          <w:r>
            <w:t>. Boston: Pitman.</w:t>
          </w:r>
        </w:p>
        <w:p w14:paraId="39392497" w14:textId="77777777" w:rsidR="00437F39" w:rsidRDefault="00437F39" w:rsidP="00437F39">
          <w:r>
            <w:t xml:space="preserve">Gupta, A. (2023) </w:t>
          </w:r>
          <w:r>
            <w:rPr>
              <w:rStyle w:val="Emphasis"/>
            </w:rPr>
            <w:t>Data governance and AI risk management</w:t>
          </w:r>
          <w:r>
            <w:t>.</w:t>
          </w:r>
        </w:p>
        <w:p w14:paraId="603D97C2" w14:textId="77777777" w:rsidR="00437F39" w:rsidRDefault="00437F39" w:rsidP="00437F39">
          <w:r>
            <w:t xml:space="preserve">Information Commissioner’s Office (ICO) (2020) </w:t>
          </w:r>
          <w:r>
            <w:rPr>
              <w:rStyle w:val="Emphasis"/>
            </w:rPr>
            <w:t>Explaining decisions made with AI</w:t>
          </w:r>
          <w:r>
            <w:t xml:space="preserve">. Available at: </w:t>
          </w:r>
          <w:hyperlink r:id="rId12" w:tgtFrame="_new" w:history="1">
            <w:r>
              <w:rPr>
                <w:rStyle w:val="Hyperlink"/>
              </w:rPr>
              <w:t>https://ico.org.uk</w:t>
            </w:r>
          </w:hyperlink>
          <w:r>
            <w:t xml:space="preserve"> (Accessed: 27 March 2026).</w:t>
          </w:r>
        </w:p>
        <w:p w14:paraId="35F3E4B0" w14:textId="77777777" w:rsidR="00437F39" w:rsidRDefault="00437F39" w:rsidP="00437F39">
          <w:r>
            <w:t xml:space="preserve">Kortas, T. (2025) ‘Data governance - definition, advantages, tips, tools’, </w:t>
          </w:r>
          <w:r>
            <w:rPr>
              <w:rStyle w:val="Emphasis"/>
            </w:rPr>
            <w:t>OTRS</w:t>
          </w:r>
          <w:r>
            <w:t xml:space="preserve">. Available at: </w:t>
          </w:r>
          <w:hyperlink r:id="rId13" w:tgtFrame="_new" w:history="1">
            <w:r>
              <w:rPr>
                <w:rStyle w:val="Hyperlink"/>
              </w:rPr>
              <w:t>https://otrs.com/blog/security-compliance/data-governance/</w:t>
            </w:r>
          </w:hyperlink>
          <w:r>
            <w:t xml:space="preserve"> (Accessed: 27 March 2026).</w:t>
          </w:r>
        </w:p>
        <w:p w14:paraId="68990D66" w14:textId="77777777" w:rsidR="00437F39" w:rsidRDefault="00437F39" w:rsidP="00437F39">
          <w:r>
            <w:t xml:space="preserve">McKinsey &amp; Company (2023) </w:t>
          </w:r>
          <w:r>
            <w:rPr>
              <w:rStyle w:val="Emphasis"/>
            </w:rPr>
            <w:t>The State of AI in 2023</w:t>
          </w:r>
          <w:r>
            <w:t xml:space="preserve">. Available at: </w:t>
          </w:r>
          <w:hyperlink r:id="rId14" w:tgtFrame="_new" w:history="1">
            <w:r>
              <w:rPr>
                <w:rStyle w:val="Hyperlink"/>
              </w:rPr>
              <w:t>https://www.mckinsey.com</w:t>
            </w:r>
          </w:hyperlink>
          <w:r>
            <w:t xml:space="preserve"> (Accessed: 27 March 2026).</w:t>
          </w:r>
        </w:p>
        <w:p w14:paraId="52A3FD9C" w14:textId="77777777" w:rsidR="00437F39" w:rsidRDefault="00437F39" w:rsidP="00437F39">
          <w:r>
            <w:t xml:space="preserve">National Institute of Standards and Technology (NIST) (2023) </w:t>
          </w:r>
          <w:r>
            <w:rPr>
              <w:rStyle w:val="Emphasis"/>
            </w:rPr>
            <w:t>AI Risk Management Framework (AI RMF 1.0)</w:t>
          </w:r>
          <w:r>
            <w:t xml:space="preserve">. Available at: </w:t>
          </w:r>
          <w:hyperlink r:id="rId15" w:tgtFrame="_new" w:history="1">
            <w:r>
              <w:rPr>
                <w:rStyle w:val="Hyperlink"/>
              </w:rPr>
              <w:t>https://www.nist.gov</w:t>
            </w:r>
          </w:hyperlink>
          <w:r>
            <w:t xml:space="preserve"> (Accessed: 27 March 2026).</w:t>
          </w:r>
        </w:p>
        <w:p w14:paraId="784537AA" w14:textId="77777777" w:rsidR="00437F39" w:rsidRDefault="00437F39" w:rsidP="00437F39">
          <w:r>
            <w:t xml:space="preserve">UK Department for Science, Innovation and Technology (DSIT) (2023) </w:t>
          </w:r>
          <w:r>
            <w:rPr>
              <w:rStyle w:val="Emphasis"/>
            </w:rPr>
            <w:t>A pro-innovation approach to AI regulation</w:t>
          </w:r>
          <w:r>
            <w:t xml:space="preserve">. Available at: </w:t>
          </w:r>
          <w:hyperlink r:id="rId16" w:tgtFrame="_new" w:history="1">
            <w:r>
              <w:rPr>
                <w:rStyle w:val="Hyperlink"/>
              </w:rPr>
              <w:t>https://www.gov.uk</w:t>
            </w:r>
          </w:hyperlink>
          <w:r>
            <w:t xml:space="preserve"> (Accessed: 27 March 2026).</w:t>
          </w:r>
        </w:p>
        <w:p w14:paraId="1275677A" w14:textId="77777777" w:rsidR="00437F39" w:rsidRDefault="00437F39" w:rsidP="00437F39">
          <w:r>
            <w:lastRenderedPageBreak/>
            <w:t xml:space="preserve">Unilever (2023) </w:t>
          </w:r>
          <w:r>
            <w:rPr>
              <w:rStyle w:val="Emphasis"/>
            </w:rPr>
            <w:t>Annual Report and Accounts 2023</w:t>
          </w:r>
          <w:r>
            <w:t xml:space="preserve">. Available at: </w:t>
          </w:r>
          <w:hyperlink r:id="rId17" w:tgtFrame="_new" w:history="1">
            <w:r>
              <w:rPr>
                <w:rStyle w:val="Hyperlink"/>
              </w:rPr>
              <w:t>https://www.unilever.com/investors</w:t>
            </w:r>
          </w:hyperlink>
          <w:r>
            <w:t xml:space="preserve"> (Accessed: 27 March 2026).</w:t>
          </w:r>
        </w:p>
        <w:p w14:paraId="3D0F6A65" w14:textId="77777777" w:rsidR="00437F39" w:rsidRDefault="00437F39" w:rsidP="00437F39">
          <w:r>
            <w:t xml:space="preserve">World Economic Forum (WEF) (2023) </w:t>
          </w:r>
          <w:r>
            <w:rPr>
              <w:rStyle w:val="Emphasis"/>
            </w:rPr>
            <w:t>The Global Risks Report 2023</w:t>
          </w:r>
          <w:r>
            <w:t xml:space="preserve">. Available at: </w:t>
          </w:r>
          <w:hyperlink r:id="rId18" w:tgtFrame="_new" w:history="1">
            <w:r>
              <w:rPr>
                <w:rStyle w:val="Hyperlink"/>
              </w:rPr>
              <w:t>https://www.weforum.org</w:t>
            </w:r>
          </w:hyperlink>
          <w:r>
            <w:t xml:space="preserve"> (Accessed: 27 March 2026).</w:t>
          </w:r>
        </w:p>
        <w:p w14:paraId="54289B77" w14:textId="77777777" w:rsidR="00437F39" w:rsidRPr="00437F39" w:rsidRDefault="00437F39" w:rsidP="00437F39">
          <w:pPr>
            <w:rPr>
              <w:lang w:val="en-US"/>
            </w:rPr>
          </w:pPr>
        </w:p>
        <w:p w14:paraId="411212B4" w14:textId="6D645390" w:rsidR="00437F39" w:rsidRDefault="00437F39" w:rsidP="00437F39">
          <w:pPr>
            <w:rPr>
              <w:lang w:val="en-US"/>
            </w:rPr>
          </w:pPr>
        </w:p>
        <w:p w14:paraId="3CE6A2CA" w14:textId="77777777" w:rsidR="00437F39" w:rsidRPr="00437F39" w:rsidRDefault="00437F39" w:rsidP="00437F39">
          <w:pPr>
            <w:rPr>
              <w:lang w:val="en-US"/>
            </w:rPr>
          </w:pPr>
        </w:p>
        <w:p w14:paraId="1D3C3FC5" w14:textId="5CBCFD34" w:rsidR="00147D39" w:rsidRDefault="00437F39" w:rsidP="00623D21">
          <w:r>
            <w:rPr>
              <w:lang w:val="en-US"/>
            </w:rPr>
            <w:t xml:space="preserve"> </w:t>
          </w:r>
        </w:p>
      </w:sdtContent>
    </w:sdt>
    <w:p w14:paraId="6A1CD3A8" w14:textId="2AC4D732" w:rsidR="00623D21" w:rsidRDefault="00437F39" w:rsidP="00437F39">
      <w:r>
        <w:t xml:space="preserve"> </w:t>
      </w:r>
    </w:p>
    <w:p w14:paraId="7F890C1F" w14:textId="77777777" w:rsidR="00CA09F3" w:rsidRDefault="00CA09F3" w:rsidP="00623D21"/>
    <w:sectPr w:rsidR="00CA09F3"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0012D"/>
    <w:multiLevelType w:val="multilevel"/>
    <w:tmpl w:val="9B28C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AAF7D09"/>
    <w:multiLevelType w:val="multilevel"/>
    <w:tmpl w:val="1DC69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38644F"/>
    <w:multiLevelType w:val="multilevel"/>
    <w:tmpl w:val="E0584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D57387"/>
    <w:multiLevelType w:val="multilevel"/>
    <w:tmpl w:val="81D41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A16D8C"/>
    <w:multiLevelType w:val="multilevel"/>
    <w:tmpl w:val="D0D89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A756D2"/>
    <w:multiLevelType w:val="multilevel"/>
    <w:tmpl w:val="F4D67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B854CCF"/>
    <w:multiLevelType w:val="hybridMultilevel"/>
    <w:tmpl w:val="DCA66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2242265"/>
    <w:multiLevelType w:val="multilevel"/>
    <w:tmpl w:val="796A3E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361193E"/>
    <w:multiLevelType w:val="multilevel"/>
    <w:tmpl w:val="08D2C5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7D449A3"/>
    <w:multiLevelType w:val="multilevel"/>
    <w:tmpl w:val="5A2806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D71ABB"/>
    <w:multiLevelType w:val="multilevel"/>
    <w:tmpl w:val="7A604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FFA128D"/>
    <w:multiLevelType w:val="multilevel"/>
    <w:tmpl w:val="E454EB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35609C"/>
    <w:multiLevelType w:val="hybridMultilevel"/>
    <w:tmpl w:val="203E4E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6296334"/>
    <w:multiLevelType w:val="multilevel"/>
    <w:tmpl w:val="103C4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78C07D3"/>
    <w:multiLevelType w:val="hybridMultilevel"/>
    <w:tmpl w:val="DC6821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D42109A"/>
    <w:multiLevelType w:val="hybridMultilevel"/>
    <w:tmpl w:val="23C800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41815297">
    <w:abstractNumId w:val="10"/>
  </w:num>
  <w:num w:numId="2" w16cid:durableId="1376126638">
    <w:abstractNumId w:val="4"/>
  </w:num>
  <w:num w:numId="3" w16cid:durableId="585696494">
    <w:abstractNumId w:val="5"/>
  </w:num>
  <w:num w:numId="4" w16cid:durableId="805126441">
    <w:abstractNumId w:val="11"/>
  </w:num>
  <w:num w:numId="5" w16cid:durableId="1915625638">
    <w:abstractNumId w:val="3"/>
  </w:num>
  <w:num w:numId="6" w16cid:durableId="948121916">
    <w:abstractNumId w:val="0"/>
  </w:num>
  <w:num w:numId="7" w16cid:durableId="733815283">
    <w:abstractNumId w:val="13"/>
  </w:num>
  <w:num w:numId="8" w16cid:durableId="1031760297">
    <w:abstractNumId w:val="8"/>
  </w:num>
  <w:num w:numId="9" w16cid:durableId="269359538">
    <w:abstractNumId w:val="9"/>
  </w:num>
  <w:num w:numId="10" w16cid:durableId="47845821">
    <w:abstractNumId w:val="1"/>
  </w:num>
  <w:num w:numId="11" w16cid:durableId="1312639020">
    <w:abstractNumId w:val="7"/>
  </w:num>
  <w:num w:numId="12" w16cid:durableId="1813792118">
    <w:abstractNumId w:val="2"/>
  </w:num>
  <w:num w:numId="13" w16cid:durableId="1574195561">
    <w:abstractNumId w:val="6"/>
  </w:num>
  <w:num w:numId="14" w16cid:durableId="1873835117">
    <w:abstractNumId w:val="15"/>
  </w:num>
  <w:num w:numId="15" w16cid:durableId="612635913">
    <w:abstractNumId w:val="12"/>
  </w:num>
  <w:num w:numId="16" w16cid:durableId="202331374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65D34"/>
    <w:rsid w:val="00076704"/>
    <w:rsid w:val="0009608B"/>
    <w:rsid w:val="000F02B7"/>
    <w:rsid w:val="00107936"/>
    <w:rsid w:val="00115B96"/>
    <w:rsid w:val="00125EC6"/>
    <w:rsid w:val="00127882"/>
    <w:rsid w:val="00147D39"/>
    <w:rsid w:val="001B2713"/>
    <w:rsid w:val="001D10ED"/>
    <w:rsid w:val="00212F8E"/>
    <w:rsid w:val="00237750"/>
    <w:rsid w:val="00293D6F"/>
    <w:rsid w:val="00314C63"/>
    <w:rsid w:val="00324CCD"/>
    <w:rsid w:val="00351CEA"/>
    <w:rsid w:val="003903DC"/>
    <w:rsid w:val="004125A9"/>
    <w:rsid w:val="00412C87"/>
    <w:rsid w:val="00437F39"/>
    <w:rsid w:val="0044082E"/>
    <w:rsid w:val="004458FD"/>
    <w:rsid w:val="00480872"/>
    <w:rsid w:val="0048699D"/>
    <w:rsid w:val="004A11F6"/>
    <w:rsid w:val="004D519C"/>
    <w:rsid w:val="0053185C"/>
    <w:rsid w:val="005951FA"/>
    <w:rsid w:val="00605471"/>
    <w:rsid w:val="00623D21"/>
    <w:rsid w:val="006561BE"/>
    <w:rsid w:val="00683296"/>
    <w:rsid w:val="006946CC"/>
    <w:rsid w:val="006A5D19"/>
    <w:rsid w:val="006C2A20"/>
    <w:rsid w:val="00760938"/>
    <w:rsid w:val="007743A8"/>
    <w:rsid w:val="007C112C"/>
    <w:rsid w:val="007C48C1"/>
    <w:rsid w:val="007D1947"/>
    <w:rsid w:val="0090416C"/>
    <w:rsid w:val="0092145B"/>
    <w:rsid w:val="00931CAA"/>
    <w:rsid w:val="00943415"/>
    <w:rsid w:val="00961C1C"/>
    <w:rsid w:val="00970445"/>
    <w:rsid w:val="009A4A49"/>
    <w:rsid w:val="009B6D19"/>
    <w:rsid w:val="009F004A"/>
    <w:rsid w:val="00A12B58"/>
    <w:rsid w:val="00A13BB2"/>
    <w:rsid w:val="00A23D66"/>
    <w:rsid w:val="00A41A3D"/>
    <w:rsid w:val="00A9434D"/>
    <w:rsid w:val="00AA2A91"/>
    <w:rsid w:val="00AA75B4"/>
    <w:rsid w:val="00AD508A"/>
    <w:rsid w:val="00B10E30"/>
    <w:rsid w:val="00C15D58"/>
    <w:rsid w:val="00C239DB"/>
    <w:rsid w:val="00C41AF0"/>
    <w:rsid w:val="00CA09F3"/>
    <w:rsid w:val="00CB64EB"/>
    <w:rsid w:val="00CD1C88"/>
    <w:rsid w:val="00CE7D40"/>
    <w:rsid w:val="00CF4A35"/>
    <w:rsid w:val="00D00A84"/>
    <w:rsid w:val="00D04419"/>
    <w:rsid w:val="00D15A18"/>
    <w:rsid w:val="00D344E5"/>
    <w:rsid w:val="00D5040A"/>
    <w:rsid w:val="00D854A5"/>
    <w:rsid w:val="00DA2DFD"/>
    <w:rsid w:val="00DC322A"/>
    <w:rsid w:val="00DD5C5B"/>
    <w:rsid w:val="00E15338"/>
    <w:rsid w:val="00F92E49"/>
    <w:rsid w:val="00FB7A7F"/>
    <w:rsid w:val="00FE70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A1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D15A18"/>
    <w:pPr>
      <w:keepNext/>
      <w:keepLines/>
      <w:spacing w:before="240" w:after="0"/>
      <w:outlineLvl w:val="0"/>
    </w:pPr>
    <w:rPr>
      <w:rFonts w:eastAsiaTheme="majorEastAsia" w:cstheme="majorBidi"/>
      <w:b/>
      <w:color w:val="000000" w:themeColor="text1"/>
      <w:sz w:val="28"/>
      <w:szCs w:val="32"/>
    </w:rPr>
  </w:style>
  <w:style w:type="paragraph" w:styleId="Heading2">
    <w:name w:val="heading 2"/>
    <w:basedOn w:val="Normal"/>
    <w:next w:val="Normal"/>
    <w:link w:val="Heading2Char"/>
    <w:uiPriority w:val="9"/>
    <w:unhideWhenUsed/>
    <w:qFormat/>
    <w:rsid w:val="00D15A18"/>
    <w:pPr>
      <w:keepNext/>
      <w:keepLines/>
      <w:spacing w:before="40" w:after="0"/>
      <w:outlineLvl w:val="1"/>
    </w:pPr>
    <w:rPr>
      <w:rFonts w:eastAsiaTheme="majorEastAsia" w:cstheme="majorBidi"/>
      <w:b/>
      <w:color w:val="000000" w:themeColor="tex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D15A18"/>
    <w:rPr>
      <w:rFonts w:ascii="Times New Roman" w:eastAsiaTheme="majorEastAsia" w:hAnsi="Times New Roman" w:cstheme="majorBidi"/>
      <w:b/>
      <w:color w:val="000000" w:themeColor="text1"/>
      <w:sz w:val="28"/>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D15A18"/>
    <w:rPr>
      <w:rFonts w:ascii="Times New Roman" w:eastAsiaTheme="majorEastAsia" w:hAnsi="Times New Roman" w:cstheme="majorBidi"/>
      <w:b/>
      <w:color w:val="000000" w:themeColor="text1"/>
      <w:sz w:val="26"/>
      <w:szCs w:val="26"/>
    </w:rPr>
  </w:style>
  <w:style w:type="paragraph" w:styleId="TOC2">
    <w:name w:val="toc 2"/>
    <w:basedOn w:val="Normal"/>
    <w:next w:val="Normal"/>
    <w:autoRedefine/>
    <w:uiPriority w:val="39"/>
    <w:unhideWhenUsed/>
    <w:rsid w:val="00115B96"/>
    <w:pPr>
      <w:spacing w:after="100"/>
      <w:ind w:left="220"/>
    </w:pPr>
  </w:style>
  <w:style w:type="character" w:styleId="Strong">
    <w:name w:val="Strong"/>
    <w:basedOn w:val="DefaultParagraphFont"/>
    <w:uiPriority w:val="22"/>
    <w:qFormat/>
    <w:rsid w:val="00D15A18"/>
    <w:rPr>
      <w:b/>
      <w:bCs/>
    </w:rPr>
  </w:style>
  <w:style w:type="paragraph" w:styleId="NormalWeb">
    <w:name w:val="Normal (Web)"/>
    <w:basedOn w:val="Normal"/>
    <w:uiPriority w:val="99"/>
    <w:unhideWhenUsed/>
    <w:rsid w:val="00D15A18"/>
    <w:pPr>
      <w:spacing w:before="100" w:beforeAutospacing="1" w:after="100" w:afterAutospacing="1" w:line="240" w:lineRule="auto"/>
    </w:pPr>
    <w:rPr>
      <w:rFonts w:eastAsia="Times New Roman" w:cs="Times New Roman"/>
      <w:szCs w:val="24"/>
      <w:lang w:val="en-US"/>
    </w:rPr>
  </w:style>
  <w:style w:type="character" w:customStyle="1" w:styleId="whitespace-normal">
    <w:name w:val="whitespace-normal"/>
    <w:basedOn w:val="DefaultParagraphFont"/>
    <w:rsid w:val="00293D6F"/>
  </w:style>
  <w:style w:type="paragraph" w:styleId="ListParagraph">
    <w:name w:val="List Paragraph"/>
    <w:basedOn w:val="Normal"/>
    <w:uiPriority w:val="34"/>
    <w:qFormat/>
    <w:rsid w:val="004458FD"/>
    <w:pPr>
      <w:ind w:left="720"/>
      <w:contextualSpacing/>
    </w:pPr>
  </w:style>
  <w:style w:type="character" w:styleId="Emphasis">
    <w:name w:val="Emphasis"/>
    <w:basedOn w:val="DefaultParagraphFont"/>
    <w:uiPriority w:val="20"/>
    <w:qFormat/>
    <w:rsid w:val="00147D39"/>
    <w:rPr>
      <w:i/>
      <w:iCs/>
    </w:rPr>
  </w:style>
  <w:style w:type="table" w:styleId="TableGrid">
    <w:name w:val="Table Grid"/>
    <w:basedOn w:val="TableNormal"/>
    <w:uiPriority w:val="39"/>
    <w:rsid w:val="00DC32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DC322A"/>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Caption">
    <w:name w:val="caption"/>
    <w:basedOn w:val="Normal"/>
    <w:next w:val="Normal"/>
    <w:uiPriority w:val="35"/>
    <w:unhideWhenUsed/>
    <w:qFormat/>
    <w:rsid w:val="001D10E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401053">
      <w:bodyDiv w:val="1"/>
      <w:marLeft w:val="0"/>
      <w:marRight w:val="0"/>
      <w:marTop w:val="0"/>
      <w:marBottom w:val="0"/>
      <w:divBdr>
        <w:top w:val="none" w:sz="0" w:space="0" w:color="auto"/>
        <w:left w:val="none" w:sz="0" w:space="0" w:color="auto"/>
        <w:bottom w:val="none" w:sz="0" w:space="0" w:color="auto"/>
        <w:right w:val="none" w:sz="0" w:space="0" w:color="auto"/>
      </w:divBdr>
    </w:div>
    <w:div w:id="46688051">
      <w:bodyDiv w:val="1"/>
      <w:marLeft w:val="0"/>
      <w:marRight w:val="0"/>
      <w:marTop w:val="0"/>
      <w:marBottom w:val="0"/>
      <w:divBdr>
        <w:top w:val="none" w:sz="0" w:space="0" w:color="auto"/>
        <w:left w:val="none" w:sz="0" w:space="0" w:color="auto"/>
        <w:bottom w:val="none" w:sz="0" w:space="0" w:color="auto"/>
        <w:right w:val="none" w:sz="0" w:space="0" w:color="auto"/>
      </w:divBdr>
    </w:div>
    <w:div w:id="208887007">
      <w:bodyDiv w:val="1"/>
      <w:marLeft w:val="0"/>
      <w:marRight w:val="0"/>
      <w:marTop w:val="0"/>
      <w:marBottom w:val="0"/>
      <w:divBdr>
        <w:top w:val="none" w:sz="0" w:space="0" w:color="auto"/>
        <w:left w:val="none" w:sz="0" w:space="0" w:color="auto"/>
        <w:bottom w:val="none" w:sz="0" w:space="0" w:color="auto"/>
        <w:right w:val="none" w:sz="0" w:space="0" w:color="auto"/>
      </w:divBdr>
    </w:div>
    <w:div w:id="273368730">
      <w:bodyDiv w:val="1"/>
      <w:marLeft w:val="0"/>
      <w:marRight w:val="0"/>
      <w:marTop w:val="0"/>
      <w:marBottom w:val="0"/>
      <w:divBdr>
        <w:top w:val="none" w:sz="0" w:space="0" w:color="auto"/>
        <w:left w:val="none" w:sz="0" w:space="0" w:color="auto"/>
        <w:bottom w:val="none" w:sz="0" w:space="0" w:color="auto"/>
        <w:right w:val="none" w:sz="0" w:space="0" w:color="auto"/>
      </w:divBdr>
    </w:div>
    <w:div w:id="296959338">
      <w:bodyDiv w:val="1"/>
      <w:marLeft w:val="0"/>
      <w:marRight w:val="0"/>
      <w:marTop w:val="0"/>
      <w:marBottom w:val="0"/>
      <w:divBdr>
        <w:top w:val="none" w:sz="0" w:space="0" w:color="auto"/>
        <w:left w:val="none" w:sz="0" w:space="0" w:color="auto"/>
        <w:bottom w:val="none" w:sz="0" w:space="0" w:color="auto"/>
        <w:right w:val="none" w:sz="0" w:space="0" w:color="auto"/>
      </w:divBdr>
    </w:div>
    <w:div w:id="352147895">
      <w:bodyDiv w:val="1"/>
      <w:marLeft w:val="0"/>
      <w:marRight w:val="0"/>
      <w:marTop w:val="0"/>
      <w:marBottom w:val="0"/>
      <w:divBdr>
        <w:top w:val="none" w:sz="0" w:space="0" w:color="auto"/>
        <w:left w:val="none" w:sz="0" w:space="0" w:color="auto"/>
        <w:bottom w:val="none" w:sz="0" w:space="0" w:color="auto"/>
        <w:right w:val="none" w:sz="0" w:space="0" w:color="auto"/>
      </w:divBdr>
    </w:div>
    <w:div w:id="352148786">
      <w:bodyDiv w:val="1"/>
      <w:marLeft w:val="0"/>
      <w:marRight w:val="0"/>
      <w:marTop w:val="0"/>
      <w:marBottom w:val="0"/>
      <w:divBdr>
        <w:top w:val="none" w:sz="0" w:space="0" w:color="auto"/>
        <w:left w:val="none" w:sz="0" w:space="0" w:color="auto"/>
        <w:bottom w:val="none" w:sz="0" w:space="0" w:color="auto"/>
        <w:right w:val="none" w:sz="0" w:space="0" w:color="auto"/>
      </w:divBdr>
    </w:div>
    <w:div w:id="501437016">
      <w:bodyDiv w:val="1"/>
      <w:marLeft w:val="0"/>
      <w:marRight w:val="0"/>
      <w:marTop w:val="0"/>
      <w:marBottom w:val="0"/>
      <w:divBdr>
        <w:top w:val="none" w:sz="0" w:space="0" w:color="auto"/>
        <w:left w:val="none" w:sz="0" w:space="0" w:color="auto"/>
        <w:bottom w:val="none" w:sz="0" w:space="0" w:color="auto"/>
        <w:right w:val="none" w:sz="0" w:space="0" w:color="auto"/>
      </w:divBdr>
    </w:div>
    <w:div w:id="574123273">
      <w:bodyDiv w:val="1"/>
      <w:marLeft w:val="0"/>
      <w:marRight w:val="0"/>
      <w:marTop w:val="0"/>
      <w:marBottom w:val="0"/>
      <w:divBdr>
        <w:top w:val="none" w:sz="0" w:space="0" w:color="auto"/>
        <w:left w:val="none" w:sz="0" w:space="0" w:color="auto"/>
        <w:bottom w:val="none" w:sz="0" w:space="0" w:color="auto"/>
        <w:right w:val="none" w:sz="0" w:space="0" w:color="auto"/>
      </w:divBdr>
    </w:div>
    <w:div w:id="754321472">
      <w:bodyDiv w:val="1"/>
      <w:marLeft w:val="0"/>
      <w:marRight w:val="0"/>
      <w:marTop w:val="0"/>
      <w:marBottom w:val="0"/>
      <w:divBdr>
        <w:top w:val="none" w:sz="0" w:space="0" w:color="auto"/>
        <w:left w:val="none" w:sz="0" w:space="0" w:color="auto"/>
        <w:bottom w:val="none" w:sz="0" w:space="0" w:color="auto"/>
        <w:right w:val="none" w:sz="0" w:space="0" w:color="auto"/>
      </w:divBdr>
    </w:div>
    <w:div w:id="778381236">
      <w:bodyDiv w:val="1"/>
      <w:marLeft w:val="0"/>
      <w:marRight w:val="0"/>
      <w:marTop w:val="0"/>
      <w:marBottom w:val="0"/>
      <w:divBdr>
        <w:top w:val="none" w:sz="0" w:space="0" w:color="auto"/>
        <w:left w:val="none" w:sz="0" w:space="0" w:color="auto"/>
        <w:bottom w:val="none" w:sz="0" w:space="0" w:color="auto"/>
        <w:right w:val="none" w:sz="0" w:space="0" w:color="auto"/>
      </w:divBdr>
    </w:div>
    <w:div w:id="1007635495">
      <w:bodyDiv w:val="1"/>
      <w:marLeft w:val="0"/>
      <w:marRight w:val="0"/>
      <w:marTop w:val="0"/>
      <w:marBottom w:val="0"/>
      <w:divBdr>
        <w:top w:val="none" w:sz="0" w:space="0" w:color="auto"/>
        <w:left w:val="none" w:sz="0" w:space="0" w:color="auto"/>
        <w:bottom w:val="none" w:sz="0" w:space="0" w:color="auto"/>
        <w:right w:val="none" w:sz="0" w:space="0" w:color="auto"/>
      </w:divBdr>
    </w:div>
    <w:div w:id="1280988984">
      <w:bodyDiv w:val="1"/>
      <w:marLeft w:val="0"/>
      <w:marRight w:val="0"/>
      <w:marTop w:val="0"/>
      <w:marBottom w:val="0"/>
      <w:divBdr>
        <w:top w:val="none" w:sz="0" w:space="0" w:color="auto"/>
        <w:left w:val="none" w:sz="0" w:space="0" w:color="auto"/>
        <w:bottom w:val="none" w:sz="0" w:space="0" w:color="auto"/>
        <w:right w:val="none" w:sz="0" w:space="0" w:color="auto"/>
      </w:divBdr>
    </w:div>
    <w:div w:id="1349025125">
      <w:bodyDiv w:val="1"/>
      <w:marLeft w:val="0"/>
      <w:marRight w:val="0"/>
      <w:marTop w:val="0"/>
      <w:marBottom w:val="0"/>
      <w:divBdr>
        <w:top w:val="none" w:sz="0" w:space="0" w:color="auto"/>
        <w:left w:val="none" w:sz="0" w:space="0" w:color="auto"/>
        <w:bottom w:val="none" w:sz="0" w:space="0" w:color="auto"/>
        <w:right w:val="none" w:sz="0" w:space="0" w:color="auto"/>
      </w:divBdr>
    </w:div>
    <w:div w:id="1486318426">
      <w:bodyDiv w:val="1"/>
      <w:marLeft w:val="0"/>
      <w:marRight w:val="0"/>
      <w:marTop w:val="0"/>
      <w:marBottom w:val="0"/>
      <w:divBdr>
        <w:top w:val="none" w:sz="0" w:space="0" w:color="auto"/>
        <w:left w:val="none" w:sz="0" w:space="0" w:color="auto"/>
        <w:bottom w:val="none" w:sz="0" w:space="0" w:color="auto"/>
        <w:right w:val="none" w:sz="0" w:space="0" w:color="auto"/>
      </w:divBdr>
    </w:div>
    <w:div w:id="1525829669">
      <w:bodyDiv w:val="1"/>
      <w:marLeft w:val="0"/>
      <w:marRight w:val="0"/>
      <w:marTop w:val="0"/>
      <w:marBottom w:val="0"/>
      <w:divBdr>
        <w:top w:val="none" w:sz="0" w:space="0" w:color="auto"/>
        <w:left w:val="none" w:sz="0" w:space="0" w:color="auto"/>
        <w:bottom w:val="none" w:sz="0" w:space="0" w:color="auto"/>
        <w:right w:val="none" w:sz="0" w:space="0" w:color="auto"/>
      </w:divBdr>
    </w:div>
    <w:div w:id="1530024433">
      <w:bodyDiv w:val="1"/>
      <w:marLeft w:val="0"/>
      <w:marRight w:val="0"/>
      <w:marTop w:val="0"/>
      <w:marBottom w:val="0"/>
      <w:divBdr>
        <w:top w:val="none" w:sz="0" w:space="0" w:color="auto"/>
        <w:left w:val="none" w:sz="0" w:space="0" w:color="auto"/>
        <w:bottom w:val="none" w:sz="0" w:space="0" w:color="auto"/>
        <w:right w:val="none" w:sz="0" w:space="0" w:color="auto"/>
      </w:divBdr>
    </w:div>
    <w:div w:id="1732803421">
      <w:bodyDiv w:val="1"/>
      <w:marLeft w:val="0"/>
      <w:marRight w:val="0"/>
      <w:marTop w:val="0"/>
      <w:marBottom w:val="0"/>
      <w:divBdr>
        <w:top w:val="none" w:sz="0" w:space="0" w:color="auto"/>
        <w:left w:val="none" w:sz="0" w:space="0" w:color="auto"/>
        <w:bottom w:val="none" w:sz="0" w:space="0" w:color="auto"/>
        <w:right w:val="none" w:sz="0" w:space="0" w:color="auto"/>
      </w:divBdr>
    </w:div>
    <w:div w:id="1862234505">
      <w:bodyDiv w:val="1"/>
      <w:marLeft w:val="0"/>
      <w:marRight w:val="0"/>
      <w:marTop w:val="0"/>
      <w:marBottom w:val="0"/>
      <w:divBdr>
        <w:top w:val="none" w:sz="0" w:space="0" w:color="auto"/>
        <w:left w:val="none" w:sz="0" w:space="0" w:color="auto"/>
        <w:bottom w:val="none" w:sz="0" w:space="0" w:color="auto"/>
        <w:right w:val="none" w:sz="0" w:space="0" w:color="auto"/>
      </w:divBdr>
    </w:div>
    <w:div w:id="1967008830">
      <w:bodyDiv w:val="1"/>
      <w:marLeft w:val="0"/>
      <w:marRight w:val="0"/>
      <w:marTop w:val="0"/>
      <w:marBottom w:val="0"/>
      <w:divBdr>
        <w:top w:val="none" w:sz="0" w:space="0" w:color="auto"/>
        <w:left w:val="none" w:sz="0" w:space="0" w:color="auto"/>
        <w:bottom w:val="none" w:sz="0" w:space="0" w:color="auto"/>
        <w:right w:val="none" w:sz="0" w:space="0" w:color="auto"/>
      </w:divBdr>
    </w:div>
    <w:div w:id="1984003081">
      <w:bodyDiv w:val="1"/>
      <w:marLeft w:val="0"/>
      <w:marRight w:val="0"/>
      <w:marTop w:val="0"/>
      <w:marBottom w:val="0"/>
      <w:divBdr>
        <w:top w:val="none" w:sz="0" w:space="0" w:color="auto"/>
        <w:left w:val="none" w:sz="0" w:space="0" w:color="auto"/>
        <w:bottom w:val="none" w:sz="0" w:space="0" w:color="auto"/>
        <w:right w:val="none" w:sz="0" w:space="0" w:color="auto"/>
      </w:divBdr>
    </w:div>
    <w:div w:id="1994604794">
      <w:bodyDiv w:val="1"/>
      <w:marLeft w:val="0"/>
      <w:marRight w:val="0"/>
      <w:marTop w:val="0"/>
      <w:marBottom w:val="0"/>
      <w:divBdr>
        <w:top w:val="none" w:sz="0" w:space="0" w:color="auto"/>
        <w:left w:val="none" w:sz="0" w:space="0" w:color="auto"/>
        <w:bottom w:val="none" w:sz="0" w:space="0" w:color="auto"/>
        <w:right w:val="none" w:sz="0" w:space="0" w:color="auto"/>
      </w:divBdr>
    </w:div>
    <w:div w:id="2027518663">
      <w:bodyDiv w:val="1"/>
      <w:marLeft w:val="0"/>
      <w:marRight w:val="0"/>
      <w:marTop w:val="0"/>
      <w:marBottom w:val="0"/>
      <w:divBdr>
        <w:top w:val="none" w:sz="0" w:space="0" w:color="auto"/>
        <w:left w:val="none" w:sz="0" w:space="0" w:color="auto"/>
        <w:bottom w:val="none" w:sz="0" w:space="0" w:color="auto"/>
        <w:right w:val="none" w:sz="0" w:space="0" w:color="auto"/>
      </w:divBdr>
    </w:div>
    <w:div w:id="20687969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otrs.com/blog/security-compliance/data-governance/" TargetMode="External"/><Relationship Id="rId18" Type="http://schemas.openxmlformats.org/officeDocument/2006/relationships/hyperlink" Target="https://www.weforum.org" TargetMode="External"/><Relationship Id="rId3" Type="http://schemas.openxmlformats.org/officeDocument/2006/relationships/numbering" Target="numbering.xml"/><Relationship Id="rId7" Type="http://schemas.openxmlformats.org/officeDocument/2006/relationships/image" Target="media/image1.jpeg"/><Relationship Id="rId12" Type="http://schemas.openxmlformats.org/officeDocument/2006/relationships/hyperlink" Target="https://ico.org.uk" TargetMode="External"/><Relationship Id="rId17" Type="http://schemas.openxmlformats.org/officeDocument/2006/relationships/hyperlink" Target="https://www.unilever.com/investors" TargetMode="External"/><Relationship Id="rId2" Type="http://schemas.openxmlformats.org/officeDocument/2006/relationships/customXml" Target="../customXml/item2.xml"/><Relationship Id="rId16" Type="http://schemas.openxmlformats.org/officeDocument/2006/relationships/hyperlink" Target="https://www.gov.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ur-lex.europa.eu" TargetMode="External"/><Relationship Id="rId5" Type="http://schemas.openxmlformats.org/officeDocument/2006/relationships/settings" Target="settings.xml"/><Relationship Id="rId15" Type="http://schemas.openxmlformats.org/officeDocument/2006/relationships/hyperlink" Target="https://www.nist.gov" TargetMode="External"/><Relationship Id="rId10" Type="http://schemas.openxmlformats.org/officeDocument/2006/relationships/hyperlink" Target="https://commission.europa.eu"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www.edelman.com/trust/2023/trust-barometer" TargetMode="External"/><Relationship Id="rId14" Type="http://schemas.openxmlformats.org/officeDocument/2006/relationships/hyperlink" Target="https://www.mckinse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F386A6C-8B37-4CE8-98BD-8AB974664B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21</Pages>
  <Words>6365</Words>
  <Characters>36283</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42563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name of the assignment</dc:title>
  <dc:subject/>
  <dc:creator>Marie Pitson</dc:creator>
  <cp:keywords/>
  <dc:description/>
  <cp:lastModifiedBy>vamsi rapaka</cp:lastModifiedBy>
  <cp:revision>2</cp:revision>
  <dcterms:created xsi:type="dcterms:W3CDTF">2026-04-27T12:17:00Z</dcterms:created>
  <dcterms:modified xsi:type="dcterms:W3CDTF">2026-04-27T12:17:00Z</dcterms:modified>
</cp:coreProperties>
</file>