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4AC4E" w14:textId="0DD7D5DF" w:rsidR="0096294D" w:rsidRDefault="0096294D" w:rsidP="00D76DD1">
      <w:r>
        <w:rPr>
          <w:noProof/>
          <w:sz w:val="20"/>
        </w:rPr>
        <w:drawing>
          <wp:anchor distT="0" distB="0" distL="114300" distR="114300" simplePos="0" relativeHeight="251659264" behindDoc="0" locked="0" layoutInCell="1" allowOverlap="1" wp14:anchorId="2C3493DF" wp14:editId="218D9F0B">
            <wp:simplePos x="0" y="0"/>
            <wp:positionH relativeFrom="margin">
              <wp:posOffset>-212437</wp:posOffset>
            </wp:positionH>
            <wp:positionV relativeFrom="paragraph">
              <wp:posOffset>0</wp:posOffset>
            </wp:positionV>
            <wp:extent cx="2257425" cy="789031"/>
            <wp:effectExtent l="0" t="0" r="0" b="0"/>
            <wp:wrapSquare wrapText="bothSides"/>
            <wp:docPr id="1" name="image1.jpe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2DA0C259" w14:textId="77777777" w:rsidR="0096294D" w:rsidRDefault="0096294D" w:rsidP="00D76DD1"/>
    <w:p w14:paraId="1485AA0D" w14:textId="77777777" w:rsidR="0096294D" w:rsidRDefault="0096294D" w:rsidP="00D76DD1"/>
    <w:p w14:paraId="3ED54ECF" w14:textId="77777777" w:rsidR="0096294D" w:rsidRDefault="0096294D" w:rsidP="00D76DD1"/>
    <w:p w14:paraId="005664BB" w14:textId="77777777" w:rsidR="0096294D" w:rsidRDefault="0096294D" w:rsidP="00D76DD1"/>
    <w:p w14:paraId="2A59FA17" w14:textId="77777777" w:rsidR="0096294D" w:rsidRDefault="0096294D" w:rsidP="00D76DD1"/>
    <w:p w14:paraId="0BDE07AA" w14:textId="77777777" w:rsidR="0096294D" w:rsidRDefault="0096294D" w:rsidP="00D76DD1"/>
    <w:p w14:paraId="16BC3782" w14:textId="77777777" w:rsidR="0096294D" w:rsidRDefault="0096294D" w:rsidP="00D76DD1"/>
    <w:p w14:paraId="15D4DBA2" w14:textId="77777777" w:rsidR="0096294D" w:rsidRDefault="0096294D" w:rsidP="00D76DD1"/>
    <w:p w14:paraId="238A2C28" w14:textId="77777777" w:rsidR="0096294D" w:rsidRDefault="0096294D" w:rsidP="00D76DD1"/>
    <w:p w14:paraId="75FA0BDC" w14:textId="77777777" w:rsidR="0096294D" w:rsidRDefault="0096294D" w:rsidP="00D76DD1"/>
    <w:p w14:paraId="3D70DF19" w14:textId="77777777" w:rsidR="0096294D" w:rsidRDefault="0096294D" w:rsidP="00D76DD1"/>
    <w:p w14:paraId="58A22E92" w14:textId="77777777" w:rsidR="0096294D" w:rsidRDefault="0096294D" w:rsidP="00D76DD1"/>
    <w:p w14:paraId="46187DDD" w14:textId="77777777" w:rsidR="0096294D" w:rsidRDefault="0096294D" w:rsidP="00D76DD1"/>
    <w:p w14:paraId="2EB5F32F" w14:textId="77777777" w:rsidR="0096294D" w:rsidRDefault="0096294D" w:rsidP="00D76DD1"/>
    <w:p w14:paraId="33FA5C61" w14:textId="77777777" w:rsidR="0096294D" w:rsidRDefault="0096294D" w:rsidP="00D76DD1"/>
    <w:p w14:paraId="4BCEBF7C" w14:textId="77777777" w:rsidR="0096294D" w:rsidRDefault="0096294D" w:rsidP="00D76DD1"/>
    <w:p w14:paraId="48E93ACC" w14:textId="6944B6A6" w:rsidR="0096294D" w:rsidRPr="00BA2B24" w:rsidRDefault="0096294D" w:rsidP="0096294D">
      <w:pPr>
        <w:rPr>
          <w:rFonts w:cs="Times New Roman"/>
          <w:b/>
          <w:sz w:val="28"/>
          <w:szCs w:val="28"/>
        </w:rPr>
      </w:pPr>
      <w:r w:rsidRPr="00BA2B24">
        <w:rPr>
          <w:rFonts w:cs="Times New Roman"/>
          <w:b/>
          <w:sz w:val="28"/>
          <w:szCs w:val="28"/>
        </w:rPr>
        <w:t xml:space="preserve">Module Code: </w:t>
      </w:r>
      <w:r>
        <w:rPr>
          <w:rFonts w:cs="Times New Roman"/>
          <w:b/>
          <w:sz w:val="28"/>
          <w:szCs w:val="28"/>
        </w:rPr>
        <w:t>LCBB5004</w:t>
      </w:r>
    </w:p>
    <w:p w14:paraId="36818A16" w14:textId="3761E588" w:rsidR="0096294D" w:rsidRDefault="0096294D" w:rsidP="0096294D">
      <w:pPr>
        <w:rPr>
          <w:rFonts w:cs="Times New Roman"/>
          <w:b/>
          <w:sz w:val="28"/>
          <w:szCs w:val="28"/>
        </w:rPr>
      </w:pPr>
      <w:bookmarkStart w:id="0" w:name="_Hlk39845246"/>
      <w:r w:rsidRPr="00BA2B24">
        <w:rPr>
          <w:rFonts w:cs="Times New Roman"/>
          <w:b/>
          <w:sz w:val="28"/>
          <w:szCs w:val="28"/>
        </w:rPr>
        <w:t>Assignment Title</w:t>
      </w:r>
      <w:r>
        <w:rPr>
          <w:rFonts w:cs="Times New Roman"/>
          <w:b/>
          <w:sz w:val="28"/>
          <w:szCs w:val="28"/>
        </w:rPr>
        <w:t xml:space="preserve">:  </w:t>
      </w:r>
      <w:r>
        <w:rPr>
          <w:rFonts w:cs="Times New Roman"/>
          <w:b/>
          <w:sz w:val="28"/>
          <w:szCs w:val="28"/>
        </w:rPr>
        <w:t>Assessment 2</w:t>
      </w:r>
    </w:p>
    <w:bookmarkEnd w:id="0"/>
    <w:p w14:paraId="229B5000" w14:textId="28F97A49" w:rsidR="0096294D" w:rsidRPr="00B50570" w:rsidRDefault="0096294D" w:rsidP="0096294D">
      <w:pPr>
        <w:rPr>
          <w:rFonts w:cs="Times New Roman"/>
          <w:b/>
          <w:sz w:val="28"/>
          <w:szCs w:val="28"/>
        </w:rPr>
      </w:pPr>
      <w:r w:rsidRPr="00FF7DE1">
        <w:rPr>
          <w:rFonts w:cs="Times New Roman"/>
          <w:b/>
          <w:bCs/>
          <w:sz w:val="28"/>
          <w:szCs w:val="28"/>
        </w:rPr>
        <w:t>Module Lecturer’s Name:</w:t>
      </w:r>
      <w:r>
        <w:rPr>
          <w:rFonts w:cs="Times New Roman"/>
          <w:b/>
          <w:bCs/>
          <w:sz w:val="28"/>
          <w:szCs w:val="28"/>
        </w:rPr>
        <w:t xml:space="preserve"> </w:t>
      </w:r>
      <w:proofErr w:type="spellStart"/>
      <w:r>
        <w:rPr>
          <w:rFonts w:cs="Times New Roman"/>
          <w:b/>
          <w:bCs/>
          <w:sz w:val="28"/>
          <w:szCs w:val="28"/>
        </w:rPr>
        <w:t>Olusoyi</w:t>
      </w:r>
      <w:proofErr w:type="spellEnd"/>
      <w:r>
        <w:rPr>
          <w:rFonts w:cs="Times New Roman"/>
          <w:b/>
          <w:bCs/>
          <w:sz w:val="28"/>
          <w:szCs w:val="28"/>
        </w:rPr>
        <w:t xml:space="preserve"> </w:t>
      </w:r>
      <w:proofErr w:type="spellStart"/>
      <w:r>
        <w:rPr>
          <w:rFonts w:cs="Times New Roman"/>
          <w:b/>
          <w:bCs/>
          <w:sz w:val="28"/>
          <w:szCs w:val="28"/>
        </w:rPr>
        <w:t>Ashaye</w:t>
      </w:r>
      <w:proofErr w:type="spellEnd"/>
    </w:p>
    <w:p w14:paraId="3B58D9F4" w14:textId="77777777" w:rsidR="0096294D" w:rsidRDefault="0096294D" w:rsidP="0096294D">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Name: </w:t>
      </w:r>
      <w:r>
        <w:rPr>
          <w:rFonts w:ascii="Times New Roman" w:hAnsi="Times New Roman" w:cs="Times New Roman"/>
          <w:b/>
          <w:bCs/>
          <w:sz w:val="28"/>
          <w:szCs w:val="28"/>
        </w:rPr>
        <w:t xml:space="preserve">Diana Paula </w:t>
      </w:r>
      <w:proofErr w:type="spellStart"/>
      <w:r>
        <w:rPr>
          <w:rFonts w:ascii="Times New Roman" w:hAnsi="Times New Roman" w:cs="Times New Roman"/>
          <w:b/>
          <w:bCs/>
          <w:sz w:val="28"/>
          <w:szCs w:val="28"/>
        </w:rPr>
        <w:t>Stratulat</w:t>
      </w:r>
      <w:proofErr w:type="spellEnd"/>
    </w:p>
    <w:p w14:paraId="5AAE4A31" w14:textId="77777777" w:rsidR="0096294D" w:rsidRPr="00FF7DE1" w:rsidRDefault="0096294D" w:rsidP="0096294D">
      <w:pPr>
        <w:pStyle w:val="NoSpacing"/>
        <w:rPr>
          <w:rFonts w:ascii="Times New Roman" w:hAnsi="Times New Roman" w:cs="Times New Roman"/>
          <w:b/>
          <w:bCs/>
          <w:sz w:val="28"/>
          <w:szCs w:val="28"/>
        </w:rPr>
      </w:pPr>
    </w:p>
    <w:p w14:paraId="6B6130DC" w14:textId="77777777" w:rsidR="0096294D" w:rsidRPr="00B50570" w:rsidRDefault="0096294D" w:rsidP="0096294D">
      <w:pPr>
        <w:pStyle w:val="NoSpacing"/>
        <w:rPr>
          <w:rFonts w:ascii="Times New Roman" w:hAnsi="Times New Roman" w:cs="Times New Roman"/>
          <w:b/>
          <w:bCs/>
          <w:sz w:val="28"/>
          <w:szCs w:val="28"/>
        </w:rPr>
      </w:pPr>
      <w:r w:rsidRPr="00FF7DE1">
        <w:rPr>
          <w:rFonts w:ascii="Times New Roman" w:hAnsi="Times New Roman" w:cs="Times New Roman"/>
          <w:b/>
          <w:bCs/>
          <w:sz w:val="28"/>
          <w:szCs w:val="28"/>
        </w:rPr>
        <w:t xml:space="preserve">Student ID: </w:t>
      </w:r>
      <w:r>
        <w:rPr>
          <w:rFonts w:ascii="Times New Roman" w:hAnsi="Times New Roman" w:cs="Times New Roman"/>
          <w:b/>
          <w:bCs/>
          <w:sz w:val="28"/>
          <w:szCs w:val="28"/>
        </w:rPr>
        <w:t>2024156</w:t>
      </w:r>
    </w:p>
    <w:p w14:paraId="0A9C59D1" w14:textId="77777777" w:rsidR="0096294D" w:rsidRDefault="0096294D" w:rsidP="0096294D"/>
    <w:p w14:paraId="45C97D8B" w14:textId="4659EFF5" w:rsidR="00D76DD1" w:rsidRDefault="00CC57CF" w:rsidP="00D76DD1">
      <w:r>
        <w:br w:type="page"/>
      </w:r>
    </w:p>
    <w:sdt>
      <w:sdtPr>
        <w:rPr>
          <w:rFonts w:ascii="Times New Roman" w:eastAsiaTheme="minorEastAsia" w:hAnsi="Times New Roman" w:cstheme="minorBidi"/>
          <w:color w:val="auto"/>
          <w:sz w:val="24"/>
          <w:szCs w:val="22"/>
        </w:rPr>
        <w:id w:val="-833834657"/>
        <w:docPartObj>
          <w:docPartGallery w:val="Table of Contents"/>
          <w:docPartUnique/>
        </w:docPartObj>
      </w:sdtPr>
      <w:sdtEndPr>
        <w:rPr>
          <w:b/>
          <w:bCs/>
          <w:noProof/>
        </w:rPr>
      </w:sdtEndPr>
      <w:sdtContent>
        <w:p w14:paraId="252DF50D" w14:textId="7BA7F98B" w:rsidR="00D76DD1" w:rsidRPr="00EE346E" w:rsidRDefault="00D76DD1" w:rsidP="00EE346E">
          <w:pPr>
            <w:pStyle w:val="TOCHeading"/>
            <w:shd w:val="clear" w:color="auto" w:fill="C5E0B3" w:themeFill="accent6" w:themeFillTint="66"/>
            <w:jc w:val="center"/>
            <w:rPr>
              <w:b/>
              <w:color w:val="auto"/>
              <w:sz w:val="36"/>
            </w:rPr>
          </w:pPr>
          <w:r w:rsidRPr="00EE346E">
            <w:rPr>
              <w:b/>
              <w:color w:val="auto"/>
              <w:sz w:val="36"/>
            </w:rPr>
            <w:t>Table of Contents</w:t>
          </w:r>
        </w:p>
        <w:p w14:paraId="629E9D02" w14:textId="4913D723" w:rsidR="009403A2" w:rsidRDefault="00D76DD1">
          <w:pPr>
            <w:pStyle w:val="TOC1"/>
            <w:tabs>
              <w:tab w:val="right" w:leader="dot" w:pos="9016"/>
            </w:tabs>
            <w:rPr>
              <w:rFonts w:asciiTheme="minorHAnsi" w:hAnsiTheme="minorHAnsi"/>
              <w:noProof/>
              <w:sz w:val="22"/>
            </w:rPr>
          </w:pPr>
          <w:r>
            <w:fldChar w:fldCharType="begin"/>
          </w:r>
          <w:r>
            <w:instrText xml:space="preserve"> TOC \o "1-3" \h \z \u </w:instrText>
          </w:r>
          <w:r>
            <w:fldChar w:fldCharType="separate"/>
          </w:r>
          <w:hyperlink w:anchor="_Toc100758328" w:history="1">
            <w:r w:rsidR="009403A2" w:rsidRPr="007752E2">
              <w:rPr>
                <w:rStyle w:val="Hyperlink"/>
                <w:noProof/>
              </w:rPr>
              <w:t>Introduction</w:t>
            </w:r>
            <w:r w:rsidR="009403A2">
              <w:rPr>
                <w:noProof/>
                <w:webHidden/>
              </w:rPr>
              <w:tab/>
            </w:r>
            <w:r w:rsidR="009403A2">
              <w:rPr>
                <w:noProof/>
                <w:webHidden/>
              </w:rPr>
              <w:fldChar w:fldCharType="begin"/>
            </w:r>
            <w:r w:rsidR="009403A2">
              <w:rPr>
                <w:noProof/>
                <w:webHidden/>
              </w:rPr>
              <w:instrText xml:space="preserve"> PAGEREF _Toc100758328 \h </w:instrText>
            </w:r>
            <w:r w:rsidR="009403A2">
              <w:rPr>
                <w:noProof/>
                <w:webHidden/>
              </w:rPr>
            </w:r>
            <w:r w:rsidR="009403A2">
              <w:rPr>
                <w:noProof/>
                <w:webHidden/>
              </w:rPr>
              <w:fldChar w:fldCharType="separate"/>
            </w:r>
            <w:r w:rsidR="009403A2">
              <w:rPr>
                <w:noProof/>
                <w:webHidden/>
              </w:rPr>
              <w:t>3</w:t>
            </w:r>
            <w:r w:rsidR="009403A2">
              <w:rPr>
                <w:noProof/>
                <w:webHidden/>
              </w:rPr>
              <w:fldChar w:fldCharType="end"/>
            </w:r>
          </w:hyperlink>
        </w:p>
        <w:p w14:paraId="79FA3316" w14:textId="1F2EB811" w:rsidR="009403A2" w:rsidRDefault="00CA7302">
          <w:pPr>
            <w:pStyle w:val="TOC1"/>
            <w:tabs>
              <w:tab w:val="right" w:leader="dot" w:pos="9016"/>
            </w:tabs>
            <w:rPr>
              <w:rFonts w:asciiTheme="minorHAnsi" w:hAnsiTheme="minorHAnsi"/>
              <w:noProof/>
              <w:sz w:val="22"/>
            </w:rPr>
          </w:pPr>
          <w:hyperlink w:anchor="_Toc100758329" w:history="1">
            <w:r w:rsidR="009403A2" w:rsidRPr="007752E2">
              <w:rPr>
                <w:rStyle w:val="Hyperlink"/>
                <w:noProof/>
              </w:rPr>
              <w:t>The Concept and Drivers of Employee Engagement</w:t>
            </w:r>
            <w:r w:rsidR="009403A2">
              <w:rPr>
                <w:noProof/>
                <w:webHidden/>
              </w:rPr>
              <w:tab/>
            </w:r>
            <w:r w:rsidR="009403A2">
              <w:rPr>
                <w:noProof/>
                <w:webHidden/>
              </w:rPr>
              <w:fldChar w:fldCharType="begin"/>
            </w:r>
            <w:r w:rsidR="009403A2">
              <w:rPr>
                <w:noProof/>
                <w:webHidden/>
              </w:rPr>
              <w:instrText xml:space="preserve"> PAGEREF _Toc100758329 \h </w:instrText>
            </w:r>
            <w:r w:rsidR="009403A2">
              <w:rPr>
                <w:noProof/>
                <w:webHidden/>
              </w:rPr>
            </w:r>
            <w:r w:rsidR="009403A2">
              <w:rPr>
                <w:noProof/>
                <w:webHidden/>
              </w:rPr>
              <w:fldChar w:fldCharType="separate"/>
            </w:r>
            <w:r w:rsidR="009403A2">
              <w:rPr>
                <w:noProof/>
                <w:webHidden/>
              </w:rPr>
              <w:t>4</w:t>
            </w:r>
            <w:r w:rsidR="009403A2">
              <w:rPr>
                <w:noProof/>
                <w:webHidden/>
              </w:rPr>
              <w:fldChar w:fldCharType="end"/>
            </w:r>
          </w:hyperlink>
        </w:p>
        <w:p w14:paraId="0E86B946" w14:textId="35570265" w:rsidR="009403A2" w:rsidRDefault="00CA7302">
          <w:pPr>
            <w:pStyle w:val="TOC1"/>
            <w:tabs>
              <w:tab w:val="right" w:leader="dot" w:pos="9016"/>
            </w:tabs>
            <w:rPr>
              <w:rFonts w:asciiTheme="minorHAnsi" w:hAnsiTheme="minorHAnsi"/>
              <w:noProof/>
              <w:sz w:val="22"/>
            </w:rPr>
          </w:pPr>
          <w:hyperlink w:anchor="_Toc100758330" w:history="1">
            <w:r w:rsidR="009403A2" w:rsidRPr="007752E2">
              <w:rPr>
                <w:rStyle w:val="Hyperlink"/>
                <w:noProof/>
              </w:rPr>
              <w:t>Diagnostic Tools to Measure the Engagement</w:t>
            </w:r>
            <w:r w:rsidR="009403A2">
              <w:rPr>
                <w:noProof/>
                <w:webHidden/>
              </w:rPr>
              <w:tab/>
            </w:r>
            <w:r w:rsidR="009403A2">
              <w:rPr>
                <w:noProof/>
                <w:webHidden/>
              </w:rPr>
              <w:fldChar w:fldCharType="begin"/>
            </w:r>
            <w:r w:rsidR="009403A2">
              <w:rPr>
                <w:noProof/>
                <w:webHidden/>
              </w:rPr>
              <w:instrText xml:space="preserve"> PAGEREF _Toc100758330 \h </w:instrText>
            </w:r>
            <w:r w:rsidR="009403A2">
              <w:rPr>
                <w:noProof/>
                <w:webHidden/>
              </w:rPr>
            </w:r>
            <w:r w:rsidR="009403A2">
              <w:rPr>
                <w:noProof/>
                <w:webHidden/>
              </w:rPr>
              <w:fldChar w:fldCharType="separate"/>
            </w:r>
            <w:r w:rsidR="009403A2">
              <w:rPr>
                <w:noProof/>
                <w:webHidden/>
              </w:rPr>
              <w:t>5</w:t>
            </w:r>
            <w:r w:rsidR="009403A2">
              <w:rPr>
                <w:noProof/>
                <w:webHidden/>
              </w:rPr>
              <w:fldChar w:fldCharType="end"/>
            </w:r>
          </w:hyperlink>
        </w:p>
        <w:p w14:paraId="617E63A8" w14:textId="45A76654" w:rsidR="009403A2" w:rsidRDefault="00CA7302">
          <w:pPr>
            <w:pStyle w:val="TOC1"/>
            <w:tabs>
              <w:tab w:val="right" w:leader="dot" w:pos="9016"/>
            </w:tabs>
            <w:rPr>
              <w:rFonts w:asciiTheme="minorHAnsi" w:hAnsiTheme="minorHAnsi"/>
              <w:noProof/>
              <w:sz w:val="22"/>
            </w:rPr>
          </w:pPr>
          <w:hyperlink w:anchor="_Toc100758331" w:history="1">
            <w:r w:rsidR="009403A2" w:rsidRPr="007752E2">
              <w:rPr>
                <w:rStyle w:val="Hyperlink"/>
                <w:noProof/>
              </w:rPr>
              <w:t>Employee Value Proposition from The Ideas and Analysis</w:t>
            </w:r>
            <w:r w:rsidR="009403A2">
              <w:rPr>
                <w:noProof/>
                <w:webHidden/>
              </w:rPr>
              <w:tab/>
            </w:r>
            <w:r w:rsidR="009403A2">
              <w:rPr>
                <w:noProof/>
                <w:webHidden/>
              </w:rPr>
              <w:fldChar w:fldCharType="begin"/>
            </w:r>
            <w:r w:rsidR="009403A2">
              <w:rPr>
                <w:noProof/>
                <w:webHidden/>
              </w:rPr>
              <w:instrText xml:space="preserve"> PAGEREF _Toc100758331 \h </w:instrText>
            </w:r>
            <w:r w:rsidR="009403A2">
              <w:rPr>
                <w:noProof/>
                <w:webHidden/>
              </w:rPr>
            </w:r>
            <w:r w:rsidR="009403A2">
              <w:rPr>
                <w:noProof/>
                <w:webHidden/>
              </w:rPr>
              <w:fldChar w:fldCharType="separate"/>
            </w:r>
            <w:r w:rsidR="009403A2">
              <w:rPr>
                <w:noProof/>
                <w:webHidden/>
              </w:rPr>
              <w:t>6</w:t>
            </w:r>
            <w:r w:rsidR="009403A2">
              <w:rPr>
                <w:noProof/>
                <w:webHidden/>
              </w:rPr>
              <w:fldChar w:fldCharType="end"/>
            </w:r>
          </w:hyperlink>
        </w:p>
        <w:p w14:paraId="48C20AD5" w14:textId="6CAE97B6" w:rsidR="009403A2" w:rsidRDefault="00CA7302">
          <w:pPr>
            <w:pStyle w:val="TOC1"/>
            <w:tabs>
              <w:tab w:val="right" w:leader="dot" w:pos="9016"/>
            </w:tabs>
            <w:rPr>
              <w:rFonts w:asciiTheme="minorHAnsi" w:hAnsiTheme="minorHAnsi"/>
              <w:noProof/>
              <w:sz w:val="22"/>
            </w:rPr>
          </w:pPr>
          <w:hyperlink w:anchor="_Toc100758332" w:history="1">
            <w:r w:rsidR="009403A2" w:rsidRPr="007752E2">
              <w:rPr>
                <w:rStyle w:val="Hyperlink"/>
                <w:noProof/>
              </w:rPr>
              <w:t>Conclusion</w:t>
            </w:r>
            <w:r w:rsidR="009403A2">
              <w:rPr>
                <w:noProof/>
                <w:webHidden/>
              </w:rPr>
              <w:tab/>
            </w:r>
            <w:r w:rsidR="009403A2">
              <w:rPr>
                <w:noProof/>
                <w:webHidden/>
              </w:rPr>
              <w:fldChar w:fldCharType="begin"/>
            </w:r>
            <w:r w:rsidR="009403A2">
              <w:rPr>
                <w:noProof/>
                <w:webHidden/>
              </w:rPr>
              <w:instrText xml:space="preserve"> PAGEREF _Toc100758332 \h </w:instrText>
            </w:r>
            <w:r w:rsidR="009403A2">
              <w:rPr>
                <w:noProof/>
                <w:webHidden/>
              </w:rPr>
            </w:r>
            <w:r w:rsidR="009403A2">
              <w:rPr>
                <w:noProof/>
                <w:webHidden/>
              </w:rPr>
              <w:fldChar w:fldCharType="separate"/>
            </w:r>
            <w:r w:rsidR="009403A2">
              <w:rPr>
                <w:noProof/>
                <w:webHidden/>
              </w:rPr>
              <w:t>7</w:t>
            </w:r>
            <w:r w:rsidR="009403A2">
              <w:rPr>
                <w:noProof/>
                <w:webHidden/>
              </w:rPr>
              <w:fldChar w:fldCharType="end"/>
            </w:r>
          </w:hyperlink>
        </w:p>
        <w:p w14:paraId="57266F4F" w14:textId="3EB04309" w:rsidR="009403A2" w:rsidRDefault="00CA7302">
          <w:pPr>
            <w:pStyle w:val="TOC1"/>
            <w:tabs>
              <w:tab w:val="right" w:leader="dot" w:pos="9016"/>
            </w:tabs>
            <w:rPr>
              <w:rFonts w:asciiTheme="minorHAnsi" w:hAnsiTheme="minorHAnsi"/>
              <w:noProof/>
              <w:sz w:val="22"/>
            </w:rPr>
          </w:pPr>
          <w:hyperlink w:anchor="_Toc100758333" w:history="1">
            <w:r w:rsidR="009403A2" w:rsidRPr="007752E2">
              <w:rPr>
                <w:rStyle w:val="Hyperlink"/>
                <w:noProof/>
              </w:rPr>
              <w:t>Reference</w:t>
            </w:r>
            <w:r w:rsidR="009403A2">
              <w:rPr>
                <w:noProof/>
                <w:webHidden/>
              </w:rPr>
              <w:tab/>
            </w:r>
            <w:r w:rsidR="009403A2">
              <w:rPr>
                <w:noProof/>
                <w:webHidden/>
              </w:rPr>
              <w:fldChar w:fldCharType="begin"/>
            </w:r>
            <w:r w:rsidR="009403A2">
              <w:rPr>
                <w:noProof/>
                <w:webHidden/>
              </w:rPr>
              <w:instrText xml:space="preserve"> PAGEREF _Toc100758333 \h </w:instrText>
            </w:r>
            <w:r w:rsidR="009403A2">
              <w:rPr>
                <w:noProof/>
                <w:webHidden/>
              </w:rPr>
            </w:r>
            <w:r w:rsidR="009403A2">
              <w:rPr>
                <w:noProof/>
                <w:webHidden/>
              </w:rPr>
              <w:fldChar w:fldCharType="separate"/>
            </w:r>
            <w:r w:rsidR="009403A2">
              <w:rPr>
                <w:noProof/>
                <w:webHidden/>
              </w:rPr>
              <w:t>9</w:t>
            </w:r>
            <w:r w:rsidR="009403A2">
              <w:rPr>
                <w:noProof/>
                <w:webHidden/>
              </w:rPr>
              <w:fldChar w:fldCharType="end"/>
            </w:r>
          </w:hyperlink>
        </w:p>
        <w:p w14:paraId="6F1EAC37" w14:textId="7889130C" w:rsidR="00D76DD1" w:rsidRDefault="00D76DD1">
          <w:r>
            <w:rPr>
              <w:b/>
              <w:bCs/>
              <w:noProof/>
            </w:rPr>
            <w:fldChar w:fldCharType="end"/>
          </w:r>
        </w:p>
      </w:sdtContent>
    </w:sdt>
    <w:p w14:paraId="3085ED46" w14:textId="720AE133" w:rsidR="00D76DD1" w:rsidRDefault="00D76DD1" w:rsidP="00D76DD1"/>
    <w:p w14:paraId="266E62EE" w14:textId="73D6129C" w:rsidR="00D76DD1" w:rsidRDefault="00D76DD1" w:rsidP="00D76DD1"/>
    <w:p w14:paraId="7694D5D1" w14:textId="53007CA6" w:rsidR="00D76DD1" w:rsidRDefault="00D76DD1" w:rsidP="00D76DD1"/>
    <w:p w14:paraId="54BAD355" w14:textId="39962603" w:rsidR="00D76DD1" w:rsidRDefault="00D76DD1" w:rsidP="00D76DD1"/>
    <w:p w14:paraId="503D06D9" w14:textId="0AAEBBE9" w:rsidR="00D76DD1" w:rsidRDefault="00D76DD1" w:rsidP="00D76DD1"/>
    <w:p w14:paraId="6C6B961C" w14:textId="4ADF8D5B" w:rsidR="00D76DD1" w:rsidRDefault="00D76DD1" w:rsidP="00D76DD1"/>
    <w:p w14:paraId="7D3EA602" w14:textId="3FE7CDD9" w:rsidR="00D76DD1" w:rsidRDefault="00D76DD1" w:rsidP="00D76DD1"/>
    <w:p w14:paraId="3AD0D307" w14:textId="2B086577" w:rsidR="00D76DD1" w:rsidRDefault="00D76DD1" w:rsidP="00D76DD1"/>
    <w:p w14:paraId="7C294D1C" w14:textId="5A77C885" w:rsidR="00D76DD1" w:rsidRDefault="00D76DD1" w:rsidP="00D76DD1"/>
    <w:p w14:paraId="40548CEE" w14:textId="52E2FA3E" w:rsidR="00D76DD1" w:rsidRDefault="00D76DD1" w:rsidP="00D76DD1"/>
    <w:p w14:paraId="68A7050C" w14:textId="42FD1B29" w:rsidR="00D76DD1" w:rsidRDefault="00D76DD1" w:rsidP="00D76DD1"/>
    <w:p w14:paraId="0307BFF3" w14:textId="012991F8" w:rsidR="00D76DD1" w:rsidRDefault="00D76DD1" w:rsidP="00D76DD1"/>
    <w:p w14:paraId="32D19596" w14:textId="7D684A67" w:rsidR="00D76DD1" w:rsidRDefault="00D76DD1" w:rsidP="00D76DD1"/>
    <w:p w14:paraId="24FB5777" w14:textId="106DE56A" w:rsidR="00D76DD1" w:rsidRDefault="00D76DD1" w:rsidP="00D76DD1"/>
    <w:p w14:paraId="6306D97D" w14:textId="1119609C" w:rsidR="00D76DD1" w:rsidRDefault="00D76DD1" w:rsidP="00D76DD1"/>
    <w:p w14:paraId="159BF294" w14:textId="77777777" w:rsidR="00D76DD1" w:rsidRDefault="00D76DD1" w:rsidP="00D76DD1"/>
    <w:p w14:paraId="3C696BAB" w14:textId="3F38632B" w:rsidR="00CC57CF" w:rsidRPr="00EE346E" w:rsidRDefault="00CC57CF" w:rsidP="00EE346E">
      <w:pPr>
        <w:pStyle w:val="Heading1"/>
        <w:pBdr>
          <w:bottom w:val="single" w:sz="4" w:space="1" w:color="auto"/>
        </w:pBdr>
        <w:jc w:val="center"/>
        <w:rPr>
          <w:b/>
        </w:rPr>
      </w:pPr>
      <w:bookmarkStart w:id="1" w:name="_Toc100758328"/>
      <w:r w:rsidRPr="00EE346E">
        <w:rPr>
          <w:b/>
        </w:rPr>
        <w:lastRenderedPageBreak/>
        <w:t>Introduction</w:t>
      </w:r>
      <w:bookmarkEnd w:id="1"/>
    </w:p>
    <w:p w14:paraId="376005A1" w14:textId="5AD5FA2B" w:rsidR="00CC57CF" w:rsidRPr="00473468" w:rsidRDefault="000160CB" w:rsidP="00E2603D">
      <w:pPr>
        <w:rPr>
          <w:color w:val="000000" w:themeColor="text1"/>
          <w:szCs w:val="24"/>
        </w:rPr>
      </w:pPr>
      <w:r w:rsidRPr="00473468">
        <w:rPr>
          <w:color w:val="000000" w:themeColor="text1"/>
          <w:szCs w:val="24"/>
        </w:rPr>
        <w:t xml:space="preserve">In </w:t>
      </w:r>
      <w:r w:rsidR="00FA0C31">
        <w:rPr>
          <w:color w:val="000000" w:themeColor="text1"/>
          <w:szCs w:val="24"/>
        </w:rPr>
        <w:t xml:space="preserve">the </w:t>
      </w:r>
      <w:r w:rsidRPr="00473468">
        <w:rPr>
          <w:color w:val="000000" w:themeColor="text1"/>
          <w:szCs w:val="24"/>
        </w:rPr>
        <w:t xml:space="preserve">latest days, staff engagement practices have grown in appeal. </w:t>
      </w:r>
      <w:r w:rsidR="00D76DD1" w:rsidRPr="00473468">
        <w:rPr>
          <w:color w:val="000000" w:themeColor="text1"/>
          <w:szCs w:val="24"/>
        </w:rPr>
        <w:t>A</w:t>
      </w:r>
      <w:r w:rsidRPr="00473468">
        <w:rPr>
          <w:color w:val="000000" w:themeColor="text1"/>
          <w:szCs w:val="24"/>
        </w:rPr>
        <w:t xml:space="preserve"> staff’s cognitive, physical, and behavioral power devoted </w:t>
      </w:r>
      <w:r w:rsidR="00FA0C31">
        <w:rPr>
          <w:color w:val="000000" w:themeColor="text1"/>
          <w:szCs w:val="24"/>
        </w:rPr>
        <w:t>to</w:t>
      </w:r>
      <w:r w:rsidRPr="00473468">
        <w:rPr>
          <w:color w:val="000000" w:themeColor="text1"/>
          <w:szCs w:val="24"/>
        </w:rPr>
        <w:t xml:space="preserve"> favorable job accomplishments is classified as “employee engagement.” Based </w:t>
      </w:r>
      <w:r w:rsidR="00FA0C31">
        <w:rPr>
          <w:color w:val="000000" w:themeColor="text1"/>
          <w:szCs w:val="24"/>
        </w:rPr>
        <w:t>on</w:t>
      </w:r>
      <w:r w:rsidRPr="00473468">
        <w:rPr>
          <w:color w:val="000000" w:themeColor="text1"/>
          <w:szCs w:val="24"/>
        </w:rPr>
        <w:t xml:space="preserve"> surveys, </w:t>
      </w:r>
      <w:r w:rsidR="00FA0C31">
        <w:rPr>
          <w:color w:val="000000" w:themeColor="text1"/>
          <w:szCs w:val="24"/>
        </w:rPr>
        <w:t xml:space="preserve">a </w:t>
      </w:r>
      <w:r w:rsidRPr="00473468">
        <w:rPr>
          <w:color w:val="000000" w:themeColor="text1"/>
          <w:szCs w:val="24"/>
        </w:rPr>
        <w:t xml:space="preserve">devoted workforce </w:t>
      </w:r>
      <w:r w:rsidR="00D76DD1" w:rsidRPr="00473468">
        <w:rPr>
          <w:color w:val="000000" w:themeColor="text1"/>
          <w:szCs w:val="24"/>
        </w:rPr>
        <w:t>is</w:t>
      </w:r>
      <w:r w:rsidRPr="00473468">
        <w:rPr>
          <w:color w:val="000000" w:themeColor="text1"/>
          <w:szCs w:val="24"/>
        </w:rPr>
        <w:t xml:space="preserve"> highly prone to be productive, stick with their current job, and collaborate with their buyers and peers. Briefly said, evidence indicates how the growing degrees of employee engagement could be advantageous for </w:t>
      </w:r>
      <w:r w:rsidR="008E09F6">
        <w:rPr>
          <w:color w:val="000000" w:themeColor="text1"/>
          <w:szCs w:val="24"/>
        </w:rPr>
        <w:t>organizations (</w:t>
      </w:r>
      <w:proofErr w:type="spellStart"/>
      <w:r w:rsidR="000D676F">
        <w:rPr>
          <w:color w:val="000000" w:themeColor="text1"/>
          <w:szCs w:val="24"/>
        </w:rPr>
        <w:t>Bedarkar</w:t>
      </w:r>
      <w:proofErr w:type="spellEnd"/>
      <w:r w:rsidR="000D676F">
        <w:rPr>
          <w:color w:val="000000" w:themeColor="text1"/>
          <w:szCs w:val="24"/>
        </w:rPr>
        <w:t xml:space="preserve"> and Pandita, 2014).</w:t>
      </w:r>
      <w:r w:rsidRPr="00473468">
        <w:rPr>
          <w:color w:val="000000" w:themeColor="text1"/>
          <w:szCs w:val="24"/>
        </w:rPr>
        <w:t xml:space="preserve"> A complex setting has formed as a direct consequence of the latest virus spread, mainly for enterprises responsible </w:t>
      </w:r>
      <w:r w:rsidR="00FA0C31">
        <w:rPr>
          <w:color w:val="000000" w:themeColor="text1"/>
          <w:szCs w:val="24"/>
        </w:rPr>
        <w:t>for</w:t>
      </w:r>
      <w:r w:rsidRPr="00473468">
        <w:rPr>
          <w:color w:val="000000" w:themeColor="text1"/>
          <w:szCs w:val="24"/>
        </w:rPr>
        <w:t xml:space="preserve"> </w:t>
      </w:r>
      <w:r w:rsidR="00FA0C31">
        <w:rPr>
          <w:color w:val="000000" w:themeColor="text1"/>
          <w:szCs w:val="24"/>
        </w:rPr>
        <w:t xml:space="preserve">the </w:t>
      </w:r>
      <w:r w:rsidRPr="00473468">
        <w:rPr>
          <w:color w:val="000000" w:themeColor="text1"/>
          <w:szCs w:val="24"/>
        </w:rPr>
        <w:t>management of human resources. Workers have experienced impacts as a response, like challenges decoupling from work activities, dividing both job and family life, and also risk propensity of being dismissed. Challenging work</w:t>
      </w:r>
      <w:r w:rsidR="00314CE1">
        <w:rPr>
          <w:color w:val="000000" w:themeColor="text1"/>
          <w:szCs w:val="24"/>
        </w:rPr>
        <w:t xml:space="preserve"> </w:t>
      </w:r>
      <w:r w:rsidRPr="00473468">
        <w:rPr>
          <w:color w:val="000000" w:themeColor="text1"/>
          <w:szCs w:val="24"/>
        </w:rPr>
        <w:t xml:space="preserve">arrangements, including an inordinate workload, night shifts, and limited break times, were enforced on key employees. Additionally, being sick </w:t>
      </w:r>
      <w:r w:rsidR="0080280F" w:rsidRPr="00473468">
        <w:rPr>
          <w:color w:val="000000" w:themeColor="text1"/>
          <w:szCs w:val="24"/>
        </w:rPr>
        <w:t xml:space="preserve">due to </w:t>
      </w:r>
      <w:r w:rsidRPr="00473468">
        <w:rPr>
          <w:color w:val="000000" w:themeColor="text1"/>
          <w:szCs w:val="24"/>
        </w:rPr>
        <w:t xml:space="preserve">work-related illnesses and passing the disease </w:t>
      </w:r>
      <w:r w:rsidR="00FA0C31">
        <w:rPr>
          <w:color w:val="000000" w:themeColor="text1"/>
          <w:szCs w:val="24"/>
        </w:rPr>
        <w:t>to</w:t>
      </w:r>
      <w:r w:rsidRPr="00473468">
        <w:rPr>
          <w:color w:val="000000" w:themeColor="text1"/>
          <w:szCs w:val="24"/>
        </w:rPr>
        <w:t xml:space="preserve"> one’s children and friends is a substantial point </w:t>
      </w:r>
      <w:r w:rsidR="0039191B">
        <w:rPr>
          <w:color w:val="000000" w:themeColor="text1"/>
          <w:szCs w:val="24"/>
        </w:rPr>
        <w:t>(Gupta and Sharma, 2016)</w:t>
      </w:r>
      <w:r w:rsidRPr="00473468">
        <w:rPr>
          <w:color w:val="000000" w:themeColor="text1"/>
          <w:szCs w:val="24"/>
        </w:rPr>
        <w:t xml:space="preserve">. Finally, layoffs, pay freezes, and budget trims have aggravated record unemployment and monetary loss, heightening the unreliability of labor. </w:t>
      </w:r>
      <w:r w:rsidR="00FA0C31">
        <w:rPr>
          <w:color w:val="000000" w:themeColor="text1"/>
          <w:szCs w:val="24"/>
        </w:rPr>
        <w:t>Tremendous</w:t>
      </w:r>
      <w:r w:rsidRPr="00473468">
        <w:rPr>
          <w:color w:val="000000" w:themeColor="text1"/>
          <w:szCs w:val="24"/>
        </w:rPr>
        <w:t xml:space="preserve"> harm to </w:t>
      </w:r>
      <w:r w:rsidR="00FA0C31">
        <w:rPr>
          <w:color w:val="000000" w:themeColor="text1"/>
          <w:szCs w:val="24"/>
        </w:rPr>
        <w:t xml:space="preserve">the </w:t>
      </w:r>
      <w:r w:rsidRPr="00473468">
        <w:rPr>
          <w:color w:val="000000" w:themeColor="text1"/>
          <w:szCs w:val="24"/>
        </w:rPr>
        <w:t xml:space="preserve">workforce would be caused by any </w:t>
      </w:r>
      <w:r w:rsidR="00FA0C31">
        <w:rPr>
          <w:color w:val="000000" w:themeColor="text1"/>
          <w:szCs w:val="24"/>
        </w:rPr>
        <w:t xml:space="preserve">of </w:t>
      </w:r>
      <w:r w:rsidRPr="00473468">
        <w:rPr>
          <w:color w:val="000000" w:themeColor="text1"/>
          <w:szCs w:val="24"/>
        </w:rPr>
        <w:t>this work-related pressure.</w:t>
      </w:r>
      <w:r w:rsidR="00CC57CF" w:rsidRPr="00473468">
        <w:rPr>
          <w:color w:val="000000" w:themeColor="text1"/>
          <w:szCs w:val="24"/>
        </w:rPr>
        <w:br w:type="page"/>
      </w:r>
    </w:p>
    <w:p w14:paraId="10AEAB27" w14:textId="1F3E9720" w:rsidR="00F93C98" w:rsidRPr="00EE346E" w:rsidRDefault="00F93C98" w:rsidP="00EE346E">
      <w:pPr>
        <w:pStyle w:val="Heading1"/>
        <w:pBdr>
          <w:bottom w:val="single" w:sz="4" w:space="1" w:color="auto"/>
        </w:pBdr>
        <w:jc w:val="center"/>
        <w:rPr>
          <w:b/>
        </w:rPr>
      </w:pPr>
      <w:bookmarkStart w:id="2" w:name="_Toc100758329"/>
      <w:r w:rsidRPr="00EE346E">
        <w:rPr>
          <w:b/>
        </w:rPr>
        <w:lastRenderedPageBreak/>
        <w:t>The Concept and Drivers of Employee Engagement</w:t>
      </w:r>
      <w:bookmarkEnd w:id="2"/>
    </w:p>
    <w:p w14:paraId="5B9A764B" w14:textId="0B251408" w:rsidR="00F93C98" w:rsidRDefault="00B03016" w:rsidP="00B03016">
      <w:pPr>
        <w:rPr>
          <w:szCs w:val="24"/>
        </w:rPr>
      </w:pPr>
      <w:r w:rsidRPr="00B03016">
        <w:rPr>
          <w:szCs w:val="24"/>
        </w:rPr>
        <w:t xml:space="preserve">Profitable businesses are being mandated to define corporate predictors and approaches that nurture and reinforce a company structure well, leading </w:t>
      </w:r>
      <w:r w:rsidR="00FA0C31">
        <w:rPr>
          <w:szCs w:val="24"/>
        </w:rPr>
        <w:t>to</w:t>
      </w:r>
      <w:r w:rsidRPr="00B03016">
        <w:rPr>
          <w:szCs w:val="24"/>
        </w:rPr>
        <w:t xml:space="preserve"> higher output. In </w:t>
      </w:r>
      <w:r w:rsidR="00FA0C31">
        <w:rPr>
          <w:szCs w:val="24"/>
        </w:rPr>
        <w:t xml:space="preserve">the </w:t>
      </w:r>
      <w:r w:rsidRPr="00B03016">
        <w:rPr>
          <w:szCs w:val="24"/>
        </w:rPr>
        <w:t xml:space="preserve">market, the notion </w:t>
      </w:r>
      <w:r w:rsidR="00FA0C31">
        <w:rPr>
          <w:szCs w:val="24"/>
        </w:rPr>
        <w:t xml:space="preserve">of a </w:t>
      </w:r>
      <w:r w:rsidRPr="00B03016">
        <w:rPr>
          <w:szCs w:val="24"/>
        </w:rPr>
        <w:t xml:space="preserve">“corrosive” organization pertains to a management structure </w:t>
      </w:r>
      <w:r w:rsidR="00FA0C31">
        <w:rPr>
          <w:szCs w:val="24"/>
        </w:rPr>
        <w:t>that</w:t>
      </w:r>
      <w:r w:rsidRPr="00B03016">
        <w:rPr>
          <w:szCs w:val="24"/>
        </w:rPr>
        <w:t xml:space="preserve"> is typified </w:t>
      </w:r>
      <w:r w:rsidR="00FA0C31">
        <w:rPr>
          <w:szCs w:val="24"/>
        </w:rPr>
        <w:t>by</w:t>
      </w:r>
      <w:r w:rsidRPr="00B03016">
        <w:rPr>
          <w:szCs w:val="24"/>
        </w:rPr>
        <w:t xml:space="preserve"> unsafe work standards, frequent truancy, and high </w:t>
      </w:r>
      <w:r w:rsidR="00FF3118">
        <w:rPr>
          <w:szCs w:val="24"/>
        </w:rPr>
        <w:t>attrition (Markos and Sridevi, 2010).</w:t>
      </w:r>
      <w:r w:rsidRPr="00B03016">
        <w:rPr>
          <w:szCs w:val="24"/>
        </w:rPr>
        <w:t xml:space="preserve"> This crisis constitutes major harm to companies in case of economic and logistical impact. A high-performing workforce contributes to improved liquidity circumstances. Here</w:t>
      </w:r>
      <w:r w:rsidR="00FA0C31">
        <w:rPr>
          <w:szCs w:val="24"/>
        </w:rPr>
        <w:t>,</w:t>
      </w:r>
      <w:r w:rsidRPr="00B03016">
        <w:rPr>
          <w:szCs w:val="24"/>
        </w:rPr>
        <w:t xml:space="preserve"> as </w:t>
      </w:r>
      <w:r w:rsidR="00FA0C31">
        <w:rPr>
          <w:szCs w:val="24"/>
        </w:rPr>
        <w:t xml:space="preserve">a </w:t>
      </w:r>
      <w:r w:rsidRPr="00B03016">
        <w:rPr>
          <w:szCs w:val="24"/>
        </w:rPr>
        <w:t xml:space="preserve">result, employee participation and the physical setting in which workers function exert a significant physiological and behavioral effect on overall organizational perspectives and dedication. Hence, a coefficient exists between organization supply and employee </w:t>
      </w:r>
      <w:r w:rsidR="00064E3F">
        <w:rPr>
          <w:szCs w:val="24"/>
        </w:rPr>
        <w:t>retention (</w:t>
      </w:r>
      <w:proofErr w:type="spellStart"/>
      <w:r w:rsidR="00064E3F">
        <w:rPr>
          <w:szCs w:val="24"/>
        </w:rPr>
        <w:t>Albrech</w:t>
      </w:r>
      <w:proofErr w:type="spellEnd"/>
      <w:r w:rsidR="00064E3F">
        <w:rPr>
          <w:szCs w:val="24"/>
        </w:rPr>
        <w:t>, 2011).</w:t>
      </w:r>
      <w:r w:rsidRPr="00B03016">
        <w:rPr>
          <w:szCs w:val="24"/>
        </w:rPr>
        <w:t xml:space="preserve"> This analysis revealed that the connection involving interaction and organizational competence directly connected with company success represented the company’s achievement of specified aims.</w:t>
      </w:r>
    </w:p>
    <w:p w14:paraId="5CE481FC" w14:textId="54A6E25F" w:rsidR="00332121" w:rsidRDefault="00FA0C31" w:rsidP="00B03016">
      <w:pPr>
        <w:rPr>
          <w:szCs w:val="24"/>
        </w:rPr>
      </w:pPr>
      <w:r>
        <w:rPr>
          <w:szCs w:val="24"/>
        </w:rPr>
        <w:t>An</w:t>
      </w:r>
      <w:r w:rsidR="00332121">
        <w:rPr>
          <w:szCs w:val="24"/>
        </w:rPr>
        <w:t xml:space="preserve"> organizational environment that encourages quality of </w:t>
      </w:r>
      <w:r>
        <w:rPr>
          <w:szCs w:val="24"/>
        </w:rPr>
        <w:t>work-life</w:t>
      </w:r>
      <w:r w:rsidR="00332121">
        <w:rPr>
          <w:szCs w:val="24"/>
        </w:rPr>
        <w:t xml:space="preserve">, collaboration, and agility might benefit both the employees’ well-being and economical achievement. </w:t>
      </w:r>
      <w:r>
        <w:rPr>
          <w:szCs w:val="24"/>
        </w:rPr>
        <w:t>From</w:t>
      </w:r>
      <w:r w:rsidR="00332121">
        <w:rPr>
          <w:szCs w:val="24"/>
        </w:rPr>
        <w:t xml:space="preserve"> a pragmatic perspective, workforce safety has been required for long work efficiency and corporate dedication. Employee satisfaction must be portrayed consistently and </w:t>
      </w:r>
      <w:r w:rsidR="005E39B9">
        <w:rPr>
          <w:szCs w:val="24"/>
        </w:rPr>
        <w:t>publicly</w:t>
      </w:r>
      <w:r w:rsidR="00CC5FEB" w:rsidRPr="00CC5FEB">
        <w:rPr>
          <w:rStyle w:val="jss4500"/>
        </w:rPr>
        <w:t xml:space="preserve"> </w:t>
      </w:r>
      <w:r w:rsidR="00CC5FEB">
        <w:rPr>
          <w:rStyle w:val="jss4500"/>
        </w:rPr>
        <w:t>(Mani and Nadu, 2011)</w:t>
      </w:r>
      <w:r w:rsidR="00332121">
        <w:rPr>
          <w:szCs w:val="24"/>
        </w:rPr>
        <w:t xml:space="preserve">. The notion of workforce participation appears debatable in its applicability. While the method of involvement is a point of contention for mainstream articles and advisory organizations, it’s been addressed only in a few research projects. The most contemporary success came </w:t>
      </w:r>
      <w:r>
        <w:rPr>
          <w:szCs w:val="24"/>
        </w:rPr>
        <w:t>from</w:t>
      </w:r>
      <w:r w:rsidR="00332121">
        <w:rPr>
          <w:szCs w:val="24"/>
        </w:rPr>
        <w:t xml:space="preserve"> those who classified job satisfaction as a staff’s bene</w:t>
      </w:r>
      <w:r w:rsidR="00EE346E">
        <w:rPr>
          <w:szCs w:val="24"/>
        </w:rPr>
        <w:t>ficial emotional belongingness that</w:t>
      </w:r>
      <w:r w:rsidR="00332121">
        <w:rPr>
          <w:szCs w:val="24"/>
        </w:rPr>
        <w:t xml:space="preserve"> combines loyalty and integration in their </w:t>
      </w:r>
      <w:r w:rsidR="004903FE">
        <w:rPr>
          <w:szCs w:val="24"/>
        </w:rPr>
        <w:t>operation</w:t>
      </w:r>
      <w:r w:rsidR="00332121">
        <w:rPr>
          <w:szCs w:val="24"/>
        </w:rPr>
        <w:t>. The strategy chosen to interpret engagement becomes vital since it dictates whether the trait is an idealistic orientation to society and a person’s aptitude</w:t>
      </w:r>
      <w:r w:rsidR="00FB6D5F">
        <w:rPr>
          <w:szCs w:val="24"/>
        </w:rPr>
        <w:t xml:space="preserve"> (Goswami, 2015)</w:t>
      </w:r>
      <w:r w:rsidR="00332121">
        <w:rPr>
          <w:szCs w:val="24"/>
        </w:rPr>
        <w:t xml:space="preserve">, </w:t>
      </w:r>
      <w:r>
        <w:rPr>
          <w:szCs w:val="24"/>
        </w:rPr>
        <w:t>whether</w:t>
      </w:r>
      <w:r w:rsidR="00332121">
        <w:rPr>
          <w:szCs w:val="24"/>
        </w:rPr>
        <w:t xml:space="preserve"> the context should be between generating power and consumption, or if the process is centered on personality patterns. As the result, numerous explanations </w:t>
      </w:r>
      <w:r>
        <w:rPr>
          <w:szCs w:val="24"/>
        </w:rPr>
        <w:t>for</w:t>
      </w:r>
      <w:r w:rsidR="00332121">
        <w:rPr>
          <w:szCs w:val="24"/>
        </w:rPr>
        <w:t xml:space="preserve"> employee involvement have already been advocated.</w:t>
      </w:r>
      <w:r w:rsidR="00F3016F">
        <w:rPr>
          <w:szCs w:val="24"/>
        </w:rPr>
        <w:t xml:space="preserve"> </w:t>
      </w:r>
    </w:p>
    <w:p w14:paraId="45641C1B" w14:textId="714F009C" w:rsidR="002E08FF" w:rsidRDefault="00F3016F" w:rsidP="00B03016">
      <w:pPr>
        <w:rPr>
          <w:szCs w:val="24"/>
        </w:rPr>
      </w:pPr>
      <w:r>
        <w:rPr>
          <w:szCs w:val="24"/>
        </w:rPr>
        <w:t xml:space="preserve">As an early premise, it alleges that staff </w:t>
      </w:r>
      <w:r w:rsidR="00FA0C31">
        <w:rPr>
          <w:szCs w:val="24"/>
        </w:rPr>
        <w:t>connects</w:t>
      </w:r>
      <w:r>
        <w:rPr>
          <w:szCs w:val="24"/>
        </w:rPr>
        <w:t xml:space="preserve"> with real identities through proactive affiliation, cognition, and mutual trust with their peers. One substitute theory displays engagement as being in direct contradiction to anxiety.</w:t>
      </w:r>
      <w:r w:rsidR="00B501CD">
        <w:rPr>
          <w:szCs w:val="24"/>
        </w:rPr>
        <w:t xml:space="preserve"> </w:t>
      </w:r>
      <w:r>
        <w:rPr>
          <w:szCs w:val="24"/>
        </w:rPr>
        <w:t xml:space="preserve">Amsterdam experts also discerned that workers who are emotionally tied are more active than those that are mentally </w:t>
      </w:r>
      <w:r w:rsidR="00BA24DD">
        <w:rPr>
          <w:szCs w:val="24"/>
        </w:rPr>
        <w:t>distant (Seymour and Dupré, 2008)</w:t>
      </w:r>
      <w:r>
        <w:rPr>
          <w:szCs w:val="24"/>
        </w:rPr>
        <w:t xml:space="preserve">, and they named this pattern “employee engagement.” In the satisfaction-engagement hypothesis, staff pleasure has been attributed to mutual participation and delight </w:t>
      </w:r>
      <w:r>
        <w:rPr>
          <w:szCs w:val="24"/>
        </w:rPr>
        <w:lastRenderedPageBreak/>
        <w:t xml:space="preserve">at work, but work satisfaction could be tied to staff motivation. There should be </w:t>
      </w:r>
      <w:r w:rsidR="00FA0C31">
        <w:rPr>
          <w:szCs w:val="24"/>
        </w:rPr>
        <w:t xml:space="preserve">a </w:t>
      </w:r>
      <w:r>
        <w:rPr>
          <w:szCs w:val="24"/>
        </w:rPr>
        <w:t xml:space="preserve">two-way connection between a business and its employees for involvement to operate. This is vital to be in a mental and emotional spirit while having and acting forth a huge job in top management. This management style leans mainly on </w:t>
      </w:r>
      <w:r w:rsidR="005B777B">
        <w:rPr>
          <w:szCs w:val="24"/>
        </w:rPr>
        <w:t>interaction (Shuck et al., 2017).</w:t>
      </w:r>
      <w:r>
        <w:rPr>
          <w:szCs w:val="24"/>
        </w:rPr>
        <w:t xml:space="preserve"> Employee engagement has been driven by job contentment.</w:t>
      </w:r>
      <w:r w:rsidR="00B35100">
        <w:rPr>
          <w:szCs w:val="24"/>
        </w:rPr>
        <w:t xml:space="preserve"> Work engagement might be viewed simply </w:t>
      </w:r>
      <w:r w:rsidR="00FA0C31">
        <w:rPr>
          <w:szCs w:val="24"/>
        </w:rPr>
        <w:t xml:space="preserve">as </w:t>
      </w:r>
      <w:r w:rsidR="00B35100">
        <w:rPr>
          <w:szCs w:val="24"/>
        </w:rPr>
        <w:t>a bette</w:t>
      </w:r>
      <w:r w:rsidR="00EE346E">
        <w:rPr>
          <w:szCs w:val="24"/>
        </w:rPr>
        <w:t>r outlook forward into the firm</w:t>
      </w:r>
      <w:r w:rsidR="00B35100">
        <w:rPr>
          <w:szCs w:val="24"/>
        </w:rPr>
        <w:t xml:space="preserve">‘s contribution to its workforce. </w:t>
      </w:r>
    </w:p>
    <w:p w14:paraId="470380FC" w14:textId="1BB353E4" w:rsidR="00502F03" w:rsidRPr="00B03016" w:rsidRDefault="00B35100" w:rsidP="00B03016">
      <w:pPr>
        <w:rPr>
          <w:szCs w:val="24"/>
        </w:rPr>
      </w:pPr>
      <w:r>
        <w:rPr>
          <w:szCs w:val="24"/>
        </w:rPr>
        <w:t xml:space="preserve">Workplace flexibility became one of the most crucial recruitment demand reforms during the COVID-19 situation since it spared possible detrimental unemployment. A third of the employees responded that they might function from home as a response </w:t>
      </w:r>
      <w:r w:rsidR="00FA0C31">
        <w:rPr>
          <w:szCs w:val="24"/>
        </w:rPr>
        <w:t>to</w:t>
      </w:r>
      <w:r>
        <w:rPr>
          <w:szCs w:val="24"/>
        </w:rPr>
        <w:t xml:space="preserve"> the pandemic in May 2020. </w:t>
      </w:r>
      <w:r w:rsidR="00DE00AB">
        <w:rPr>
          <w:szCs w:val="24"/>
        </w:rPr>
        <w:t xml:space="preserve">The heterogeneity of employment causes it problematic to construct </w:t>
      </w:r>
      <w:r w:rsidR="00FA0C31">
        <w:rPr>
          <w:szCs w:val="24"/>
        </w:rPr>
        <w:t>a</w:t>
      </w:r>
      <w:r w:rsidR="00DE00AB">
        <w:rPr>
          <w:szCs w:val="24"/>
        </w:rPr>
        <w:t xml:space="preserve"> uniform classification. Considering this, Hamilton proposed a provisional description founded on seven parameters for evaluating the essence of teleworking: geography, duration, innovation, value network, regulatory system, and financial </w:t>
      </w:r>
      <w:r w:rsidR="0033422C">
        <w:rPr>
          <w:szCs w:val="24"/>
        </w:rPr>
        <w:t>reward (Macey et al.2011).</w:t>
      </w:r>
      <w:r w:rsidR="00DE00AB">
        <w:rPr>
          <w:szCs w:val="24"/>
        </w:rPr>
        <w:t xml:space="preserve"> As an outcome, the geographic component </w:t>
      </w:r>
      <w:r w:rsidR="00FA0C31">
        <w:rPr>
          <w:szCs w:val="24"/>
        </w:rPr>
        <w:t xml:space="preserve">is </w:t>
      </w:r>
      <w:r w:rsidR="00DE00AB">
        <w:rPr>
          <w:szCs w:val="24"/>
        </w:rPr>
        <w:t xml:space="preserve">linked to the physical address of the staff, as teleworking might not necessarily indicate sitting at home. Teleworking includes unique features in regard </w:t>
      </w:r>
      <w:r w:rsidR="00FA0C31">
        <w:rPr>
          <w:szCs w:val="24"/>
        </w:rPr>
        <w:t>to</w:t>
      </w:r>
      <w:r w:rsidR="00DE00AB">
        <w:rPr>
          <w:szCs w:val="24"/>
        </w:rPr>
        <w:t xml:space="preserve"> schedule, relying</w:t>
      </w:r>
      <w:r w:rsidR="00FA0C31">
        <w:rPr>
          <w:szCs w:val="24"/>
        </w:rPr>
        <w:t xml:space="preserve"> on</w:t>
      </w:r>
      <w:r w:rsidR="00DE00AB">
        <w:rPr>
          <w:szCs w:val="24"/>
        </w:rPr>
        <w:t xml:space="preserve"> the day of the week, month, and so forth. Employment requirements are comparable with any of any regular profession and could be full-time or part-time.</w:t>
      </w:r>
      <w:r w:rsidR="002E08FF">
        <w:rPr>
          <w:szCs w:val="24"/>
        </w:rPr>
        <w:t xml:space="preserve"> Working remotely is mainly a strategy for harmonizing responsibilities aimed at a precise appliance of technical </w:t>
      </w:r>
      <w:r w:rsidR="00D6198F">
        <w:rPr>
          <w:szCs w:val="24"/>
        </w:rPr>
        <w:t>innovations (Gitanjali et al., 2010)</w:t>
      </w:r>
      <w:r w:rsidR="002E08FF">
        <w:rPr>
          <w:szCs w:val="24"/>
        </w:rPr>
        <w:t xml:space="preserve">, encouraging staff to work from locations excluding the </w:t>
      </w:r>
      <w:r w:rsidR="001F6CE7">
        <w:rPr>
          <w:szCs w:val="24"/>
        </w:rPr>
        <w:t>o</w:t>
      </w:r>
      <w:r w:rsidR="002E08FF">
        <w:rPr>
          <w:szCs w:val="24"/>
        </w:rPr>
        <w:t xml:space="preserve">ffice spaces or conveniences. It </w:t>
      </w:r>
      <w:r w:rsidR="001F6CE7">
        <w:rPr>
          <w:szCs w:val="24"/>
        </w:rPr>
        <w:t xml:space="preserve">is </w:t>
      </w:r>
      <w:r w:rsidR="002E08FF">
        <w:rPr>
          <w:szCs w:val="24"/>
        </w:rPr>
        <w:t>bridging job and personal living contain</w:t>
      </w:r>
      <w:r w:rsidR="001F6CE7">
        <w:rPr>
          <w:szCs w:val="24"/>
        </w:rPr>
        <w:t xml:space="preserve">ing </w:t>
      </w:r>
      <w:r w:rsidR="002E08FF">
        <w:rPr>
          <w:szCs w:val="24"/>
        </w:rPr>
        <w:t xml:space="preserve">happiness and a proper work/life </w:t>
      </w:r>
      <w:r w:rsidR="001F6CE7">
        <w:rPr>
          <w:szCs w:val="24"/>
        </w:rPr>
        <w:t>equilibrium and win-win policy</w:t>
      </w:r>
      <w:r w:rsidR="002E08FF">
        <w:rPr>
          <w:szCs w:val="24"/>
        </w:rPr>
        <w:t xml:space="preserve">, with </w:t>
      </w:r>
      <w:r w:rsidR="001F6CE7">
        <w:rPr>
          <w:szCs w:val="24"/>
        </w:rPr>
        <w:t xml:space="preserve">minimum </w:t>
      </w:r>
      <w:r w:rsidR="002E08FF">
        <w:rPr>
          <w:szCs w:val="24"/>
        </w:rPr>
        <w:t xml:space="preserve">job </w:t>
      </w:r>
      <w:r w:rsidR="001F6CE7">
        <w:rPr>
          <w:szCs w:val="24"/>
        </w:rPr>
        <w:t>burden.</w:t>
      </w:r>
    </w:p>
    <w:p w14:paraId="7220273E" w14:textId="6717A1FF" w:rsidR="004C4188" w:rsidRPr="00EE346E" w:rsidRDefault="004C4188" w:rsidP="00EE346E">
      <w:pPr>
        <w:pStyle w:val="Heading1"/>
        <w:pBdr>
          <w:bottom w:val="single" w:sz="4" w:space="1" w:color="auto"/>
        </w:pBdr>
        <w:jc w:val="center"/>
        <w:rPr>
          <w:b/>
        </w:rPr>
      </w:pPr>
      <w:bookmarkStart w:id="3" w:name="_Toc100758330"/>
      <w:r w:rsidRPr="00EE346E">
        <w:rPr>
          <w:b/>
        </w:rPr>
        <w:t>Diagnostic Tools to Measure the Engagement</w:t>
      </w:r>
      <w:bookmarkEnd w:id="3"/>
    </w:p>
    <w:p w14:paraId="7DC14DE4" w14:textId="12F483CA" w:rsidR="00FE75AA" w:rsidRPr="0094436C" w:rsidRDefault="00FE75AA" w:rsidP="00E2603D">
      <w:pPr>
        <w:rPr>
          <w:rStyle w:val="jss4500"/>
          <w:szCs w:val="24"/>
        </w:rPr>
      </w:pPr>
      <w:r w:rsidRPr="0094436C">
        <w:rPr>
          <w:rStyle w:val="jss4500"/>
          <w:szCs w:val="24"/>
        </w:rPr>
        <w:t xml:space="preserve">Employee engagement is a high priority for companies across the globe. During the post-pandemic time, employee participation has seized </w:t>
      </w:r>
      <w:r w:rsidR="00FA0C31">
        <w:rPr>
          <w:rStyle w:val="jss4500"/>
          <w:szCs w:val="24"/>
        </w:rPr>
        <w:t xml:space="preserve">the </w:t>
      </w:r>
      <w:r w:rsidRPr="0094436C">
        <w:rPr>
          <w:rStyle w:val="jss4500"/>
          <w:szCs w:val="24"/>
        </w:rPr>
        <w:t xml:space="preserve">limelight as numerous employees have been operating from their residences or remote </w:t>
      </w:r>
      <w:r w:rsidR="00AC3FCB">
        <w:rPr>
          <w:rStyle w:val="jss4500"/>
          <w:szCs w:val="24"/>
        </w:rPr>
        <w:t>locations</w:t>
      </w:r>
      <w:r w:rsidRPr="0094436C">
        <w:rPr>
          <w:rStyle w:val="jss4500"/>
          <w:szCs w:val="24"/>
        </w:rPr>
        <w:t xml:space="preserve">. As an outcome, staff that </w:t>
      </w:r>
      <w:r w:rsidR="00FA0C31">
        <w:rPr>
          <w:rStyle w:val="jss4500"/>
          <w:szCs w:val="24"/>
        </w:rPr>
        <w:t>is</w:t>
      </w:r>
      <w:r w:rsidRPr="0094436C">
        <w:rPr>
          <w:rStyle w:val="jss4500"/>
          <w:szCs w:val="24"/>
        </w:rPr>
        <w:t xml:space="preserve"> committed prefer being more efficient and long-term </w:t>
      </w:r>
      <w:r w:rsidR="006C498B">
        <w:rPr>
          <w:rStyle w:val="jss4500"/>
          <w:szCs w:val="24"/>
        </w:rPr>
        <w:t>employees</w:t>
      </w:r>
      <w:r w:rsidR="00D76DD1">
        <w:rPr>
          <w:rStyle w:val="jss4500"/>
          <w:szCs w:val="24"/>
        </w:rPr>
        <w:t xml:space="preserve"> </w:t>
      </w:r>
      <w:r w:rsidR="006C498B">
        <w:rPr>
          <w:rStyle w:val="jss4500"/>
          <w:szCs w:val="24"/>
        </w:rPr>
        <w:t>(Mani and Nadu, 2011).</w:t>
      </w:r>
      <w:r w:rsidRPr="0094436C">
        <w:rPr>
          <w:rStyle w:val="jss4500"/>
          <w:szCs w:val="24"/>
        </w:rPr>
        <w:t xml:space="preserve"> According to Gallup’s statistics, businesses with driven staff achieve 21% more profit and 17% more work efficiency </w:t>
      </w:r>
      <w:r w:rsidR="00FA0C31">
        <w:rPr>
          <w:rStyle w:val="jss4500"/>
          <w:szCs w:val="24"/>
        </w:rPr>
        <w:t>than</w:t>
      </w:r>
      <w:r w:rsidRPr="0094436C">
        <w:rPr>
          <w:rStyle w:val="jss4500"/>
          <w:szCs w:val="24"/>
        </w:rPr>
        <w:t xml:space="preserve"> their colleagues. There should be more of a greater extent of satisfaction or a high standard of work for a staff to be termed fully committed </w:t>
      </w:r>
      <w:r w:rsidR="00FA0C31">
        <w:rPr>
          <w:rStyle w:val="jss4500"/>
          <w:szCs w:val="24"/>
        </w:rPr>
        <w:t>to</w:t>
      </w:r>
      <w:r w:rsidRPr="0094436C">
        <w:rPr>
          <w:rStyle w:val="jss4500"/>
          <w:szCs w:val="24"/>
        </w:rPr>
        <w:t xml:space="preserve"> their job</w:t>
      </w:r>
      <w:r w:rsidR="00530961" w:rsidRPr="00530961">
        <w:rPr>
          <w:szCs w:val="24"/>
        </w:rPr>
        <w:t xml:space="preserve"> </w:t>
      </w:r>
      <w:r w:rsidR="00836DE6">
        <w:rPr>
          <w:szCs w:val="24"/>
        </w:rPr>
        <w:t>(</w:t>
      </w:r>
      <w:proofErr w:type="spellStart"/>
      <w:r w:rsidR="00530961">
        <w:rPr>
          <w:szCs w:val="24"/>
        </w:rPr>
        <w:t>Adhitama</w:t>
      </w:r>
      <w:proofErr w:type="spellEnd"/>
      <w:r w:rsidR="00207CD2">
        <w:rPr>
          <w:szCs w:val="24"/>
        </w:rPr>
        <w:t xml:space="preserve"> </w:t>
      </w:r>
      <w:r w:rsidR="00530961">
        <w:rPr>
          <w:szCs w:val="24"/>
        </w:rPr>
        <w:t xml:space="preserve">and </w:t>
      </w:r>
      <w:proofErr w:type="spellStart"/>
      <w:r w:rsidR="00530961">
        <w:rPr>
          <w:szCs w:val="24"/>
        </w:rPr>
        <w:t>Riyanto</w:t>
      </w:r>
      <w:proofErr w:type="spellEnd"/>
      <w:r w:rsidR="00530961">
        <w:rPr>
          <w:szCs w:val="24"/>
        </w:rPr>
        <w:t>, 2020)</w:t>
      </w:r>
      <w:r w:rsidRPr="0094436C">
        <w:rPr>
          <w:rStyle w:val="jss4500"/>
          <w:szCs w:val="24"/>
        </w:rPr>
        <w:t xml:space="preserve">. “Engagement” is a phrase used in </w:t>
      </w:r>
      <w:r w:rsidR="00FA0C31">
        <w:rPr>
          <w:rStyle w:val="jss4500"/>
          <w:szCs w:val="24"/>
        </w:rPr>
        <w:t xml:space="preserve">an </w:t>
      </w:r>
      <w:r w:rsidRPr="0094436C">
        <w:rPr>
          <w:rStyle w:val="jss4500"/>
          <w:szCs w:val="24"/>
        </w:rPr>
        <w:t xml:space="preserve">organization to represent the dedication, relationship, and enthusiasm that workers possess for their work, their performance, and the firm overall. The degree of employee engagement varies from sector to </w:t>
      </w:r>
      <w:r w:rsidRPr="0094436C">
        <w:rPr>
          <w:rStyle w:val="jss4500"/>
          <w:szCs w:val="24"/>
        </w:rPr>
        <w:lastRenderedPageBreak/>
        <w:t xml:space="preserve">department and function to </w:t>
      </w:r>
      <w:r w:rsidR="00490CCA">
        <w:rPr>
          <w:rStyle w:val="jss4500"/>
          <w:szCs w:val="24"/>
        </w:rPr>
        <w:t>position (Ahmed et al.,</w:t>
      </w:r>
      <w:r w:rsidR="00EE346E">
        <w:rPr>
          <w:rStyle w:val="jss4500"/>
          <w:szCs w:val="24"/>
        </w:rPr>
        <w:t xml:space="preserve"> </w:t>
      </w:r>
      <w:r w:rsidR="00490CCA">
        <w:rPr>
          <w:rStyle w:val="jss4500"/>
          <w:szCs w:val="24"/>
        </w:rPr>
        <w:t>2020)</w:t>
      </w:r>
      <w:r w:rsidRPr="0094436C">
        <w:rPr>
          <w:rStyle w:val="jss4500"/>
          <w:szCs w:val="24"/>
        </w:rPr>
        <w:t xml:space="preserve">, but it’s not steady. Here </w:t>
      </w:r>
      <w:r w:rsidR="00D76DD1" w:rsidRPr="0094436C">
        <w:rPr>
          <w:rStyle w:val="jss4500"/>
          <w:szCs w:val="24"/>
        </w:rPr>
        <w:t>are</w:t>
      </w:r>
      <w:r w:rsidRPr="0094436C">
        <w:rPr>
          <w:rStyle w:val="jss4500"/>
          <w:szCs w:val="24"/>
        </w:rPr>
        <w:t xml:space="preserve"> several tools that could be deployed to verify that employee engagement has been promoted and quantified.</w:t>
      </w:r>
    </w:p>
    <w:p w14:paraId="03EAD99A" w14:textId="799B7A93" w:rsidR="00E31614" w:rsidRPr="0094436C" w:rsidRDefault="00E31614" w:rsidP="00D76DD1">
      <w:pPr>
        <w:pStyle w:val="ListParagraph"/>
        <w:numPr>
          <w:ilvl w:val="0"/>
          <w:numId w:val="2"/>
        </w:numPr>
        <w:rPr>
          <w:rStyle w:val="jss4500"/>
          <w:szCs w:val="24"/>
        </w:rPr>
      </w:pPr>
      <w:r w:rsidRPr="0094436C">
        <w:rPr>
          <w:rStyle w:val="jss4500"/>
          <w:b/>
          <w:bCs/>
          <w:szCs w:val="24"/>
        </w:rPr>
        <w:t>Workplace Reward and Appreciation Schemes</w:t>
      </w:r>
      <w:r w:rsidRPr="0094436C">
        <w:rPr>
          <w:rStyle w:val="jss4500"/>
          <w:szCs w:val="24"/>
        </w:rPr>
        <w:t xml:space="preserve">: As shown in a recent poll, 69% of </w:t>
      </w:r>
      <w:r w:rsidR="00FA0C31">
        <w:rPr>
          <w:rStyle w:val="jss4500"/>
          <w:szCs w:val="24"/>
        </w:rPr>
        <w:t xml:space="preserve">the </w:t>
      </w:r>
      <w:r w:rsidRPr="0094436C">
        <w:rPr>
          <w:rStyle w:val="jss4500"/>
          <w:szCs w:val="24"/>
        </w:rPr>
        <w:t xml:space="preserve">workforce might feel more energized when they presumed their contributions have been better valued at </w:t>
      </w:r>
      <w:r w:rsidR="00FA0C31">
        <w:rPr>
          <w:rStyle w:val="jss4500"/>
          <w:szCs w:val="24"/>
        </w:rPr>
        <w:t xml:space="preserve">the </w:t>
      </w:r>
      <w:r w:rsidRPr="0094436C">
        <w:rPr>
          <w:rStyle w:val="jss4500"/>
          <w:szCs w:val="24"/>
        </w:rPr>
        <w:t xml:space="preserve">office. Employee appreciation and incentives have become an effective tool to recognize engaged </w:t>
      </w:r>
      <w:r w:rsidR="00EE346E">
        <w:rPr>
          <w:rStyle w:val="jss4500"/>
          <w:szCs w:val="24"/>
        </w:rPr>
        <w:t>staff (</w:t>
      </w:r>
      <w:proofErr w:type="spellStart"/>
      <w:r w:rsidR="00EE346E">
        <w:rPr>
          <w:rStyle w:val="jss4500"/>
          <w:szCs w:val="24"/>
        </w:rPr>
        <w:t>Chanana</w:t>
      </w:r>
      <w:proofErr w:type="spellEnd"/>
      <w:r w:rsidR="00EE346E">
        <w:rPr>
          <w:rStyle w:val="jss4500"/>
          <w:szCs w:val="24"/>
        </w:rPr>
        <w:t>, 2</w:t>
      </w:r>
      <w:r w:rsidR="00C726FC">
        <w:rPr>
          <w:rStyle w:val="jss4500"/>
          <w:szCs w:val="24"/>
        </w:rPr>
        <w:t>021</w:t>
      </w:r>
      <w:r w:rsidR="00136BF0">
        <w:rPr>
          <w:rStyle w:val="jss4500"/>
          <w:szCs w:val="24"/>
        </w:rPr>
        <w:t>)</w:t>
      </w:r>
      <w:r w:rsidR="00C726FC">
        <w:rPr>
          <w:rStyle w:val="jss4500"/>
          <w:szCs w:val="24"/>
        </w:rPr>
        <w:t>.</w:t>
      </w:r>
      <w:r w:rsidRPr="0094436C">
        <w:rPr>
          <w:rStyle w:val="jss4500"/>
          <w:szCs w:val="24"/>
        </w:rPr>
        <w:t xml:space="preserve"> </w:t>
      </w:r>
      <w:r w:rsidR="00FA0C31">
        <w:rPr>
          <w:rStyle w:val="jss4500"/>
          <w:szCs w:val="24"/>
        </w:rPr>
        <w:t>As confirmed</w:t>
      </w:r>
      <w:r w:rsidR="00BE3F01" w:rsidRPr="0094436C">
        <w:rPr>
          <w:rStyle w:val="jss4500"/>
          <w:szCs w:val="24"/>
        </w:rPr>
        <w:t xml:space="preserve"> by several analysts, the extent of incentives and appreciation accrued by staff possesses a direct influence on their degree of participation. Directly in opposition, regular monitoring of how frequently employees obtain awards and accolades might aid the management in evaluating how engaged their workforce is with the organization.</w:t>
      </w:r>
    </w:p>
    <w:p w14:paraId="15FE97B7" w14:textId="4B049A93" w:rsidR="007A3362" w:rsidRPr="0094436C" w:rsidRDefault="005E726E" w:rsidP="00D76DD1">
      <w:pPr>
        <w:pStyle w:val="ListParagraph"/>
        <w:numPr>
          <w:ilvl w:val="0"/>
          <w:numId w:val="2"/>
        </w:numPr>
        <w:rPr>
          <w:rStyle w:val="jss4500"/>
          <w:szCs w:val="24"/>
        </w:rPr>
      </w:pPr>
      <w:r w:rsidRPr="0094436C">
        <w:rPr>
          <w:rStyle w:val="jss4500"/>
          <w:b/>
          <w:bCs/>
          <w:szCs w:val="24"/>
        </w:rPr>
        <w:t>Periodic Employee Assessments</w:t>
      </w:r>
      <w:r w:rsidRPr="0094436C">
        <w:rPr>
          <w:rStyle w:val="jss4500"/>
          <w:szCs w:val="24"/>
        </w:rPr>
        <w:t>: Workforce</w:t>
      </w:r>
      <w:r w:rsidR="00EE7FEA" w:rsidRPr="0094436C">
        <w:rPr>
          <w:rStyle w:val="jss4500"/>
          <w:szCs w:val="24"/>
        </w:rPr>
        <w:t xml:space="preserve"> surveys must be conducted periodically when the organization intends to assess employee engagement in a timely and efficient format. This not only serves in evaluating employee involvement but also supports empowering staff and soliciting ideas from </w:t>
      </w:r>
      <w:r w:rsidR="0019192D">
        <w:rPr>
          <w:rStyle w:val="jss4500"/>
          <w:szCs w:val="24"/>
        </w:rPr>
        <w:t xml:space="preserve">individuals </w:t>
      </w:r>
      <w:r w:rsidR="0019192D">
        <w:rPr>
          <w:szCs w:val="24"/>
        </w:rPr>
        <w:t>(Gupta and Sharma, 2016)</w:t>
      </w:r>
      <w:r w:rsidR="00EE7FEA" w:rsidRPr="0094436C">
        <w:rPr>
          <w:rStyle w:val="jss4500"/>
          <w:szCs w:val="24"/>
        </w:rPr>
        <w:t xml:space="preserve">. </w:t>
      </w:r>
      <w:r w:rsidR="00FA0C31">
        <w:rPr>
          <w:rStyle w:val="jss4500"/>
          <w:szCs w:val="24"/>
        </w:rPr>
        <w:t>Effective</w:t>
      </w:r>
      <w:r w:rsidR="00EE7FEA" w:rsidRPr="0094436C">
        <w:rPr>
          <w:rStyle w:val="jss4500"/>
          <w:szCs w:val="24"/>
        </w:rPr>
        <w:t xml:space="preserve"> communication in both directions has been vital to building a productive workforce. Human resource managers and supervisors must distribute straight, concise, and responsive questions to the company’s workforce on a daily schedule, asking </w:t>
      </w:r>
      <w:r w:rsidR="00EC4C4E" w:rsidRPr="0094436C">
        <w:rPr>
          <w:rStyle w:val="jss4500"/>
          <w:szCs w:val="24"/>
        </w:rPr>
        <w:t>about the</w:t>
      </w:r>
      <w:r w:rsidR="00EE7FEA" w:rsidRPr="0094436C">
        <w:rPr>
          <w:rStyle w:val="jss4500"/>
          <w:szCs w:val="24"/>
        </w:rPr>
        <w:t xml:space="preserve"> </w:t>
      </w:r>
      <w:r w:rsidR="00EC4C4E" w:rsidRPr="0094436C">
        <w:rPr>
          <w:rStyle w:val="jss4500"/>
          <w:szCs w:val="24"/>
        </w:rPr>
        <w:t>performance and experiences</w:t>
      </w:r>
      <w:r w:rsidR="00EE7FEA" w:rsidRPr="0094436C">
        <w:rPr>
          <w:rStyle w:val="jss4500"/>
          <w:szCs w:val="24"/>
        </w:rPr>
        <w:t xml:space="preserve">. This would support </w:t>
      </w:r>
      <w:r w:rsidR="00FA0C31">
        <w:rPr>
          <w:rStyle w:val="jss4500"/>
          <w:szCs w:val="24"/>
        </w:rPr>
        <w:t xml:space="preserve">the </w:t>
      </w:r>
      <w:r w:rsidR="00EC4C4E" w:rsidRPr="0094436C">
        <w:rPr>
          <w:rStyle w:val="jss4500"/>
          <w:szCs w:val="24"/>
        </w:rPr>
        <w:t>HR</w:t>
      </w:r>
      <w:r w:rsidR="00EE7FEA" w:rsidRPr="0094436C">
        <w:rPr>
          <w:rStyle w:val="jss4500"/>
          <w:szCs w:val="24"/>
        </w:rPr>
        <w:t xml:space="preserve"> department, supervisors, and the business in measuring how involved their staff are, and in recognizing the nature of the business</w:t>
      </w:r>
      <w:r w:rsidR="008D7BB8">
        <w:rPr>
          <w:rStyle w:val="jss4500"/>
          <w:szCs w:val="24"/>
        </w:rPr>
        <w:t xml:space="preserve"> (Goswami, 2015)</w:t>
      </w:r>
      <w:r w:rsidR="00EE7FEA" w:rsidRPr="0094436C">
        <w:rPr>
          <w:rStyle w:val="jss4500"/>
          <w:szCs w:val="24"/>
        </w:rPr>
        <w:t>. They must emphasize three basic metrics while carrying out the questionnaire form: contentment, alignment, and a sense of balance for the future.</w:t>
      </w:r>
    </w:p>
    <w:p w14:paraId="13F27886" w14:textId="0C3AB77E" w:rsidR="005C7E50" w:rsidRDefault="005C7E50" w:rsidP="00D76DD1">
      <w:pPr>
        <w:pStyle w:val="ListParagraph"/>
        <w:numPr>
          <w:ilvl w:val="0"/>
          <w:numId w:val="2"/>
        </w:numPr>
        <w:rPr>
          <w:rStyle w:val="jss4500"/>
          <w:szCs w:val="24"/>
        </w:rPr>
      </w:pPr>
      <w:r w:rsidRPr="00B73992">
        <w:rPr>
          <w:rStyle w:val="jss4500"/>
          <w:b/>
          <w:bCs/>
          <w:szCs w:val="24"/>
        </w:rPr>
        <w:t>Schedule One-on-One Sessions:</w:t>
      </w:r>
      <w:r>
        <w:rPr>
          <w:rStyle w:val="jss4500"/>
          <w:szCs w:val="24"/>
        </w:rPr>
        <w:t xml:space="preserve"> </w:t>
      </w:r>
      <w:r w:rsidRPr="005C7E50">
        <w:rPr>
          <w:rStyle w:val="jss4500"/>
          <w:szCs w:val="24"/>
        </w:rPr>
        <w:t xml:space="preserve">One-on-one discussions involving human resources (HR) specialists and their employees must be arranged </w:t>
      </w:r>
      <w:r w:rsidR="00FA0C31">
        <w:rPr>
          <w:rStyle w:val="jss4500"/>
          <w:szCs w:val="24"/>
        </w:rPr>
        <w:t>regularly</w:t>
      </w:r>
      <w:r w:rsidRPr="005C7E50">
        <w:rPr>
          <w:rStyle w:val="jss4500"/>
          <w:szCs w:val="24"/>
        </w:rPr>
        <w:t xml:space="preserve">. Individual conversations empower employees to liberally express ideas and interchange feedback with their supervisor or </w:t>
      </w:r>
      <w:r w:rsidR="000D676F">
        <w:rPr>
          <w:rStyle w:val="jss4500"/>
          <w:szCs w:val="24"/>
        </w:rPr>
        <w:t>HR (</w:t>
      </w:r>
      <w:proofErr w:type="spellStart"/>
      <w:r w:rsidR="000D676F">
        <w:rPr>
          <w:rStyle w:val="jss4500"/>
          <w:szCs w:val="24"/>
        </w:rPr>
        <w:t>Bedarkar</w:t>
      </w:r>
      <w:proofErr w:type="spellEnd"/>
      <w:r w:rsidR="000D676F">
        <w:rPr>
          <w:rStyle w:val="jss4500"/>
          <w:szCs w:val="24"/>
        </w:rPr>
        <w:t xml:space="preserve"> and Pandita, 2014)</w:t>
      </w:r>
      <w:r w:rsidRPr="005C7E50">
        <w:rPr>
          <w:rStyle w:val="jss4500"/>
          <w:szCs w:val="24"/>
        </w:rPr>
        <w:t>. It could be executed on a consistent scale, possibly once per week twice per three weeks.</w:t>
      </w:r>
    </w:p>
    <w:p w14:paraId="0BAF6898" w14:textId="310A4DD9" w:rsidR="00B73992" w:rsidRPr="005C7E50" w:rsidRDefault="00FC01B0" w:rsidP="00D76DD1">
      <w:pPr>
        <w:pStyle w:val="ListParagraph"/>
        <w:numPr>
          <w:ilvl w:val="0"/>
          <w:numId w:val="2"/>
        </w:numPr>
        <w:rPr>
          <w:rStyle w:val="jss4500"/>
          <w:szCs w:val="24"/>
        </w:rPr>
      </w:pPr>
      <w:r w:rsidRPr="00CC0DBB">
        <w:rPr>
          <w:rStyle w:val="jss4500"/>
          <w:b/>
          <w:bCs/>
          <w:szCs w:val="24"/>
        </w:rPr>
        <w:t xml:space="preserve">Employee Retention </w:t>
      </w:r>
      <w:r w:rsidR="00EE346E" w:rsidRPr="00CC0DBB">
        <w:rPr>
          <w:rStyle w:val="jss4500"/>
          <w:b/>
          <w:bCs/>
          <w:szCs w:val="24"/>
        </w:rPr>
        <w:t>and</w:t>
      </w:r>
      <w:r w:rsidRPr="00CC0DBB">
        <w:rPr>
          <w:rStyle w:val="jss4500"/>
          <w:b/>
          <w:bCs/>
          <w:szCs w:val="24"/>
        </w:rPr>
        <w:t xml:space="preserve"> Performance Indicators:</w:t>
      </w:r>
      <w:r>
        <w:rPr>
          <w:rStyle w:val="jss4500"/>
          <w:szCs w:val="24"/>
        </w:rPr>
        <w:t xml:space="preserve"> Staff loyalty and performance analytics would facilitate </w:t>
      </w:r>
      <w:r w:rsidR="00FA0C31">
        <w:rPr>
          <w:rStyle w:val="jss4500"/>
          <w:szCs w:val="24"/>
        </w:rPr>
        <w:t>assessing</w:t>
      </w:r>
      <w:r>
        <w:rPr>
          <w:rStyle w:val="jss4500"/>
          <w:szCs w:val="24"/>
        </w:rPr>
        <w:t xml:space="preserve"> how engaged employees feel with the company. Employee satisfaction directly influences attrition and job performance.</w:t>
      </w:r>
    </w:p>
    <w:p w14:paraId="6DF5CC25" w14:textId="3FF7C49D" w:rsidR="00153F27" w:rsidRPr="00EE346E" w:rsidRDefault="00C12190" w:rsidP="00EE346E">
      <w:pPr>
        <w:pStyle w:val="Heading1"/>
        <w:pBdr>
          <w:bottom w:val="single" w:sz="4" w:space="1" w:color="auto"/>
        </w:pBdr>
        <w:jc w:val="center"/>
        <w:rPr>
          <w:b/>
        </w:rPr>
      </w:pPr>
      <w:bookmarkStart w:id="4" w:name="_Toc100758331"/>
      <w:r w:rsidRPr="00EE346E">
        <w:rPr>
          <w:rStyle w:val="jss4500"/>
          <w:b/>
        </w:rPr>
        <w:lastRenderedPageBreak/>
        <w:t xml:space="preserve">Employee Value Proposition from </w:t>
      </w:r>
      <w:r w:rsidR="00EE346E" w:rsidRPr="00EE346E">
        <w:rPr>
          <w:rStyle w:val="jss4500"/>
          <w:b/>
        </w:rPr>
        <w:t>the</w:t>
      </w:r>
      <w:r w:rsidRPr="00EE346E">
        <w:rPr>
          <w:rStyle w:val="jss4500"/>
          <w:b/>
        </w:rPr>
        <w:t xml:space="preserve"> Ideas and Analysis</w:t>
      </w:r>
      <w:bookmarkEnd w:id="4"/>
    </w:p>
    <w:p w14:paraId="4E6DEE83" w14:textId="77777777" w:rsidR="00EE346E" w:rsidRDefault="005D2B76" w:rsidP="00920491">
      <w:pPr>
        <w:rPr>
          <w:rStyle w:val="jss4500"/>
        </w:rPr>
      </w:pPr>
      <w:r>
        <w:rPr>
          <w:rStyle w:val="jss4500"/>
        </w:rPr>
        <w:t xml:space="preserve">A framework integrating the major factors that organizations must confront in order to maximize their workforce’s involvement and devotion while managing the widespread disruption derived </w:t>
      </w:r>
      <w:r w:rsidR="00FA0C31">
        <w:rPr>
          <w:rStyle w:val="jss4500"/>
        </w:rPr>
        <w:t>from</w:t>
      </w:r>
      <w:r>
        <w:rPr>
          <w:rStyle w:val="jss4500"/>
        </w:rPr>
        <w:t xml:space="preserve"> the outbreak has been presented in </w:t>
      </w:r>
      <w:r w:rsidR="00FA0C31">
        <w:rPr>
          <w:rStyle w:val="jss4500"/>
        </w:rPr>
        <w:t xml:space="preserve">the </w:t>
      </w:r>
      <w:r>
        <w:rPr>
          <w:rStyle w:val="jss4500"/>
        </w:rPr>
        <w:t xml:space="preserve">context of the above discoveries. This system entails a substantial number of metrics that must be updated and adjusted over </w:t>
      </w:r>
      <w:r w:rsidR="006F6FA1">
        <w:rPr>
          <w:rStyle w:val="jss4500"/>
        </w:rPr>
        <w:t>time (Mani and Nadu, 2011).</w:t>
      </w:r>
      <w:r>
        <w:rPr>
          <w:rStyle w:val="jss4500"/>
        </w:rPr>
        <w:t xml:space="preserve"> Consequently, each supervisor would’ve been informed of the most vital parameters driving employee satisfaction, that should be regulated, and the initiatives that will be performed </w:t>
      </w:r>
      <w:r w:rsidR="00B60496">
        <w:rPr>
          <w:rStyle w:val="jss4500"/>
        </w:rPr>
        <w:t>to maximize the</w:t>
      </w:r>
      <w:r>
        <w:rPr>
          <w:rStyle w:val="jss4500"/>
        </w:rPr>
        <w:t xml:space="preserve"> viability of the system.</w:t>
      </w:r>
      <w:r w:rsidR="00E8431A">
        <w:rPr>
          <w:rStyle w:val="jss4500"/>
        </w:rPr>
        <w:t xml:space="preserve"> </w:t>
      </w:r>
    </w:p>
    <w:p w14:paraId="70DAADAE" w14:textId="6A6400A3" w:rsidR="007743E2" w:rsidRDefault="00E8431A" w:rsidP="00920491">
      <w:pPr>
        <w:rPr>
          <w:rStyle w:val="jss4500"/>
        </w:rPr>
      </w:pPr>
      <w:r>
        <w:rPr>
          <w:rStyle w:val="jss4500"/>
        </w:rPr>
        <w:t xml:space="preserve">Employee engagement predictors, as highlighted in the planned employee engagement concept, have been defined </w:t>
      </w:r>
      <w:r w:rsidR="00FA0C31">
        <w:rPr>
          <w:rStyle w:val="jss4500"/>
        </w:rPr>
        <w:t>to</w:t>
      </w:r>
      <w:r>
        <w:rPr>
          <w:rStyle w:val="jss4500"/>
        </w:rPr>
        <w:t xml:space="preserve"> compare the stability of peace and </w:t>
      </w:r>
      <w:r w:rsidR="0064206B">
        <w:rPr>
          <w:rStyle w:val="jss4500"/>
        </w:rPr>
        <w:t>cooperation (Seymour and Dupré, 2008)</w:t>
      </w:r>
      <w:r>
        <w:rPr>
          <w:rStyle w:val="jss4500"/>
        </w:rPr>
        <w:t xml:space="preserve">, training, humanity, monetary compensation, and collaboration as major contributing attributes to the safety and well-being of the corporation during this whole pandemic scenario. </w:t>
      </w:r>
      <w:r w:rsidR="00CF0465">
        <w:rPr>
          <w:rStyle w:val="jss4500"/>
        </w:rPr>
        <w:t xml:space="preserve">There must be two key components of this analysis </w:t>
      </w:r>
      <w:r w:rsidR="00FA0C31">
        <w:rPr>
          <w:rStyle w:val="jss4500"/>
        </w:rPr>
        <w:t>that</w:t>
      </w:r>
      <w:r w:rsidR="00CF0465">
        <w:rPr>
          <w:rStyle w:val="jss4500"/>
        </w:rPr>
        <w:t xml:space="preserve"> have an </w:t>
      </w:r>
      <w:r w:rsidR="00FA0C31">
        <w:rPr>
          <w:rStyle w:val="jss4500"/>
        </w:rPr>
        <w:t>effect</w:t>
      </w:r>
      <w:r w:rsidR="00CF0465">
        <w:rPr>
          <w:rStyle w:val="jss4500"/>
        </w:rPr>
        <w:t xml:space="preserve">: initially, it encompasses a consistent sequence for strengthening employee willingness to participate in the academic </w:t>
      </w:r>
      <w:r w:rsidR="00180CA0">
        <w:rPr>
          <w:rStyle w:val="jss4500"/>
        </w:rPr>
        <w:t>method (Shuck et al., 2017</w:t>
      </w:r>
      <w:r w:rsidR="0064206B">
        <w:rPr>
          <w:rStyle w:val="jss4500"/>
        </w:rPr>
        <w:t>)</w:t>
      </w:r>
      <w:r w:rsidR="00CF0465">
        <w:rPr>
          <w:rStyle w:val="jss4500"/>
        </w:rPr>
        <w:t>; alternatively, it combines interpretive foundation conclusions from experienced professors and brings solutions for future investigations.</w:t>
      </w:r>
    </w:p>
    <w:p w14:paraId="19796062" w14:textId="77777777" w:rsidR="00EE346E" w:rsidRDefault="00824AA3" w:rsidP="00920491">
      <w:pPr>
        <w:rPr>
          <w:rStyle w:val="jss4500"/>
        </w:rPr>
      </w:pPr>
      <w:r>
        <w:rPr>
          <w:rStyle w:val="jss4500"/>
        </w:rPr>
        <w:t xml:space="preserve">The paper's outcomes develop a thorough and complete approach that integrates the most pivotal corporate safety and well-being guidelines, as well as the obvious, favorable effect that the COVID-19 global disease problem would be projected to generate. It might act as an initial step for future data analysis into the diverse direct and indirect components which might encourage or mitigate the adverse effects of such regulatory </w:t>
      </w:r>
      <w:r w:rsidR="00B873E3">
        <w:rPr>
          <w:rStyle w:val="jss4500"/>
        </w:rPr>
        <w:t>actions (Macey et al.2011)</w:t>
      </w:r>
      <w:r>
        <w:rPr>
          <w:rStyle w:val="jss4500"/>
        </w:rPr>
        <w:t>. Additionally, the paper presents several pragmatic considerations.</w:t>
      </w:r>
      <w:r w:rsidR="00C41CF4">
        <w:rPr>
          <w:rStyle w:val="jss4500"/>
        </w:rPr>
        <w:t xml:space="preserve"> </w:t>
      </w:r>
      <w:r w:rsidR="00AA7D3F">
        <w:rPr>
          <w:rStyle w:val="jss4500"/>
        </w:rPr>
        <w:t xml:space="preserve">Due to Covid-19, employees’ interactions and well-being have been compromised, leading </w:t>
      </w:r>
      <w:r w:rsidR="00FA0C31">
        <w:rPr>
          <w:rStyle w:val="jss4500"/>
        </w:rPr>
        <w:t>to</w:t>
      </w:r>
      <w:r w:rsidR="00AA7D3F">
        <w:rPr>
          <w:rStyle w:val="jss4500"/>
        </w:rPr>
        <w:t xml:space="preserve"> a substantial amount of volatility. </w:t>
      </w:r>
    </w:p>
    <w:p w14:paraId="33E69899" w14:textId="41EC7BE9" w:rsidR="000C4B53" w:rsidRPr="000130A7" w:rsidRDefault="00AA7D3F" w:rsidP="00920491">
      <w:pPr>
        <w:rPr>
          <w:rStyle w:val="jss4500"/>
        </w:rPr>
      </w:pPr>
      <w:r>
        <w:rPr>
          <w:rStyle w:val="jss4500"/>
        </w:rPr>
        <w:t xml:space="preserve">Following the productive influence on employee engagement and its well-being on efficiency, productive capacity, organizational outcomes, and the pervasive global epidemic </w:t>
      </w:r>
      <w:r w:rsidR="009C1097">
        <w:rPr>
          <w:rStyle w:val="jss4500"/>
        </w:rPr>
        <w:t>context (Gitanjali et al., 2010)</w:t>
      </w:r>
      <w:r>
        <w:rPr>
          <w:rStyle w:val="jss4500"/>
        </w:rPr>
        <w:t xml:space="preserve">, company leaders must address these parameters </w:t>
      </w:r>
      <w:r w:rsidR="00FA0C31">
        <w:rPr>
          <w:rStyle w:val="jss4500"/>
        </w:rPr>
        <w:t>to</w:t>
      </w:r>
      <w:r>
        <w:rPr>
          <w:rStyle w:val="jss4500"/>
        </w:rPr>
        <w:t xml:space="preserve"> sustain a competitive benefit in their chosen </w:t>
      </w:r>
      <w:r w:rsidR="00A46E38">
        <w:rPr>
          <w:rStyle w:val="jss4500"/>
        </w:rPr>
        <w:t>fields.</w:t>
      </w:r>
      <w:r>
        <w:rPr>
          <w:rStyle w:val="jss4500"/>
        </w:rPr>
        <w:t xml:space="preserve"> As an outcome, a roadmap might have been prepared </w:t>
      </w:r>
      <w:r w:rsidR="00A46E38">
        <w:rPr>
          <w:rStyle w:val="jss4500"/>
        </w:rPr>
        <w:t>that is</w:t>
      </w:r>
      <w:r>
        <w:rPr>
          <w:rStyle w:val="jss4500"/>
        </w:rPr>
        <w:t xml:space="preserve"> referenced as a benchmark for the many executives who’ve been involved </w:t>
      </w:r>
      <w:r w:rsidR="00FA0C31">
        <w:rPr>
          <w:rStyle w:val="jss4500"/>
        </w:rPr>
        <w:t>in</w:t>
      </w:r>
      <w:r>
        <w:rPr>
          <w:rStyle w:val="jss4500"/>
        </w:rPr>
        <w:t xml:space="preserve"> the initiative.</w:t>
      </w:r>
      <w:r w:rsidR="004F1D53">
        <w:rPr>
          <w:rStyle w:val="jss4500"/>
        </w:rPr>
        <w:t xml:space="preserve"> </w:t>
      </w:r>
      <w:r w:rsidR="001B2A55">
        <w:rPr>
          <w:rStyle w:val="jss4500"/>
        </w:rPr>
        <w:t xml:space="preserve">Comprehensive healthcare policies and standards, and also precautionary measures, must be </w:t>
      </w:r>
      <w:r w:rsidR="001B2A55">
        <w:rPr>
          <w:rStyle w:val="jss4500"/>
        </w:rPr>
        <w:lastRenderedPageBreak/>
        <w:t xml:space="preserve">adopted by companies to forestall such </w:t>
      </w:r>
      <w:r w:rsidR="00FA0C31">
        <w:rPr>
          <w:rStyle w:val="jss4500"/>
        </w:rPr>
        <w:t>epidemics</w:t>
      </w:r>
      <w:r w:rsidR="001B2A55">
        <w:rPr>
          <w:rStyle w:val="jss4500"/>
        </w:rPr>
        <w:t xml:space="preserve">. Thus, managing staff concerns has </w:t>
      </w:r>
      <w:r w:rsidR="00FA0C31">
        <w:rPr>
          <w:rStyle w:val="jss4500"/>
        </w:rPr>
        <w:t xml:space="preserve">been </w:t>
      </w:r>
      <w:r w:rsidR="001B2A55">
        <w:rPr>
          <w:rStyle w:val="jss4500"/>
        </w:rPr>
        <w:t xml:space="preserve">revealed to be more complicated than it had prior </w:t>
      </w:r>
      <w:r w:rsidR="00FA0C31">
        <w:rPr>
          <w:rStyle w:val="jss4500"/>
        </w:rPr>
        <w:t xml:space="preserve">to </w:t>
      </w:r>
      <w:r w:rsidR="001B2A55">
        <w:rPr>
          <w:rStyle w:val="jss4500"/>
        </w:rPr>
        <w:t>the virus crisis occurred.</w:t>
      </w:r>
    </w:p>
    <w:p w14:paraId="0D884964" w14:textId="434B6F40" w:rsidR="002A5DEB" w:rsidRPr="00EE346E" w:rsidRDefault="00CC57CF" w:rsidP="00EE346E">
      <w:pPr>
        <w:pStyle w:val="Heading1"/>
        <w:pBdr>
          <w:bottom w:val="single" w:sz="4" w:space="1" w:color="auto"/>
        </w:pBdr>
        <w:jc w:val="center"/>
        <w:rPr>
          <w:b/>
        </w:rPr>
      </w:pPr>
      <w:bookmarkStart w:id="5" w:name="_Toc100758332"/>
      <w:r w:rsidRPr="00EE346E">
        <w:rPr>
          <w:b/>
        </w:rPr>
        <w:t>Conclusion</w:t>
      </w:r>
      <w:bookmarkEnd w:id="5"/>
    </w:p>
    <w:p w14:paraId="09A4540A" w14:textId="2D06F869" w:rsidR="00A36A23" w:rsidRPr="0094436C" w:rsidRDefault="00C43EA6" w:rsidP="00E2603D">
      <w:pPr>
        <w:rPr>
          <w:szCs w:val="24"/>
        </w:rPr>
      </w:pPr>
      <w:r w:rsidRPr="0094436C">
        <w:rPr>
          <w:szCs w:val="24"/>
        </w:rPr>
        <w:t xml:space="preserve">Management must emphasize allowing employees to work from home in this theoretical context </w:t>
      </w:r>
      <w:r w:rsidR="00FA0C31">
        <w:rPr>
          <w:szCs w:val="24"/>
        </w:rPr>
        <w:t>to</w:t>
      </w:r>
      <w:r w:rsidRPr="0094436C">
        <w:rPr>
          <w:szCs w:val="24"/>
        </w:rPr>
        <w:t xml:space="preserve"> augment work engagement. </w:t>
      </w:r>
      <w:r w:rsidR="00FA0C31">
        <w:rPr>
          <w:szCs w:val="24"/>
        </w:rPr>
        <w:t>This</w:t>
      </w:r>
      <w:r w:rsidRPr="0094436C">
        <w:rPr>
          <w:szCs w:val="24"/>
        </w:rPr>
        <w:t xml:space="preserve"> is crucial that employees’ opinions and goals for the business be appreciated and also that they are shown in the decision-making cycle. Alternatively, informal mentoring </w:t>
      </w:r>
      <w:r w:rsidR="00FA0C31">
        <w:rPr>
          <w:szCs w:val="24"/>
        </w:rPr>
        <w:t>can</w:t>
      </w:r>
      <w:r w:rsidRPr="0094436C">
        <w:rPr>
          <w:szCs w:val="24"/>
        </w:rPr>
        <w:t xml:space="preserve"> alter employees’ attitudes, prejudices, and </w:t>
      </w:r>
      <w:r w:rsidR="00F25704">
        <w:rPr>
          <w:szCs w:val="24"/>
        </w:rPr>
        <w:t>motivation (Gupta and Sharma, 2016).</w:t>
      </w:r>
      <w:r w:rsidRPr="0094436C">
        <w:rPr>
          <w:szCs w:val="24"/>
        </w:rPr>
        <w:t xml:space="preserve"> Moreover, staff who are informed that their safety has been addressed would be more productive in the workplace. Corporate leaders and directors must ensure</w:t>
      </w:r>
      <w:r w:rsidR="008A119E" w:rsidRPr="0094436C">
        <w:rPr>
          <w:szCs w:val="24"/>
        </w:rPr>
        <w:t xml:space="preserve"> that </w:t>
      </w:r>
      <w:r w:rsidRPr="0094436C">
        <w:rPr>
          <w:szCs w:val="24"/>
        </w:rPr>
        <w:t xml:space="preserve">all profound hygiene actions are implemented carefully in the office, </w:t>
      </w:r>
      <w:r w:rsidR="00923848" w:rsidRPr="0094436C">
        <w:rPr>
          <w:szCs w:val="24"/>
        </w:rPr>
        <w:t>through</w:t>
      </w:r>
      <w:r w:rsidRPr="0094436C">
        <w:rPr>
          <w:szCs w:val="24"/>
        </w:rPr>
        <w:t xml:space="preserve"> high </w:t>
      </w:r>
      <w:r w:rsidR="008A119E" w:rsidRPr="0094436C">
        <w:rPr>
          <w:szCs w:val="24"/>
        </w:rPr>
        <w:t>duty shifting</w:t>
      </w:r>
      <w:r w:rsidRPr="0094436C">
        <w:rPr>
          <w:szCs w:val="24"/>
        </w:rPr>
        <w:t xml:space="preserve"> and teleworking, and </w:t>
      </w:r>
      <w:r w:rsidR="00FA0C31">
        <w:rPr>
          <w:szCs w:val="24"/>
        </w:rPr>
        <w:t>strict</w:t>
      </w:r>
      <w:r w:rsidRPr="0094436C">
        <w:rPr>
          <w:szCs w:val="24"/>
        </w:rPr>
        <w:t xml:space="preserve"> </w:t>
      </w:r>
      <w:r w:rsidR="00923848" w:rsidRPr="0094436C">
        <w:rPr>
          <w:szCs w:val="24"/>
        </w:rPr>
        <w:t>adherence</w:t>
      </w:r>
      <w:r w:rsidRPr="0094436C">
        <w:rPr>
          <w:szCs w:val="24"/>
        </w:rPr>
        <w:t xml:space="preserve"> to the physical </w:t>
      </w:r>
      <w:r w:rsidR="00923848" w:rsidRPr="0094436C">
        <w:rPr>
          <w:szCs w:val="24"/>
        </w:rPr>
        <w:t xml:space="preserve">and mental </w:t>
      </w:r>
      <w:r w:rsidRPr="0094436C">
        <w:rPr>
          <w:szCs w:val="24"/>
        </w:rPr>
        <w:t xml:space="preserve">well-being of their </w:t>
      </w:r>
      <w:r w:rsidR="00153467">
        <w:rPr>
          <w:szCs w:val="24"/>
        </w:rPr>
        <w:t xml:space="preserve">staff </w:t>
      </w:r>
      <w:r w:rsidR="00386FFA">
        <w:rPr>
          <w:szCs w:val="24"/>
        </w:rPr>
        <w:t>(Markos and Sridevi, 2010</w:t>
      </w:r>
      <w:r w:rsidR="00153467">
        <w:rPr>
          <w:szCs w:val="24"/>
        </w:rPr>
        <w:t>).</w:t>
      </w:r>
      <w:r w:rsidRPr="0094436C">
        <w:rPr>
          <w:szCs w:val="24"/>
        </w:rPr>
        <w:t xml:space="preserve"> Employee engagement could be accelerated if </w:t>
      </w:r>
      <w:r w:rsidR="00FA0C31">
        <w:rPr>
          <w:szCs w:val="24"/>
        </w:rPr>
        <w:t xml:space="preserve">the </w:t>
      </w:r>
      <w:r w:rsidRPr="0094436C">
        <w:rPr>
          <w:szCs w:val="24"/>
        </w:rPr>
        <w:t xml:space="preserve">business designs and adopts a reward scheme that takes into consideration the new economic realities of the company as a result of the outbreak of the disease and incorporates both financial and </w:t>
      </w:r>
      <w:proofErr w:type="spellStart"/>
      <w:r w:rsidR="00A538DB">
        <w:rPr>
          <w:szCs w:val="24"/>
        </w:rPr>
        <w:t>nonincentives</w:t>
      </w:r>
      <w:proofErr w:type="spellEnd"/>
      <w:r w:rsidRPr="0094436C">
        <w:rPr>
          <w:szCs w:val="24"/>
        </w:rPr>
        <w:t>. Finally, companies must build rapport between colleagues and their managers, and informal relationships between staff.</w:t>
      </w:r>
    </w:p>
    <w:p w14:paraId="19F88195" w14:textId="051CD9A5" w:rsidR="00210F04" w:rsidRDefault="00210F04">
      <w:pPr>
        <w:rPr>
          <w:color w:val="000000" w:themeColor="text1"/>
          <w:szCs w:val="24"/>
        </w:rPr>
      </w:pPr>
    </w:p>
    <w:p w14:paraId="3ED63F7F" w14:textId="77777777" w:rsidR="00210F04" w:rsidRDefault="00210F04">
      <w:pPr>
        <w:rPr>
          <w:color w:val="000000" w:themeColor="text1"/>
          <w:szCs w:val="24"/>
        </w:rPr>
      </w:pPr>
      <w:r>
        <w:rPr>
          <w:color w:val="000000" w:themeColor="text1"/>
          <w:szCs w:val="24"/>
        </w:rPr>
        <w:br w:type="page"/>
      </w:r>
    </w:p>
    <w:p w14:paraId="38C8A98A" w14:textId="562ACEC6" w:rsidR="00CC57CF" w:rsidRPr="00EE346E" w:rsidRDefault="00A36A23" w:rsidP="00EE346E">
      <w:pPr>
        <w:pStyle w:val="Heading1"/>
        <w:pBdr>
          <w:bottom w:val="single" w:sz="4" w:space="1" w:color="auto"/>
        </w:pBdr>
        <w:jc w:val="center"/>
        <w:rPr>
          <w:b/>
        </w:rPr>
      </w:pPr>
      <w:bookmarkStart w:id="6" w:name="_Toc100758333"/>
      <w:r w:rsidRPr="00EE346E">
        <w:rPr>
          <w:b/>
        </w:rPr>
        <w:lastRenderedPageBreak/>
        <w:t>Reference</w:t>
      </w:r>
      <w:bookmarkEnd w:id="6"/>
    </w:p>
    <w:p w14:paraId="21E43E95" w14:textId="64BACE75" w:rsidR="00D76DD1" w:rsidRDefault="00D76DD1" w:rsidP="00D76DD1">
      <w:pPr>
        <w:ind w:left="720" w:hanging="720"/>
        <w:contextualSpacing/>
      </w:pPr>
      <w:proofErr w:type="spellStart"/>
      <w:r>
        <w:t>Adhitama</w:t>
      </w:r>
      <w:proofErr w:type="spellEnd"/>
      <w:r>
        <w:t xml:space="preserve">, J. and </w:t>
      </w:r>
      <w:proofErr w:type="spellStart"/>
      <w:r>
        <w:t>Riyanto</w:t>
      </w:r>
      <w:proofErr w:type="spellEnd"/>
      <w:r>
        <w:t xml:space="preserve">, S., 2020. Maintaining Employee Engagement and Employee Performance during Covid-19 Pandemic at PT. </w:t>
      </w:r>
      <w:proofErr w:type="spellStart"/>
      <w:r>
        <w:t>Koexim</w:t>
      </w:r>
      <w:proofErr w:type="spellEnd"/>
      <w:r>
        <w:t xml:space="preserve"> </w:t>
      </w:r>
      <w:proofErr w:type="spellStart"/>
      <w:r>
        <w:t>Mandiri</w:t>
      </w:r>
      <w:proofErr w:type="spellEnd"/>
      <w:r>
        <w:t xml:space="preserve"> Finance. </w:t>
      </w:r>
      <w:r w:rsidR="00A538DB">
        <w:t>Journal</w:t>
      </w:r>
      <w:r>
        <w:t xml:space="preserve"> of Research in </w:t>
      </w:r>
      <w:proofErr w:type="spellStart"/>
      <w:r>
        <w:t>Bussiness</w:t>
      </w:r>
      <w:proofErr w:type="spellEnd"/>
      <w:r>
        <w:t xml:space="preserve"> and Management, 8(3).</w:t>
      </w:r>
    </w:p>
    <w:p w14:paraId="4C41B025" w14:textId="5D49DA2B" w:rsidR="00D76DD1" w:rsidRDefault="00D76DD1" w:rsidP="00D76DD1">
      <w:pPr>
        <w:ind w:left="720" w:hanging="720"/>
        <w:contextualSpacing/>
      </w:pPr>
      <w:r>
        <w:t xml:space="preserve">Ahmed, T., Khan, M.S., </w:t>
      </w:r>
      <w:proofErr w:type="spellStart"/>
      <w:r>
        <w:t>Thitivesa</w:t>
      </w:r>
      <w:proofErr w:type="spellEnd"/>
      <w:r>
        <w:t xml:space="preserve">, D., </w:t>
      </w:r>
      <w:proofErr w:type="spellStart"/>
      <w:r>
        <w:t>Siraphatthada</w:t>
      </w:r>
      <w:proofErr w:type="spellEnd"/>
      <w:r>
        <w:t xml:space="preserve">, Y. and </w:t>
      </w:r>
      <w:proofErr w:type="spellStart"/>
      <w:r>
        <w:t>Phumdara</w:t>
      </w:r>
      <w:proofErr w:type="spellEnd"/>
      <w:r>
        <w:t xml:space="preserve">, T., 2020. Impact of </w:t>
      </w:r>
      <w:proofErr w:type="gramStart"/>
      <w:r>
        <w:t>employees</w:t>
      </w:r>
      <w:proofErr w:type="gramEnd"/>
      <w:r>
        <w:t xml:space="preserve"> engagement and knowledge sharing on organizational performance: Study of HR challenges in COVID-19 pandemic. Human Systems Management, 39(4), pp.589-601.</w:t>
      </w:r>
    </w:p>
    <w:p w14:paraId="3A561C59" w14:textId="77777777" w:rsidR="00D76DD1" w:rsidRDefault="00D76DD1" w:rsidP="00D76DD1">
      <w:pPr>
        <w:ind w:left="720" w:hanging="720"/>
        <w:contextualSpacing/>
      </w:pPr>
      <w:proofErr w:type="spellStart"/>
      <w:r>
        <w:t>Albrech</w:t>
      </w:r>
      <w:proofErr w:type="spellEnd"/>
      <w:r>
        <w:t>, S.L., 2011. Handbook of employee engagement: Perspectives, issues, research and practice. Human Resource Management International Digest.</w:t>
      </w:r>
    </w:p>
    <w:p w14:paraId="24FAD34C" w14:textId="03057E9B" w:rsidR="000D345B" w:rsidRDefault="0034310B" w:rsidP="00D76DD1">
      <w:pPr>
        <w:ind w:left="720" w:hanging="720"/>
        <w:contextualSpacing/>
      </w:pPr>
      <w:proofErr w:type="spellStart"/>
      <w:r w:rsidRPr="006B7FE4">
        <w:t>Bedarkar</w:t>
      </w:r>
      <w:proofErr w:type="spellEnd"/>
      <w:r w:rsidRPr="006B7FE4">
        <w:t>, M. and Pandita, D., 2014. A study on the drivers of employee engagement impacting employee performance. Procedia-Social and Behavioral Sciences, 133, pp.106-115.</w:t>
      </w:r>
    </w:p>
    <w:p w14:paraId="3D4B85B8" w14:textId="758F0054" w:rsidR="00D76DD1" w:rsidRDefault="00D76DD1" w:rsidP="00D76DD1">
      <w:pPr>
        <w:ind w:left="720" w:hanging="720"/>
        <w:contextualSpacing/>
      </w:pPr>
      <w:r>
        <w:t>Browne, R., 2012. Employee value proposition. Beacon Management Review, 2, pp.29-36.</w:t>
      </w:r>
    </w:p>
    <w:p w14:paraId="0A0C929A" w14:textId="5F23FB5B" w:rsidR="00D76DD1" w:rsidRDefault="00D76DD1" w:rsidP="00D76DD1">
      <w:pPr>
        <w:ind w:left="720" w:hanging="720"/>
        <w:contextualSpacing/>
      </w:pPr>
      <w:proofErr w:type="spellStart"/>
      <w:r>
        <w:t>Chanana</w:t>
      </w:r>
      <w:proofErr w:type="spellEnd"/>
      <w:r>
        <w:t>, N., 2021. Employee engagement practices during COVID</w:t>
      </w:r>
      <w:r>
        <w:rPr>
          <w:rFonts w:ascii="Cambria Math" w:hAnsi="Cambria Math" w:cs="Cambria Math"/>
        </w:rPr>
        <w:t>‐</w:t>
      </w:r>
      <w:r>
        <w:t>19 lockdown. Journal of public affairs, 21(4), p.e2508.</w:t>
      </w:r>
    </w:p>
    <w:p w14:paraId="04D6BE34" w14:textId="026EB20C" w:rsidR="00D76DD1" w:rsidRPr="006B7FE4" w:rsidRDefault="00D76DD1" w:rsidP="00D76DD1">
      <w:pPr>
        <w:ind w:left="720" w:hanging="720"/>
        <w:contextualSpacing/>
      </w:pPr>
      <w:r>
        <w:t>Goswami, P., 2015. Employee value proposition: a tool for employment branding. International Journal of Scientific and Research Publications, 5(12), pp.263-264.</w:t>
      </w:r>
    </w:p>
    <w:p w14:paraId="58D03D78" w14:textId="68CC7F18" w:rsidR="00F56EEB" w:rsidRPr="006B7FE4" w:rsidRDefault="00F56EEB" w:rsidP="00D76DD1">
      <w:pPr>
        <w:ind w:left="720" w:hanging="720"/>
        <w:contextualSpacing/>
      </w:pPr>
      <w:r w:rsidRPr="006B7FE4">
        <w:t>Gupta, N. and Sharma, V., 2016. Exploring employee engagement—A way to better business performance. Global Business Review, 17(3_suppl), pp.45S-63S.</w:t>
      </w:r>
    </w:p>
    <w:p w14:paraId="79297685" w14:textId="1B2CD397" w:rsidR="002918CF" w:rsidRDefault="002918CF" w:rsidP="00D76DD1">
      <w:pPr>
        <w:ind w:left="720" w:hanging="720"/>
        <w:contextualSpacing/>
      </w:pPr>
      <w:r>
        <w:t xml:space="preserve">Gitanjali, Sharma, Y. and Sharma, B.R., 2010. Search for the drivers of employee engagement among executives of a manufacturing </w:t>
      </w:r>
      <w:proofErr w:type="spellStart"/>
      <w:r>
        <w:t>organisation</w:t>
      </w:r>
      <w:proofErr w:type="spellEnd"/>
      <w:r>
        <w:t xml:space="preserve">. Management and </w:t>
      </w:r>
      <w:proofErr w:type="spellStart"/>
      <w:r>
        <w:t>Labour</w:t>
      </w:r>
      <w:proofErr w:type="spellEnd"/>
      <w:r>
        <w:t xml:space="preserve"> Studies, 35(2), pp.189-207.</w:t>
      </w:r>
    </w:p>
    <w:p w14:paraId="21BE05AC" w14:textId="35ECB886" w:rsidR="00D76DD1" w:rsidRDefault="00D76DD1" w:rsidP="00D76DD1">
      <w:pPr>
        <w:ind w:left="720" w:hanging="720"/>
        <w:contextualSpacing/>
      </w:pPr>
      <w:r w:rsidRPr="006B7FE4">
        <w:t>Markos, S. and Sridevi, M.S., 2010. Employee engagement: The key to improving performance. International journal of business and management, 5(12), p.89.</w:t>
      </w:r>
    </w:p>
    <w:p w14:paraId="402873BB" w14:textId="77777777" w:rsidR="00BB203C" w:rsidRDefault="00BB203C" w:rsidP="00D76DD1">
      <w:pPr>
        <w:ind w:left="720" w:hanging="720"/>
        <w:contextualSpacing/>
      </w:pPr>
      <w:r>
        <w:t>Macey, W.H., Schneider, B., Barbera, K.M. and Young, S.A., 2011. Employee engagement: Tools for analysis, practice, and competitive advantage. John Wiley &amp; Sons.</w:t>
      </w:r>
    </w:p>
    <w:p w14:paraId="0EB61FCA" w14:textId="6BB11D9F" w:rsidR="00D76DD1" w:rsidRDefault="00D76DD1" w:rsidP="00D76DD1">
      <w:pPr>
        <w:ind w:left="720" w:hanging="720"/>
        <w:contextualSpacing/>
      </w:pPr>
      <w:r>
        <w:t>Mani, V. and Nadu, T., 2011. Analysis of employee engagement and its predictors. International Journal of Human Resource Studies, 1(2), pp.15-26.</w:t>
      </w:r>
    </w:p>
    <w:p w14:paraId="6566EAE4" w14:textId="3C61CB04" w:rsidR="0027198C" w:rsidRDefault="0027198C" w:rsidP="00D76DD1">
      <w:pPr>
        <w:ind w:left="720" w:hanging="720"/>
        <w:contextualSpacing/>
      </w:pPr>
      <w:r>
        <w:t xml:space="preserve">Shuck, B., </w:t>
      </w:r>
      <w:proofErr w:type="spellStart"/>
      <w:r>
        <w:t>Alagaraja</w:t>
      </w:r>
      <w:proofErr w:type="spellEnd"/>
      <w:r>
        <w:t xml:space="preserve">, M., Rose, K., Owen, J., </w:t>
      </w:r>
      <w:proofErr w:type="spellStart"/>
      <w:r>
        <w:t>Osam</w:t>
      </w:r>
      <w:proofErr w:type="spellEnd"/>
      <w:r>
        <w:t>, K. and Bergman, M., 2017. The health</w:t>
      </w:r>
      <w:r>
        <w:rPr>
          <w:rFonts w:ascii="Cambria Math" w:hAnsi="Cambria Math" w:cs="Cambria Math"/>
        </w:rPr>
        <w:t>‐</w:t>
      </w:r>
      <w:r>
        <w:t>related upside of employee engagement: Exploratory evidence and implications for theory and practice. Performance Improvement Quarterly, 30(3), pp.165-178.</w:t>
      </w:r>
    </w:p>
    <w:p w14:paraId="0D5DDEA4" w14:textId="1206338E" w:rsidR="006B7FE4" w:rsidRPr="00EE346E" w:rsidRDefault="000B0947" w:rsidP="00EE346E">
      <w:pPr>
        <w:ind w:left="720" w:hanging="720"/>
        <w:contextualSpacing/>
      </w:pPr>
      <w:r>
        <w:t>Seymour, A. and Dupré, K., 2008. Advancing employee engagement through a healthy workplace strategy.</w:t>
      </w:r>
    </w:p>
    <w:sectPr w:rsidR="006B7FE4" w:rsidRPr="00EE346E" w:rsidSect="009403A2">
      <w:footerReference w:type="even"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00979" w14:textId="77777777" w:rsidR="00CA7302" w:rsidRDefault="00CA7302" w:rsidP="005E39B9">
      <w:pPr>
        <w:spacing w:after="0" w:line="240" w:lineRule="auto"/>
      </w:pPr>
      <w:r>
        <w:separator/>
      </w:r>
    </w:p>
  </w:endnote>
  <w:endnote w:type="continuationSeparator" w:id="0">
    <w:p w14:paraId="7ED68F16" w14:textId="77777777" w:rsidR="00CA7302" w:rsidRDefault="00CA7302" w:rsidP="005E3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1579405"/>
      <w:docPartObj>
        <w:docPartGallery w:val="Page Numbers (Bottom of Page)"/>
        <w:docPartUnique/>
      </w:docPartObj>
    </w:sdtPr>
    <w:sdtEndPr>
      <w:rPr>
        <w:rStyle w:val="PageNumber"/>
      </w:rPr>
    </w:sdtEndPr>
    <w:sdtContent>
      <w:p w14:paraId="385C06AC" w14:textId="5EEEF38E" w:rsidR="001342A9" w:rsidRDefault="001342A9" w:rsidP="00ED060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CE9BC3" w14:textId="77777777" w:rsidR="005E39B9" w:rsidRDefault="005E39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92519" w14:textId="4F60ACA1" w:rsidR="005E39B9" w:rsidRDefault="00EE346E">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4ACB6D43" wp14:editId="792B75D5">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1EB02C9" w14:textId="69BC1299" w:rsidR="00EE346E" w:rsidRDefault="00EE346E">
                                <w:pPr>
                                  <w:jc w:val="right"/>
                                  <w:rPr>
                                    <w:color w:val="7F7F7F" w:themeColor="text1" w:themeTint="80"/>
                                  </w:rPr>
                                </w:pPr>
                                <w:r>
                                  <w:rPr>
                                    <w:color w:val="7F7F7F" w:themeColor="text1" w:themeTint="80"/>
                                  </w:rPr>
                                  <w:t xml:space="preserve">     </w:t>
                                </w:r>
                              </w:p>
                            </w:sdtContent>
                          </w:sdt>
                          <w:p w14:paraId="6FD6C1C4" w14:textId="77777777" w:rsidR="00EE346E" w:rsidRDefault="00EE346E">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4ACB6D43" id="Group 37" o:spid="_x0000_s1026" style="position:absolute;left:0;text-align:left;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">
              <v:rect id="Rectangle 38" o:spid="_x0000_s1027" style="position:absolute;left:190;width:59436;height:1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&#13;&#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&#13;&#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1EB02C9" w14:textId="69BC1299" w:rsidR="00EE346E" w:rsidRDefault="00EE346E">
                          <w:pPr>
                            <w:jc w:val="right"/>
                            <w:rPr>
                              <w:color w:val="7F7F7F" w:themeColor="text1" w:themeTint="80"/>
                            </w:rPr>
                          </w:pPr>
                          <w:r>
                            <w:rPr>
                              <w:color w:val="7F7F7F" w:themeColor="text1" w:themeTint="80"/>
                            </w:rPr>
                            <w:t xml:space="preserve">     </w:t>
                          </w:r>
                        </w:p>
                      </w:sdtContent>
                    </w:sdt>
                    <w:p w14:paraId="6FD6C1C4" w14:textId="77777777" w:rsidR="00EE346E" w:rsidRDefault="00EE346E">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13546C0F" wp14:editId="28C242B5">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53B7ED" w14:textId="77777777" w:rsidR="00EE346E" w:rsidRDefault="00EE346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6</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546C0F" id="Rectangle 40" o:spid="_x0000_s1029" style="position:absolute;left:0;text-align:left;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" fillcolor="black [3213]" stroked="f" strokeweight="3pt">
              <v:textbox>
                <w:txbxContent>
                  <w:p w14:paraId="1E53B7ED" w14:textId="77777777" w:rsidR="00EE346E" w:rsidRDefault="00EE346E">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6</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8221B" w14:textId="77777777" w:rsidR="00CA7302" w:rsidRDefault="00CA7302" w:rsidP="005E39B9">
      <w:pPr>
        <w:spacing w:after="0" w:line="240" w:lineRule="auto"/>
      </w:pPr>
      <w:r>
        <w:separator/>
      </w:r>
    </w:p>
  </w:footnote>
  <w:footnote w:type="continuationSeparator" w:id="0">
    <w:p w14:paraId="202400CE" w14:textId="77777777" w:rsidR="00CA7302" w:rsidRDefault="00CA7302" w:rsidP="005E39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CB7F4C"/>
    <w:multiLevelType w:val="hybridMultilevel"/>
    <w:tmpl w:val="BE847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0A4BE4"/>
    <w:multiLevelType w:val="hybridMultilevel"/>
    <w:tmpl w:val="4A540F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EyNTAwBbJMTQzMDJR0lIJTi4sz8/NACgxrAbA/YcgsAAAA"/>
  </w:docVars>
  <w:rsids>
    <w:rsidRoot w:val="008B668D"/>
    <w:rsid w:val="000130A7"/>
    <w:rsid w:val="000160CB"/>
    <w:rsid w:val="0004531C"/>
    <w:rsid w:val="00064E3F"/>
    <w:rsid w:val="000A5423"/>
    <w:rsid w:val="000B02EF"/>
    <w:rsid w:val="000B0947"/>
    <w:rsid w:val="000B263E"/>
    <w:rsid w:val="000C4B53"/>
    <w:rsid w:val="000D345B"/>
    <w:rsid w:val="000D676F"/>
    <w:rsid w:val="000E379A"/>
    <w:rsid w:val="001342A9"/>
    <w:rsid w:val="00136BF0"/>
    <w:rsid w:val="00153467"/>
    <w:rsid w:val="00153F27"/>
    <w:rsid w:val="00180CA0"/>
    <w:rsid w:val="0019192D"/>
    <w:rsid w:val="001B2A55"/>
    <w:rsid w:val="001F6CE7"/>
    <w:rsid w:val="00207CD2"/>
    <w:rsid w:val="00210F04"/>
    <w:rsid w:val="002457BC"/>
    <w:rsid w:val="0027198C"/>
    <w:rsid w:val="002918CF"/>
    <w:rsid w:val="002A5DEB"/>
    <w:rsid w:val="002C099C"/>
    <w:rsid w:val="002E08FF"/>
    <w:rsid w:val="002E450D"/>
    <w:rsid w:val="00314CE1"/>
    <w:rsid w:val="00332121"/>
    <w:rsid w:val="0033422C"/>
    <w:rsid w:val="003409CA"/>
    <w:rsid w:val="0034310B"/>
    <w:rsid w:val="00386FFA"/>
    <w:rsid w:val="0039191B"/>
    <w:rsid w:val="003A6B64"/>
    <w:rsid w:val="00415737"/>
    <w:rsid w:val="00473468"/>
    <w:rsid w:val="004903FE"/>
    <w:rsid w:val="00490CCA"/>
    <w:rsid w:val="004C4188"/>
    <w:rsid w:val="004F1D53"/>
    <w:rsid w:val="00502F03"/>
    <w:rsid w:val="00530961"/>
    <w:rsid w:val="00547254"/>
    <w:rsid w:val="005868D7"/>
    <w:rsid w:val="005B777B"/>
    <w:rsid w:val="005C7E50"/>
    <w:rsid w:val="005D2B76"/>
    <w:rsid w:val="005E39B9"/>
    <w:rsid w:val="005E726E"/>
    <w:rsid w:val="0064206B"/>
    <w:rsid w:val="00650A54"/>
    <w:rsid w:val="00675730"/>
    <w:rsid w:val="006B7F1A"/>
    <w:rsid w:val="006B7FE4"/>
    <w:rsid w:val="006C498B"/>
    <w:rsid w:val="006E226F"/>
    <w:rsid w:val="006F6FA1"/>
    <w:rsid w:val="00703DA1"/>
    <w:rsid w:val="00716FC4"/>
    <w:rsid w:val="00767CD0"/>
    <w:rsid w:val="007743E2"/>
    <w:rsid w:val="007A3362"/>
    <w:rsid w:val="0080280F"/>
    <w:rsid w:val="00824AA3"/>
    <w:rsid w:val="00836DE6"/>
    <w:rsid w:val="0087589D"/>
    <w:rsid w:val="00891CA1"/>
    <w:rsid w:val="008A119E"/>
    <w:rsid w:val="008B668D"/>
    <w:rsid w:val="008D7BB8"/>
    <w:rsid w:val="008E09F6"/>
    <w:rsid w:val="008F3959"/>
    <w:rsid w:val="008F5414"/>
    <w:rsid w:val="009166B9"/>
    <w:rsid w:val="00920491"/>
    <w:rsid w:val="00923848"/>
    <w:rsid w:val="009403A2"/>
    <w:rsid w:val="0094436C"/>
    <w:rsid w:val="0096294D"/>
    <w:rsid w:val="0096473F"/>
    <w:rsid w:val="009C1097"/>
    <w:rsid w:val="00A36A23"/>
    <w:rsid w:val="00A46E38"/>
    <w:rsid w:val="00A538DB"/>
    <w:rsid w:val="00A6402B"/>
    <w:rsid w:val="00A85ABF"/>
    <w:rsid w:val="00AA2E7C"/>
    <w:rsid w:val="00AA7D3F"/>
    <w:rsid w:val="00AB00F4"/>
    <w:rsid w:val="00AB1ECB"/>
    <w:rsid w:val="00AC3FCB"/>
    <w:rsid w:val="00AE2CA8"/>
    <w:rsid w:val="00AE495D"/>
    <w:rsid w:val="00B03016"/>
    <w:rsid w:val="00B35100"/>
    <w:rsid w:val="00B501CD"/>
    <w:rsid w:val="00B60496"/>
    <w:rsid w:val="00B73992"/>
    <w:rsid w:val="00B873E3"/>
    <w:rsid w:val="00BA24DD"/>
    <w:rsid w:val="00BB203C"/>
    <w:rsid w:val="00BE3F01"/>
    <w:rsid w:val="00C0467E"/>
    <w:rsid w:val="00C12190"/>
    <w:rsid w:val="00C41CF4"/>
    <w:rsid w:val="00C43EA6"/>
    <w:rsid w:val="00C726FC"/>
    <w:rsid w:val="00CA7302"/>
    <w:rsid w:val="00CC0DBB"/>
    <w:rsid w:val="00CC57CF"/>
    <w:rsid w:val="00CC5FEB"/>
    <w:rsid w:val="00CF0465"/>
    <w:rsid w:val="00D2041E"/>
    <w:rsid w:val="00D3115A"/>
    <w:rsid w:val="00D6198F"/>
    <w:rsid w:val="00D7393F"/>
    <w:rsid w:val="00D76DD1"/>
    <w:rsid w:val="00D8039C"/>
    <w:rsid w:val="00D86091"/>
    <w:rsid w:val="00DA2838"/>
    <w:rsid w:val="00DE00AB"/>
    <w:rsid w:val="00E2603D"/>
    <w:rsid w:val="00E31614"/>
    <w:rsid w:val="00E8431A"/>
    <w:rsid w:val="00EC4C4E"/>
    <w:rsid w:val="00EE346E"/>
    <w:rsid w:val="00EE7FEA"/>
    <w:rsid w:val="00F217F1"/>
    <w:rsid w:val="00F25704"/>
    <w:rsid w:val="00F3016F"/>
    <w:rsid w:val="00F56EEB"/>
    <w:rsid w:val="00F66108"/>
    <w:rsid w:val="00F93C98"/>
    <w:rsid w:val="00FA0C31"/>
    <w:rsid w:val="00FA7321"/>
    <w:rsid w:val="00FB6D5F"/>
    <w:rsid w:val="00FC01B0"/>
    <w:rsid w:val="00FE75AA"/>
    <w:rsid w:val="00FF3118"/>
    <w:rsid w:val="00FF5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4BE3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DD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76DD1"/>
    <w:pPr>
      <w:keepNext/>
      <w:keepLines/>
      <w:spacing w:before="240" w:after="0"/>
      <w:outlineLvl w:val="0"/>
    </w:pPr>
    <w:rPr>
      <w:rFonts w:eastAsiaTheme="majorEastAsia" w:cstheme="majorBidi"/>
      <w:color w:val="1F3864" w:themeColor="accent1" w:themeShade="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DD1"/>
    <w:rPr>
      <w:rFonts w:ascii="Times New Roman" w:eastAsiaTheme="majorEastAsia" w:hAnsi="Times New Roman" w:cstheme="majorBidi"/>
      <w:color w:val="1F3864" w:themeColor="accent1" w:themeShade="80"/>
      <w:sz w:val="32"/>
      <w:szCs w:val="32"/>
    </w:rPr>
  </w:style>
  <w:style w:type="character" w:customStyle="1" w:styleId="jss4500">
    <w:name w:val="jss4500"/>
    <w:basedOn w:val="DefaultParagraphFont"/>
    <w:rsid w:val="008F5414"/>
  </w:style>
  <w:style w:type="character" w:customStyle="1" w:styleId="jss4504">
    <w:name w:val="jss4504"/>
    <w:basedOn w:val="DefaultParagraphFont"/>
    <w:rsid w:val="008F5414"/>
  </w:style>
  <w:style w:type="paragraph" w:styleId="NoSpacing">
    <w:name w:val="No Spacing"/>
    <w:uiPriority w:val="1"/>
    <w:qFormat/>
    <w:rsid w:val="00415737"/>
    <w:pPr>
      <w:spacing w:after="0" w:line="240" w:lineRule="auto"/>
    </w:pPr>
  </w:style>
  <w:style w:type="character" w:styleId="Emphasis">
    <w:name w:val="Emphasis"/>
    <w:basedOn w:val="DefaultParagraphFont"/>
    <w:uiPriority w:val="20"/>
    <w:qFormat/>
    <w:rsid w:val="0096473F"/>
    <w:rPr>
      <w:i/>
      <w:iCs/>
    </w:rPr>
  </w:style>
  <w:style w:type="paragraph" w:styleId="Subtitle">
    <w:name w:val="Subtitle"/>
    <w:basedOn w:val="Normal"/>
    <w:next w:val="Normal"/>
    <w:link w:val="SubtitleChar"/>
    <w:uiPriority w:val="11"/>
    <w:qFormat/>
    <w:rsid w:val="000130A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0130A7"/>
    <w:rPr>
      <w:color w:val="5A5A5A" w:themeColor="text1" w:themeTint="A5"/>
      <w:spacing w:val="15"/>
    </w:rPr>
  </w:style>
  <w:style w:type="paragraph" w:styleId="ListParagraph">
    <w:name w:val="List Paragraph"/>
    <w:basedOn w:val="Normal"/>
    <w:uiPriority w:val="34"/>
    <w:qFormat/>
    <w:rsid w:val="007A3362"/>
    <w:pPr>
      <w:ind w:left="720"/>
      <w:contextualSpacing/>
    </w:pPr>
  </w:style>
  <w:style w:type="paragraph" w:styleId="Header">
    <w:name w:val="header"/>
    <w:basedOn w:val="Normal"/>
    <w:link w:val="HeaderChar"/>
    <w:uiPriority w:val="99"/>
    <w:unhideWhenUsed/>
    <w:rsid w:val="005E39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9B9"/>
  </w:style>
  <w:style w:type="paragraph" w:styleId="Footer">
    <w:name w:val="footer"/>
    <w:basedOn w:val="Normal"/>
    <w:link w:val="FooterChar"/>
    <w:uiPriority w:val="99"/>
    <w:unhideWhenUsed/>
    <w:rsid w:val="005E39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9B9"/>
  </w:style>
  <w:style w:type="character" w:styleId="PageNumber">
    <w:name w:val="page number"/>
    <w:basedOn w:val="DefaultParagraphFont"/>
    <w:uiPriority w:val="99"/>
    <w:semiHidden/>
    <w:unhideWhenUsed/>
    <w:rsid w:val="001342A9"/>
  </w:style>
  <w:style w:type="paragraph" w:styleId="TOCHeading">
    <w:name w:val="TOC Heading"/>
    <w:basedOn w:val="Heading1"/>
    <w:next w:val="Normal"/>
    <w:uiPriority w:val="39"/>
    <w:unhideWhenUsed/>
    <w:qFormat/>
    <w:rsid w:val="00D76DD1"/>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D76DD1"/>
    <w:pPr>
      <w:spacing w:after="100"/>
    </w:pPr>
  </w:style>
  <w:style w:type="character" w:styleId="Hyperlink">
    <w:name w:val="Hyperlink"/>
    <w:basedOn w:val="DefaultParagraphFont"/>
    <w:uiPriority w:val="99"/>
    <w:unhideWhenUsed/>
    <w:rsid w:val="00D76D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965097">
      <w:bodyDiv w:val="1"/>
      <w:marLeft w:val="0"/>
      <w:marRight w:val="0"/>
      <w:marTop w:val="0"/>
      <w:marBottom w:val="0"/>
      <w:divBdr>
        <w:top w:val="none" w:sz="0" w:space="0" w:color="auto"/>
        <w:left w:val="none" w:sz="0" w:space="0" w:color="auto"/>
        <w:bottom w:val="none" w:sz="0" w:space="0" w:color="auto"/>
        <w:right w:val="none" w:sz="0" w:space="0" w:color="auto"/>
      </w:divBdr>
      <w:divsChild>
        <w:div w:id="624192678">
          <w:marLeft w:val="0"/>
          <w:marRight w:val="0"/>
          <w:marTop w:val="0"/>
          <w:marBottom w:val="0"/>
          <w:divBdr>
            <w:top w:val="none" w:sz="0" w:space="0" w:color="auto"/>
            <w:left w:val="none" w:sz="0" w:space="0" w:color="auto"/>
            <w:bottom w:val="none" w:sz="0" w:space="0" w:color="auto"/>
            <w:right w:val="none" w:sz="0" w:space="0" w:color="auto"/>
          </w:divBdr>
        </w:div>
        <w:div w:id="1351680616">
          <w:marLeft w:val="0"/>
          <w:marRight w:val="0"/>
          <w:marTop w:val="0"/>
          <w:marBottom w:val="0"/>
          <w:divBdr>
            <w:top w:val="none" w:sz="0" w:space="0" w:color="auto"/>
            <w:left w:val="none" w:sz="0" w:space="0" w:color="auto"/>
            <w:bottom w:val="none" w:sz="0" w:space="0" w:color="auto"/>
            <w:right w:val="none" w:sz="0" w:space="0" w:color="auto"/>
          </w:divBdr>
        </w:div>
        <w:div w:id="1469937015">
          <w:marLeft w:val="0"/>
          <w:marRight w:val="0"/>
          <w:marTop w:val="0"/>
          <w:marBottom w:val="0"/>
          <w:divBdr>
            <w:top w:val="none" w:sz="0" w:space="0" w:color="auto"/>
            <w:left w:val="none" w:sz="0" w:space="0" w:color="auto"/>
            <w:bottom w:val="none" w:sz="0" w:space="0" w:color="auto"/>
            <w:right w:val="none" w:sz="0" w:space="0" w:color="auto"/>
          </w:divBdr>
        </w:div>
        <w:div w:id="298925660">
          <w:marLeft w:val="0"/>
          <w:marRight w:val="0"/>
          <w:marTop w:val="0"/>
          <w:marBottom w:val="0"/>
          <w:divBdr>
            <w:top w:val="none" w:sz="0" w:space="0" w:color="auto"/>
            <w:left w:val="none" w:sz="0" w:space="0" w:color="auto"/>
            <w:bottom w:val="none" w:sz="0" w:space="0" w:color="auto"/>
            <w:right w:val="none" w:sz="0" w:space="0" w:color="auto"/>
          </w:divBdr>
        </w:div>
        <w:div w:id="2050914828">
          <w:marLeft w:val="0"/>
          <w:marRight w:val="0"/>
          <w:marTop w:val="0"/>
          <w:marBottom w:val="0"/>
          <w:divBdr>
            <w:top w:val="none" w:sz="0" w:space="0" w:color="auto"/>
            <w:left w:val="none" w:sz="0" w:space="0" w:color="auto"/>
            <w:bottom w:val="none" w:sz="0" w:space="0" w:color="auto"/>
            <w:right w:val="none" w:sz="0" w:space="0" w:color="auto"/>
          </w:divBdr>
        </w:div>
        <w:div w:id="1062362695">
          <w:marLeft w:val="0"/>
          <w:marRight w:val="0"/>
          <w:marTop w:val="0"/>
          <w:marBottom w:val="0"/>
          <w:divBdr>
            <w:top w:val="none" w:sz="0" w:space="0" w:color="auto"/>
            <w:left w:val="none" w:sz="0" w:space="0" w:color="auto"/>
            <w:bottom w:val="none" w:sz="0" w:space="0" w:color="auto"/>
            <w:right w:val="none" w:sz="0" w:space="0" w:color="auto"/>
          </w:divBdr>
        </w:div>
      </w:divsChild>
    </w:div>
    <w:div w:id="2048410000">
      <w:bodyDiv w:val="1"/>
      <w:marLeft w:val="0"/>
      <w:marRight w:val="0"/>
      <w:marTop w:val="0"/>
      <w:marBottom w:val="0"/>
      <w:divBdr>
        <w:top w:val="none" w:sz="0" w:space="0" w:color="auto"/>
        <w:left w:val="none" w:sz="0" w:space="0" w:color="auto"/>
        <w:bottom w:val="none" w:sz="0" w:space="0" w:color="auto"/>
        <w:right w:val="none" w:sz="0" w:space="0" w:color="auto"/>
      </w:divBdr>
      <w:divsChild>
        <w:div w:id="1664312676">
          <w:marLeft w:val="0"/>
          <w:marRight w:val="0"/>
          <w:marTop w:val="0"/>
          <w:marBottom w:val="0"/>
          <w:divBdr>
            <w:top w:val="none" w:sz="0" w:space="0" w:color="auto"/>
            <w:left w:val="none" w:sz="0" w:space="0" w:color="auto"/>
            <w:bottom w:val="none" w:sz="0" w:space="0" w:color="auto"/>
            <w:right w:val="none" w:sz="0" w:space="0" w:color="auto"/>
          </w:divBdr>
        </w:div>
        <w:div w:id="1335063943">
          <w:marLeft w:val="0"/>
          <w:marRight w:val="0"/>
          <w:marTop w:val="0"/>
          <w:marBottom w:val="0"/>
          <w:divBdr>
            <w:top w:val="none" w:sz="0" w:space="0" w:color="auto"/>
            <w:left w:val="none" w:sz="0" w:space="0" w:color="auto"/>
            <w:bottom w:val="none" w:sz="0" w:space="0" w:color="auto"/>
            <w:right w:val="none" w:sz="0" w:space="0" w:color="auto"/>
          </w:divBdr>
        </w:div>
        <w:div w:id="2031566406">
          <w:marLeft w:val="0"/>
          <w:marRight w:val="0"/>
          <w:marTop w:val="0"/>
          <w:marBottom w:val="0"/>
          <w:divBdr>
            <w:top w:val="none" w:sz="0" w:space="0" w:color="auto"/>
            <w:left w:val="none" w:sz="0" w:space="0" w:color="auto"/>
            <w:bottom w:val="none" w:sz="0" w:space="0" w:color="auto"/>
            <w:right w:val="none" w:sz="0" w:space="0" w:color="auto"/>
          </w:divBdr>
        </w:div>
        <w:div w:id="725298118">
          <w:marLeft w:val="0"/>
          <w:marRight w:val="0"/>
          <w:marTop w:val="0"/>
          <w:marBottom w:val="0"/>
          <w:divBdr>
            <w:top w:val="none" w:sz="0" w:space="0" w:color="auto"/>
            <w:left w:val="none" w:sz="0" w:space="0" w:color="auto"/>
            <w:bottom w:val="none" w:sz="0" w:space="0" w:color="auto"/>
            <w:right w:val="none" w:sz="0" w:space="0" w:color="auto"/>
          </w:divBdr>
        </w:div>
        <w:div w:id="1409377778">
          <w:marLeft w:val="0"/>
          <w:marRight w:val="0"/>
          <w:marTop w:val="0"/>
          <w:marBottom w:val="0"/>
          <w:divBdr>
            <w:top w:val="none" w:sz="0" w:space="0" w:color="auto"/>
            <w:left w:val="none" w:sz="0" w:space="0" w:color="auto"/>
            <w:bottom w:val="none" w:sz="0" w:space="0" w:color="auto"/>
            <w:right w:val="none" w:sz="0" w:space="0" w:color="auto"/>
          </w:divBdr>
        </w:div>
        <w:div w:id="705251476">
          <w:marLeft w:val="0"/>
          <w:marRight w:val="0"/>
          <w:marTop w:val="0"/>
          <w:marBottom w:val="0"/>
          <w:divBdr>
            <w:top w:val="none" w:sz="0" w:space="0" w:color="auto"/>
            <w:left w:val="none" w:sz="0" w:space="0" w:color="auto"/>
            <w:bottom w:val="none" w:sz="0" w:space="0" w:color="auto"/>
            <w:right w:val="none" w:sz="0" w:space="0" w:color="auto"/>
          </w:divBdr>
        </w:div>
        <w:div w:id="1730960425">
          <w:marLeft w:val="0"/>
          <w:marRight w:val="0"/>
          <w:marTop w:val="0"/>
          <w:marBottom w:val="0"/>
          <w:divBdr>
            <w:top w:val="none" w:sz="0" w:space="0" w:color="auto"/>
            <w:left w:val="none" w:sz="0" w:space="0" w:color="auto"/>
            <w:bottom w:val="none" w:sz="0" w:space="0" w:color="auto"/>
            <w:right w:val="none" w:sz="0" w:space="0" w:color="auto"/>
          </w:divBdr>
        </w:div>
        <w:div w:id="930502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B5681-2AB9-4F60-9416-66D1343D7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2450</Words>
  <Characters>13970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2022-05-02T11:36:00Z</dcterms:created>
  <dcterms:modified xsi:type="dcterms:W3CDTF">2022-05-02T11:36:00Z</dcterms:modified>
</cp:coreProperties>
</file>