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268"/>
        <w:gridCol w:w="2268"/>
        <w:gridCol w:w="2268"/>
        <w:gridCol w:w="2268"/>
        <w:gridCol w:w="2268"/>
        <w:gridCol w:w="2268"/>
      </w:tblGrid>
      <w:tr w:rsidR="002D68FC" w:rsidTr="00F05A6A">
        <w:tc>
          <w:tcPr>
            <w:tcW w:w="2268" w:type="dxa"/>
          </w:tcPr>
          <w:p w:rsidR="002D68FC" w:rsidRPr="003874B4" w:rsidRDefault="003134BF" w:rsidP="002D68FC">
            <w:pPr>
              <w:pStyle w:val="NoSpacing"/>
              <w:rPr>
                <w:sz w:val="16"/>
                <w:szCs w:val="16"/>
              </w:rPr>
            </w:pPr>
            <w:r>
              <w:rPr>
                <w:sz w:val="16"/>
                <w:szCs w:val="16"/>
              </w:rPr>
              <w:t xml:space="preserve"> </w:t>
            </w:r>
            <w:r w:rsidR="002D68FC" w:rsidRPr="003874B4">
              <w:rPr>
                <w:sz w:val="16"/>
                <w:szCs w:val="16"/>
              </w:rPr>
              <w:t xml:space="preserve">(1) </w:t>
            </w:r>
            <w:r w:rsidR="002D68FC" w:rsidRPr="00D873B3">
              <w:rPr>
                <w:strike/>
                <w:sz w:val="16"/>
                <w:szCs w:val="16"/>
              </w:rPr>
              <w:t>Advantages/Disadvantages</w:t>
            </w:r>
          </w:p>
        </w:tc>
        <w:tc>
          <w:tcPr>
            <w:tcW w:w="2268" w:type="dxa"/>
          </w:tcPr>
          <w:p w:rsidR="002D68FC" w:rsidRPr="00D04566" w:rsidRDefault="002D68FC" w:rsidP="002D68FC">
            <w:pPr>
              <w:pStyle w:val="NoSpacing"/>
              <w:rPr>
                <w:strike/>
                <w:sz w:val="16"/>
                <w:szCs w:val="16"/>
              </w:rPr>
            </w:pPr>
            <w:r w:rsidRPr="00D04566">
              <w:rPr>
                <w:strike/>
                <w:sz w:val="16"/>
                <w:szCs w:val="16"/>
              </w:rPr>
              <w:t>(6) Certainty/Uncertainty</w:t>
            </w:r>
          </w:p>
        </w:tc>
        <w:tc>
          <w:tcPr>
            <w:tcW w:w="2268" w:type="dxa"/>
          </w:tcPr>
          <w:p w:rsidR="002D68FC" w:rsidRPr="0021603F" w:rsidRDefault="002D68FC" w:rsidP="002D68FC">
            <w:pPr>
              <w:pStyle w:val="NoSpacing"/>
              <w:rPr>
                <w:sz w:val="16"/>
                <w:szCs w:val="16"/>
              </w:rPr>
            </w:pPr>
            <w:r w:rsidRPr="0021603F">
              <w:rPr>
                <w:sz w:val="16"/>
                <w:szCs w:val="16"/>
              </w:rPr>
              <w:t>(11</w:t>
            </w:r>
            <w:r w:rsidRPr="00342AA7">
              <w:rPr>
                <w:strike/>
                <w:sz w:val="16"/>
                <w:szCs w:val="16"/>
              </w:rPr>
              <w:t>) Explaining</w:t>
            </w:r>
          </w:p>
        </w:tc>
        <w:tc>
          <w:tcPr>
            <w:tcW w:w="2268" w:type="dxa"/>
          </w:tcPr>
          <w:p w:rsidR="002D68FC" w:rsidRPr="0030080B" w:rsidRDefault="002D68FC" w:rsidP="002D68FC">
            <w:pPr>
              <w:pStyle w:val="NoSpacing"/>
              <w:rPr>
                <w:sz w:val="16"/>
                <w:szCs w:val="16"/>
              </w:rPr>
            </w:pPr>
            <w:r w:rsidRPr="0030080B">
              <w:rPr>
                <w:sz w:val="16"/>
                <w:szCs w:val="16"/>
              </w:rPr>
              <w:t xml:space="preserve">(16) Linking </w:t>
            </w:r>
          </w:p>
        </w:tc>
        <w:tc>
          <w:tcPr>
            <w:tcW w:w="2268" w:type="dxa"/>
          </w:tcPr>
          <w:p w:rsidR="002D68FC" w:rsidRPr="00142CE7" w:rsidRDefault="002D68FC" w:rsidP="002D68FC">
            <w:pPr>
              <w:pStyle w:val="NoSpacing"/>
              <w:rPr>
                <w:sz w:val="16"/>
                <w:szCs w:val="16"/>
              </w:rPr>
            </w:pPr>
            <w:r w:rsidRPr="00142CE7">
              <w:rPr>
                <w:sz w:val="16"/>
                <w:szCs w:val="16"/>
              </w:rPr>
              <w:t xml:space="preserve">(21) </w:t>
            </w:r>
            <w:r w:rsidRPr="0086632A">
              <w:rPr>
                <w:strike/>
                <w:sz w:val="16"/>
                <w:szCs w:val="16"/>
              </w:rPr>
              <w:t>Referring back/forward</w:t>
            </w:r>
          </w:p>
        </w:tc>
        <w:tc>
          <w:tcPr>
            <w:tcW w:w="2268" w:type="dxa"/>
          </w:tcPr>
          <w:p w:rsidR="002D68FC" w:rsidRPr="006D5637" w:rsidRDefault="002D68FC" w:rsidP="006D5637">
            <w:pPr>
              <w:pStyle w:val="NoSpacing"/>
              <w:rPr>
                <w:sz w:val="16"/>
                <w:szCs w:val="16"/>
              </w:rPr>
            </w:pPr>
            <w:r w:rsidRPr="006D5637">
              <w:rPr>
                <w:sz w:val="16"/>
                <w:szCs w:val="16"/>
              </w:rPr>
              <w:t xml:space="preserve">(26) </w:t>
            </w:r>
            <w:r w:rsidRPr="00D873B3">
              <w:rPr>
                <w:strike/>
                <w:sz w:val="16"/>
                <w:szCs w:val="16"/>
              </w:rPr>
              <w:t>Background (DCW)</w:t>
            </w:r>
          </w:p>
        </w:tc>
      </w:tr>
      <w:tr w:rsidR="002D68FC" w:rsidTr="00F05A6A">
        <w:tc>
          <w:tcPr>
            <w:tcW w:w="2268" w:type="dxa"/>
          </w:tcPr>
          <w:p w:rsidR="002D68FC" w:rsidRPr="003874B4" w:rsidRDefault="002D68FC" w:rsidP="002D68FC">
            <w:pPr>
              <w:pStyle w:val="NoSpacing"/>
              <w:rPr>
                <w:sz w:val="16"/>
                <w:szCs w:val="16"/>
              </w:rPr>
            </w:pPr>
            <w:r w:rsidRPr="003874B4">
              <w:rPr>
                <w:sz w:val="16"/>
                <w:szCs w:val="16"/>
              </w:rPr>
              <w:t>(2) Agreeing/Disagreeing</w:t>
            </w:r>
          </w:p>
        </w:tc>
        <w:tc>
          <w:tcPr>
            <w:tcW w:w="2268" w:type="dxa"/>
          </w:tcPr>
          <w:p w:rsidR="002D68FC" w:rsidRPr="00EA199A" w:rsidRDefault="002D68FC" w:rsidP="002D68FC">
            <w:pPr>
              <w:pStyle w:val="NoSpacing"/>
              <w:rPr>
                <w:sz w:val="16"/>
                <w:szCs w:val="16"/>
              </w:rPr>
            </w:pPr>
            <w:r w:rsidRPr="00EA199A">
              <w:rPr>
                <w:sz w:val="16"/>
                <w:szCs w:val="16"/>
              </w:rPr>
              <w:t xml:space="preserve">(7) </w:t>
            </w:r>
            <w:r w:rsidRPr="00D873B3">
              <w:rPr>
                <w:strike/>
                <w:sz w:val="16"/>
                <w:szCs w:val="16"/>
              </w:rPr>
              <w:t>Concluding</w:t>
            </w:r>
          </w:p>
        </w:tc>
        <w:tc>
          <w:tcPr>
            <w:tcW w:w="2268" w:type="dxa"/>
          </w:tcPr>
          <w:p w:rsidR="002D68FC" w:rsidRPr="0021603F" w:rsidRDefault="002D68FC" w:rsidP="002D68FC">
            <w:pPr>
              <w:pStyle w:val="NoSpacing"/>
              <w:rPr>
                <w:sz w:val="16"/>
                <w:szCs w:val="16"/>
              </w:rPr>
            </w:pPr>
            <w:r w:rsidRPr="0021603F">
              <w:rPr>
                <w:sz w:val="16"/>
                <w:szCs w:val="16"/>
              </w:rPr>
              <w:t>(12) Giving examples</w:t>
            </w:r>
          </w:p>
        </w:tc>
        <w:tc>
          <w:tcPr>
            <w:tcW w:w="2268" w:type="dxa"/>
          </w:tcPr>
          <w:p w:rsidR="002D68FC" w:rsidRPr="0014740D" w:rsidRDefault="002D68FC" w:rsidP="002D68FC">
            <w:pPr>
              <w:pStyle w:val="NoSpacing"/>
              <w:rPr>
                <w:sz w:val="16"/>
                <w:szCs w:val="16"/>
              </w:rPr>
            </w:pPr>
            <w:r w:rsidRPr="0014740D">
              <w:rPr>
                <w:sz w:val="16"/>
                <w:szCs w:val="16"/>
              </w:rPr>
              <w:t>(17) Listing and ordering</w:t>
            </w:r>
          </w:p>
        </w:tc>
        <w:tc>
          <w:tcPr>
            <w:tcW w:w="2268" w:type="dxa"/>
          </w:tcPr>
          <w:p w:rsidR="002D68FC" w:rsidRPr="00142CE7" w:rsidRDefault="002D68FC" w:rsidP="002D68FC">
            <w:pPr>
              <w:pStyle w:val="NoSpacing"/>
              <w:rPr>
                <w:sz w:val="16"/>
                <w:szCs w:val="16"/>
              </w:rPr>
            </w:pPr>
            <w:r w:rsidRPr="00142CE7">
              <w:rPr>
                <w:sz w:val="16"/>
                <w:szCs w:val="16"/>
              </w:rPr>
              <w:t>(22) Related/Unrelated</w:t>
            </w:r>
          </w:p>
        </w:tc>
        <w:tc>
          <w:tcPr>
            <w:tcW w:w="2268" w:type="dxa"/>
          </w:tcPr>
          <w:p w:rsidR="002D68FC" w:rsidRPr="006D5637" w:rsidRDefault="002D68FC" w:rsidP="002D68FC">
            <w:pPr>
              <w:pStyle w:val="NoSpacing"/>
              <w:rPr>
                <w:sz w:val="16"/>
                <w:szCs w:val="16"/>
              </w:rPr>
            </w:pPr>
          </w:p>
        </w:tc>
      </w:tr>
      <w:tr w:rsidR="002D68FC" w:rsidTr="00F05A6A">
        <w:tc>
          <w:tcPr>
            <w:tcW w:w="2268" w:type="dxa"/>
          </w:tcPr>
          <w:p w:rsidR="002D68FC" w:rsidRPr="003874B4" w:rsidRDefault="002D68FC" w:rsidP="002D68FC">
            <w:pPr>
              <w:pStyle w:val="NoSpacing"/>
              <w:rPr>
                <w:sz w:val="16"/>
                <w:szCs w:val="16"/>
              </w:rPr>
            </w:pPr>
            <w:r w:rsidRPr="003874B4">
              <w:rPr>
                <w:sz w:val="16"/>
                <w:szCs w:val="16"/>
              </w:rPr>
              <w:t xml:space="preserve">(3) </w:t>
            </w:r>
            <w:r w:rsidRPr="00D873B3">
              <w:rPr>
                <w:strike/>
                <w:sz w:val="16"/>
                <w:szCs w:val="16"/>
              </w:rPr>
              <w:t>Aim/Purpose</w:t>
            </w:r>
          </w:p>
        </w:tc>
        <w:tc>
          <w:tcPr>
            <w:tcW w:w="2268" w:type="dxa"/>
          </w:tcPr>
          <w:p w:rsidR="002D68FC" w:rsidRPr="00EA199A" w:rsidRDefault="002D68FC" w:rsidP="002D68FC">
            <w:pPr>
              <w:pStyle w:val="NoSpacing"/>
              <w:rPr>
                <w:sz w:val="16"/>
                <w:szCs w:val="16"/>
              </w:rPr>
            </w:pPr>
            <w:r w:rsidRPr="00EA199A">
              <w:rPr>
                <w:sz w:val="16"/>
                <w:szCs w:val="16"/>
              </w:rPr>
              <w:t xml:space="preserve">(8) </w:t>
            </w:r>
            <w:r w:rsidRPr="00D873B3">
              <w:rPr>
                <w:strike/>
                <w:sz w:val="16"/>
                <w:szCs w:val="16"/>
              </w:rPr>
              <w:t>Decreasing/Increasing</w:t>
            </w:r>
          </w:p>
        </w:tc>
        <w:tc>
          <w:tcPr>
            <w:tcW w:w="2268" w:type="dxa"/>
          </w:tcPr>
          <w:p w:rsidR="002D68FC" w:rsidRPr="0030080B" w:rsidRDefault="002D68FC" w:rsidP="002D68FC">
            <w:pPr>
              <w:pStyle w:val="NoSpacing"/>
              <w:rPr>
                <w:sz w:val="16"/>
                <w:szCs w:val="16"/>
              </w:rPr>
            </w:pPr>
            <w:r w:rsidRPr="0030080B">
              <w:rPr>
                <w:sz w:val="16"/>
                <w:szCs w:val="16"/>
              </w:rPr>
              <w:t xml:space="preserve">(13) </w:t>
            </w:r>
            <w:r w:rsidRPr="00342AA7">
              <w:rPr>
                <w:strike/>
                <w:sz w:val="16"/>
                <w:szCs w:val="16"/>
              </w:rPr>
              <w:t>Giving exceptions</w:t>
            </w:r>
          </w:p>
        </w:tc>
        <w:tc>
          <w:tcPr>
            <w:tcW w:w="2268" w:type="dxa"/>
          </w:tcPr>
          <w:p w:rsidR="002D68FC" w:rsidRPr="0014740D" w:rsidRDefault="002D68FC" w:rsidP="002D68FC">
            <w:pPr>
              <w:pStyle w:val="NoSpacing"/>
              <w:rPr>
                <w:sz w:val="16"/>
                <w:szCs w:val="16"/>
              </w:rPr>
            </w:pPr>
            <w:r w:rsidRPr="0014740D">
              <w:rPr>
                <w:sz w:val="16"/>
                <w:szCs w:val="16"/>
              </w:rPr>
              <w:t>(18) Making generalisations</w:t>
            </w:r>
          </w:p>
        </w:tc>
        <w:tc>
          <w:tcPr>
            <w:tcW w:w="2268" w:type="dxa"/>
          </w:tcPr>
          <w:p w:rsidR="002D68FC" w:rsidRPr="0021603F" w:rsidRDefault="002D68FC" w:rsidP="002D68FC">
            <w:pPr>
              <w:pStyle w:val="NoSpacing"/>
              <w:rPr>
                <w:sz w:val="16"/>
                <w:szCs w:val="16"/>
              </w:rPr>
            </w:pPr>
            <w:r w:rsidRPr="00142CE7">
              <w:rPr>
                <w:sz w:val="16"/>
                <w:szCs w:val="16"/>
              </w:rPr>
              <w:t xml:space="preserve">(23) </w:t>
            </w:r>
            <w:r w:rsidRPr="00D873B3">
              <w:rPr>
                <w:strike/>
                <w:sz w:val="16"/>
                <w:szCs w:val="16"/>
              </w:rPr>
              <w:t>Showing/Proving</w:t>
            </w:r>
          </w:p>
        </w:tc>
        <w:tc>
          <w:tcPr>
            <w:tcW w:w="2268" w:type="dxa"/>
          </w:tcPr>
          <w:p w:rsidR="002D68FC" w:rsidRPr="006D5637" w:rsidRDefault="002D68FC" w:rsidP="002D68FC">
            <w:pPr>
              <w:pStyle w:val="NoSpacing"/>
              <w:rPr>
                <w:sz w:val="16"/>
                <w:szCs w:val="16"/>
              </w:rPr>
            </w:pPr>
          </w:p>
        </w:tc>
      </w:tr>
      <w:tr w:rsidR="002D68FC" w:rsidTr="00F05A6A">
        <w:tc>
          <w:tcPr>
            <w:tcW w:w="2268" w:type="dxa"/>
          </w:tcPr>
          <w:p w:rsidR="002D68FC" w:rsidRPr="00EA199A" w:rsidRDefault="002D68FC" w:rsidP="002D68FC">
            <w:pPr>
              <w:pStyle w:val="NoSpacing"/>
              <w:rPr>
                <w:sz w:val="16"/>
                <w:szCs w:val="16"/>
              </w:rPr>
            </w:pPr>
            <w:r w:rsidRPr="00EA199A">
              <w:rPr>
                <w:sz w:val="16"/>
                <w:szCs w:val="16"/>
              </w:rPr>
              <w:t xml:space="preserve">(4) </w:t>
            </w:r>
            <w:r w:rsidRPr="000E3DCB">
              <w:rPr>
                <w:strike/>
                <w:sz w:val="16"/>
                <w:szCs w:val="16"/>
              </w:rPr>
              <w:t>Approximate/Exact</w:t>
            </w:r>
          </w:p>
        </w:tc>
        <w:tc>
          <w:tcPr>
            <w:tcW w:w="2268" w:type="dxa"/>
          </w:tcPr>
          <w:p w:rsidR="002D68FC" w:rsidRPr="0021603F" w:rsidRDefault="002D68FC" w:rsidP="002D68FC">
            <w:pPr>
              <w:pStyle w:val="NoSpacing"/>
              <w:rPr>
                <w:sz w:val="16"/>
                <w:szCs w:val="16"/>
              </w:rPr>
            </w:pPr>
            <w:r w:rsidRPr="0021603F">
              <w:rPr>
                <w:sz w:val="16"/>
                <w:szCs w:val="16"/>
              </w:rPr>
              <w:t xml:space="preserve">(9)  </w:t>
            </w:r>
            <w:r w:rsidRPr="002A6307">
              <w:rPr>
                <w:strike/>
                <w:sz w:val="16"/>
                <w:szCs w:val="16"/>
              </w:rPr>
              <w:t>Effects</w:t>
            </w:r>
          </w:p>
        </w:tc>
        <w:tc>
          <w:tcPr>
            <w:tcW w:w="2268" w:type="dxa"/>
          </w:tcPr>
          <w:p w:rsidR="002D68FC" w:rsidRPr="0030080B" w:rsidRDefault="002D68FC" w:rsidP="002D68FC">
            <w:pPr>
              <w:pStyle w:val="NoSpacing"/>
              <w:rPr>
                <w:sz w:val="16"/>
                <w:szCs w:val="16"/>
              </w:rPr>
            </w:pPr>
            <w:r w:rsidRPr="0030080B">
              <w:rPr>
                <w:sz w:val="16"/>
                <w:szCs w:val="16"/>
              </w:rPr>
              <w:t>(14) Giving opinions</w:t>
            </w:r>
          </w:p>
        </w:tc>
        <w:tc>
          <w:tcPr>
            <w:tcW w:w="2268" w:type="dxa"/>
          </w:tcPr>
          <w:p w:rsidR="002D68FC" w:rsidRPr="0014740D" w:rsidRDefault="002D68FC" w:rsidP="002D68FC">
            <w:pPr>
              <w:pStyle w:val="NoSpacing"/>
              <w:rPr>
                <w:sz w:val="16"/>
                <w:szCs w:val="16"/>
              </w:rPr>
            </w:pPr>
            <w:r w:rsidRPr="0014740D">
              <w:rPr>
                <w:sz w:val="16"/>
                <w:szCs w:val="16"/>
              </w:rPr>
              <w:t xml:space="preserve">(19) </w:t>
            </w:r>
            <w:r w:rsidRPr="0086632A">
              <w:rPr>
                <w:strike/>
                <w:sz w:val="16"/>
                <w:szCs w:val="16"/>
              </w:rPr>
              <w:t>Problems/Solutions</w:t>
            </w:r>
          </w:p>
        </w:tc>
        <w:tc>
          <w:tcPr>
            <w:tcW w:w="2268" w:type="dxa"/>
          </w:tcPr>
          <w:p w:rsidR="002D68FC" w:rsidRPr="0021603F" w:rsidRDefault="002D68FC" w:rsidP="002D68FC">
            <w:pPr>
              <w:pStyle w:val="NoSpacing"/>
              <w:rPr>
                <w:sz w:val="16"/>
                <w:szCs w:val="16"/>
              </w:rPr>
            </w:pPr>
            <w:r w:rsidRPr="00142CE7">
              <w:rPr>
                <w:sz w:val="16"/>
                <w:szCs w:val="16"/>
              </w:rPr>
              <w:t>(24) Study/Research</w:t>
            </w:r>
          </w:p>
        </w:tc>
        <w:tc>
          <w:tcPr>
            <w:tcW w:w="2268" w:type="dxa"/>
          </w:tcPr>
          <w:p w:rsidR="002D68FC" w:rsidRPr="006D5637" w:rsidRDefault="002D68FC" w:rsidP="002D68FC">
            <w:pPr>
              <w:pStyle w:val="NoSpacing"/>
              <w:rPr>
                <w:sz w:val="16"/>
                <w:szCs w:val="16"/>
              </w:rPr>
            </w:pPr>
          </w:p>
        </w:tc>
      </w:tr>
      <w:tr w:rsidR="002D68FC" w:rsidTr="00F05A6A">
        <w:tc>
          <w:tcPr>
            <w:tcW w:w="2268" w:type="dxa"/>
          </w:tcPr>
          <w:p w:rsidR="002D68FC" w:rsidRPr="00EA199A" w:rsidRDefault="00152026" w:rsidP="002D68FC">
            <w:pPr>
              <w:pStyle w:val="NoSpacing"/>
              <w:rPr>
                <w:sz w:val="16"/>
                <w:szCs w:val="16"/>
              </w:rPr>
            </w:pPr>
            <w:r>
              <w:rPr>
                <w:sz w:val="16"/>
                <w:szCs w:val="16"/>
              </w:rPr>
              <w:t xml:space="preserve"> </w:t>
            </w:r>
            <w:r w:rsidR="002D68FC" w:rsidRPr="00EA199A">
              <w:rPr>
                <w:sz w:val="16"/>
                <w:szCs w:val="16"/>
              </w:rPr>
              <w:t xml:space="preserve">(5) </w:t>
            </w:r>
            <w:r w:rsidR="002D68FC" w:rsidRPr="00617409">
              <w:rPr>
                <w:strike/>
                <w:sz w:val="16"/>
                <w:szCs w:val="16"/>
              </w:rPr>
              <w:t>Causes</w:t>
            </w:r>
          </w:p>
        </w:tc>
        <w:tc>
          <w:tcPr>
            <w:tcW w:w="2268" w:type="dxa"/>
          </w:tcPr>
          <w:p w:rsidR="002D68FC" w:rsidRPr="0021603F" w:rsidRDefault="002D68FC" w:rsidP="002D68FC">
            <w:pPr>
              <w:pStyle w:val="NoSpacing"/>
              <w:rPr>
                <w:sz w:val="16"/>
                <w:szCs w:val="16"/>
              </w:rPr>
            </w:pPr>
            <w:r w:rsidRPr="0021603F">
              <w:rPr>
                <w:sz w:val="16"/>
                <w:szCs w:val="16"/>
              </w:rPr>
              <w:t xml:space="preserve">(10) </w:t>
            </w:r>
            <w:r w:rsidRPr="00E76974">
              <w:rPr>
                <w:strike/>
                <w:sz w:val="16"/>
                <w:szCs w:val="16"/>
              </w:rPr>
              <w:t>Emphasizing</w:t>
            </w:r>
          </w:p>
        </w:tc>
        <w:tc>
          <w:tcPr>
            <w:tcW w:w="2268" w:type="dxa"/>
          </w:tcPr>
          <w:p w:rsidR="002D68FC" w:rsidRPr="0030080B" w:rsidRDefault="002D68FC" w:rsidP="002D68FC">
            <w:pPr>
              <w:pStyle w:val="NoSpacing"/>
              <w:rPr>
                <w:sz w:val="16"/>
                <w:szCs w:val="16"/>
              </w:rPr>
            </w:pPr>
            <w:r w:rsidRPr="0030080B">
              <w:rPr>
                <w:sz w:val="16"/>
                <w:szCs w:val="16"/>
              </w:rPr>
              <w:t>(15) Giving reasons</w:t>
            </w:r>
          </w:p>
        </w:tc>
        <w:tc>
          <w:tcPr>
            <w:tcW w:w="2268" w:type="dxa"/>
          </w:tcPr>
          <w:p w:rsidR="002D68FC" w:rsidRPr="0014740D" w:rsidRDefault="002D68FC" w:rsidP="002D68FC">
            <w:pPr>
              <w:pStyle w:val="NoSpacing"/>
              <w:rPr>
                <w:sz w:val="16"/>
                <w:szCs w:val="16"/>
              </w:rPr>
            </w:pPr>
            <w:r w:rsidRPr="0014740D">
              <w:rPr>
                <w:sz w:val="16"/>
                <w:szCs w:val="16"/>
              </w:rPr>
              <w:t>(20) Quoting people</w:t>
            </w:r>
          </w:p>
        </w:tc>
        <w:tc>
          <w:tcPr>
            <w:tcW w:w="2268" w:type="dxa"/>
          </w:tcPr>
          <w:p w:rsidR="002D68FC" w:rsidRPr="000C010F" w:rsidRDefault="002D68FC" w:rsidP="002D68FC">
            <w:pPr>
              <w:pStyle w:val="NoSpacing"/>
              <w:rPr>
                <w:sz w:val="16"/>
                <w:szCs w:val="16"/>
              </w:rPr>
            </w:pPr>
            <w:r w:rsidRPr="000C010F">
              <w:rPr>
                <w:sz w:val="16"/>
                <w:szCs w:val="16"/>
              </w:rPr>
              <w:t>(25) Subjects/Topics</w:t>
            </w:r>
          </w:p>
        </w:tc>
        <w:tc>
          <w:tcPr>
            <w:tcW w:w="2268" w:type="dxa"/>
          </w:tcPr>
          <w:p w:rsidR="002D68FC" w:rsidRPr="00142CE7" w:rsidRDefault="002D68FC" w:rsidP="002D68FC">
            <w:pPr>
              <w:pStyle w:val="NoSpacing"/>
              <w:rPr>
                <w:sz w:val="16"/>
                <w:szCs w:val="16"/>
              </w:rPr>
            </w:pPr>
          </w:p>
        </w:tc>
      </w:tr>
    </w:tbl>
    <w:p w:rsidR="00C6645F" w:rsidRDefault="00C6645F" w:rsidP="00894E3A">
      <w:pPr>
        <w:pStyle w:val="NoSpacing"/>
        <w:rPr>
          <w:sz w:val="16"/>
          <w:szCs w:val="16"/>
        </w:rPr>
      </w:pPr>
    </w:p>
    <w:p w:rsidR="00D94019" w:rsidRPr="006F78C6" w:rsidRDefault="00A87C90" w:rsidP="002A3551">
      <w:pPr>
        <w:pStyle w:val="NoSpacing"/>
        <w:spacing w:line="360" w:lineRule="auto"/>
        <w:rPr>
          <w:b/>
          <w:sz w:val="24"/>
          <w:szCs w:val="24"/>
        </w:rPr>
      </w:pPr>
      <w:r w:rsidRPr="006F78C6">
        <w:rPr>
          <w:b/>
          <w:sz w:val="24"/>
          <w:szCs w:val="24"/>
        </w:rPr>
        <w:t xml:space="preserve"> </w:t>
      </w:r>
      <w:r w:rsidR="006F78C6" w:rsidRPr="006F78C6">
        <w:rPr>
          <w:b/>
          <w:sz w:val="24"/>
          <w:szCs w:val="24"/>
        </w:rPr>
        <w:t>(</w:t>
      </w:r>
      <w:r w:rsidR="006F78C6">
        <w:rPr>
          <w:b/>
          <w:sz w:val="24"/>
          <w:szCs w:val="24"/>
        </w:rPr>
        <w:t>1</w:t>
      </w:r>
      <w:r w:rsidR="006F78C6" w:rsidRPr="006F78C6">
        <w:rPr>
          <w:b/>
          <w:sz w:val="24"/>
          <w:szCs w:val="24"/>
          <w:vertAlign w:val="superscript"/>
        </w:rPr>
        <w:t>st</w:t>
      </w:r>
      <w:r w:rsidR="006F78C6">
        <w:rPr>
          <w:b/>
          <w:sz w:val="24"/>
          <w:szCs w:val="24"/>
        </w:rPr>
        <w:t xml:space="preserve"> SAMPLE</w:t>
      </w:r>
      <w:r w:rsidR="006F78C6" w:rsidRPr="006F78C6">
        <w:rPr>
          <w:b/>
          <w:sz w:val="24"/>
          <w:szCs w:val="24"/>
        </w:rPr>
        <w:t xml:space="preserve">) </w:t>
      </w:r>
      <w:r w:rsidR="006F78C6">
        <w:rPr>
          <w:b/>
          <w:sz w:val="24"/>
          <w:szCs w:val="24"/>
        </w:rPr>
        <w:t xml:space="preserve">- </w:t>
      </w:r>
      <w:r w:rsidR="003A6748">
        <w:rPr>
          <w:b/>
          <w:sz w:val="24"/>
          <w:szCs w:val="24"/>
        </w:rPr>
        <w:t>L</w:t>
      </w:r>
      <w:r w:rsidR="006F78C6" w:rsidRPr="006F78C6">
        <w:rPr>
          <w:b/>
          <w:sz w:val="24"/>
          <w:szCs w:val="24"/>
        </w:rPr>
        <w:t>anguage for the 25 topics extracted from report on Microchips Plc</w:t>
      </w:r>
    </w:p>
    <w:tbl>
      <w:tblPr>
        <w:tblStyle w:val="TableGrid"/>
        <w:tblW w:w="0" w:type="auto"/>
        <w:tblLayout w:type="fixed"/>
        <w:tblLook w:val="04A0" w:firstRow="1" w:lastRow="0" w:firstColumn="1" w:lastColumn="0" w:noHBand="0" w:noVBand="1"/>
      </w:tblPr>
      <w:tblGrid>
        <w:gridCol w:w="3232"/>
        <w:gridCol w:w="3709"/>
        <w:gridCol w:w="3095"/>
        <w:gridCol w:w="3402"/>
      </w:tblGrid>
      <w:tr w:rsidR="00665432" w:rsidTr="00665432">
        <w:trPr>
          <w:trHeight w:val="812"/>
        </w:trPr>
        <w:tc>
          <w:tcPr>
            <w:tcW w:w="3232" w:type="dxa"/>
            <w:vMerge w:val="restart"/>
          </w:tcPr>
          <w:p w:rsidR="00665432" w:rsidRPr="004F2E53" w:rsidRDefault="00665432" w:rsidP="002A3551">
            <w:pPr>
              <w:pStyle w:val="NoSpacing"/>
              <w:spacing w:line="360" w:lineRule="auto"/>
              <w:rPr>
                <w:sz w:val="24"/>
                <w:szCs w:val="24"/>
              </w:rPr>
            </w:pPr>
            <w:r w:rsidRPr="004F2E53">
              <w:rPr>
                <w:sz w:val="24"/>
                <w:szCs w:val="24"/>
              </w:rPr>
              <w:t>(1) Advantages/Disadvantages</w:t>
            </w:r>
          </w:p>
        </w:tc>
        <w:tc>
          <w:tcPr>
            <w:tcW w:w="3709" w:type="dxa"/>
          </w:tcPr>
          <w:p w:rsidR="00665432" w:rsidRPr="00464982" w:rsidRDefault="00665432" w:rsidP="00464982">
            <w:pPr>
              <w:pStyle w:val="NoSpacing"/>
              <w:rPr>
                <w:sz w:val="20"/>
                <w:szCs w:val="20"/>
              </w:rPr>
            </w:pPr>
            <w:r w:rsidRPr="00464982">
              <w:rPr>
                <w:b/>
                <w:sz w:val="20"/>
                <w:szCs w:val="20"/>
              </w:rPr>
              <w:t>1.4 Benefits</w:t>
            </w:r>
            <w:r w:rsidRPr="00464982">
              <w:rPr>
                <w:sz w:val="20"/>
                <w:szCs w:val="20"/>
              </w:rPr>
              <w:t xml:space="preserve"> - The recommendations and analysis provided by this report </w:t>
            </w:r>
            <w:r w:rsidRPr="00263C80">
              <w:rPr>
                <w:b/>
                <w:color w:val="FF0000"/>
                <w:sz w:val="20"/>
                <w:szCs w:val="20"/>
              </w:rPr>
              <w:t>will allow</w:t>
            </w:r>
            <w:r w:rsidRPr="00263C80">
              <w:rPr>
                <w:color w:val="FF0000"/>
                <w:sz w:val="20"/>
                <w:szCs w:val="20"/>
              </w:rPr>
              <w:t xml:space="preserve"> </w:t>
            </w:r>
            <w:r w:rsidRPr="00464982">
              <w:rPr>
                <w:sz w:val="20"/>
                <w:szCs w:val="20"/>
              </w:rPr>
              <w:t xml:space="preserve">the Board of Directors to make decisions on the future of </w:t>
            </w:r>
          </w:p>
          <w:p w:rsidR="00665432" w:rsidRPr="00464982" w:rsidRDefault="00665432" w:rsidP="00464982">
            <w:pPr>
              <w:pStyle w:val="NoSpacing"/>
              <w:rPr>
                <w:sz w:val="20"/>
                <w:szCs w:val="20"/>
              </w:rPr>
            </w:pPr>
            <w:r w:rsidRPr="00464982">
              <w:rPr>
                <w:sz w:val="20"/>
                <w:szCs w:val="20"/>
              </w:rPr>
              <w:t xml:space="preserve">Microchips plc </w:t>
            </w:r>
            <w:r w:rsidRPr="00263C80">
              <w:rPr>
                <w:b/>
                <w:color w:val="FF0000"/>
                <w:sz w:val="20"/>
                <w:szCs w:val="20"/>
              </w:rPr>
              <w:t>to improve</w:t>
            </w:r>
            <w:r w:rsidRPr="00263C80">
              <w:rPr>
                <w:color w:val="FF0000"/>
                <w:sz w:val="20"/>
                <w:szCs w:val="20"/>
              </w:rPr>
              <w:t xml:space="preserve"> </w:t>
            </w:r>
            <w:r w:rsidRPr="00464982">
              <w:rPr>
                <w:sz w:val="20"/>
                <w:szCs w:val="20"/>
              </w:rPr>
              <w:t xml:space="preserve">financial </w:t>
            </w:r>
          </w:p>
          <w:p w:rsidR="00665432" w:rsidRPr="006D5A61" w:rsidRDefault="00665432" w:rsidP="00665432">
            <w:pPr>
              <w:pStyle w:val="NoSpacing"/>
            </w:pPr>
            <w:r w:rsidRPr="00464982">
              <w:rPr>
                <w:sz w:val="20"/>
                <w:szCs w:val="20"/>
              </w:rPr>
              <w:t xml:space="preserve">performance and benefit </w:t>
            </w:r>
            <w:r>
              <w:rPr>
                <w:sz w:val="20"/>
                <w:szCs w:val="20"/>
              </w:rPr>
              <w:t>s</w:t>
            </w:r>
            <w:r w:rsidRPr="00464982">
              <w:rPr>
                <w:sz w:val="20"/>
                <w:szCs w:val="20"/>
              </w:rPr>
              <w:t>hareholders</w:t>
            </w:r>
          </w:p>
        </w:tc>
        <w:tc>
          <w:tcPr>
            <w:tcW w:w="3095" w:type="dxa"/>
            <w:vMerge w:val="restart"/>
          </w:tcPr>
          <w:p w:rsidR="00665432" w:rsidRPr="006D5A61" w:rsidRDefault="00665432" w:rsidP="00664CA9">
            <w:pPr>
              <w:spacing w:line="360" w:lineRule="auto"/>
              <w:ind w:right="-868"/>
              <w:jc w:val="both"/>
              <w:rPr>
                <w:rFonts w:asciiTheme="minorHAnsi" w:hAnsiTheme="minorHAnsi" w:cs="Arial"/>
                <w:sz w:val="20"/>
                <w:szCs w:val="20"/>
              </w:rPr>
            </w:pPr>
          </w:p>
        </w:tc>
        <w:tc>
          <w:tcPr>
            <w:tcW w:w="3402" w:type="dxa"/>
            <w:vMerge w:val="restart"/>
          </w:tcPr>
          <w:p w:rsidR="00665432" w:rsidRPr="006D5A61" w:rsidRDefault="00665432" w:rsidP="00664CA9">
            <w:pPr>
              <w:spacing w:line="360" w:lineRule="auto"/>
              <w:ind w:right="-868"/>
              <w:jc w:val="both"/>
              <w:rPr>
                <w:rFonts w:asciiTheme="minorHAnsi" w:hAnsiTheme="minorHAnsi" w:cs="Arial"/>
                <w:sz w:val="20"/>
                <w:szCs w:val="20"/>
              </w:rPr>
            </w:pPr>
          </w:p>
        </w:tc>
      </w:tr>
      <w:tr w:rsidR="00665432" w:rsidTr="004733E9">
        <w:trPr>
          <w:trHeight w:val="811"/>
        </w:trPr>
        <w:tc>
          <w:tcPr>
            <w:tcW w:w="3232" w:type="dxa"/>
            <w:vMerge/>
          </w:tcPr>
          <w:p w:rsidR="00665432" w:rsidRPr="004F2E53" w:rsidRDefault="00665432" w:rsidP="002A3551">
            <w:pPr>
              <w:pStyle w:val="NoSpacing"/>
              <w:spacing w:line="360" w:lineRule="auto"/>
              <w:rPr>
                <w:sz w:val="24"/>
                <w:szCs w:val="24"/>
              </w:rPr>
            </w:pPr>
          </w:p>
        </w:tc>
        <w:tc>
          <w:tcPr>
            <w:tcW w:w="3709" w:type="dxa"/>
          </w:tcPr>
          <w:p w:rsidR="00665432" w:rsidRPr="004D1A23" w:rsidRDefault="00665432" w:rsidP="00464982">
            <w:pPr>
              <w:pStyle w:val="NoSpacing"/>
              <w:rPr>
                <w:b/>
                <w:color w:val="00B050"/>
                <w:sz w:val="20"/>
                <w:szCs w:val="20"/>
              </w:rPr>
            </w:pPr>
            <w:r w:rsidRPr="004D1A23">
              <w:rPr>
                <w:b/>
                <w:color w:val="00B050"/>
                <w:sz w:val="20"/>
                <w:szCs w:val="20"/>
              </w:rPr>
              <w:t xml:space="preserve">Future simple tense </w:t>
            </w:r>
          </w:p>
          <w:p w:rsidR="00665432" w:rsidRPr="00464982" w:rsidRDefault="00665432" w:rsidP="00546F51">
            <w:pPr>
              <w:pStyle w:val="NoSpacing"/>
              <w:rPr>
                <w:b/>
                <w:sz w:val="20"/>
                <w:szCs w:val="20"/>
              </w:rPr>
            </w:pPr>
            <w:r w:rsidRPr="004D1A23">
              <w:rPr>
                <w:b/>
                <w:color w:val="00B050"/>
                <w:sz w:val="20"/>
                <w:szCs w:val="20"/>
              </w:rPr>
              <w:t>Full infinitive</w:t>
            </w:r>
          </w:p>
        </w:tc>
        <w:tc>
          <w:tcPr>
            <w:tcW w:w="3095" w:type="dxa"/>
            <w:vMerge/>
          </w:tcPr>
          <w:p w:rsidR="00665432" w:rsidRPr="006D5A61" w:rsidRDefault="00665432" w:rsidP="00664CA9">
            <w:pPr>
              <w:spacing w:line="360" w:lineRule="auto"/>
              <w:ind w:right="-868"/>
              <w:jc w:val="both"/>
              <w:rPr>
                <w:rFonts w:asciiTheme="minorHAnsi" w:hAnsiTheme="minorHAnsi" w:cs="Arial"/>
                <w:sz w:val="20"/>
                <w:szCs w:val="20"/>
              </w:rPr>
            </w:pPr>
          </w:p>
        </w:tc>
        <w:tc>
          <w:tcPr>
            <w:tcW w:w="3402" w:type="dxa"/>
            <w:vMerge/>
          </w:tcPr>
          <w:p w:rsidR="00665432" w:rsidRPr="006D5A61" w:rsidRDefault="00665432" w:rsidP="00664CA9">
            <w:pPr>
              <w:spacing w:line="360" w:lineRule="auto"/>
              <w:ind w:right="-868"/>
              <w:jc w:val="both"/>
              <w:rPr>
                <w:rFonts w:asciiTheme="minorHAnsi" w:hAnsiTheme="minorHAnsi" w:cs="Arial"/>
                <w:sz w:val="20"/>
                <w:szCs w:val="20"/>
              </w:rPr>
            </w:pPr>
          </w:p>
        </w:tc>
      </w:tr>
      <w:tr w:rsidR="004250A8" w:rsidTr="004733E9">
        <w:tc>
          <w:tcPr>
            <w:tcW w:w="3232" w:type="dxa"/>
          </w:tcPr>
          <w:p w:rsidR="004250A8" w:rsidRPr="004F2E53" w:rsidRDefault="004250A8" w:rsidP="00D94019">
            <w:pPr>
              <w:pStyle w:val="NoSpacing"/>
              <w:spacing w:line="360" w:lineRule="auto"/>
              <w:rPr>
                <w:sz w:val="24"/>
                <w:szCs w:val="24"/>
              </w:rPr>
            </w:pPr>
            <w:r w:rsidRPr="004F2E53">
              <w:rPr>
                <w:sz w:val="24"/>
                <w:szCs w:val="24"/>
              </w:rPr>
              <w:t>(2) Agreeing/Disagreeing</w:t>
            </w:r>
          </w:p>
        </w:tc>
        <w:tc>
          <w:tcPr>
            <w:tcW w:w="3709" w:type="dxa"/>
          </w:tcPr>
          <w:p w:rsidR="004250A8" w:rsidRPr="006D5A61" w:rsidRDefault="004250A8" w:rsidP="00664CA9">
            <w:pPr>
              <w:pStyle w:val="NoSpacing"/>
              <w:spacing w:line="360" w:lineRule="auto"/>
              <w:jc w:val="both"/>
              <w:rPr>
                <w:sz w:val="20"/>
                <w:szCs w:val="20"/>
              </w:rPr>
            </w:pPr>
          </w:p>
        </w:tc>
        <w:tc>
          <w:tcPr>
            <w:tcW w:w="3095" w:type="dxa"/>
          </w:tcPr>
          <w:p w:rsidR="004250A8" w:rsidRPr="006D5A61" w:rsidRDefault="004250A8" w:rsidP="00664CA9">
            <w:pPr>
              <w:pStyle w:val="NoSpacing"/>
              <w:spacing w:line="360" w:lineRule="auto"/>
              <w:jc w:val="both"/>
              <w:rPr>
                <w:sz w:val="20"/>
                <w:szCs w:val="20"/>
              </w:rPr>
            </w:pPr>
          </w:p>
        </w:tc>
        <w:tc>
          <w:tcPr>
            <w:tcW w:w="3402" w:type="dxa"/>
          </w:tcPr>
          <w:p w:rsidR="004250A8" w:rsidRPr="006D5A61" w:rsidRDefault="004250A8" w:rsidP="00664CA9">
            <w:pPr>
              <w:pStyle w:val="NoSpacing"/>
              <w:spacing w:line="360" w:lineRule="auto"/>
              <w:jc w:val="both"/>
              <w:rPr>
                <w:sz w:val="20"/>
                <w:szCs w:val="20"/>
              </w:rPr>
            </w:pPr>
          </w:p>
        </w:tc>
      </w:tr>
      <w:tr w:rsidR="00546F51" w:rsidTr="00546F51">
        <w:trPr>
          <w:trHeight w:val="876"/>
        </w:trPr>
        <w:tc>
          <w:tcPr>
            <w:tcW w:w="3232" w:type="dxa"/>
            <w:vMerge w:val="restart"/>
          </w:tcPr>
          <w:p w:rsidR="00546F51" w:rsidRPr="004F2E53" w:rsidRDefault="00546F51" w:rsidP="00D94019">
            <w:pPr>
              <w:pStyle w:val="NoSpacing"/>
              <w:spacing w:line="360" w:lineRule="auto"/>
              <w:rPr>
                <w:sz w:val="24"/>
                <w:szCs w:val="24"/>
              </w:rPr>
            </w:pPr>
            <w:r w:rsidRPr="004F2E53">
              <w:rPr>
                <w:sz w:val="24"/>
                <w:szCs w:val="24"/>
              </w:rPr>
              <w:t>(3) Aim/Purpose</w:t>
            </w:r>
          </w:p>
        </w:tc>
        <w:tc>
          <w:tcPr>
            <w:tcW w:w="3709" w:type="dxa"/>
          </w:tcPr>
          <w:p w:rsidR="00546F51" w:rsidRPr="006D5A61" w:rsidRDefault="00546F51" w:rsidP="00464982">
            <w:pPr>
              <w:jc w:val="both"/>
              <w:rPr>
                <w:rFonts w:asciiTheme="minorHAnsi" w:hAnsiTheme="minorHAnsi"/>
                <w:sz w:val="20"/>
                <w:szCs w:val="20"/>
              </w:rPr>
            </w:pPr>
            <w:r w:rsidRPr="00464982">
              <w:rPr>
                <w:rFonts w:asciiTheme="minorHAnsi" w:hAnsiTheme="minorHAnsi" w:cs="Arial"/>
                <w:b/>
                <w:sz w:val="20"/>
                <w:szCs w:val="20"/>
              </w:rPr>
              <w:t>2.2 Liquidity</w:t>
            </w:r>
            <w:r>
              <w:rPr>
                <w:rFonts w:asciiTheme="minorHAnsi" w:hAnsiTheme="minorHAnsi" w:cs="Arial"/>
                <w:b/>
                <w:sz w:val="20"/>
                <w:szCs w:val="20"/>
              </w:rPr>
              <w:t xml:space="preserve"> -</w:t>
            </w:r>
            <w:r w:rsidRPr="00464982">
              <w:rPr>
                <w:rFonts w:asciiTheme="minorHAnsi" w:hAnsiTheme="minorHAnsi" w:cs="Arial"/>
                <w:sz w:val="20"/>
                <w:szCs w:val="20"/>
              </w:rPr>
              <w:t xml:space="preserve">To analyse the liquidity of Microchips plc, </w:t>
            </w:r>
            <w:r w:rsidRPr="00263C80">
              <w:rPr>
                <w:rFonts w:asciiTheme="minorHAnsi" w:hAnsiTheme="minorHAnsi" w:cs="Arial"/>
                <w:b/>
                <w:color w:val="FF0000"/>
                <w:sz w:val="20"/>
                <w:szCs w:val="20"/>
              </w:rPr>
              <w:t>the report looks at</w:t>
            </w:r>
            <w:r w:rsidRPr="00263C80">
              <w:rPr>
                <w:rFonts w:asciiTheme="minorHAnsi" w:hAnsiTheme="minorHAnsi" w:cs="Arial"/>
                <w:color w:val="FF0000"/>
                <w:sz w:val="20"/>
                <w:szCs w:val="20"/>
              </w:rPr>
              <w:t xml:space="preserve"> </w:t>
            </w:r>
            <w:r w:rsidRPr="00464982">
              <w:rPr>
                <w:rFonts w:asciiTheme="minorHAnsi" w:hAnsiTheme="minorHAnsi" w:cs="Arial"/>
                <w:sz w:val="20"/>
                <w:szCs w:val="20"/>
              </w:rPr>
              <w:t>the following financial ratios – the Current Ratio and the Quick Ratio.</w:t>
            </w:r>
          </w:p>
        </w:tc>
        <w:tc>
          <w:tcPr>
            <w:tcW w:w="3095" w:type="dxa"/>
          </w:tcPr>
          <w:p w:rsidR="00546F51" w:rsidRPr="00E45786" w:rsidRDefault="00546F51" w:rsidP="00E45786">
            <w:pPr>
              <w:jc w:val="both"/>
              <w:rPr>
                <w:rFonts w:asciiTheme="minorHAnsi" w:hAnsiTheme="minorHAnsi" w:cs="Arial"/>
                <w:b/>
                <w:sz w:val="20"/>
                <w:szCs w:val="20"/>
              </w:rPr>
            </w:pPr>
            <w:r w:rsidRPr="00E45786">
              <w:rPr>
                <w:rFonts w:asciiTheme="minorHAnsi" w:hAnsiTheme="minorHAnsi" w:cs="Arial"/>
                <w:b/>
                <w:sz w:val="20"/>
                <w:szCs w:val="20"/>
              </w:rPr>
              <w:t>1.3 Objectives</w:t>
            </w:r>
          </w:p>
          <w:p w:rsidR="00546F51" w:rsidRPr="006D5A61" w:rsidRDefault="00546F51" w:rsidP="00E45786">
            <w:pPr>
              <w:pStyle w:val="NoSpacing"/>
              <w:jc w:val="both"/>
              <w:rPr>
                <w:sz w:val="20"/>
                <w:szCs w:val="20"/>
              </w:rPr>
            </w:pPr>
            <w:r w:rsidRPr="00EA42BD">
              <w:rPr>
                <w:rFonts w:cs="Arial"/>
                <w:b/>
                <w:color w:val="FF0000"/>
                <w:sz w:val="20"/>
                <w:szCs w:val="20"/>
              </w:rPr>
              <w:t>This report analyses</w:t>
            </w:r>
            <w:r w:rsidRPr="00EA42BD">
              <w:rPr>
                <w:rFonts w:cs="Arial"/>
                <w:color w:val="FF0000"/>
                <w:sz w:val="20"/>
                <w:szCs w:val="20"/>
              </w:rPr>
              <w:t xml:space="preserve"> </w:t>
            </w:r>
            <w:r w:rsidRPr="00E45786">
              <w:rPr>
                <w:rFonts w:cs="Arial"/>
                <w:sz w:val="20"/>
                <w:szCs w:val="20"/>
              </w:rPr>
              <w:t>the financial performance of Microchips plc between 2006 and 2009 inclusive. It aims to offer a comprehensive analysis on the financial performance of the organisation in five key areas (Profitability, Liquidity, Efficiency, Investment, and Gearing).</w:t>
            </w:r>
          </w:p>
        </w:tc>
        <w:tc>
          <w:tcPr>
            <w:tcW w:w="3402" w:type="dxa"/>
            <w:vMerge w:val="restart"/>
          </w:tcPr>
          <w:p w:rsidR="00546F51" w:rsidRPr="006D5A61" w:rsidRDefault="00546F51" w:rsidP="00664CA9">
            <w:pPr>
              <w:pStyle w:val="NoSpacing"/>
              <w:spacing w:line="360" w:lineRule="auto"/>
              <w:jc w:val="both"/>
              <w:rPr>
                <w:sz w:val="20"/>
                <w:szCs w:val="20"/>
              </w:rPr>
            </w:pPr>
          </w:p>
        </w:tc>
      </w:tr>
      <w:tr w:rsidR="00546F51" w:rsidTr="004733E9">
        <w:trPr>
          <w:trHeight w:val="876"/>
        </w:trPr>
        <w:tc>
          <w:tcPr>
            <w:tcW w:w="3232" w:type="dxa"/>
            <w:vMerge/>
          </w:tcPr>
          <w:p w:rsidR="00546F51" w:rsidRPr="004F2E53" w:rsidRDefault="00546F51" w:rsidP="00D94019">
            <w:pPr>
              <w:pStyle w:val="NoSpacing"/>
              <w:spacing w:line="360" w:lineRule="auto"/>
              <w:rPr>
                <w:sz w:val="24"/>
                <w:szCs w:val="24"/>
              </w:rPr>
            </w:pPr>
          </w:p>
        </w:tc>
        <w:tc>
          <w:tcPr>
            <w:tcW w:w="3709" w:type="dxa"/>
          </w:tcPr>
          <w:p w:rsidR="00546F51" w:rsidRPr="004D1A23" w:rsidRDefault="00546F51" w:rsidP="00464982">
            <w:pPr>
              <w:jc w:val="both"/>
              <w:rPr>
                <w:rFonts w:asciiTheme="minorHAnsi" w:hAnsiTheme="minorHAnsi" w:cs="Arial"/>
                <w:b/>
                <w:color w:val="00B050"/>
                <w:sz w:val="20"/>
                <w:szCs w:val="20"/>
              </w:rPr>
            </w:pPr>
            <w:r w:rsidRPr="004D1A23">
              <w:rPr>
                <w:rFonts w:asciiTheme="minorHAnsi" w:hAnsiTheme="minorHAnsi" w:cs="Arial"/>
                <w:b/>
                <w:color w:val="00B050"/>
                <w:sz w:val="20"/>
                <w:szCs w:val="20"/>
              </w:rPr>
              <w:t>Present simple tense</w:t>
            </w:r>
          </w:p>
        </w:tc>
        <w:tc>
          <w:tcPr>
            <w:tcW w:w="3095" w:type="dxa"/>
          </w:tcPr>
          <w:p w:rsidR="00546F51" w:rsidRPr="004D1A23" w:rsidRDefault="00306D3E" w:rsidP="00E45786">
            <w:pPr>
              <w:jc w:val="both"/>
              <w:rPr>
                <w:rFonts w:asciiTheme="minorHAnsi" w:hAnsiTheme="minorHAnsi" w:cs="Arial"/>
                <w:b/>
                <w:color w:val="00B050"/>
                <w:sz w:val="20"/>
                <w:szCs w:val="20"/>
              </w:rPr>
            </w:pPr>
            <w:r w:rsidRPr="004D1A23">
              <w:rPr>
                <w:rFonts w:asciiTheme="minorHAnsi" w:hAnsiTheme="minorHAnsi" w:cs="Arial"/>
                <w:b/>
                <w:color w:val="00B050"/>
                <w:sz w:val="20"/>
                <w:szCs w:val="20"/>
              </w:rPr>
              <w:t>Present simple tense</w:t>
            </w:r>
          </w:p>
        </w:tc>
        <w:tc>
          <w:tcPr>
            <w:tcW w:w="3402" w:type="dxa"/>
            <w:vMerge/>
          </w:tcPr>
          <w:p w:rsidR="00546F51" w:rsidRPr="006D5A61" w:rsidRDefault="00546F51" w:rsidP="00664CA9">
            <w:pPr>
              <w:pStyle w:val="NoSpacing"/>
              <w:spacing w:line="360" w:lineRule="auto"/>
              <w:jc w:val="both"/>
              <w:rPr>
                <w:sz w:val="20"/>
                <w:szCs w:val="20"/>
              </w:rPr>
            </w:pPr>
          </w:p>
        </w:tc>
      </w:tr>
      <w:tr w:rsidR="004250A8" w:rsidTr="004733E9">
        <w:tc>
          <w:tcPr>
            <w:tcW w:w="3232" w:type="dxa"/>
          </w:tcPr>
          <w:p w:rsidR="004250A8" w:rsidRPr="004F2E53" w:rsidRDefault="004250A8" w:rsidP="0097652B">
            <w:pPr>
              <w:pStyle w:val="NoSpacing"/>
              <w:spacing w:line="360" w:lineRule="auto"/>
              <w:rPr>
                <w:sz w:val="24"/>
                <w:szCs w:val="24"/>
              </w:rPr>
            </w:pPr>
            <w:r w:rsidRPr="004F2E53">
              <w:rPr>
                <w:sz w:val="24"/>
                <w:szCs w:val="24"/>
              </w:rPr>
              <w:t>(4) Approximate/Exact</w:t>
            </w:r>
          </w:p>
        </w:tc>
        <w:tc>
          <w:tcPr>
            <w:tcW w:w="3709" w:type="dxa"/>
          </w:tcPr>
          <w:p w:rsidR="003E3BC8" w:rsidRDefault="003E3BC8" w:rsidP="003E3BC8">
            <w:pPr>
              <w:ind w:right="-868"/>
              <w:jc w:val="both"/>
              <w:rPr>
                <w:rFonts w:asciiTheme="minorHAnsi" w:hAnsiTheme="minorHAnsi" w:cs="Tahoma"/>
                <w:sz w:val="20"/>
                <w:szCs w:val="20"/>
              </w:rPr>
            </w:pPr>
            <w:r>
              <w:rPr>
                <w:rFonts w:asciiTheme="minorHAnsi" w:hAnsiTheme="minorHAnsi" w:cs="Tahoma"/>
                <w:sz w:val="20"/>
                <w:szCs w:val="20"/>
              </w:rPr>
              <w:t>…</w:t>
            </w:r>
            <w:r w:rsidR="00923628" w:rsidRPr="003E3BC8">
              <w:rPr>
                <w:rFonts w:asciiTheme="minorHAnsi" w:hAnsiTheme="minorHAnsi" w:cs="Tahoma"/>
                <w:sz w:val="20"/>
                <w:szCs w:val="20"/>
              </w:rPr>
              <w:t xml:space="preserve">whilst overheads have remained </w:t>
            </w:r>
          </w:p>
          <w:p w:rsidR="00923628" w:rsidRPr="003E3BC8" w:rsidRDefault="00923628" w:rsidP="003E3BC8">
            <w:pPr>
              <w:ind w:right="-868"/>
              <w:jc w:val="both"/>
              <w:rPr>
                <w:rFonts w:asciiTheme="minorHAnsi" w:hAnsiTheme="minorHAnsi" w:cs="Arial"/>
                <w:sz w:val="20"/>
                <w:szCs w:val="20"/>
              </w:rPr>
            </w:pPr>
            <w:proofErr w:type="gramStart"/>
            <w:r w:rsidRPr="003E3BC8">
              <w:rPr>
                <w:rFonts w:asciiTheme="minorHAnsi" w:hAnsiTheme="minorHAnsi" w:cs="Tahoma"/>
                <w:sz w:val="20"/>
                <w:szCs w:val="20"/>
              </w:rPr>
              <w:t>steady</w:t>
            </w:r>
            <w:proofErr w:type="gramEnd"/>
            <w:r w:rsidRPr="003E3BC8">
              <w:rPr>
                <w:rFonts w:asciiTheme="minorHAnsi" w:hAnsiTheme="minorHAnsi" w:cs="Tahoma"/>
                <w:sz w:val="20"/>
                <w:szCs w:val="20"/>
              </w:rPr>
              <w:t xml:space="preserve"> at </w:t>
            </w:r>
            <w:r w:rsidRPr="00EA42BD">
              <w:rPr>
                <w:rFonts w:asciiTheme="minorHAnsi" w:hAnsiTheme="minorHAnsi" w:cs="Tahoma"/>
                <w:b/>
                <w:color w:val="FF0000"/>
                <w:sz w:val="20"/>
                <w:szCs w:val="20"/>
              </w:rPr>
              <w:t>approximately</w:t>
            </w:r>
            <w:r w:rsidRPr="003E3BC8">
              <w:rPr>
                <w:rFonts w:asciiTheme="minorHAnsi" w:hAnsiTheme="minorHAnsi" w:cs="Tahoma"/>
                <w:sz w:val="20"/>
                <w:szCs w:val="20"/>
              </w:rPr>
              <w:t xml:space="preserve"> €4.2 million .</w:t>
            </w:r>
          </w:p>
          <w:p w:rsidR="004250A8" w:rsidRPr="003E3BC8" w:rsidRDefault="004250A8" w:rsidP="003E3BC8">
            <w:pPr>
              <w:pStyle w:val="NoSpacing"/>
              <w:jc w:val="both"/>
              <w:rPr>
                <w:sz w:val="20"/>
                <w:szCs w:val="20"/>
              </w:rPr>
            </w:pPr>
          </w:p>
        </w:tc>
        <w:tc>
          <w:tcPr>
            <w:tcW w:w="3095" w:type="dxa"/>
          </w:tcPr>
          <w:p w:rsidR="003E3BC8" w:rsidRDefault="00974E6E" w:rsidP="003E3BC8">
            <w:pPr>
              <w:ind w:right="-868"/>
              <w:jc w:val="both"/>
              <w:rPr>
                <w:rFonts w:asciiTheme="minorHAnsi" w:hAnsiTheme="minorHAnsi" w:cs="Arial"/>
                <w:sz w:val="20"/>
                <w:szCs w:val="20"/>
              </w:rPr>
            </w:pPr>
            <w:r w:rsidRPr="003E3BC8">
              <w:rPr>
                <w:rFonts w:asciiTheme="minorHAnsi" w:hAnsiTheme="minorHAnsi" w:cs="Arial"/>
                <w:sz w:val="20"/>
                <w:szCs w:val="20"/>
              </w:rPr>
              <w:t xml:space="preserve">There has been a 0.7 percentage point </w:t>
            </w:r>
          </w:p>
          <w:p w:rsidR="003E3BC8" w:rsidRDefault="00974E6E" w:rsidP="003E3BC8">
            <w:pPr>
              <w:ind w:right="-868"/>
              <w:jc w:val="both"/>
              <w:rPr>
                <w:rFonts w:asciiTheme="minorHAnsi" w:hAnsiTheme="minorHAnsi" w:cs="Arial"/>
                <w:sz w:val="20"/>
                <w:szCs w:val="20"/>
              </w:rPr>
            </w:pPr>
            <w:r w:rsidRPr="003E3BC8">
              <w:rPr>
                <w:rFonts w:asciiTheme="minorHAnsi" w:hAnsiTheme="minorHAnsi" w:cs="Arial"/>
                <w:sz w:val="20"/>
                <w:szCs w:val="20"/>
              </w:rPr>
              <w:t xml:space="preserve">drop over the four years, dropping </w:t>
            </w:r>
          </w:p>
          <w:p w:rsidR="003E3BC8" w:rsidRDefault="00974E6E" w:rsidP="003E3BC8">
            <w:pPr>
              <w:ind w:right="-868"/>
              <w:jc w:val="both"/>
              <w:rPr>
                <w:rFonts w:asciiTheme="minorHAnsi" w:hAnsiTheme="minorHAnsi" w:cs="Arial"/>
                <w:sz w:val="20"/>
                <w:szCs w:val="20"/>
              </w:rPr>
            </w:pPr>
            <w:r w:rsidRPr="00EA42BD">
              <w:rPr>
                <w:rFonts w:asciiTheme="minorHAnsi" w:hAnsiTheme="minorHAnsi" w:cs="Arial"/>
                <w:b/>
                <w:color w:val="FF0000"/>
                <w:sz w:val="20"/>
                <w:szCs w:val="20"/>
              </w:rPr>
              <w:t>approximately</w:t>
            </w:r>
            <w:r w:rsidRPr="003E3BC8">
              <w:rPr>
                <w:rFonts w:asciiTheme="minorHAnsi" w:hAnsiTheme="minorHAnsi" w:cs="Arial"/>
                <w:sz w:val="20"/>
                <w:szCs w:val="20"/>
              </w:rPr>
              <w:t xml:space="preserve"> 0.2 percentage point </w:t>
            </w:r>
          </w:p>
          <w:p w:rsidR="004250A8" w:rsidRPr="003E3BC8" w:rsidRDefault="00974E6E" w:rsidP="003E3BC8">
            <w:pPr>
              <w:ind w:right="-868"/>
              <w:jc w:val="both"/>
              <w:rPr>
                <w:rFonts w:asciiTheme="minorHAnsi" w:hAnsiTheme="minorHAnsi"/>
                <w:sz w:val="20"/>
                <w:szCs w:val="20"/>
              </w:rPr>
            </w:pPr>
            <w:proofErr w:type="gramStart"/>
            <w:r w:rsidRPr="003E3BC8">
              <w:rPr>
                <w:rFonts w:asciiTheme="minorHAnsi" w:hAnsiTheme="minorHAnsi" w:cs="Arial"/>
                <w:sz w:val="20"/>
                <w:szCs w:val="20"/>
              </w:rPr>
              <w:t>each</w:t>
            </w:r>
            <w:proofErr w:type="gramEnd"/>
            <w:r w:rsidRPr="003E3BC8">
              <w:rPr>
                <w:rFonts w:asciiTheme="minorHAnsi" w:hAnsiTheme="minorHAnsi" w:cs="Arial"/>
                <w:sz w:val="20"/>
                <w:szCs w:val="20"/>
              </w:rPr>
              <w:t xml:space="preserve"> year. It has dropped by over 20% between 2006 and 2009.</w:t>
            </w:r>
          </w:p>
        </w:tc>
        <w:tc>
          <w:tcPr>
            <w:tcW w:w="3402" w:type="dxa"/>
          </w:tcPr>
          <w:p w:rsidR="004250A8" w:rsidRPr="003E3BC8" w:rsidRDefault="00B919BB" w:rsidP="003E3BC8">
            <w:pPr>
              <w:pStyle w:val="NoSpacing"/>
              <w:jc w:val="both"/>
              <w:rPr>
                <w:sz w:val="20"/>
                <w:szCs w:val="20"/>
              </w:rPr>
            </w:pPr>
            <w:r w:rsidRPr="003E3BC8">
              <w:rPr>
                <w:rFonts w:cs="Arial"/>
                <w:sz w:val="20"/>
                <w:szCs w:val="20"/>
              </w:rPr>
              <w:t xml:space="preserve">The trend for Microchips plc is relatively steady at </w:t>
            </w:r>
            <w:r w:rsidRPr="00EA42BD">
              <w:rPr>
                <w:rFonts w:cs="Arial"/>
                <w:b/>
                <w:color w:val="FF0000"/>
                <w:sz w:val="20"/>
                <w:szCs w:val="20"/>
              </w:rPr>
              <w:t xml:space="preserve">approximately </w:t>
            </w:r>
            <w:r w:rsidRPr="003E3BC8">
              <w:rPr>
                <w:rFonts w:cs="Arial"/>
                <w:sz w:val="20"/>
                <w:szCs w:val="20"/>
              </w:rPr>
              <w:t>5.0% over the four years (average for the four year period is 5.125%).</w:t>
            </w:r>
          </w:p>
        </w:tc>
      </w:tr>
      <w:tr w:rsidR="009A6F2C" w:rsidTr="009A6F2C">
        <w:trPr>
          <w:trHeight w:val="699"/>
        </w:trPr>
        <w:tc>
          <w:tcPr>
            <w:tcW w:w="3232" w:type="dxa"/>
            <w:vMerge w:val="restart"/>
          </w:tcPr>
          <w:p w:rsidR="009A6F2C" w:rsidRPr="004F2E53" w:rsidRDefault="009A6F2C" w:rsidP="0097652B">
            <w:pPr>
              <w:pStyle w:val="NoSpacing"/>
              <w:spacing w:line="360" w:lineRule="auto"/>
              <w:rPr>
                <w:sz w:val="24"/>
                <w:szCs w:val="24"/>
              </w:rPr>
            </w:pPr>
            <w:r w:rsidRPr="004F2E53">
              <w:rPr>
                <w:sz w:val="24"/>
                <w:szCs w:val="24"/>
              </w:rPr>
              <w:lastRenderedPageBreak/>
              <w:t>(5) Causes</w:t>
            </w:r>
          </w:p>
        </w:tc>
        <w:tc>
          <w:tcPr>
            <w:tcW w:w="3709" w:type="dxa"/>
          </w:tcPr>
          <w:p w:rsidR="009A6F2C" w:rsidRPr="00C02639" w:rsidRDefault="009A6F2C" w:rsidP="00C02639">
            <w:pPr>
              <w:pStyle w:val="NoSpacing"/>
              <w:jc w:val="both"/>
              <w:rPr>
                <w:sz w:val="20"/>
                <w:szCs w:val="20"/>
              </w:rPr>
            </w:pPr>
            <w:r w:rsidRPr="00C02639">
              <w:rPr>
                <w:rFonts w:cs="Arial"/>
                <w:sz w:val="20"/>
                <w:szCs w:val="20"/>
              </w:rPr>
              <w:t xml:space="preserve">The Interest Cover has also decreased from 2.5 in 2006 to 1.4 in 2009, </w:t>
            </w:r>
            <w:r w:rsidRPr="00EA42BD">
              <w:rPr>
                <w:rFonts w:cs="Arial"/>
                <w:b/>
                <w:color w:val="FF0000"/>
                <w:sz w:val="20"/>
                <w:szCs w:val="20"/>
              </w:rPr>
              <w:t>caused by</w:t>
            </w:r>
            <w:r w:rsidRPr="00EA42BD">
              <w:rPr>
                <w:rFonts w:cs="Arial"/>
                <w:color w:val="FF0000"/>
                <w:sz w:val="20"/>
                <w:szCs w:val="20"/>
              </w:rPr>
              <w:t xml:space="preserve"> </w:t>
            </w:r>
            <w:r w:rsidRPr="00C02639">
              <w:rPr>
                <w:rFonts w:cs="Arial"/>
                <w:sz w:val="20"/>
                <w:szCs w:val="20"/>
              </w:rPr>
              <w:t>a decline in profits and an increase in borrowings.</w:t>
            </w:r>
          </w:p>
        </w:tc>
        <w:tc>
          <w:tcPr>
            <w:tcW w:w="3095" w:type="dxa"/>
            <w:vMerge w:val="restart"/>
          </w:tcPr>
          <w:p w:rsidR="009A6F2C" w:rsidRPr="00C02639" w:rsidRDefault="009A6F2C" w:rsidP="00C02639">
            <w:pPr>
              <w:jc w:val="both"/>
              <w:rPr>
                <w:rFonts w:asciiTheme="minorHAnsi" w:hAnsiTheme="minorHAnsi"/>
                <w:sz w:val="20"/>
                <w:szCs w:val="20"/>
              </w:rPr>
            </w:pPr>
            <w:r w:rsidRPr="00EA42BD">
              <w:rPr>
                <w:rFonts w:asciiTheme="minorHAnsi" w:hAnsiTheme="minorHAnsi" w:cs="Arial"/>
                <w:b/>
                <w:color w:val="FF0000"/>
                <w:sz w:val="20"/>
                <w:szCs w:val="20"/>
              </w:rPr>
              <w:t>This is a result of</w:t>
            </w:r>
            <w:r w:rsidRPr="00EA42BD">
              <w:rPr>
                <w:rFonts w:asciiTheme="minorHAnsi" w:hAnsiTheme="minorHAnsi" w:cs="Arial"/>
                <w:color w:val="FF0000"/>
                <w:sz w:val="20"/>
                <w:szCs w:val="20"/>
              </w:rPr>
              <w:t xml:space="preserve"> </w:t>
            </w:r>
            <w:r w:rsidRPr="00C02639">
              <w:rPr>
                <w:rFonts w:asciiTheme="minorHAnsi" w:hAnsiTheme="minorHAnsi" w:cs="Arial"/>
                <w:sz w:val="20"/>
                <w:szCs w:val="20"/>
              </w:rPr>
              <w:t xml:space="preserve">the increase in stock turnover in days, the increase in </w:t>
            </w:r>
            <w:proofErr w:type="gramStart"/>
            <w:r w:rsidRPr="00C02639">
              <w:rPr>
                <w:rFonts w:asciiTheme="minorHAnsi" w:hAnsiTheme="minorHAnsi" w:cs="Arial"/>
                <w:sz w:val="20"/>
                <w:szCs w:val="20"/>
              </w:rPr>
              <w:t>debtors</w:t>
            </w:r>
            <w:proofErr w:type="gramEnd"/>
            <w:r w:rsidRPr="00C02639">
              <w:rPr>
                <w:rFonts w:asciiTheme="minorHAnsi" w:hAnsiTheme="minorHAnsi" w:cs="Arial"/>
                <w:sz w:val="20"/>
                <w:szCs w:val="20"/>
              </w:rPr>
              <w:t xml:space="preserve"> collection period, and the decrease in creditors payment period.</w:t>
            </w:r>
          </w:p>
        </w:tc>
        <w:tc>
          <w:tcPr>
            <w:tcW w:w="3402" w:type="dxa"/>
          </w:tcPr>
          <w:p w:rsidR="009A6F2C" w:rsidRPr="00C02639" w:rsidRDefault="009A6F2C" w:rsidP="00C02639">
            <w:pPr>
              <w:pStyle w:val="NoSpacing"/>
              <w:jc w:val="both"/>
              <w:rPr>
                <w:sz w:val="20"/>
                <w:szCs w:val="20"/>
              </w:rPr>
            </w:pPr>
            <w:r w:rsidRPr="00C02639">
              <w:rPr>
                <w:rFonts w:cs="Arial"/>
                <w:sz w:val="20"/>
                <w:szCs w:val="20"/>
              </w:rPr>
              <w:t xml:space="preserve">It would seem that Microchips plc is less efficient in utilising working capital </w:t>
            </w:r>
            <w:r w:rsidRPr="00EA42BD">
              <w:rPr>
                <w:rFonts w:cs="Arial"/>
                <w:b/>
                <w:color w:val="FF0000"/>
                <w:sz w:val="20"/>
                <w:szCs w:val="20"/>
              </w:rPr>
              <w:t>to generate</w:t>
            </w:r>
            <w:r w:rsidRPr="00EA42BD">
              <w:rPr>
                <w:rFonts w:cs="Arial"/>
                <w:color w:val="FF0000"/>
                <w:sz w:val="20"/>
                <w:szCs w:val="20"/>
              </w:rPr>
              <w:t xml:space="preserve"> </w:t>
            </w:r>
            <w:r w:rsidRPr="00C02639">
              <w:rPr>
                <w:rFonts w:cs="Arial"/>
                <w:sz w:val="20"/>
                <w:szCs w:val="20"/>
              </w:rPr>
              <w:t>sales as the Working Capital Turnover Ratio of 2.30 (dropping year on year) is lower than the 3.5 times for the competitor and the 4 times for the business sector norm.</w:t>
            </w:r>
          </w:p>
        </w:tc>
      </w:tr>
      <w:tr w:rsidR="009A6F2C" w:rsidTr="004733E9">
        <w:trPr>
          <w:trHeight w:val="698"/>
        </w:trPr>
        <w:tc>
          <w:tcPr>
            <w:tcW w:w="3232" w:type="dxa"/>
            <w:vMerge/>
          </w:tcPr>
          <w:p w:rsidR="009A6F2C" w:rsidRPr="004F2E53" w:rsidRDefault="009A6F2C" w:rsidP="0097652B">
            <w:pPr>
              <w:pStyle w:val="NoSpacing"/>
              <w:spacing w:line="360" w:lineRule="auto"/>
              <w:rPr>
                <w:sz w:val="24"/>
                <w:szCs w:val="24"/>
              </w:rPr>
            </w:pPr>
          </w:p>
        </w:tc>
        <w:tc>
          <w:tcPr>
            <w:tcW w:w="3709" w:type="dxa"/>
          </w:tcPr>
          <w:p w:rsidR="009A6F2C" w:rsidRPr="00743E69" w:rsidRDefault="009A6F2C" w:rsidP="00C02639">
            <w:pPr>
              <w:pStyle w:val="NoSpacing"/>
              <w:jc w:val="both"/>
              <w:rPr>
                <w:rFonts w:cs="Arial"/>
                <w:b/>
                <w:color w:val="00B050"/>
                <w:sz w:val="20"/>
                <w:szCs w:val="20"/>
              </w:rPr>
            </w:pPr>
            <w:r w:rsidRPr="00743E69">
              <w:rPr>
                <w:rFonts w:cs="Arial"/>
                <w:b/>
                <w:color w:val="00B050"/>
                <w:sz w:val="20"/>
                <w:szCs w:val="20"/>
              </w:rPr>
              <w:t>Past simple tense</w:t>
            </w:r>
          </w:p>
        </w:tc>
        <w:tc>
          <w:tcPr>
            <w:tcW w:w="3095" w:type="dxa"/>
            <w:vMerge/>
          </w:tcPr>
          <w:p w:rsidR="009A6F2C" w:rsidRPr="00743E69" w:rsidRDefault="009A6F2C" w:rsidP="00C02639">
            <w:pPr>
              <w:jc w:val="both"/>
              <w:rPr>
                <w:rFonts w:asciiTheme="minorHAnsi" w:hAnsiTheme="minorHAnsi" w:cs="Arial"/>
                <w:b/>
                <w:color w:val="00B050"/>
                <w:sz w:val="20"/>
                <w:szCs w:val="20"/>
              </w:rPr>
            </w:pPr>
          </w:p>
        </w:tc>
        <w:tc>
          <w:tcPr>
            <w:tcW w:w="3402" w:type="dxa"/>
          </w:tcPr>
          <w:p w:rsidR="009A6F2C" w:rsidRPr="00743E69" w:rsidRDefault="004125FA" w:rsidP="00C02639">
            <w:pPr>
              <w:pStyle w:val="NoSpacing"/>
              <w:jc w:val="both"/>
              <w:rPr>
                <w:rFonts w:cs="Arial"/>
                <w:color w:val="00B050"/>
                <w:sz w:val="20"/>
                <w:szCs w:val="20"/>
              </w:rPr>
            </w:pPr>
            <w:r w:rsidRPr="00743E69">
              <w:rPr>
                <w:b/>
                <w:color w:val="00B050"/>
                <w:sz w:val="20"/>
                <w:szCs w:val="20"/>
              </w:rPr>
              <w:t>Full infinitive</w:t>
            </w:r>
          </w:p>
        </w:tc>
      </w:tr>
      <w:tr w:rsidR="004250A8" w:rsidTr="004733E9">
        <w:tc>
          <w:tcPr>
            <w:tcW w:w="3232" w:type="dxa"/>
          </w:tcPr>
          <w:p w:rsidR="004250A8" w:rsidRPr="004F2E53" w:rsidRDefault="004250A8" w:rsidP="0097652B">
            <w:pPr>
              <w:pStyle w:val="NoSpacing"/>
              <w:spacing w:line="360" w:lineRule="auto"/>
              <w:rPr>
                <w:sz w:val="24"/>
                <w:szCs w:val="24"/>
              </w:rPr>
            </w:pPr>
            <w:r w:rsidRPr="004F2E53">
              <w:rPr>
                <w:sz w:val="24"/>
                <w:szCs w:val="24"/>
              </w:rPr>
              <w:t>(6) Certainty/Uncertainty</w:t>
            </w:r>
          </w:p>
        </w:tc>
        <w:tc>
          <w:tcPr>
            <w:tcW w:w="3709" w:type="dxa"/>
          </w:tcPr>
          <w:p w:rsidR="004250A8" w:rsidRPr="00F06E3D" w:rsidRDefault="00F06E3D" w:rsidP="00F06E3D">
            <w:pPr>
              <w:pStyle w:val="NoSpacing"/>
              <w:jc w:val="both"/>
              <w:rPr>
                <w:sz w:val="20"/>
                <w:szCs w:val="20"/>
              </w:rPr>
            </w:pPr>
            <w:r w:rsidRPr="00F06E3D">
              <w:rPr>
                <w:rFonts w:cs="Arial"/>
                <w:sz w:val="20"/>
                <w:szCs w:val="20"/>
              </w:rPr>
              <w:t xml:space="preserve">The Price/Earnings ratio links the market value of a share to the earnings per share. It is a measure of investor confidence where a high P/E ratio indicates that </w:t>
            </w:r>
            <w:r w:rsidRPr="00EA42BD">
              <w:rPr>
                <w:rFonts w:cs="Arial"/>
                <w:b/>
                <w:color w:val="FF0000"/>
                <w:sz w:val="20"/>
                <w:szCs w:val="20"/>
              </w:rPr>
              <w:t>there is confidence in the future</w:t>
            </w:r>
            <w:r w:rsidRPr="00EA42BD">
              <w:rPr>
                <w:rFonts w:cs="Arial"/>
                <w:color w:val="FF0000"/>
                <w:sz w:val="20"/>
                <w:szCs w:val="20"/>
              </w:rPr>
              <w:t xml:space="preserve"> </w:t>
            </w:r>
            <w:r w:rsidRPr="00F06E3D">
              <w:rPr>
                <w:rFonts w:cs="Arial"/>
                <w:sz w:val="20"/>
                <w:szCs w:val="20"/>
              </w:rPr>
              <w:t>earning potential of the business and that investors are prepared to pay more.</w:t>
            </w:r>
          </w:p>
        </w:tc>
        <w:tc>
          <w:tcPr>
            <w:tcW w:w="3095" w:type="dxa"/>
          </w:tcPr>
          <w:p w:rsidR="00EA42BD" w:rsidRDefault="00295D48" w:rsidP="00295D48">
            <w:pPr>
              <w:ind w:right="-868"/>
              <w:jc w:val="both"/>
              <w:rPr>
                <w:rFonts w:asciiTheme="minorHAnsi" w:hAnsiTheme="minorHAnsi" w:cs="Arial"/>
                <w:sz w:val="20"/>
                <w:szCs w:val="20"/>
              </w:rPr>
            </w:pPr>
            <w:r w:rsidRPr="00295D48">
              <w:rPr>
                <w:rFonts w:asciiTheme="minorHAnsi" w:hAnsiTheme="minorHAnsi" w:cs="Arial"/>
                <w:sz w:val="20"/>
                <w:szCs w:val="20"/>
              </w:rPr>
              <w:t xml:space="preserve">The business sector norm is 18 which is relatively close to Microchips plc. </w:t>
            </w:r>
          </w:p>
          <w:p w:rsidR="00EA42BD" w:rsidRPr="00EA42BD" w:rsidRDefault="00295D48" w:rsidP="00295D48">
            <w:pPr>
              <w:ind w:right="-868"/>
              <w:jc w:val="both"/>
              <w:rPr>
                <w:rFonts w:asciiTheme="minorHAnsi" w:hAnsiTheme="minorHAnsi" w:cs="Arial"/>
                <w:b/>
                <w:color w:val="FF0000"/>
                <w:sz w:val="20"/>
                <w:szCs w:val="20"/>
              </w:rPr>
            </w:pPr>
            <w:r w:rsidRPr="00295D48">
              <w:rPr>
                <w:rFonts w:asciiTheme="minorHAnsi" w:hAnsiTheme="minorHAnsi" w:cs="Arial"/>
                <w:sz w:val="20"/>
                <w:szCs w:val="20"/>
              </w:rPr>
              <w:t xml:space="preserve">This may suggest that </w:t>
            </w:r>
            <w:r w:rsidRPr="00EA42BD">
              <w:rPr>
                <w:rFonts w:asciiTheme="minorHAnsi" w:hAnsiTheme="minorHAnsi" w:cs="Arial"/>
                <w:b/>
                <w:color w:val="FF0000"/>
                <w:sz w:val="20"/>
                <w:szCs w:val="20"/>
              </w:rPr>
              <w:t xml:space="preserve">there is </w:t>
            </w:r>
          </w:p>
          <w:p w:rsidR="00EA42BD" w:rsidRDefault="00295D48" w:rsidP="00295D48">
            <w:pPr>
              <w:ind w:right="-868"/>
              <w:jc w:val="both"/>
              <w:rPr>
                <w:rFonts w:asciiTheme="minorHAnsi" w:hAnsiTheme="minorHAnsi" w:cs="Arial"/>
                <w:sz w:val="20"/>
                <w:szCs w:val="20"/>
              </w:rPr>
            </w:pPr>
            <w:r w:rsidRPr="00EA42BD">
              <w:rPr>
                <w:rFonts w:asciiTheme="minorHAnsi" w:hAnsiTheme="minorHAnsi" w:cs="Arial"/>
                <w:b/>
                <w:color w:val="FF0000"/>
                <w:sz w:val="20"/>
                <w:szCs w:val="20"/>
              </w:rPr>
              <w:t>confidence in the market</w:t>
            </w:r>
            <w:r w:rsidRPr="00EA42BD">
              <w:rPr>
                <w:rFonts w:asciiTheme="minorHAnsi" w:hAnsiTheme="minorHAnsi" w:cs="Arial"/>
                <w:color w:val="FF0000"/>
                <w:sz w:val="20"/>
                <w:szCs w:val="20"/>
              </w:rPr>
              <w:t xml:space="preserve"> </w:t>
            </w:r>
            <w:r w:rsidRPr="00295D48">
              <w:rPr>
                <w:rFonts w:asciiTheme="minorHAnsi" w:hAnsiTheme="minorHAnsi" w:cs="Arial"/>
                <w:sz w:val="20"/>
                <w:szCs w:val="20"/>
              </w:rPr>
              <w:t xml:space="preserve">for future </w:t>
            </w:r>
          </w:p>
          <w:p w:rsidR="00EA42BD" w:rsidRDefault="00295D48" w:rsidP="00295D48">
            <w:pPr>
              <w:ind w:right="-868"/>
              <w:jc w:val="both"/>
              <w:rPr>
                <w:rFonts w:asciiTheme="minorHAnsi" w:hAnsiTheme="minorHAnsi" w:cs="Arial"/>
                <w:sz w:val="20"/>
                <w:szCs w:val="20"/>
              </w:rPr>
            </w:pPr>
            <w:r w:rsidRPr="00295D48">
              <w:rPr>
                <w:rFonts w:asciiTheme="minorHAnsi" w:hAnsiTheme="minorHAnsi" w:cs="Arial"/>
                <w:sz w:val="20"/>
                <w:szCs w:val="20"/>
              </w:rPr>
              <w:t xml:space="preserve">increased performance from </w:t>
            </w:r>
          </w:p>
          <w:p w:rsidR="004250A8" w:rsidRPr="006D5A61" w:rsidRDefault="00295D48" w:rsidP="00EA42BD">
            <w:pPr>
              <w:ind w:right="-868"/>
              <w:jc w:val="both"/>
              <w:rPr>
                <w:sz w:val="20"/>
                <w:szCs w:val="20"/>
              </w:rPr>
            </w:pPr>
            <w:r w:rsidRPr="00295D48">
              <w:rPr>
                <w:rFonts w:asciiTheme="minorHAnsi" w:hAnsiTheme="minorHAnsi" w:cs="Arial"/>
                <w:sz w:val="20"/>
                <w:szCs w:val="20"/>
              </w:rPr>
              <w:t>Microchips plc.</w:t>
            </w:r>
          </w:p>
        </w:tc>
        <w:tc>
          <w:tcPr>
            <w:tcW w:w="3402" w:type="dxa"/>
          </w:tcPr>
          <w:p w:rsidR="004250A8" w:rsidRPr="006D5A61" w:rsidRDefault="004250A8" w:rsidP="00664CA9">
            <w:pPr>
              <w:pStyle w:val="NoSpacing"/>
              <w:spacing w:line="360" w:lineRule="auto"/>
              <w:jc w:val="both"/>
              <w:rPr>
                <w:sz w:val="20"/>
                <w:szCs w:val="20"/>
              </w:rPr>
            </w:pPr>
          </w:p>
        </w:tc>
      </w:tr>
      <w:tr w:rsidR="00170D48" w:rsidTr="00170D48">
        <w:trPr>
          <w:trHeight w:val="613"/>
        </w:trPr>
        <w:tc>
          <w:tcPr>
            <w:tcW w:w="3232" w:type="dxa"/>
            <w:vMerge w:val="restart"/>
          </w:tcPr>
          <w:p w:rsidR="00170D48" w:rsidRPr="004F2E53" w:rsidRDefault="00170D48" w:rsidP="0097652B">
            <w:pPr>
              <w:pStyle w:val="NoSpacing"/>
              <w:spacing w:line="360" w:lineRule="auto"/>
              <w:rPr>
                <w:sz w:val="24"/>
                <w:szCs w:val="24"/>
              </w:rPr>
            </w:pPr>
            <w:r w:rsidRPr="004F2E53">
              <w:rPr>
                <w:sz w:val="24"/>
                <w:szCs w:val="24"/>
              </w:rPr>
              <w:t>(7) Concluding</w:t>
            </w:r>
          </w:p>
        </w:tc>
        <w:tc>
          <w:tcPr>
            <w:tcW w:w="3709" w:type="dxa"/>
          </w:tcPr>
          <w:p w:rsidR="00170D48" w:rsidRPr="00B24200" w:rsidRDefault="00170D48" w:rsidP="00E6271B">
            <w:pPr>
              <w:pStyle w:val="NoSpacing"/>
              <w:jc w:val="both"/>
              <w:rPr>
                <w:sz w:val="20"/>
                <w:szCs w:val="20"/>
              </w:rPr>
            </w:pPr>
            <w:r w:rsidRPr="00B24200">
              <w:rPr>
                <w:sz w:val="20"/>
                <w:szCs w:val="20"/>
              </w:rPr>
              <w:t>Absolute sales for Microchips plc have increased over the four years by €3.1 million or 20.67%.</w:t>
            </w:r>
          </w:p>
        </w:tc>
        <w:tc>
          <w:tcPr>
            <w:tcW w:w="3095" w:type="dxa"/>
            <w:vMerge w:val="restart"/>
          </w:tcPr>
          <w:p w:rsidR="00170D48" w:rsidRPr="00B24200" w:rsidRDefault="00170D48" w:rsidP="00E6271B">
            <w:pPr>
              <w:pStyle w:val="NoSpacing"/>
              <w:jc w:val="both"/>
              <w:rPr>
                <w:sz w:val="20"/>
                <w:szCs w:val="20"/>
              </w:rPr>
            </w:pPr>
            <w:r w:rsidRPr="00B24200">
              <w:rPr>
                <w:sz w:val="20"/>
                <w:szCs w:val="20"/>
              </w:rPr>
              <w:t>Microchips plc exhibits a high degree of liquidity as evidenced by the Current and Quick Ratios.  The Current Ratio of 3.7 is considerably higher than that of the competitor (2.2) and the business sector norm (2.0).</w:t>
            </w:r>
          </w:p>
        </w:tc>
        <w:tc>
          <w:tcPr>
            <w:tcW w:w="3402" w:type="dxa"/>
            <w:vMerge w:val="restart"/>
          </w:tcPr>
          <w:p w:rsidR="00170D48" w:rsidRPr="00B24200" w:rsidRDefault="00170D48" w:rsidP="00E6271B">
            <w:pPr>
              <w:pStyle w:val="NoSpacing"/>
              <w:jc w:val="both"/>
              <w:rPr>
                <w:sz w:val="20"/>
                <w:szCs w:val="20"/>
              </w:rPr>
            </w:pPr>
            <w:r w:rsidRPr="00B24200">
              <w:rPr>
                <w:sz w:val="20"/>
                <w:szCs w:val="20"/>
              </w:rPr>
              <w:t>The Stock Turnover Ratio in Days and the Stock Turnover Ratio both show that Microchips plc is not very efficient in terms of managing its inventory.</w:t>
            </w:r>
          </w:p>
        </w:tc>
      </w:tr>
      <w:tr w:rsidR="00170D48" w:rsidTr="004733E9">
        <w:trPr>
          <w:trHeight w:val="612"/>
        </w:trPr>
        <w:tc>
          <w:tcPr>
            <w:tcW w:w="3232" w:type="dxa"/>
            <w:vMerge/>
          </w:tcPr>
          <w:p w:rsidR="00170D48" w:rsidRPr="004F2E53" w:rsidRDefault="00170D48" w:rsidP="0097652B">
            <w:pPr>
              <w:pStyle w:val="NoSpacing"/>
              <w:spacing w:line="360" w:lineRule="auto"/>
              <w:rPr>
                <w:sz w:val="24"/>
                <w:szCs w:val="24"/>
              </w:rPr>
            </w:pPr>
          </w:p>
        </w:tc>
        <w:tc>
          <w:tcPr>
            <w:tcW w:w="3709" w:type="dxa"/>
          </w:tcPr>
          <w:p w:rsidR="00170D48" w:rsidRPr="00170D48" w:rsidRDefault="00170D48" w:rsidP="00170D48">
            <w:pPr>
              <w:pStyle w:val="NoSpacing"/>
              <w:jc w:val="both"/>
              <w:rPr>
                <w:b/>
                <w:sz w:val="20"/>
                <w:szCs w:val="20"/>
              </w:rPr>
            </w:pPr>
            <w:r w:rsidRPr="00170D48">
              <w:rPr>
                <w:b/>
                <w:color w:val="00B050"/>
                <w:sz w:val="20"/>
                <w:szCs w:val="20"/>
              </w:rPr>
              <w:t>have increased</w:t>
            </w:r>
            <w:r>
              <w:rPr>
                <w:b/>
                <w:color w:val="00B050"/>
                <w:sz w:val="20"/>
                <w:szCs w:val="20"/>
              </w:rPr>
              <w:t xml:space="preserve">  </w:t>
            </w:r>
            <w:r w:rsidRPr="00170D48">
              <w:rPr>
                <w:b/>
                <w:color w:val="00B050"/>
                <w:sz w:val="20"/>
                <w:szCs w:val="20"/>
              </w:rPr>
              <w:t xml:space="preserve">= </w:t>
            </w:r>
            <w:r>
              <w:rPr>
                <w:b/>
                <w:color w:val="00B050"/>
                <w:sz w:val="20"/>
                <w:szCs w:val="20"/>
              </w:rPr>
              <w:t xml:space="preserve"> </w:t>
            </w:r>
            <w:r w:rsidRPr="00170D48">
              <w:rPr>
                <w:b/>
                <w:color w:val="00B050"/>
                <w:sz w:val="20"/>
                <w:szCs w:val="20"/>
              </w:rPr>
              <w:t>present perfect simple</w:t>
            </w:r>
          </w:p>
        </w:tc>
        <w:tc>
          <w:tcPr>
            <w:tcW w:w="3095" w:type="dxa"/>
            <w:vMerge/>
          </w:tcPr>
          <w:p w:rsidR="00170D48" w:rsidRPr="00B24200" w:rsidRDefault="00170D48" w:rsidP="00E6271B">
            <w:pPr>
              <w:pStyle w:val="NoSpacing"/>
              <w:jc w:val="both"/>
              <w:rPr>
                <w:sz w:val="20"/>
                <w:szCs w:val="20"/>
              </w:rPr>
            </w:pPr>
          </w:p>
        </w:tc>
        <w:tc>
          <w:tcPr>
            <w:tcW w:w="3402" w:type="dxa"/>
            <w:vMerge/>
          </w:tcPr>
          <w:p w:rsidR="00170D48" w:rsidRPr="00B24200" w:rsidRDefault="00170D48" w:rsidP="00E6271B">
            <w:pPr>
              <w:pStyle w:val="NoSpacing"/>
              <w:jc w:val="both"/>
              <w:rPr>
                <w:sz w:val="20"/>
                <w:szCs w:val="20"/>
              </w:rPr>
            </w:pPr>
          </w:p>
        </w:tc>
      </w:tr>
      <w:tr w:rsidR="000C4CCE" w:rsidTr="000C4CCE">
        <w:trPr>
          <w:trHeight w:val="613"/>
        </w:trPr>
        <w:tc>
          <w:tcPr>
            <w:tcW w:w="3232" w:type="dxa"/>
            <w:vMerge w:val="restart"/>
          </w:tcPr>
          <w:p w:rsidR="000C4CCE" w:rsidRPr="004F2E53" w:rsidRDefault="000C4CCE" w:rsidP="0097652B">
            <w:pPr>
              <w:pStyle w:val="NoSpacing"/>
              <w:spacing w:line="360" w:lineRule="auto"/>
              <w:rPr>
                <w:sz w:val="24"/>
                <w:szCs w:val="24"/>
              </w:rPr>
            </w:pPr>
            <w:r w:rsidRPr="004F2E53">
              <w:rPr>
                <w:sz w:val="24"/>
                <w:szCs w:val="24"/>
              </w:rPr>
              <w:t>(8) Decreasing/Increasing</w:t>
            </w:r>
          </w:p>
        </w:tc>
        <w:tc>
          <w:tcPr>
            <w:tcW w:w="3709" w:type="dxa"/>
            <w:vMerge w:val="restart"/>
          </w:tcPr>
          <w:p w:rsidR="000C4CCE" w:rsidRPr="00593EAB" w:rsidRDefault="000C4CCE" w:rsidP="00E6271B">
            <w:pPr>
              <w:pStyle w:val="NoSpacing"/>
              <w:jc w:val="both"/>
              <w:rPr>
                <w:sz w:val="20"/>
                <w:szCs w:val="20"/>
              </w:rPr>
            </w:pPr>
            <w:r w:rsidRPr="00263C80">
              <w:rPr>
                <w:b/>
                <w:color w:val="FF0000"/>
                <w:sz w:val="20"/>
                <w:szCs w:val="20"/>
              </w:rPr>
              <w:t>Decreasing</w:t>
            </w:r>
            <w:r w:rsidRPr="00593EAB">
              <w:rPr>
                <w:sz w:val="20"/>
                <w:szCs w:val="20"/>
              </w:rPr>
              <w:t xml:space="preserve"> - The 2009 figure of 2.7% for Microchips plc </w:t>
            </w:r>
            <w:r w:rsidRPr="00263C80">
              <w:rPr>
                <w:b/>
                <w:color w:val="FF0000"/>
                <w:sz w:val="20"/>
                <w:szCs w:val="20"/>
              </w:rPr>
              <w:t>is significantly lower than</w:t>
            </w:r>
            <w:r w:rsidRPr="00593EAB">
              <w:rPr>
                <w:sz w:val="20"/>
                <w:szCs w:val="20"/>
              </w:rPr>
              <w:t xml:space="preserve"> the similar sized competitor (5.7%) and the business sector norm (6.4%). This can be partly explained by </w:t>
            </w:r>
            <w:r w:rsidRPr="00263C80">
              <w:rPr>
                <w:b/>
                <w:color w:val="FF0000"/>
                <w:sz w:val="20"/>
                <w:szCs w:val="20"/>
              </w:rPr>
              <w:t>the declining growth in sales</w:t>
            </w:r>
            <w:r w:rsidRPr="00263C80">
              <w:rPr>
                <w:color w:val="FF0000"/>
                <w:sz w:val="20"/>
                <w:szCs w:val="20"/>
              </w:rPr>
              <w:t xml:space="preserve"> </w:t>
            </w:r>
            <w:r w:rsidRPr="00593EAB">
              <w:rPr>
                <w:sz w:val="20"/>
                <w:szCs w:val="20"/>
              </w:rPr>
              <w:t>and increasing COS base that was highlighted in the GP% and NP% sections.</w:t>
            </w:r>
          </w:p>
        </w:tc>
        <w:tc>
          <w:tcPr>
            <w:tcW w:w="3095" w:type="dxa"/>
          </w:tcPr>
          <w:p w:rsidR="000C4CCE" w:rsidRDefault="000C4CCE" w:rsidP="009C5F07">
            <w:pPr>
              <w:pStyle w:val="NoSpacing"/>
              <w:jc w:val="both"/>
              <w:rPr>
                <w:rFonts w:cs="Arial"/>
                <w:b/>
                <w:color w:val="FF0000"/>
                <w:sz w:val="20"/>
                <w:szCs w:val="20"/>
              </w:rPr>
            </w:pPr>
            <w:r>
              <w:rPr>
                <w:rFonts w:cs="Arial"/>
                <w:b/>
                <w:color w:val="FF0000"/>
                <w:sz w:val="20"/>
                <w:szCs w:val="20"/>
              </w:rPr>
              <w:t>Decrease/</w:t>
            </w:r>
            <w:r w:rsidRPr="009C5F07">
              <w:rPr>
                <w:rFonts w:cs="Arial"/>
                <w:b/>
                <w:color w:val="0070C0"/>
                <w:sz w:val="20"/>
                <w:szCs w:val="20"/>
              </w:rPr>
              <w:t>Increase</w:t>
            </w:r>
          </w:p>
          <w:p w:rsidR="000C4CCE" w:rsidRDefault="000C4CCE" w:rsidP="009C5F07">
            <w:pPr>
              <w:pStyle w:val="NoSpacing"/>
              <w:jc w:val="both"/>
              <w:rPr>
                <w:rFonts w:cs="Arial"/>
                <w:b/>
                <w:color w:val="FF0000"/>
                <w:sz w:val="20"/>
                <w:szCs w:val="20"/>
              </w:rPr>
            </w:pPr>
          </w:p>
          <w:p w:rsidR="000C4CCE" w:rsidRPr="009C5F07" w:rsidRDefault="000C4CCE" w:rsidP="009C5F07">
            <w:pPr>
              <w:pStyle w:val="NoSpacing"/>
              <w:jc w:val="both"/>
              <w:rPr>
                <w:sz w:val="20"/>
                <w:szCs w:val="20"/>
              </w:rPr>
            </w:pPr>
            <w:r w:rsidRPr="009C5F07">
              <w:rPr>
                <w:rFonts w:cs="Arial"/>
                <w:b/>
                <w:color w:val="FF0000"/>
                <w:sz w:val="20"/>
                <w:szCs w:val="20"/>
              </w:rPr>
              <w:t>The decline indicates that</w:t>
            </w:r>
            <w:r w:rsidRPr="009C5F07">
              <w:rPr>
                <w:rFonts w:cs="Arial"/>
                <w:color w:val="FF0000"/>
                <w:sz w:val="20"/>
                <w:szCs w:val="20"/>
              </w:rPr>
              <w:t xml:space="preserve"> </w:t>
            </w:r>
            <w:r w:rsidRPr="009C5F07">
              <w:rPr>
                <w:rFonts w:cs="Arial"/>
                <w:sz w:val="20"/>
                <w:szCs w:val="20"/>
              </w:rPr>
              <w:t xml:space="preserve">the business has become more efficient over the four year period, however the gap between the Current and Quick Ratios </w:t>
            </w:r>
            <w:r w:rsidRPr="009C5F07">
              <w:rPr>
                <w:rFonts w:cs="Arial"/>
                <w:b/>
                <w:color w:val="0070C0"/>
                <w:sz w:val="20"/>
                <w:szCs w:val="20"/>
              </w:rPr>
              <w:t>has increased</w:t>
            </w:r>
          </w:p>
        </w:tc>
        <w:tc>
          <w:tcPr>
            <w:tcW w:w="3402" w:type="dxa"/>
            <w:vMerge w:val="restart"/>
          </w:tcPr>
          <w:p w:rsidR="000C4CCE" w:rsidRPr="006D5A61" w:rsidRDefault="000C4CCE" w:rsidP="00664CA9">
            <w:pPr>
              <w:pStyle w:val="NoSpacing"/>
              <w:spacing w:line="360" w:lineRule="auto"/>
              <w:jc w:val="both"/>
              <w:rPr>
                <w:sz w:val="20"/>
                <w:szCs w:val="20"/>
              </w:rPr>
            </w:pPr>
          </w:p>
        </w:tc>
      </w:tr>
      <w:tr w:rsidR="000C4CCE" w:rsidTr="004733E9">
        <w:trPr>
          <w:trHeight w:val="612"/>
        </w:trPr>
        <w:tc>
          <w:tcPr>
            <w:tcW w:w="3232" w:type="dxa"/>
            <w:vMerge/>
          </w:tcPr>
          <w:p w:rsidR="000C4CCE" w:rsidRPr="004F2E53" w:rsidRDefault="000C4CCE" w:rsidP="000C4CCE">
            <w:pPr>
              <w:pStyle w:val="NoSpacing"/>
              <w:spacing w:line="360" w:lineRule="auto"/>
              <w:rPr>
                <w:sz w:val="24"/>
                <w:szCs w:val="24"/>
              </w:rPr>
            </w:pPr>
          </w:p>
        </w:tc>
        <w:tc>
          <w:tcPr>
            <w:tcW w:w="3709" w:type="dxa"/>
            <w:vMerge/>
          </w:tcPr>
          <w:p w:rsidR="000C4CCE" w:rsidRPr="00263C80" w:rsidRDefault="000C4CCE" w:rsidP="000C4CCE">
            <w:pPr>
              <w:pStyle w:val="NoSpacing"/>
              <w:jc w:val="both"/>
              <w:rPr>
                <w:b/>
                <w:color w:val="FF0000"/>
                <w:sz w:val="20"/>
                <w:szCs w:val="20"/>
              </w:rPr>
            </w:pPr>
          </w:p>
        </w:tc>
        <w:tc>
          <w:tcPr>
            <w:tcW w:w="3095" w:type="dxa"/>
          </w:tcPr>
          <w:p w:rsidR="000C4CCE" w:rsidRPr="000561EA" w:rsidRDefault="000C4CCE" w:rsidP="000C4CCE">
            <w:pPr>
              <w:jc w:val="both"/>
              <w:rPr>
                <w:rFonts w:asciiTheme="minorHAnsi" w:hAnsiTheme="minorHAnsi" w:cs="Arial"/>
                <w:b/>
                <w:color w:val="FF0000"/>
                <w:sz w:val="20"/>
                <w:szCs w:val="20"/>
              </w:rPr>
            </w:pPr>
            <w:r w:rsidRPr="000561EA">
              <w:rPr>
                <w:rFonts w:asciiTheme="minorHAnsi" w:hAnsiTheme="minorHAnsi" w:cs="Arial"/>
                <w:b/>
                <w:color w:val="00B050"/>
                <w:sz w:val="20"/>
                <w:szCs w:val="20"/>
              </w:rPr>
              <w:t>Present simple tense</w:t>
            </w:r>
          </w:p>
        </w:tc>
        <w:tc>
          <w:tcPr>
            <w:tcW w:w="3402" w:type="dxa"/>
            <w:vMerge/>
          </w:tcPr>
          <w:p w:rsidR="000C4CCE" w:rsidRPr="006D5A61" w:rsidRDefault="000C4CCE" w:rsidP="000C4CCE">
            <w:pPr>
              <w:pStyle w:val="NoSpacing"/>
              <w:spacing w:line="360" w:lineRule="auto"/>
              <w:jc w:val="both"/>
              <w:rPr>
                <w:sz w:val="20"/>
                <w:szCs w:val="20"/>
              </w:rPr>
            </w:pPr>
          </w:p>
        </w:tc>
      </w:tr>
      <w:tr w:rsidR="001F2809" w:rsidTr="001F2809">
        <w:trPr>
          <w:trHeight w:val="435"/>
        </w:trPr>
        <w:tc>
          <w:tcPr>
            <w:tcW w:w="3232" w:type="dxa"/>
            <w:vMerge w:val="restart"/>
          </w:tcPr>
          <w:p w:rsidR="001F2809" w:rsidRPr="004F2E53" w:rsidRDefault="001F2809" w:rsidP="000C4CCE">
            <w:pPr>
              <w:pStyle w:val="NoSpacing"/>
              <w:spacing w:line="360" w:lineRule="auto"/>
              <w:rPr>
                <w:sz w:val="24"/>
                <w:szCs w:val="24"/>
              </w:rPr>
            </w:pPr>
            <w:r w:rsidRPr="004F2E53">
              <w:rPr>
                <w:sz w:val="24"/>
                <w:szCs w:val="24"/>
              </w:rPr>
              <w:t>(9)  Effects</w:t>
            </w:r>
          </w:p>
        </w:tc>
        <w:tc>
          <w:tcPr>
            <w:tcW w:w="3709" w:type="dxa"/>
          </w:tcPr>
          <w:p w:rsidR="001F2809" w:rsidRDefault="001F2809" w:rsidP="000C4CCE">
            <w:pPr>
              <w:ind w:right="-868"/>
              <w:jc w:val="both"/>
              <w:rPr>
                <w:rFonts w:asciiTheme="minorHAnsi" w:hAnsiTheme="minorHAnsi" w:cs="Arial"/>
                <w:sz w:val="20"/>
                <w:szCs w:val="20"/>
              </w:rPr>
            </w:pPr>
            <w:r w:rsidRPr="004733E9">
              <w:rPr>
                <w:rFonts w:asciiTheme="minorHAnsi" w:hAnsiTheme="minorHAnsi" w:cs="Arial"/>
                <w:sz w:val="20"/>
                <w:szCs w:val="20"/>
              </w:rPr>
              <w:t xml:space="preserve">All three components of the ratio </w:t>
            </w:r>
          </w:p>
          <w:p w:rsidR="001F2809" w:rsidRDefault="001F2809" w:rsidP="000C4CCE">
            <w:pPr>
              <w:ind w:right="-868"/>
              <w:jc w:val="both"/>
              <w:rPr>
                <w:rFonts w:asciiTheme="minorHAnsi" w:hAnsiTheme="minorHAnsi" w:cs="Arial"/>
                <w:sz w:val="20"/>
                <w:szCs w:val="20"/>
              </w:rPr>
            </w:pPr>
            <w:r w:rsidRPr="004733E9">
              <w:rPr>
                <w:rFonts w:asciiTheme="minorHAnsi" w:hAnsiTheme="minorHAnsi" w:cs="Arial"/>
                <w:sz w:val="20"/>
                <w:szCs w:val="20"/>
              </w:rPr>
              <w:t xml:space="preserve">have been worsening for Microchips plc </w:t>
            </w:r>
          </w:p>
          <w:p w:rsidR="001F2809" w:rsidRPr="00245453" w:rsidRDefault="001F2809" w:rsidP="000C4CCE">
            <w:pPr>
              <w:ind w:right="-868"/>
              <w:jc w:val="both"/>
              <w:rPr>
                <w:rFonts w:asciiTheme="minorHAnsi" w:hAnsiTheme="minorHAnsi" w:cs="Arial"/>
                <w:b/>
                <w:color w:val="FF0000"/>
                <w:sz w:val="20"/>
                <w:szCs w:val="20"/>
              </w:rPr>
            </w:pPr>
            <w:r w:rsidRPr="004733E9">
              <w:rPr>
                <w:rFonts w:asciiTheme="minorHAnsi" w:hAnsiTheme="minorHAnsi" w:cs="Arial"/>
                <w:sz w:val="20"/>
                <w:szCs w:val="20"/>
              </w:rPr>
              <w:lastRenderedPageBreak/>
              <w:t xml:space="preserve">which has had a </w:t>
            </w:r>
            <w:r w:rsidRPr="00245453">
              <w:rPr>
                <w:rFonts w:asciiTheme="minorHAnsi" w:hAnsiTheme="minorHAnsi" w:cs="Arial"/>
                <w:b/>
                <w:color w:val="FF0000"/>
                <w:sz w:val="20"/>
                <w:szCs w:val="20"/>
              </w:rPr>
              <w:t xml:space="preserve">very dramatic and </w:t>
            </w:r>
          </w:p>
          <w:p w:rsidR="001F2809" w:rsidRPr="006D5A61" w:rsidRDefault="001F2809" w:rsidP="000C4CCE">
            <w:pPr>
              <w:ind w:right="-868"/>
              <w:jc w:val="both"/>
              <w:rPr>
                <w:sz w:val="20"/>
                <w:szCs w:val="20"/>
              </w:rPr>
            </w:pPr>
            <w:proofErr w:type="gramStart"/>
            <w:r w:rsidRPr="00245453">
              <w:rPr>
                <w:rFonts w:asciiTheme="minorHAnsi" w:hAnsiTheme="minorHAnsi" w:cs="Arial"/>
                <w:b/>
                <w:color w:val="FF0000"/>
                <w:sz w:val="20"/>
                <w:szCs w:val="20"/>
              </w:rPr>
              <w:t>negative</w:t>
            </w:r>
            <w:proofErr w:type="gramEnd"/>
            <w:r w:rsidRPr="00245453">
              <w:rPr>
                <w:rFonts w:asciiTheme="minorHAnsi" w:hAnsiTheme="minorHAnsi" w:cs="Arial"/>
                <w:b/>
                <w:color w:val="FF0000"/>
                <w:sz w:val="20"/>
                <w:szCs w:val="20"/>
              </w:rPr>
              <w:t xml:space="preserve"> effect on</w:t>
            </w:r>
            <w:r w:rsidRPr="00245453">
              <w:rPr>
                <w:rFonts w:asciiTheme="minorHAnsi" w:hAnsiTheme="minorHAnsi" w:cs="Arial"/>
                <w:color w:val="FF0000"/>
                <w:sz w:val="20"/>
                <w:szCs w:val="20"/>
              </w:rPr>
              <w:t xml:space="preserve"> </w:t>
            </w:r>
            <w:r w:rsidRPr="004733E9">
              <w:rPr>
                <w:rFonts w:asciiTheme="minorHAnsi" w:hAnsiTheme="minorHAnsi" w:cs="Arial"/>
                <w:sz w:val="20"/>
                <w:szCs w:val="20"/>
              </w:rPr>
              <w:t>the Cash Operating Cycle.</w:t>
            </w:r>
          </w:p>
        </w:tc>
        <w:tc>
          <w:tcPr>
            <w:tcW w:w="3095" w:type="dxa"/>
          </w:tcPr>
          <w:p w:rsidR="001F2809" w:rsidRPr="00205472" w:rsidRDefault="001F2809" w:rsidP="000C4CCE">
            <w:pPr>
              <w:pStyle w:val="NoSpacing"/>
              <w:jc w:val="both"/>
              <w:rPr>
                <w:sz w:val="20"/>
                <w:szCs w:val="20"/>
              </w:rPr>
            </w:pPr>
            <w:r w:rsidRPr="00205472">
              <w:rPr>
                <w:rFonts w:cs="Arial"/>
                <w:sz w:val="20"/>
                <w:szCs w:val="20"/>
              </w:rPr>
              <w:lastRenderedPageBreak/>
              <w:t xml:space="preserve">Understand the financial plan regarding increased levels of </w:t>
            </w:r>
            <w:r w:rsidRPr="00205472">
              <w:rPr>
                <w:rFonts w:cs="Arial"/>
                <w:sz w:val="20"/>
                <w:szCs w:val="20"/>
              </w:rPr>
              <w:lastRenderedPageBreak/>
              <w:t xml:space="preserve">borrowing from the bank </w:t>
            </w:r>
            <w:r w:rsidRPr="00245453">
              <w:rPr>
                <w:rFonts w:cs="Arial"/>
                <w:b/>
                <w:color w:val="FF0000"/>
                <w:sz w:val="20"/>
                <w:szCs w:val="20"/>
              </w:rPr>
              <w:t>that have adversely affected the</w:t>
            </w:r>
            <w:r w:rsidRPr="00205472">
              <w:rPr>
                <w:rFonts w:cs="Arial"/>
                <w:sz w:val="20"/>
                <w:szCs w:val="20"/>
              </w:rPr>
              <w:t xml:space="preserve"> interest cover.</w:t>
            </w:r>
          </w:p>
        </w:tc>
        <w:tc>
          <w:tcPr>
            <w:tcW w:w="3402" w:type="dxa"/>
            <w:vMerge w:val="restart"/>
          </w:tcPr>
          <w:p w:rsidR="001F2809" w:rsidRPr="0090060E" w:rsidRDefault="001F2809" w:rsidP="000C4CCE">
            <w:pPr>
              <w:pStyle w:val="NoSpacing"/>
              <w:jc w:val="both"/>
              <w:rPr>
                <w:sz w:val="20"/>
                <w:szCs w:val="20"/>
              </w:rPr>
            </w:pPr>
            <w:r w:rsidRPr="0090060E">
              <w:rPr>
                <w:rFonts w:cs="Arial"/>
                <w:sz w:val="20"/>
                <w:szCs w:val="20"/>
              </w:rPr>
              <w:lastRenderedPageBreak/>
              <w:t xml:space="preserve">Delay payments to suppliers for as long as possible without incurring further </w:t>
            </w:r>
            <w:r w:rsidRPr="0090060E">
              <w:rPr>
                <w:rFonts w:cs="Arial"/>
                <w:sz w:val="20"/>
                <w:szCs w:val="20"/>
              </w:rPr>
              <w:lastRenderedPageBreak/>
              <w:t xml:space="preserve">costs, damaging the reputation or </w:t>
            </w:r>
            <w:r w:rsidRPr="00245453">
              <w:rPr>
                <w:rFonts w:cs="Arial"/>
                <w:b/>
                <w:color w:val="FF0000"/>
                <w:sz w:val="20"/>
                <w:szCs w:val="20"/>
              </w:rPr>
              <w:t>adversely affecting goodwill.</w:t>
            </w:r>
          </w:p>
        </w:tc>
      </w:tr>
      <w:tr w:rsidR="001F2809" w:rsidTr="004733E9">
        <w:trPr>
          <w:trHeight w:val="435"/>
        </w:trPr>
        <w:tc>
          <w:tcPr>
            <w:tcW w:w="3232" w:type="dxa"/>
            <w:vMerge/>
          </w:tcPr>
          <w:p w:rsidR="001F2809" w:rsidRPr="004F2E53" w:rsidRDefault="001F2809" w:rsidP="000C4CCE">
            <w:pPr>
              <w:pStyle w:val="NoSpacing"/>
              <w:spacing w:line="360" w:lineRule="auto"/>
              <w:rPr>
                <w:sz w:val="24"/>
                <w:szCs w:val="24"/>
              </w:rPr>
            </w:pPr>
          </w:p>
        </w:tc>
        <w:tc>
          <w:tcPr>
            <w:tcW w:w="3709" w:type="dxa"/>
          </w:tcPr>
          <w:p w:rsidR="001F2809" w:rsidRPr="001F2809" w:rsidRDefault="001F2809" w:rsidP="000C4CCE">
            <w:pPr>
              <w:ind w:right="-868"/>
              <w:jc w:val="both"/>
              <w:rPr>
                <w:rFonts w:asciiTheme="minorHAnsi" w:hAnsiTheme="minorHAnsi" w:cs="Arial"/>
                <w:b/>
                <w:sz w:val="20"/>
                <w:szCs w:val="20"/>
              </w:rPr>
            </w:pPr>
            <w:r w:rsidRPr="001F2809">
              <w:rPr>
                <w:rFonts w:asciiTheme="minorHAnsi" w:hAnsiTheme="minorHAnsi" w:cs="Arial"/>
                <w:b/>
                <w:color w:val="00B050"/>
                <w:sz w:val="20"/>
                <w:szCs w:val="20"/>
              </w:rPr>
              <w:t>Present perfect simple</w:t>
            </w:r>
          </w:p>
        </w:tc>
        <w:tc>
          <w:tcPr>
            <w:tcW w:w="3095" w:type="dxa"/>
          </w:tcPr>
          <w:p w:rsidR="001F2809" w:rsidRPr="00205472" w:rsidRDefault="001F2809" w:rsidP="000C4CCE">
            <w:pPr>
              <w:pStyle w:val="NoSpacing"/>
              <w:jc w:val="both"/>
              <w:rPr>
                <w:rFonts w:cs="Arial"/>
                <w:sz w:val="20"/>
                <w:szCs w:val="20"/>
              </w:rPr>
            </w:pPr>
            <w:r w:rsidRPr="001F2809">
              <w:rPr>
                <w:rFonts w:cs="Arial"/>
                <w:b/>
                <w:color w:val="00B050"/>
                <w:sz w:val="20"/>
                <w:szCs w:val="20"/>
              </w:rPr>
              <w:t>Present perfect simple</w:t>
            </w:r>
          </w:p>
        </w:tc>
        <w:tc>
          <w:tcPr>
            <w:tcW w:w="3402" w:type="dxa"/>
            <w:vMerge/>
          </w:tcPr>
          <w:p w:rsidR="001F2809" w:rsidRPr="0090060E" w:rsidRDefault="001F2809" w:rsidP="000C4CCE">
            <w:pPr>
              <w:pStyle w:val="NoSpacing"/>
              <w:jc w:val="both"/>
              <w:rPr>
                <w:rFonts w:cs="Arial"/>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(10) Emphasizing</w:t>
            </w:r>
          </w:p>
        </w:tc>
        <w:tc>
          <w:tcPr>
            <w:tcW w:w="3709" w:type="dxa"/>
          </w:tcPr>
          <w:p w:rsidR="000C4CCE" w:rsidRPr="00F94EAE" w:rsidRDefault="000C4CCE" w:rsidP="000C4CCE">
            <w:pPr>
              <w:pStyle w:val="NoSpacing"/>
              <w:jc w:val="both"/>
              <w:rPr>
                <w:sz w:val="20"/>
                <w:szCs w:val="20"/>
              </w:rPr>
            </w:pPr>
            <w:r w:rsidRPr="00F94EAE">
              <w:rPr>
                <w:rFonts w:cs="Arial"/>
                <w:sz w:val="20"/>
                <w:szCs w:val="20"/>
              </w:rPr>
              <w:t xml:space="preserve">However, the electronic component industry (as represented by the business sector norm) may not pay out large dividends due </w:t>
            </w:r>
            <w:r w:rsidRPr="00245453">
              <w:rPr>
                <w:rFonts w:cs="Arial"/>
                <w:b/>
                <w:color w:val="FF0000"/>
                <w:sz w:val="20"/>
                <w:szCs w:val="20"/>
              </w:rPr>
              <w:t>to the need for</w:t>
            </w:r>
            <w:r w:rsidRPr="00245453">
              <w:rPr>
                <w:rFonts w:cs="Arial"/>
                <w:color w:val="FF0000"/>
                <w:sz w:val="20"/>
                <w:szCs w:val="20"/>
              </w:rPr>
              <w:t xml:space="preserve"> </w:t>
            </w:r>
            <w:r w:rsidRPr="00F94EAE">
              <w:rPr>
                <w:rFonts w:cs="Arial"/>
                <w:sz w:val="20"/>
                <w:szCs w:val="20"/>
              </w:rPr>
              <w:t>continual research and development of new products and technologies.</w:t>
            </w:r>
          </w:p>
        </w:tc>
        <w:tc>
          <w:tcPr>
            <w:tcW w:w="3095" w:type="dxa"/>
          </w:tcPr>
          <w:p w:rsidR="000C4CCE" w:rsidRPr="00BA6969" w:rsidRDefault="000C4CCE" w:rsidP="000C4CCE">
            <w:pPr>
              <w:pStyle w:val="NoSpacing"/>
              <w:jc w:val="both"/>
              <w:rPr>
                <w:sz w:val="20"/>
                <w:szCs w:val="20"/>
              </w:rPr>
            </w:pPr>
            <w:r w:rsidRPr="00245453">
              <w:rPr>
                <w:rFonts w:cs="Arial"/>
                <w:b/>
                <w:color w:val="FF0000"/>
                <w:sz w:val="20"/>
                <w:szCs w:val="20"/>
              </w:rPr>
              <w:t>The need for</w:t>
            </w:r>
            <w:r w:rsidRPr="00245453">
              <w:rPr>
                <w:rFonts w:cs="Arial"/>
                <w:color w:val="FF0000"/>
                <w:sz w:val="20"/>
                <w:szCs w:val="20"/>
              </w:rPr>
              <w:t xml:space="preserve"> </w:t>
            </w:r>
            <w:r w:rsidRPr="00BA6969">
              <w:rPr>
                <w:rFonts w:cs="Arial"/>
                <w:sz w:val="20"/>
                <w:szCs w:val="20"/>
              </w:rPr>
              <w:t>this investigation is heightened when the 34% GP% figure for the business sector norm is considered, as it would seem that Microchips plc is lagging behind by 5 percentage points.</w:t>
            </w:r>
          </w:p>
        </w:tc>
        <w:tc>
          <w:tcPr>
            <w:tcW w:w="3402" w:type="dxa"/>
          </w:tcPr>
          <w:p w:rsidR="000C4CCE" w:rsidRPr="006D5A61" w:rsidRDefault="000C4CCE" w:rsidP="000C4CCE">
            <w:pPr>
              <w:pStyle w:val="NoSpacing"/>
              <w:spacing w:line="360" w:lineRule="auto"/>
              <w:jc w:val="both"/>
              <w:rPr>
                <w:sz w:val="20"/>
                <w:szCs w:val="20"/>
              </w:rPr>
            </w:pPr>
          </w:p>
        </w:tc>
      </w:tr>
      <w:tr w:rsidR="00D708FF" w:rsidTr="00D708FF">
        <w:trPr>
          <w:trHeight w:val="350"/>
        </w:trPr>
        <w:tc>
          <w:tcPr>
            <w:tcW w:w="3232" w:type="dxa"/>
            <w:vMerge w:val="restart"/>
          </w:tcPr>
          <w:p w:rsidR="00D708FF" w:rsidRPr="004F2E53" w:rsidRDefault="00D708FF" w:rsidP="000C4CCE">
            <w:pPr>
              <w:pStyle w:val="NoSpacing"/>
              <w:spacing w:line="360" w:lineRule="auto"/>
              <w:rPr>
                <w:sz w:val="24"/>
                <w:szCs w:val="24"/>
              </w:rPr>
            </w:pPr>
            <w:r w:rsidRPr="004F2E53">
              <w:rPr>
                <w:sz w:val="24"/>
                <w:szCs w:val="24"/>
              </w:rPr>
              <w:t>(11) Explaining</w:t>
            </w:r>
          </w:p>
        </w:tc>
        <w:tc>
          <w:tcPr>
            <w:tcW w:w="3709" w:type="dxa"/>
          </w:tcPr>
          <w:p w:rsidR="00D708FF" w:rsidRPr="0042783E" w:rsidRDefault="00D708FF" w:rsidP="000C4CCE">
            <w:pPr>
              <w:pStyle w:val="NoSpacing"/>
              <w:jc w:val="both"/>
              <w:rPr>
                <w:sz w:val="20"/>
                <w:szCs w:val="20"/>
              </w:rPr>
            </w:pPr>
            <w:r w:rsidRPr="0042783E">
              <w:rPr>
                <w:rFonts w:cs="Arial"/>
                <w:sz w:val="20"/>
                <w:szCs w:val="20"/>
              </w:rPr>
              <w:t xml:space="preserve">The constituent parts of the ratio are sales and fixed assets and comment has already been made </w:t>
            </w:r>
            <w:r w:rsidRPr="0042783E">
              <w:rPr>
                <w:rFonts w:cs="Arial"/>
                <w:b/>
                <w:color w:val="FF0000"/>
                <w:sz w:val="20"/>
                <w:szCs w:val="20"/>
              </w:rPr>
              <w:t>about the</w:t>
            </w:r>
            <w:r w:rsidRPr="0042783E">
              <w:rPr>
                <w:rFonts w:cs="Arial"/>
                <w:color w:val="FF0000"/>
                <w:sz w:val="20"/>
                <w:szCs w:val="20"/>
              </w:rPr>
              <w:t xml:space="preserve"> </w:t>
            </w:r>
            <w:r w:rsidRPr="0042783E">
              <w:rPr>
                <w:rFonts w:cs="Arial"/>
                <w:sz w:val="20"/>
                <w:szCs w:val="20"/>
              </w:rPr>
              <w:t>declining sales growth over the four year period.</w:t>
            </w:r>
          </w:p>
        </w:tc>
        <w:tc>
          <w:tcPr>
            <w:tcW w:w="3095" w:type="dxa"/>
            <w:vMerge w:val="restart"/>
          </w:tcPr>
          <w:p w:rsidR="00D708FF" w:rsidRPr="006D5A61" w:rsidRDefault="00D708FF" w:rsidP="000C4CCE">
            <w:pPr>
              <w:pStyle w:val="NoSpacing"/>
              <w:spacing w:line="360" w:lineRule="auto"/>
              <w:jc w:val="both"/>
              <w:rPr>
                <w:sz w:val="20"/>
                <w:szCs w:val="20"/>
              </w:rPr>
            </w:pPr>
          </w:p>
        </w:tc>
        <w:tc>
          <w:tcPr>
            <w:tcW w:w="3402" w:type="dxa"/>
            <w:vMerge w:val="restart"/>
          </w:tcPr>
          <w:p w:rsidR="00D708FF" w:rsidRPr="006D5A61" w:rsidRDefault="00D708FF" w:rsidP="000C4CCE">
            <w:pPr>
              <w:pStyle w:val="NoSpacing"/>
              <w:spacing w:line="360" w:lineRule="auto"/>
              <w:jc w:val="both"/>
              <w:rPr>
                <w:sz w:val="20"/>
                <w:szCs w:val="20"/>
              </w:rPr>
            </w:pPr>
          </w:p>
        </w:tc>
      </w:tr>
      <w:tr w:rsidR="00D708FF" w:rsidTr="004733E9">
        <w:trPr>
          <w:trHeight w:val="349"/>
        </w:trPr>
        <w:tc>
          <w:tcPr>
            <w:tcW w:w="3232" w:type="dxa"/>
            <w:vMerge/>
          </w:tcPr>
          <w:p w:rsidR="00D708FF" w:rsidRPr="004F2E53" w:rsidRDefault="00D708FF" w:rsidP="000C4CCE">
            <w:pPr>
              <w:pStyle w:val="NoSpacing"/>
              <w:spacing w:line="360" w:lineRule="auto"/>
              <w:rPr>
                <w:sz w:val="24"/>
                <w:szCs w:val="24"/>
              </w:rPr>
            </w:pPr>
          </w:p>
        </w:tc>
        <w:tc>
          <w:tcPr>
            <w:tcW w:w="3709" w:type="dxa"/>
          </w:tcPr>
          <w:p w:rsidR="00D708FF" w:rsidRPr="0042783E" w:rsidRDefault="00D708FF" w:rsidP="000C4CCE">
            <w:pPr>
              <w:pStyle w:val="NoSpacing"/>
              <w:jc w:val="both"/>
              <w:rPr>
                <w:rFonts w:cs="Arial"/>
                <w:sz w:val="20"/>
                <w:szCs w:val="20"/>
              </w:rPr>
            </w:pPr>
            <w:r>
              <w:rPr>
                <w:rFonts w:cs="Arial"/>
                <w:b/>
                <w:color w:val="00B050"/>
                <w:sz w:val="20"/>
                <w:szCs w:val="20"/>
              </w:rPr>
              <w:t xml:space="preserve">Has already been made = </w:t>
            </w:r>
            <w:r w:rsidRPr="001F2809">
              <w:rPr>
                <w:rFonts w:cs="Arial"/>
                <w:b/>
                <w:color w:val="00B050"/>
                <w:sz w:val="20"/>
                <w:szCs w:val="20"/>
              </w:rPr>
              <w:t>Present perfect simple</w:t>
            </w:r>
          </w:p>
        </w:tc>
        <w:tc>
          <w:tcPr>
            <w:tcW w:w="3095" w:type="dxa"/>
            <w:vMerge/>
          </w:tcPr>
          <w:p w:rsidR="00D708FF" w:rsidRPr="006D5A61" w:rsidRDefault="00D708FF" w:rsidP="000C4CCE">
            <w:pPr>
              <w:pStyle w:val="NoSpacing"/>
              <w:spacing w:line="360" w:lineRule="auto"/>
              <w:jc w:val="both"/>
              <w:rPr>
                <w:sz w:val="20"/>
                <w:szCs w:val="20"/>
              </w:rPr>
            </w:pPr>
          </w:p>
        </w:tc>
        <w:tc>
          <w:tcPr>
            <w:tcW w:w="3402" w:type="dxa"/>
            <w:vMerge/>
          </w:tcPr>
          <w:p w:rsidR="00D708FF" w:rsidRPr="006D5A61" w:rsidRDefault="00D708FF"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(12) Giving examples</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1A2FE2" w:rsidTr="001A2FE2">
        <w:trPr>
          <w:trHeight w:val="307"/>
        </w:trPr>
        <w:tc>
          <w:tcPr>
            <w:tcW w:w="3232" w:type="dxa"/>
            <w:vMerge w:val="restart"/>
          </w:tcPr>
          <w:p w:rsidR="001A2FE2" w:rsidRPr="004F2E53" w:rsidRDefault="001A2FE2" w:rsidP="000C4CCE">
            <w:pPr>
              <w:pStyle w:val="NoSpacing"/>
              <w:spacing w:line="360" w:lineRule="auto"/>
              <w:rPr>
                <w:sz w:val="24"/>
                <w:szCs w:val="24"/>
              </w:rPr>
            </w:pPr>
            <w:r w:rsidRPr="004F2E53">
              <w:rPr>
                <w:sz w:val="24"/>
                <w:szCs w:val="24"/>
              </w:rPr>
              <w:t>(13) Giving exceptions</w:t>
            </w:r>
          </w:p>
        </w:tc>
        <w:tc>
          <w:tcPr>
            <w:tcW w:w="3709" w:type="dxa"/>
          </w:tcPr>
          <w:p w:rsidR="001A2FE2" w:rsidRPr="003A4D0B" w:rsidRDefault="001A2FE2" w:rsidP="000C4CCE">
            <w:pPr>
              <w:ind w:left="360"/>
              <w:rPr>
                <w:rFonts w:asciiTheme="minorHAnsi" w:hAnsiTheme="minorHAnsi" w:cs="Arial"/>
                <w:sz w:val="20"/>
                <w:szCs w:val="20"/>
              </w:rPr>
            </w:pPr>
            <w:r w:rsidRPr="003A4D0B">
              <w:rPr>
                <w:rFonts w:asciiTheme="minorHAnsi" w:hAnsiTheme="minorHAnsi" w:cs="Arial"/>
                <w:sz w:val="20"/>
                <w:szCs w:val="20"/>
              </w:rPr>
              <w:t xml:space="preserve">High gearing </w:t>
            </w:r>
            <w:r w:rsidRPr="00BB754D">
              <w:rPr>
                <w:rFonts w:asciiTheme="minorHAnsi" w:hAnsiTheme="minorHAnsi" w:cs="Arial"/>
                <w:b/>
                <w:color w:val="FF0000"/>
                <w:sz w:val="20"/>
                <w:szCs w:val="20"/>
              </w:rPr>
              <w:t>only works when</w:t>
            </w:r>
            <w:r w:rsidRPr="00BB754D">
              <w:rPr>
                <w:rFonts w:asciiTheme="minorHAnsi" w:hAnsiTheme="minorHAnsi" w:cs="Arial"/>
                <w:color w:val="FF0000"/>
                <w:sz w:val="20"/>
                <w:szCs w:val="20"/>
              </w:rPr>
              <w:t xml:space="preserve"> </w:t>
            </w:r>
            <w:r w:rsidRPr="003A4D0B">
              <w:rPr>
                <w:rFonts w:asciiTheme="minorHAnsi" w:hAnsiTheme="minorHAnsi" w:cs="Arial"/>
                <w:sz w:val="20"/>
                <w:szCs w:val="20"/>
              </w:rPr>
              <w:t xml:space="preserve">profit </w:t>
            </w:r>
            <w:r>
              <w:rPr>
                <w:rFonts w:asciiTheme="minorHAnsi" w:hAnsiTheme="minorHAnsi" w:cs="Arial"/>
                <w:sz w:val="20"/>
                <w:szCs w:val="20"/>
              </w:rPr>
              <w:t>l</w:t>
            </w:r>
            <w:r w:rsidRPr="003A4D0B">
              <w:rPr>
                <w:rFonts w:asciiTheme="minorHAnsi" w:hAnsiTheme="minorHAnsi" w:cs="Arial"/>
                <w:sz w:val="20"/>
                <w:szCs w:val="20"/>
              </w:rPr>
              <w:t>evels are high.</w:t>
            </w:r>
          </w:p>
          <w:p w:rsidR="001A2FE2" w:rsidRPr="006D5A61" w:rsidRDefault="001A2FE2" w:rsidP="000C4CCE">
            <w:pPr>
              <w:pStyle w:val="NoSpacing"/>
              <w:spacing w:line="360" w:lineRule="auto"/>
              <w:jc w:val="both"/>
              <w:rPr>
                <w:sz w:val="20"/>
                <w:szCs w:val="20"/>
              </w:rPr>
            </w:pPr>
          </w:p>
        </w:tc>
        <w:tc>
          <w:tcPr>
            <w:tcW w:w="3095" w:type="dxa"/>
            <w:vMerge w:val="restart"/>
          </w:tcPr>
          <w:p w:rsidR="001A2FE2" w:rsidRPr="006D5A61" w:rsidRDefault="001A2FE2" w:rsidP="000C4CCE">
            <w:pPr>
              <w:pStyle w:val="NoSpacing"/>
              <w:spacing w:line="360" w:lineRule="auto"/>
              <w:jc w:val="both"/>
              <w:rPr>
                <w:sz w:val="20"/>
                <w:szCs w:val="20"/>
              </w:rPr>
            </w:pPr>
          </w:p>
        </w:tc>
        <w:tc>
          <w:tcPr>
            <w:tcW w:w="3402" w:type="dxa"/>
            <w:vMerge w:val="restart"/>
          </w:tcPr>
          <w:p w:rsidR="001A2FE2" w:rsidRPr="006D5A61" w:rsidRDefault="001A2FE2" w:rsidP="000C4CCE">
            <w:pPr>
              <w:pStyle w:val="NoSpacing"/>
              <w:spacing w:line="360" w:lineRule="auto"/>
              <w:jc w:val="both"/>
              <w:rPr>
                <w:sz w:val="20"/>
                <w:szCs w:val="20"/>
              </w:rPr>
            </w:pPr>
          </w:p>
        </w:tc>
      </w:tr>
      <w:tr w:rsidR="001A2FE2" w:rsidTr="004733E9">
        <w:trPr>
          <w:trHeight w:val="306"/>
        </w:trPr>
        <w:tc>
          <w:tcPr>
            <w:tcW w:w="3232" w:type="dxa"/>
            <w:vMerge/>
          </w:tcPr>
          <w:p w:rsidR="001A2FE2" w:rsidRPr="004F2E53" w:rsidRDefault="001A2FE2" w:rsidP="000C4CCE">
            <w:pPr>
              <w:pStyle w:val="NoSpacing"/>
              <w:spacing w:line="360" w:lineRule="auto"/>
              <w:rPr>
                <w:sz w:val="24"/>
                <w:szCs w:val="24"/>
              </w:rPr>
            </w:pPr>
          </w:p>
        </w:tc>
        <w:tc>
          <w:tcPr>
            <w:tcW w:w="3709" w:type="dxa"/>
          </w:tcPr>
          <w:p w:rsidR="001A2FE2" w:rsidRPr="003A4D0B" w:rsidRDefault="001A2FE2" w:rsidP="000C4CCE">
            <w:pPr>
              <w:ind w:left="360"/>
              <w:rPr>
                <w:rFonts w:asciiTheme="minorHAnsi" w:hAnsiTheme="minorHAnsi" w:cs="Arial"/>
                <w:sz w:val="20"/>
                <w:szCs w:val="20"/>
              </w:rPr>
            </w:pPr>
            <w:r w:rsidRPr="004D1A23">
              <w:rPr>
                <w:rFonts w:asciiTheme="minorHAnsi" w:hAnsiTheme="minorHAnsi" w:cs="Arial"/>
                <w:b/>
                <w:color w:val="00B050"/>
                <w:sz w:val="20"/>
                <w:szCs w:val="20"/>
              </w:rPr>
              <w:t>Present simple tense</w:t>
            </w:r>
          </w:p>
        </w:tc>
        <w:tc>
          <w:tcPr>
            <w:tcW w:w="3095" w:type="dxa"/>
            <w:vMerge/>
          </w:tcPr>
          <w:p w:rsidR="001A2FE2" w:rsidRPr="006D5A61" w:rsidRDefault="001A2FE2" w:rsidP="000C4CCE">
            <w:pPr>
              <w:pStyle w:val="NoSpacing"/>
              <w:spacing w:line="360" w:lineRule="auto"/>
              <w:jc w:val="both"/>
              <w:rPr>
                <w:sz w:val="20"/>
                <w:szCs w:val="20"/>
              </w:rPr>
            </w:pPr>
          </w:p>
        </w:tc>
        <w:tc>
          <w:tcPr>
            <w:tcW w:w="3402" w:type="dxa"/>
            <w:vMerge/>
          </w:tcPr>
          <w:p w:rsidR="001A2FE2" w:rsidRPr="006D5A61" w:rsidRDefault="001A2FE2"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(14) Giving opinions</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(15) Giving reasons</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 xml:space="preserve">(16) Linking </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(17) Listing and ordering</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(18) Making generalisations</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(19) Problems/Solutions</w:t>
            </w:r>
          </w:p>
        </w:tc>
        <w:tc>
          <w:tcPr>
            <w:tcW w:w="3709" w:type="dxa"/>
          </w:tcPr>
          <w:p w:rsidR="000C4CCE" w:rsidRPr="006D5A61" w:rsidRDefault="000C4CCE" w:rsidP="000C4CCE">
            <w:pPr>
              <w:ind w:left="360"/>
              <w:jc w:val="both"/>
              <w:rPr>
                <w:sz w:val="20"/>
                <w:szCs w:val="20"/>
              </w:rPr>
            </w:pPr>
            <w:r w:rsidRPr="00631E0A">
              <w:rPr>
                <w:rFonts w:asciiTheme="minorHAnsi" w:hAnsiTheme="minorHAnsi" w:cs="Arial"/>
                <w:sz w:val="20"/>
                <w:szCs w:val="20"/>
              </w:rPr>
              <w:t xml:space="preserve">Review the debtors to see who owes what and how long they take to pay. Identify </w:t>
            </w:r>
            <w:r w:rsidRPr="0093220E">
              <w:rPr>
                <w:rFonts w:asciiTheme="minorHAnsi" w:hAnsiTheme="minorHAnsi" w:cs="Arial"/>
                <w:b/>
                <w:color w:val="FF0000"/>
                <w:sz w:val="20"/>
                <w:szCs w:val="20"/>
              </w:rPr>
              <w:t>any high risk or problem</w:t>
            </w:r>
            <w:r w:rsidRPr="0093220E">
              <w:rPr>
                <w:rFonts w:asciiTheme="minorHAnsi" w:hAnsiTheme="minorHAnsi" w:cs="Arial"/>
                <w:color w:val="FF0000"/>
                <w:sz w:val="20"/>
                <w:szCs w:val="20"/>
              </w:rPr>
              <w:t xml:space="preserve"> </w:t>
            </w:r>
            <w:r w:rsidRPr="00631E0A">
              <w:rPr>
                <w:rFonts w:asciiTheme="minorHAnsi" w:hAnsiTheme="minorHAnsi" w:cs="Arial"/>
                <w:sz w:val="20"/>
                <w:szCs w:val="20"/>
              </w:rPr>
              <w:lastRenderedPageBreak/>
              <w:t>customers that require remedial action.</w:t>
            </w: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lastRenderedPageBreak/>
              <w:t>(20) Quoting people</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F71078" w:rsidTr="00F71078">
        <w:trPr>
          <w:trHeight w:val="264"/>
        </w:trPr>
        <w:tc>
          <w:tcPr>
            <w:tcW w:w="3232" w:type="dxa"/>
            <w:vMerge w:val="restart"/>
          </w:tcPr>
          <w:p w:rsidR="00F71078" w:rsidRPr="004F2E53" w:rsidRDefault="00F71078" w:rsidP="000C4CCE">
            <w:pPr>
              <w:pStyle w:val="NoSpacing"/>
              <w:spacing w:line="360" w:lineRule="auto"/>
              <w:rPr>
                <w:sz w:val="24"/>
                <w:szCs w:val="24"/>
              </w:rPr>
            </w:pPr>
            <w:r w:rsidRPr="004F2E53">
              <w:rPr>
                <w:sz w:val="24"/>
                <w:szCs w:val="24"/>
              </w:rPr>
              <w:t>(21) Referring back/forward</w:t>
            </w:r>
          </w:p>
        </w:tc>
        <w:tc>
          <w:tcPr>
            <w:tcW w:w="3709" w:type="dxa"/>
          </w:tcPr>
          <w:p w:rsidR="00F71078" w:rsidRPr="003B63C6" w:rsidRDefault="00F71078" w:rsidP="000C4CCE">
            <w:pPr>
              <w:pStyle w:val="NoSpacing"/>
              <w:jc w:val="both"/>
              <w:rPr>
                <w:sz w:val="20"/>
                <w:szCs w:val="20"/>
              </w:rPr>
            </w:pPr>
            <w:r w:rsidRPr="003B63C6">
              <w:rPr>
                <w:rFonts w:cs="Arial"/>
                <w:sz w:val="20"/>
                <w:szCs w:val="20"/>
              </w:rPr>
              <w:t xml:space="preserve">To analyse the liquidity of Microchips plc, the report </w:t>
            </w:r>
            <w:r w:rsidRPr="00D56A4B">
              <w:rPr>
                <w:rFonts w:cs="Arial"/>
                <w:b/>
                <w:color w:val="FF0000"/>
                <w:sz w:val="20"/>
                <w:szCs w:val="20"/>
              </w:rPr>
              <w:t>looks at the following</w:t>
            </w:r>
            <w:r w:rsidRPr="00D56A4B">
              <w:rPr>
                <w:rFonts w:cs="Arial"/>
                <w:color w:val="FF0000"/>
                <w:sz w:val="20"/>
                <w:szCs w:val="20"/>
              </w:rPr>
              <w:t xml:space="preserve"> </w:t>
            </w:r>
            <w:r w:rsidRPr="003B63C6">
              <w:rPr>
                <w:rFonts w:cs="Arial"/>
                <w:sz w:val="20"/>
                <w:szCs w:val="20"/>
              </w:rPr>
              <w:t>financial ratios</w:t>
            </w:r>
          </w:p>
        </w:tc>
        <w:tc>
          <w:tcPr>
            <w:tcW w:w="3095" w:type="dxa"/>
            <w:vMerge w:val="restart"/>
          </w:tcPr>
          <w:p w:rsidR="00F71078" w:rsidRPr="006D5A61" w:rsidRDefault="00F71078" w:rsidP="000C4CCE">
            <w:pPr>
              <w:pStyle w:val="NoSpacing"/>
              <w:spacing w:line="360" w:lineRule="auto"/>
              <w:jc w:val="both"/>
              <w:rPr>
                <w:sz w:val="20"/>
                <w:szCs w:val="20"/>
              </w:rPr>
            </w:pPr>
          </w:p>
        </w:tc>
        <w:tc>
          <w:tcPr>
            <w:tcW w:w="3402" w:type="dxa"/>
            <w:vMerge w:val="restart"/>
          </w:tcPr>
          <w:p w:rsidR="00F71078" w:rsidRPr="006D5A61" w:rsidRDefault="00F71078" w:rsidP="000C4CCE">
            <w:pPr>
              <w:pStyle w:val="NoSpacing"/>
              <w:spacing w:line="360" w:lineRule="auto"/>
              <w:jc w:val="both"/>
              <w:rPr>
                <w:sz w:val="20"/>
                <w:szCs w:val="20"/>
              </w:rPr>
            </w:pPr>
          </w:p>
        </w:tc>
      </w:tr>
      <w:tr w:rsidR="00F71078" w:rsidTr="004733E9">
        <w:trPr>
          <w:trHeight w:val="263"/>
        </w:trPr>
        <w:tc>
          <w:tcPr>
            <w:tcW w:w="3232" w:type="dxa"/>
            <w:vMerge/>
          </w:tcPr>
          <w:p w:rsidR="00F71078" w:rsidRPr="004F2E53" w:rsidRDefault="00F71078" w:rsidP="000C4CCE">
            <w:pPr>
              <w:pStyle w:val="NoSpacing"/>
              <w:spacing w:line="360" w:lineRule="auto"/>
              <w:rPr>
                <w:sz w:val="24"/>
                <w:szCs w:val="24"/>
              </w:rPr>
            </w:pPr>
          </w:p>
        </w:tc>
        <w:tc>
          <w:tcPr>
            <w:tcW w:w="3709" w:type="dxa"/>
          </w:tcPr>
          <w:p w:rsidR="00327A70" w:rsidRDefault="00327A70" w:rsidP="00F71078">
            <w:pPr>
              <w:pStyle w:val="NoSpacing"/>
              <w:jc w:val="both"/>
              <w:rPr>
                <w:rFonts w:cs="Arial"/>
                <w:b/>
                <w:color w:val="00B050"/>
                <w:sz w:val="20"/>
                <w:szCs w:val="20"/>
              </w:rPr>
            </w:pPr>
            <w:r>
              <w:rPr>
                <w:rFonts w:cs="Arial"/>
                <w:b/>
                <w:color w:val="00B050"/>
                <w:sz w:val="20"/>
                <w:szCs w:val="20"/>
              </w:rPr>
              <w:t>To analyse = full infinitive</w:t>
            </w:r>
          </w:p>
          <w:p w:rsidR="00F71078" w:rsidRPr="004D1A23" w:rsidRDefault="00327A70" w:rsidP="00327A70">
            <w:pPr>
              <w:pStyle w:val="NoSpacing"/>
              <w:jc w:val="both"/>
              <w:rPr>
                <w:rFonts w:cs="Arial"/>
                <w:b/>
                <w:color w:val="00B050"/>
                <w:sz w:val="20"/>
                <w:szCs w:val="20"/>
              </w:rPr>
            </w:pPr>
            <w:r>
              <w:rPr>
                <w:rFonts w:cs="Arial"/>
                <w:b/>
                <w:color w:val="00B050"/>
                <w:sz w:val="20"/>
                <w:szCs w:val="20"/>
              </w:rPr>
              <w:t xml:space="preserve">Looks at the following = </w:t>
            </w:r>
            <w:r w:rsidR="00F71078" w:rsidRPr="004D1A23">
              <w:rPr>
                <w:rFonts w:cs="Arial"/>
                <w:b/>
                <w:color w:val="00B050"/>
                <w:sz w:val="20"/>
                <w:szCs w:val="20"/>
              </w:rPr>
              <w:t xml:space="preserve">Present simple </w:t>
            </w:r>
          </w:p>
        </w:tc>
        <w:tc>
          <w:tcPr>
            <w:tcW w:w="3095" w:type="dxa"/>
            <w:vMerge/>
          </w:tcPr>
          <w:p w:rsidR="00F71078" w:rsidRPr="006D5A61" w:rsidRDefault="00F71078" w:rsidP="000C4CCE">
            <w:pPr>
              <w:pStyle w:val="NoSpacing"/>
              <w:spacing w:line="360" w:lineRule="auto"/>
              <w:jc w:val="both"/>
              <w:rPr>
                <w:sz w:val="20"/>
                <w:szCs w:val="20"/>
              </w:rPr>
            </w:pPr>
          </w:p>
        </w:tc>
        <w:tc>
          <w:tcPr>
            <w:tcW w:w="3402" w:type="dxa"/>
            <w:vMerge/>
          </w:tcPr>
          <w:p w:rsidR="00F71078" w:rsidRPr="006D5A61" w:rsidRDefault="00F71078"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(22) Related/Unrelated</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4D1A23" w:rsidTr="004D1A23">
        <w:trPr>
          <w:trHeight w:val="350"/>
        </w:trPr>
        <w:tc>
          <w:tcPr>
            <w:tcW w:w="3232" w:type="dxa"/>
            <w:vMerge w:val="restart"/>
          </w:tcPr>
          <w:p w:rsidR="004D1A23" w:rsidRPr="004F2E53" w:rsidRDefault="004D1A23" w:rsidP="000C4CCE">
            <w:pPr>
              <w:pStyle w:val="NoSpacing"/>
              <w:spacing w:line="360" w:lineRule="auto"/>
              <w:rPr>
                <w:sz w:val="24"/>
                <w:szCs w:val="24"/>
              </w:rPr>
            </w:pPr>
            <w:r w:rsidRPr="004F2E53">
              <w:rPr>
                <w:sz w:val="24"/>
                <w:szCs w:val="24"/>
              </w:rPr>
              <w:t>(23) Showing/Proving</w:t>
            </w:r>
          </w:p>
        </w:tc>
        <w:tc>
          <w:tcPr>
            <w:tcW w:w="3709" w:type="dxa"/>
          </w:tcPr>
          <w:p w:rsidR="004D1A23" w:rsidRPr="006D5A61" w:rsidRDefault="004D1A23" w:rsidP="000C4CCE">
            <w:pPr>
              <w:pStyle w:val="NoSpacing"/>
              <w:jc w:val="both"/>
              <w:rPr>
                <w:sz w:val="20"/>
                <w:szCs w:val="20"/>
              </w:rPr>
            </w:pPr>
            <w:r w:rsidRPr="00722FF5">
              <w:t xml:space="preserve">The actual amounts spent on COS </w:t>
            </w:r>
            <w:r w:rsidRPr="000A417B">
              <w:rPr>
                <w:b/>
                <w:color w:val="FF0000"/>
              </w:rPr>
              <w:t xml:space="preserve">can be calculated from </w:t>
            </w:r>
            <w:r w:rsidRPr="00722FF5">
              <w:t>the Sales, GP% and relative COS %.</w:t>
            </w:r>
          </w:p>
        </w:tc>
        <w:tc>
          <w:tcPr>
            <w:tcW w:w="3095" w:type="dxa"/>
          </w:tcPr>
          <w:p w:rsidR="004D1A23" w:rsidRPr="00E47114" w:rsidRDefault="004D1A23" w:rsidP="000C4CCE">
            <w:pPr>
              <w:pStyle w:val="NoSpacing"/>
              <w:jc w:val="both"/>
              <w:rPr>
                <w:sz w:val="20"/>
                <w:szCs w:val="20"/>
              </w:rPr>
            </w:pPr>
            <w:r w:rsidRPr="00E47114">
              <w:rPr>
                <w:sz w:val="20"/>
                <w:szCs w:val="20"/>
              </w:rPr>
              <w:t xml:space="preserve">From the table above </w:t>
            </w:r>
            <w:r w:rsidRPr="000A417B">
              <w:rPr>
                <w:b/>
                <w:color w:val="FF0000"/>
                <w:sz w:val="20"/>
                <w:szCs w:val="20"/>
              </w:rPr>
              <w:t>it is clear that</w:t>
            </w:r>
            <w:r w:rsidRPr="000A417B">
              <w:rPr>
                <w:color w:val="FF0000"/>
                <w:sz w:val="20"/>
                <w:szCs w:val="20"/>
              </w:rPr>
              <w:t xml:space="preserve"> </w:t>
            </w:r>
            <w:r w:rsidRPr="00E47114">
              <w:rPr>
                <w:sz w:val="20"/>
                <w:szCs w:val="20"/>
              </w:rPr>
              <w:t>wages and materials have increased steadily over the four years</w:t>
            </w:r>
          </w:p>
        </w:tc>
        <w:tc>
          <w:tcPr>
            <w:tcW w:w="3402" w:type="dxa"/>
            <w:vMerge w:val="restart"/>
          </w:tcPr>
          <w:p w:rsidR="004D1A23" w:rsidRPr="006D5A61" w:rsidRDefault="004D1A23" w:rsidP="000C4CCE">
            <w:pPr>
              <w:pStyle w:val="NoSpacing"/>
              <w:spacing w:line="360" w:lineRule="auto"/>
              <w:jc w:val="both"/>
              <w:rPr>
                <w:sz w:val="20"/>
                <w:szCs w:val="20"/>
              </w:rPr>
            </w:pPr>
          </w:p>
        </w:tc>
      </w:tr>
      <w:tr w:rsidR="004D1A23" w:rsidTr="004733E9">
        <w:trPr>
          <w:trHeight w:val="349"/>
        </w:trPr>
        <w:tc>
          <w:tcPr>
            <w:tcW w:w="3232" w:type="dxa"/>
            <w:vMerge/>
          </w:tcPr>
          <w:p w:rsidR="004D1A23" w:rsidRPr="004F2E53" w:rsidRDefault="004D1A23" w:rsidP="000C4CCE">
            <w:pPr>
              <w:pStyle w:val="NoSpacing"/>
              <w:spacing w:line="360" w:lineRule="auto"/>
              <w:rPr>
                <w:sz w:val="24"/>
                <w:szCs w:val="24"/>
              </w:rPr>
            </w:pPr>
          </w:p>
        </w:tc>
        <w:tc>
          <w:tcPr>
            <w:tcW w:w="3709" w:type="dxa"/>
          </w:tcPr>
          <w:p w:rsidR="004D1A23" w:rsidRPr="004D1A23" w:rsidRDefault="000810BC" w:rsidP="000C4CCE">
            <w:pPr>
              <w:pStyle w:val="NoSpacing"/>
              <w:jc w:val="both"/>
              <w:rPr>
                <w:b/>
              </w:rPr>
            </w:pPr>
            <w:r>
              <w:rPr>
                <w:b/>
                <w:color w:val="00B050"/>
              </w:rPr>
              <w:t xml:space="preserve">Can be calculated = </w:t>
            </w:r>
            <w:r w:rsidR="004D1A23" w:rsidRPr="004D1A23">
              <w:rPr>
                <w:b/>
                <w:color w:val="00B050"/>
              </w:rPr>
              <w:t>Modal verbs</w:t>
            </w:r>
          </w:p>
        </w:tc>
        <w:tc>
          <w:tcPr>
            <w:tcW w:w="3095" w:type="dxa"/>
          </w:tcPr>
          <w:p w:rsidR="004D1A23" w:rsidRPr="00E47114" w:rsidRDefault="006B6035" w:rsidP="006B6035">
            <w:pPr>
              <w:pStyle w:val="NoSpacing"/>
              <w:jc w:val="both"/>
              <w:rPr>
                <w:sz w:val="20"/>
                <w:szCs w:val="20"/>
              </w:rPr>
            </w:pPr>
            <w:r w:rsidRPr="004D1A23">
              <w:rPr>
                <w:rFonts w:cs="Arial"/>
                <w:b/>
                <w:color w:val="00B050"/>
                <w:sz w:val="20"/>
                <w:szCs w:val="20"/>
              </w:rPr>
              <w:t>Present simple</w:t>
            </w:r>
            <w:r>
              <w:rPr>
                <w:rFonts w:cs="Arial"/>
                <w:b/>
                <w:color w:val="00B050"/>
                <w:sz w:val="20"/>
                <w:szCs w:val="20"/>
              </w:rPr>
              <w:t xml:space="preserve"> te</w:t>
            </w:r>
            <w:bookmarkStart w:id="0" w:name="_GoBack"/>
            <w:bookmarkEnd w:id="0"/>
            <w:r>
              <w:rPr>
                <w:rFonts w:cs="Arial"/>
                <w:b/>
                <w:color w:val="00B050"/>
                <w:sz w:val="20"/>
                <w:szCs w:val="20"/>
              </w:rPr>
              <w:t>nse</w:t>
            </w:r>
          </w:p>
        </w:tc>
        <w:tc>
          <w:tcPr>
            <w:tcW w:w="3402" w:type="dxa"/>
            <w:vMerge/>
          </w:tcPr>
          <w:p w:rsidR="004D1A23" w:rsidRPr="006D5A61" w:rsidRDefault="004D1A23"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(24) Study/Research</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4F2E53" w:rsidRDefault="000C4CCE" w:rsidP="000C4CCE">
            <w:pPr>
              <w:pStyle w:val="NoSpacing"/>
              <w:spacing w:line="360" w:lineRule="auto"/>
              <w:rPr>
                <w:sz w:val="24"/>
                <w:szCs w:val="24"/>
              </w:rPr>
            </w:pPr>
            <w:r w:rsidRPr="004F2E53">
              <w:rPr>
                <w:sz w:val="24"/>
                <w:szCs w:val="24"/>
              </w:rPr>
              <w:t>(25) Subjects/Topics</w:t>
            </w:r>
          </w:p>
        </w:tc>
        <w:tc>
          <w:tcPr>
            <w:tcW w:w="3709" w:type="dxa"/>
          </w:tcPr>
          <w:p w:rsidR="000C4CCE" w:rsidRPr="006D5A61" w:rsidRDefault="000C4CCE" w:rsidP="000C4CCE">
            <w:pPr>
              <w:pStyle w:val="NoSpacing"/>
              <w:spacing w:line="360" w:lineRule="auto"/>
              <w:jc w:val="both"/>
              <w:rPr>
                <w:sz w:val="20"/>
                <w:szCs w:val="20"/>
              </w:rPr>
            </w:pP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r w:rsidR="000C4CCE" w:rsidTr="004733E9">
        <w:tc>
          <w:tcPr>
            <w:tcW w:w="3232" w:type="dxa"/>
          </w:tcPr>
          <w:p w:rsidR="000C4CCE" w:rsidRPr="00FC590B" w:rsidRDefault="000C4CCE" w:rsidP="000C4CCE">
            <w:pPr>
              <w:pStyle w:val="NoSpacing"/>
              <w:spacing w:line="360" w:lineRule="auto"/>
              <w:rPr>
                <w:b/>
                <w:sz w:val="24"/>
                <w:szCs w:val="24"/>
              </w:rPr>
            </w:pPr>
            <w:r w:rsidRPr="00FC590B">
              <w:rPr>
                <w:b/>
                <w:color w:val="FF0000"/>
                <w:sz w:val="24"/>
                <w:szCs w:val="24"/>
              </w:rPr>
              <w:t xml:space="preserve">(26) Background </w:t>
            </w:r>
            <w:r w:rsidRPr="00FC590B">
              <w:rPr>
                <w:color w:val="FF0000"/>
                <w:sz w:val="18"/>
                <w:szCs w:val="18"/>
              </w:rPr>
              <w:t>(added by DCW)</w:t>
            </w:r>
            <w:r w:rsidRPr="00FC590B">
              <w:rPr>
                <w:b/>
                <w:color w:val="FF0000"/>
                <w:sz w:val="24"/>
                <w:szCs w:val="24"/>
              </w:rPr>
              <w:t xml:space="preserve"> </w:t>
            </w:r>
          </w:p>
        </w:tc>
        <w:tc>
          <w:tcPr>
            <w:tcW w:w="3709" w:type="dxa"/>
          </w:tcPr>
          <w:p w:rsidR="000C4CCE" w:rsidRPr="006948DC" w:rsidRDefault="000C4CCE" w:rsidP="000C4CCE">
            <w:pPr>
              <w:pStyle w:val="NoSpacing"/>
              <w:rPr>
                <w:sz w:val="20"/>
                <w:szCs w:val="20"/>
              </w:rPr>
            </w:pPr>
            <w:r w:rsidRPr="006948DC">
              <w:rPr>
                <w:sz w:val="20"/>
                <w:szCs w:val="20"/>
              </w:rPr>
              <w:t>Microchips plc is a manufacturing business which produces electronics components for sale to the audio-visual industry.</w:t>
            </w:r>
          </w:p>
        </w:tc>
        <w:tc>
          <w:tcPr>
            <w:tcW w:w="3095" w:type="dxa"/>
          </w:tcPr>
          <w:p w:rsidR="000C4CCE" w:rsidRPr="006D5A61" w:rsidRDefault="000C4CCE" w:rsidP="000C4CCE">
            <w:pPr>
              <w:pStyle w:val="NoSpacing"/>
              <w:spacing w:line="360" w:lineRule="auto"/>
              <w:jc w:val="both"/>
              <w:rPr>
                <w:sz w:val="20"/>
                <w:szCs w:val="20"/>
              </w:rPr>
            </w:pPr>
          </w:p>
        </w:tc>
        <w:tc>
          <w:tcPr>
            <w:tcW w:w="3402" w:type="dxa"/>
          </w:tcPr>
          <w:p w:rsidR="000C4CCE" w:rsidRPr="006D5A61" w:rsidRDefault="000C4CCE" w:rsidP="000C4CCE">
            <w:pPr>
              <w:pStyle w:val="NoSpacing"/>
              <w:spacing w:line="360" w:lineRule="auto"/>
              <w:jc w:val="both"/>
              <w:rPr>
                <w:sz w:val="20"/>
                <w:szCs w:val="20"/>
              </w:rPr>
            </w:pPr>
          </w:p>
        </w:tc>
      </w:tr>
    </w:tbl>
    <w:p w:rsidR="002A3551" w:rsidRPr="00A419DC" w:rsidRDefault="002A3551" w:rsidP="00197175">
      <w:pPr>
        <w:pStyle w:val="NoSpacing"/>
        <w:spacing w:line="360" w:lineRule="auto"/>
        <w:rPr>
          <w:sz w:val="28"/>
          <w:szCs w:val="28"/>
        </w:rPr>
      </w:pPr>
    </w:p>
    <w:sectPr w:rsidR="002A3551" w:rsidRPr="00A419DC" w:rsidSect="00C71789">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4138" w:rsidRDefault="007A4138" w:rsidP="00B02D55">
      <w:r>
        <w:separator/>
      </w:r>
    </w:p>
  </w:endnote>
  <w:endnote w:type="continuationSeparator" w:id="0">
    <w:p w:rsidR="007A4138" w:rsidRDefault="007A4138" w:rsidP="00B02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4138" w:rsidRDefault="007A4138" w:rsidP="00B02D55">
      <w:r>
        <w:separator/>
      </w:r>
    </w:p>
  </w:footnote>
  <w:footnote w:type="continuationSeparator" w:id="0">
    <w:p w:rsidR="007A4138" w:rsidRDefault="007A4138" w:rsidP="00B02D5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2D55" w:rsidRDefault="00B02D55" w:rsidP="00B02D55">
    <w:r w:rsidRPr="00B02D55">
      <w:rPr>
        <w:b/>
        <w:sz w:val="40"/>
        <w:szCs w:val="40"/>
      </w:rPr>
      <w:t>ESSAY ACTIVATOR TOPICS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780EA4"/>
    <w:multiLevelType w:val="hybridMultilevel"/>
    <w:tmpl w:val="B4A480B8"/>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13558D5"/>
    <w:multiLevelType w:val="hybridMultilevel"/>
    <w:tmpl w:val="6D526CFA"/>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D55"/>
    <w:rsid w:val="00011CB4"/>
    <w:rsid w:val="000306CC"/>
    <w:rsid w:val="00032E90"/>
    <w:rsid w:val="00035ECF"/>
    <w:rsid w:val="000367E8"/>
    <w:rsid w:val="000429D5"/>
    <w:rsid w:val="000533C7"/>
    <w:rsid w:val="000561EA"/>
    <w:rsid w:val="00057530"/>
    <w:rsid w:val="00074F1D"/>
    <w:rsid w:val="000810BC"/>
    <w:rsid w:val="000860D1"/>
    <w:rsid w:val="0009439F"/>
    <w:rsid w:val="000A417B"/>
    <w:rsid w:val="000C4CCE"/>
    <w:rsid w:val="000D0D55"/>
    <w:rsid w:val="000D78D7"/>
    <w:rsid w:val="000E39D3"/>
    <w:rsid w:val="000E3DCB"/>
    <w:rsid w:val="000E66A2"/>
    <w:rsid w:val="000F3817"/>
    <w:rsid w:val="000F4C71"/>
    <w:rsid w:val="00101027"/>
    <w:rsid w:val="00122F60"/>
    <w:rsid w:val="0013518B"/>
    <w:rsid w:val="00152026"/>
    <w:rsid w:val="001626C2"/>
    <w:rsid w:val="001654B7"/>
    <w:rsid w:val="00170D48"/>
    <w:rsid w:val="00177EDE"/>
    <w:rsid w:val="001857BE"/>
    <w:rsid w:val="00197175"/>
    <w:rsid w:val="00197BDB"/>
    <w:rsid w:val="001A2FE2"/>
    <w:rsid w:val="001B1FC2"/>
    <w:rsid w:val="001B552A"/>
    <w:rsid w:val="001B731A"/>
    <w:rsid w:val="001C0161"/>
    <w:rsid w:val="001C5787"/>
    <w:rsid w:val="001D2A80"/>
    <w:rsid w:val="001E6628"/>
    <w:rsid w:val="001F2809"/>
    <w:rsid w:val="001F3EDC"/>
    <w:rsid w:val="00205472"/>
    <w:rsid w:val="00231C38"/>
    <w:rsid w:val="002320B9"/>
    <w:rsid w:val="002362BD"/>
    <w:rsid w:val="00237EA3"/>
    <w:rsid w:val="00245453"/>
    <w:rsid w:val="002562C4"/>
    <w:rsid w:val="00262BA2"/>
    <w:rsid w:val="00263C80"/>
    <w:rsid w:val="00294E05"/>
    <w:rsid w:val="00295D48"/>
    <w:rsid w:val="002A3551"/>
    <w:rsid w:val="002A6307"/>
    <w:rsid w:val="002B5B72"/>
    <w:rsid w:val="002C2266"/>
    <w:rsid w:val="002D31B8"/>
    <w:rsid w:val="002D4902"/>
    <w:rsid w:val="002D68FC"/>
    <w:rsid w:val="00302BD0"/>
    <w:rsid w:val="00303D74"/>
    <w:rsid w:val="00306D3E"/>
    <w:rsid w:val="003077A5"/>
    <w:rsid w:val="003134BF"/>
    <w:rsid w:val="00320899"/>
    <w:rsid w:val="00320C1E"/>
    <w:rsid w:val="003276B9"/>
    <w:rsid w:val="00327A70"/>
    <w:rsid w:val="00342AA7"/>
    <w:rsid w:val="0034774C"/>
    <w:rsid w:val="0038535A"/>
    <w:rsid w:val="0038561C"/>
    <w:rsid w:val="003976A0"/>
    <w:rsid w:val="003A0E3C"/>
    <w:rsid w:val="003A22E8"/>
    <w:rsid w:val="003A25EA"/>
    <w:rsid w:val="003A4D0B"/>
    <w:rsid w:val="003A6748"/>
    <w:rsid w:val="003B63C6"/>
    <w:rsid w:val="003C6023"/>
    <w:rsid w:val="003E3BC8"/>
    <w:rsid w:val="003F153C"/>
    <w:rsid w:val="004125FA"/>
    <w:rsid w:val="00414260"/>
    <w:rsid w:val="004250A8"/>
    <w:rsid w:val="004271D4"/>
    <w:rsid w:val="0042783E"/>
    <w:rsid w:val="0044663C"/>
    <w:rsid w:val="00454241"/>
    <w:rsid w:val="00456405"/>
    <w:rsid w:val="00464982"/>
    <w:rsid w:val="00473254"/>
    <w:rsid w:val="004733E9"/>
    <w:rsid w:val="00474D16"/>
    <w:rsid w:val="004818CA"/>
    <w:rsid w:val="004868AC"/>
    <w:rsid w:val="004B274A"/>
    <w:rsid w:val="004B7A76"/>
    <w:rsid w:val="004C6A94"/>
    <w:rsid w:val="004D1A23"/>
    <w:rsid w:val="004D668C"/>
    <w:rsid w:val="004D6BAA"/>
    <w:rsid w:val="004D7D82"/>
    <w:rsid w:val="004E51E5"/>
    <w:rsid w:val="004F2E53"/>
    <w:rsid w:val="00501C68"/>
    <w:rsid w:val="005128AE"/>
    <w:rsid w:val="00517E17"/>
    <w:rsid w:val="005221A9"/>
    <w:rsid w:val="0054036A"/>
    <w:rsid w:val="00541796"/>
    <w:rsid w:val="00544C70"/>
    <w:rsid w:val="00546F51"/>
    <w:rsid w:val="00547BD0"/>
    <w:rsid w:val="00564FFD"/>
    <w:rsid w:val="0058722A"/>
    <w:rsid w:val="00593EAB"/>
    <w:rsid w:val="00596AEC"/>
    <w:rsid w:val="00597433"/>
    <w:rsid w:val="005D0CE6"/>
    <w:rsid w:val="00617409"/>
    <w:rsid w:val="00617F33"/>
    <w:rsid w:val="00626E92"/>
    <w:rsid w:val="006302C3"/>
    <w:rsid w:val="00631E0A"/>
    <w:rsid w:val="006362B2"/>
    <w:rsid w:val="00636F55"/>
    <w:rsid w:val="00653198"/>
    <w:rsid w:val="006629B8"/>
    <w:rsid w:val="00664CA9"/>
    <w:rsid w:val="00665432"/>
    <w:rsid w:val="00670A63"/>
    <w:rsid w:val="00692DC6"/>
    <w:rsid w:val="006948DC"/>
    <w:rsid w:val="006B5DEF"/>
    <w:rsid w:val="006B6035"/>
    <w:rsid w:val="006D5637"/>
    <w:rsid w:val="006D5A61"/>
    <w:rsid w:val="006E61AF"/>
    <w:rsid w:val="006F78C6"/>
    <w:rsid w:val="00702868"/>
    <w:rsid w:val="00711E3A"/>
    <w:rsid w:val="00720E69"/>
    <w:rsid w:val="00722FF5"/>
    <w:rsid w:val="00723BAD"/>
    <w:rsid w:val="00731F6C"/>
    <w:rsid w:val="007360CB"/>
    <w:rsid w:val="00743082"/>
    <w:rsid w:val="00743E69"/>
    <w:rsid w:val="007559E9"/>
    <w:rsid w:val="00770AEE"/>
    <w:rsid w:val="007710AE"/>
    <w:rsid w:val="007738AB"/>
    <w:rsid w:val="00783598"/>
    <w:rsid w:val="007A4138"/>
    <w:rsid w:val="007B41A0"/>
    <w:rsid w:val="007B429A"/>
    <w:rsid w:val="007B5EF1"/>
    <w:rsid w:val="007C502D"/>
    <w:rsid w:val="007C5628"/>
    <w:rsid w:val="007E07A6"/>
    <w:rsid w:val="007E68F9"/>
    <w:rsid w:val="007F6F34"/>
    <w:rsid w:val="007F7529"/>
    <w:rsid w:val="008002B7"/>
    <w:rsid w:val="00807C18"/>
    <w:rsid w:val="008279C7"/>
    <w:rsid w:val="0083137A"/>
    <w:rsid w:val="00845B3C"/>
    <w:rsid w:val="00847348"/>
    <w:rsid w:val="0085390E"/>
    <w:rsid w:val="0086495E"/>
    <w:rsid w:val="0086632A"/>
    <w:rsid w:val="008749B5"/>
    <w:rsid w:val="008814F9"/>
    <w:rsid w:val="00894E3A"/>
    <w:rsid w:val="008B1215"/>
    <w:rsid w:val="008B5895"/>
    <w:rsid w:val="008C3A49"/>
    <w:rsid w:val="008D635D"/>
    <w:rsid w:val="0090010A"/>
    <w:rsid w:val="0090060E"/>
    <w:rsid w:val="00900792"/>
    <w:rsid w:val="00901948"/>
    <w:rsid w:val="009035EC"/>
    <w:rsid w:val="00913829"/>
    <w:rsid w:val="009231A1"/>
    <w:rsid w:val="00923628"/>
    <w:rsid w:val="0093220E"/>
    <w:rsid w:val="00960770"/>
    <w:rsid w:val="00974E6E"/>
    <w:rsid w:val="0097652B"/>
    <w:rsid w:val="00997D6B"/>
    <w:rsid w:val="009A1D8A"/>
    <w:rsid w:val="009A6F2C"/>
    <w:rsid w:val="009B474C"/>
    <w:rsid w:val="009C5F07"/>
    <w:rsid w:val="009C6D32"/>
    <w:rsid w:val="009F0453"/>
    <w:rsid w:val="009F402E"/>
    <w:rsid w:val="009F62FA"/>
    <w:rsid w:val="00A10EB2"/>
    <w:rsid w:val="00A110B0"/>
    <w:rsid w:val="00A17CB7"/>
    <w:rsid w:val="00A17E80"/>
    <w:rsid w:val="00A3111A"/>
    <w:rsid w:val="00A33C03"/>
    <w:rsid w:val="00A419DC"/>
    <w:rsid w:val="00A45509"/>
    <w:rsid w:val="00A54F8C"/>
    <w:rsid w:val="00A61C5E"/>
    <w:rsid w:val="00A6445D"/>
    <w:rsid w:val="00A7589F"/>
    <w:rsid w:val="00A76F26"/>
    <w:rsid w:val="00A804AA"/>
    <w:rsid w:val="00A8718E"/>
    <w:rsid w:val="00A87C90"/>
    <w:rsid w:val="00AA7A7D"/>
    <w:rsid w:val="00AB6EE4"/>
    <w:rsid w:val="00AB7661"/>
    <w:rsid w:val="00AC154C"/>
    <w:rsid w:val="00AC22BC"/>
    <w:rsid w:val="00AD4B27"/>
    <w:rsid w:val="00AE63BF"/>
    <w:rsid w:val="00AE78AA"/>
    <w:rsid w:val="00AF665B"/>
    <w:rsid w:val="00B02D55"/>
    <w:rsid w:val="00B03BBF"/>
    <w:rsid w:val="00B24200"/>
    <w:rsid w:val="00B25123"/>
    <w:rsid w:val="00B3468D"/>
    <w:rsid w:val="00B574F9"/>
    <w:rsid w:val="00B67313"/>
    <w:rsid w:val="00B728DC"/>
    <w:rsid w:val="00B8433A"/>
    <w:rsid w:val="00B919BB"/>
    <w:rsid w:val="00BA6969"/>
    <w:rsid w:val="00BB3034"/>
    <w:rsid w:val="00BB754D"/>
    <w:rsid w:val="00BC0EE2"/>
    <w:rsid w:val="00BE54A4"/>
    <w:rsid w:val="00BF06B8"/>
    <w:rsid w:val="00BF3E10"/>
    <w:rsid w:val="00C02639"/>
    <w:rsid w:val="00C21133"/>
    <w:rsid w:val="00C35BAE"/>
    <w:rsid w:val="00C406C7"/>
    <w:rsid w:val="00C45288"/>
    <w:rsid w:val="00C50C19"/>
    <w:rsid w:val="00C54C0B"/>
    <w:rsid w:val="00C65812"/>
    <w:rsid w:val="00C6645F"/>
    <w:rsid w:val="00C71789"/>
    <w:rsid w:val="00C741F8"/>
    <w:rsid w:val="00C919F6"/>
    <w:rsid w:val="00CA072E"/>
    <w:rsid w:val="00CD521F"/>
    <w:rsid w:val="00CE2507"/>
    <w:rsid w:val="00CF1E5E"/>
    <w:rsid w:val="00CF1F03"/>
    <w:rsid w:val="00D01ACC"/>
    <w:rsid w:val="00D04566"/>
    <w:rsid w:val="00D05DF8"/>
    <w:rsid w:val="00D266FA"/>
    <w:rsid w:val="00D41765"/>
    <w:rsid w:val="00D51F83"/>
    <w:rsid w:val="00D56A4B"/>
    <w:rsid w:val="00D609B9"/>
    <w:rsid w:val="00D708FF"/>
    <w:rsid w:val="00D873B3"/>
    <w:rsid w:val="00D92CAE"/>
    <w:rsid w:val="00D94019"/>
    <w:rsid w:val="00D97892"/>
    <w:rsid w:val="00DA4EAA"/>
    <w:rsid w:val="00DF09CC"/>
    <w:rsid w:val="00E014B6"/>
    <w:rsid w:val="00E07F2D"/>
    <w:rsid w:val="00E45786"/>
    <w:rsid w:val="00E47114"/>
    <w:rsid w:val="00E6271B"/>
    <w:rsid w:val="00E67507"/>
    <w:rsid w:val="00E7070C"/>
    <w:rsid w:val="00E718FF"/>
    <w:rsid w:val="00E76974"/>
    <w:rsid w:val="00E958D5"/>
    <w:rsid w:val="00E96CEC"/>
    <w:rsid w:val="00EA42BD"/>
    <w:rsid w:val="00EC4E2C"/>
    <w:rsid w:val="00ED1BF3"/>
    <w:rsid w:val="00ED222C"/>
    <w:rsid w:val="00ED7F94"/>
    <w:rsid w:val="00EE71AD"/>
    <w:rsid w:val="00F0044A"/>
    <w:rsid w:val="00F06E3D"/>
    <w:rsid w:val="00F306FB"/>
    <w:rsid w:val="00F359F7"/>
    <w:rsid w:val="00F43974"/>
    <w:rsid w:val="00F51963"/>
    <w:rsid w:val="00F65F36"/>
    <w:rsid w:val="00F71078"/>
    <w:rsid w:val="00F76984"/>
    <w:rsid w:val="00F852BF"/>
    <w:rsid w:val="00F93B17"/>
    <w:rsid w:val="00F94EAE"/>
    <w:rsid w:val="00FA47DD"/>
    <w:rsid w:val="00FA75AB"/>
    <w:rsid w:val="00FA7E6B"/>
    <w:rsid w:val="00FB2742"/>
    <w:rsid w:val="00FC264D"/>
    <w:rsid w:val="00FC590B"/>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1D2526-11F6-459A-AACB-C734FED63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4C71"/>
    <w:pPr>
      <w:spacing w:after="0" w:line="240" w:lineRule="auto"/>
    </w:pPr>
    <w:rPr>
      <w:rFonts w:ascii="Times New Roman" w:eastAsia="MS Mincho" w:hAnsi="Times New Roman" w:cs="Times New Roman"/>
      <w:sz w:val="24"/>
      <w:szCs w:val="24"/>
      <w:lang w:eastAsia="ja-JP"/>
    </w:rPr>
  </w:style>
  <w:style w:type="paragraph" w:styleId="Heading1">
    <w:name w:val="heading 1"/>
    <w:basedOn w:val="Normal"/>
    <w:next w:val="Normal"/>
    <w:link w:val="Heading1Char"/>
    <w:uiPriority w:val="9"/>
    <w:qFormat/>
    <w:rsid w:val="00B02D55"/>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D55"/>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02D5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B02D55"/>
  </w:style>
  <w:style w:type="paragraph" w:styleId="Footer">
    <w:name w:val="footer"/>
    <w:basedOn w:val="Normal"/>
    <w:link w:val="FooterChar"/>
    <w:uiPriority w:val="99"/>
    <w:unhideWhenUsed/>
    <w:rsid w:val="00B02D5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B02D55"/>
  </w:style>
  <w:style w:type="paragraph" w:styleId="NoSpacing">
    <w:name w:val="No Spacing"/>
    <w:uiPriority w:val="1"/>
    <w:qFormat/>
    <w:rsid w:val="00A419DC"/>
    <w:pPr>
      <w:spacing w:after="0" w:line="240" w:lineRule="auto"/>
    </w:pPr>
  </w:style>
  <w:style w:type="table" w:styleId="TableGrid">
    <w:name w:val="Table Grid"/>
    <w:basedOn w:val="TableNormal"/>
    <w:uiPriority w:val="39"/>
    <w:rsid w:val="00D94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semiHidden/>
    <w:rsid w:val="00E45786"/>
    <w:rPr>
      <w:rFonts w:ascii="Arial" w:eastAsia="Times New Roman" w:hAnsi="Arial"/>
      <w:lang w:eastAsia="en-US"/>
    </w:rPr>
  </w:style>
  <w:style w:type="paragraph" w:styleId="BalloonText">
    <w:name w:val="Balloon Text"/>
    <w:basedOn w:val="Normal"/>
    <w:link w:val="BalloonTextChar"/>
    <w:uiPriority w:val="99"/>
    <w:semiHidden/>
    <w:unhideWhenUsed/>
    <w:rsid w:val="001520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2026"/>
    <w:rPr>
      <w:rFonts w:ascii="Segoe UI" w:eastAsia="MS Mincho" w:hAnsi="Segoe UI" w:cs="Segoe UI"/>
      <w:sz w:val="18"/>
      <w:szCs w:val="1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4</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135</cp:revision>
  <cp:lastPrinted>2016-08-26T09:43:00Z</cp:lastPrinted>
  <dcterms:created xsi:type="dcterms:W3CDTF">2016-08-22T08:37:00Z</dcterms:created>
  <dcterms:modified xsi:type="dcterms:W3CDTF">2016-09-06T15:26:00Z</dcterms:modified>
</cp:coreProperties>
</file>