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F98B28" w14:textId="77777777" w:rsidR="004C7675" w:rsidRDefault="004C7675" w:rsidP="004C7675">
      <w:pPr>
        <w:spacing w:line="259" w:lineRule="auto"/>
        <w:jc w:val="center"/>
        <w:rPr>
          <w:b/>
          <w:bCs/>
          <w:sz w:val="36"/>
          <w:szCs w:val="32"/>
          <w:lang w:val="en-IN"/>
        </w:rPr>
      </w:pPr>
    </w:p>
    <w:p w14:paraId="65464390" w14:textId="77777777" w:rsidR="004C7675" w:rsidRDefault="004C7675" w:rsidP="004C7675">
      <w:pPr>
        <w:spacing w:line="259" w:lineRule="auto"/>
        <w:jc w:val="center"/>
        <w:rPr>
          <w:b/>
          <w:bCs/>
          <w:sz w:val="36"/>
          <w:szCs w:val="32"/>
          <w:lang w:val="en-IN"/>
        </w:rPr>
      </w:pPr>
    </w:p>
    <w:p w14:paraId="78BFFED4" w14:textId="77777777" w:rsidR="004C7675" w:rsidRDefault="004C7675" w:rsidP="004C7675">
      <w:pPr>
        <w:spacing w:line="259" w:lineRule="auto"/>
        <w:jc w:val="center"/>
        <w:rPr>
          <w:b/>
          <w:bCs/>
          <w:sz w:val="36"/>
          <w:szCs w:val="32"/>
          <w:lang w:val="en-IN"/>
        </w:rPr>
      </w:pPr>
    </w:p>
    <w:p w14:paraId="2FAFEB86" w14:textId="77777777" w:rsidR="004C7675" w:rsidRDefault="004C7675" w:rsidP="004C7675">
      <w:pPr>
        <w:spacing w:line="259" w:lineRule="auto"/>
        <w:jc w:val="center"/>
        <w:rPr>
          <w:b/>
          <w:bCs/>
          <w:sz w:val="36"/>
          <w:szCs w:val="32"/>
          <w:lang w:val="en-IN"/>
        </w:rPr>
      </w:pPr>
    </w:p>
    <w:p w14:paraId="7B91AC75" w14:textId="77777777" w:rsidR="004C7675" w:rsidRDefault="004C7675" w:rsidP="004C7675">
      <w:pPr>
        <w:spacing w:line="259" w:lineRule="auto"/>
        <w:jc w:val="center"/>
        <w:rPr>
          <w:b/>
          <w:bCs/>
          <w:sz w:val="36"/>
          <w:szCs w:val="32"/>
          <w:lang w:val="en-IN"/>
        </w:rPr>
      </w:pPr>
    </w:p>
    <w:p w14:paraId="614FF692" w14:textId="77777777" w:rsidR="004C7675" w:rsidRDefault="004C7675" w:rsidP="004C7675">
      <w:pPr>
        <w:spacing w:line="259" w:lineRule="auto"/>
        <w:jc w:val="center"/>
        <w:rPr>
          <w:b/>
          <w:bCs/>
          <w:sz w:val="36"/>
          <w:szCs w:val="32"/>
          <w:lang w:val="en-IN"/>
        </w:rPr>
      </w:pPr>
    </w:p>
    <w:p w14:paraId="1AD0CA43" w14:textId="77777777" w:rsidR="004C7675" w:rsidRDefault="004C7675" w:rsidP="004C7675">
      <w:pPr>
        <w:spacing w:line="259" w:lineRule="auto"/>
        <w:jc w:val="center"/>
        <w:rPr>
          <w:b/>
          <w:bCs/>
          <w:sz w:val="36"/>
          <w:szCs w:val="32"/>
          <w:lang w:val="en-IN"/>
        </w:rPr>
      </w:pPr>
    </w:p>
    <w:p w14:paraId="3FEB944A" w14:textId="77777777" w:rsidR="004C7675" w:rsidRDefault="004C7675" w:rsidP="004C7675">
      <w:pPr>
        <w:spacing w:line="259" w:lineRule="auto"/>
        <w:jc w:val="center"/>
        <w:rPr>
          <w:b/>
          <w:bCs/>
          <w:sz w:val="36"/>
          <w:szCs w:val="32"/>
          <w:lang w:val="en-IN"/>
        </w:rPr>
      </w:pPr>
    </w:p>
    <w:p w14:paraId="09DE0190" w14:textId="77777777" w:rsidR="004C7675" w:rsidRDefault="004C7675" w:rsidP="004C7675">
      <w:pPr>
        <w:spacing w:line="259" w:lineRule="auto"/>
        <w:jc w:val="center"/>
        <w:rPr>
          <w:b/>
          <w:bCs/>
          <w:sz w:val="36"/>
          <w:szCs w:val="32"/>
          <w:lang w:val="en-IN"/>
        </w:rPr>
      </w:pPr>
    </w:p>
    <w:p w14:paraId="71C49018" w14:textId="77777777" w:rsidR="004C7675" w:rsidRDefault="004C7675" w:rsidP="004C7675">
      <w:pPr>
        <w:spacing w:line="259" w:lineRule="auto"/>
        <w:jc w:val="center"/>
        <w:rPr>
          <w:b/>
          <w:bCs/>
          <w:sz w:val="36"/>
          <w:szCs w:val="32"/>
          <w:lang w:val="en-IN"/>
        </w:rPr>
      </w:pPr>
    </w:p>
    <w:p w14:paraId="52F3B445" w14:textId="24EEA1DE" w:rsidR="004C7675" w:rsidRPr="004C7675" w:rsidRDefault="00000000" w:rsidP="004C7675">
      <w:pPr>
        <w:spacing w:line="259" w:lineRule="auto"/>
        <w:jc w:val="center"/>
        <w:rPr>
          <w:b/>
          <w:bCs/>
          <w:lang w:val="en-IN"/>
        </w:rPr>
      </w:pPr>
      <w:r w:rsidRPr="004C7675">
        <w:rPr>
          <w:b/>
          <w:bCs/>
          <w:sz w:val="36"/>
          <w:szCs w:val="32"/>
          <w:lang w:val="en-IN"/>
        </w:rPr>
        <w:t>Criminal Law</w:t>
      </w:r>
      <w:r w:rsidRPr="004C7675">
        <w:rPr>
          <w:b/>
          <w:bCs/>
          <w:lang w:val="en-IN"/>
        </w:rPr>
        <w:br w:type="page"/>
      </w:r>
    </w:p>
    <w:p w14:paraId="1E38BCAF" w14:textId="0E136FA1" w:rsidR="00DF6579" w:rsidRPr="00DF6579" w:rsidRDefault="00DF6579" w:rsidP="00DF6579">
      <w:pPr>
        <w:jc w:val="center"/>
        <w:rPr>
          <w:b/>
          <w:bCs/>
          <w:lang w:val="en-IN"/>
        </w:rPr>
      </w:pPr>
      <w:bookmarkStart w:id="0" w:name="_Toc150257005"/>
      <w:r w:rsidRPr="00DF6579">
        <w:rPr>
          <w:b/>
          <w:bCs/>
          <w:lang w:val="en-IN"/>
        </w:rPr>
        <w:lastRenderedPageBreak/>
        <w:t>Consent and its role in cases</w:t>
      </w:r>
      <w:r w:rsidRPr="00DF6579">
        <w:rPr>
          <w:b/>
          <w:bCs/>
          <w:lang w:val="en-IN"/>
        </w:rPr>
        <w:t xml:space="preserve"> </w:t>
      </w:r>
      <w:r w:rsidRPr="00DF6579">
        <w:rPr>
          <w:b/>
          <w:bCs/>
          <w:lang w:val="en-IN"/>
        </w:rPr>
        <w:t>involving battery</w:t>
      </w:r>
    </w:p>
    <w:p w14:paraId="74F6B7E0" w14:textId="430B2935" w:rsidR="00A031FB" w:rsidRDefault="00000000" w:rsidP="005D7B02">
      <w:pPr>
        <w:pStyle w:val="Heading1"/>
        <w:rPr>
          <w:lang w:val="en-IN"/>
        </w:rPr>
      </w:pPr>
      <w:r>
        <w:rPr>
          <w:lang w:val="en-IN"/>
        </w:rPr>
        <w:t>Introduction</w:t>
      </w:r>
      <w:bookmarkEnd w:id="0"/>
    </w:p>
    <w:p w14:paraId="35F5B86A" w14:textId="4F1DD26D" w:rsidR="00234A53" w:rsidRPr="00234A53" w:rsidRDefault="00000000" w:rsidP="00234A53">
      <w:pPr>
        <w:rPr>
          <w:lang w:val="en-IN" w:eastAsia="en-GB"/>
        </w:rPr>
      </w:pPr>
      <w:r>
        <w:rPr>
          <w:lang w:val="en-IN" w:eastAsia="en-GB"/>
        </w:rPr>
        <w:t xml:space="preserve">This essay is based on the theme of the UK-based criminal law that duly discusses the concept of consent in the UK and its main role in cases involving battery. The explanation of </w:t>
      </w:r>
      <w:r w:rsidR="008C4C4A">
        <w:rPr>
          <w:lang w:val="en-IN" w:eastAsia="en-GB"/>
        </w:rPr>
        <w:t xml:space="preserve">the </w:t>
      </w:r>
      <w:r>
        <w:rPr>
          <w:lang w:val="en-IN" w:eastAsia="en-GB"/>
        </w:rPr>
        <w:t xml:space="preserve">ethical, </w:t>
      </w:r>
      <w:r w:rsidR="008C4C4A">
        <w:rPr>
          <w:lang w:val="en-IN" w:eastAsia="en-GB"/>
        </w:rPr>
        <w:t>social,</w:t>
      </w:r>
      <w:r>
        <w:rPr>
          <w:lang w:val="en-IN" w:eastAsia="en-GB"/>
        </w:rPr>
        <w:t xml:space="preserve"> and philosophical aspects has been covered in the context of highlighting the relevant case laws and section</w:t>
      </w:r>
      <w:r w:rsidR="008C4C4A">
        <w:rPr>
          <w:lang w:val="en-IN" w:eastAsia="en-GB"/>
        </w:rPr>
        <w:t xml:space="preserve">s based on the UK. This essay starts with highlighting the discussion of the UK-based cases involving battery and continues to explain the social, moral, ethical, and philosophical aspects of criminal law that influence consent understanding. In addition to these, this essay has also highlighted the </w:t>
      </w:r>
      <w:r w:rsidR="004840F2">
        <w:rPr>
          <w:lang w:val="en-IN" w:eastAsia="en-GB"/>
        </w:rPr>
        <w:t>evaluation of the policy issues that underlie criminal law and the need to regulate social behaviour in a detailed manner.</w:t>
      </w:r>
    </w:p>
    <w:p w14:paraId="59559D91" w14:textId="389964FF" w:rsidR="002E2322" w:rsidRDefault="00000000" w:rsidP="005D7B02">
      <w:pPr>
        <w:pStyle w:val="Heading1"/>
        <w:rPr>
          <w:lang w:val="en-IN"/>
        </w:rPr>
      </w:pPr>
      <w:bookmarkStart w:id="1" w:name="_Toc150257006"/>
      <w:r>
        <w:rPr>
          <w:lang w:val="en-IN"/>
        </w:rPr>
        <w:t>Discussion</w:t>
      </w:r>
      <w:bookmarkEnd w:id="1"/>
    </w:p>
    <w:p w14:paraId="46374EB9" w14:textId="561D2C17" w:rsidR="005D7B02" w:rsidRDefault="00000000" w:rsidP="00343ADF">
      <w:pPr>
        <w:pStyle w:val="Heading2"/>
        <w:rPr>
          <w:lang w:val="en-IN" w:eastAsia="en-GB"/>
        </w:rPr>
      </w:pPr>
      <w:bookmarkStart w:id="2" w:name="_Toc150257007"/>
      <w:r>
        <w:rPr>
          <w:lang w:val="en-IN" w:eastAsia="en-GB"/>
        </w:rPr>
        <w:t>Evaluating the concept of consent in the UK and its role in cases involving battery</w:t>
      </w:r>
      <w:bookmarkEnd w:id="2"/>
    </w:p>
    <w:p w14:paraId="3FDA4094" w14:textId="7F978E39" w:rsidR="009F0A54" w:rsidRPr="009F0A54" w:rsidRDefault="00000000" w:rsidP="009F0A54">
      <w:pPr>
        <w:rPr>
          <w:lang w:eastAsia="en-GB"/>
        </w:rPr>
      </w:pPr>
      <w:r w:rsidRPr="009F0A54">
        <w:rPr>
          <w:lang w:eastAsia="en-GB"/>
        </w:rPr>
        <w:t>The intricacies of consent within the UK legal framework, notably in cases involving battery, represent a multifaceted facet of criminal law. This notion is subject to influences both from established legal doctrines and from the ethical dimensions that govern it</w:t>
      </w:r>
      <w:r w:rsidR="00B55D9C">
        <w:rPr>
          <w:lang w:eastAsia="en-GB"/>
        </w:rPr>
        <w:t xml:space="preserve"> (</w:t>
      </w:r>
      <w:r w:rsidR="00B55D9C" w:rsidRPr="003B6120">
        <w:rPr>
          <w:shd w:val="clear" w:color="auto" w:fill="FFFFFF"/>
        </w:rPr>
        <w:t xml:space="preserve">Monaghan, </w:t>
      </w:r>
      <w:r w:rsidR="00B55D9C">
        <w:rPr>
          <w:shd w:val="clear" w:color="auto" w:fill="FFFFFF"/>
        </w:rPr>
        <w:t xml:space="preserve">2022). </w:t>
      </w:r>
      <w:r w:rsidRPr="009F0A54">
        <w:rPr>
          <w:lang w:eastAsia="en-GB"/>
        </w:rPr>
        <w:t xml:space="preserve">The </w:t>
      </w:r>
      <w:r w:rsidR="00F21620" w:rsidRPr="009F0A54">
        <w:rPr>
          <w:lang w:eastAsia="en-GB"/>
        </w:rPr>
        <w:t>balance</w:t>
      </w:r>
      <w:r w:rsidRPr="009F0A54">
        <w:rPr>
          <w:lang w:eastAsia="en-GB"/>
        </w:rPr>
        <w:t xml:space="preserve"> it seeks to strike revolves around respecting an individual's autonomy while simultaneously safeguarding the rights of potential victims.</w:t>
      </w:r>
      <w:r>
        <w:rPr>
          <w:lang w:eastAsia="en-GB"/>
        </w:rPr>
        <w:t xml:space="preserve"> </w:t>
      </w:r>
      <w:r w:rsidRPr="009F0A54">
        <w:rPr>
          <w:lang w:eastAsia="en-GB"/>
        </w:rPr>
        <w:t>Precedent-setting case law holds a prominent role in sculpting the parameters of consent within battery cases. An illustrative instance is the</w:t>
      </w:r>
      <w:bookmarkStart w:id="3" w:name="_Hlk150232378"/>
      <w:r w:rsidRPr="009F0A54">
        <w:rPr>
          <w:b/>
          <w:bCs/>
          <w:i/>
          <w:iCs/>
          <w:lang w:eastAsia="en-GB"/>
        </w:rPr>
        <w:t xml:space="preserve"> 1993 case of R v. Brown, </w:t>
      </w:r>
      <w:bookmarkEnd w:id="3"/>
      <w:r w:rsidRPr="009F0A54">
        <w:rPr>
          <w:lang w:eastAsia="en-GB"/>
        </w:rPr>
        <w:t xml:space="preserve">which delineated restrictions on the use of consent as a </w:t>
      </w:r>
      <w:r w:rsidR="00F21620" w:rsidRPr="009F0A54">
        <w:rPr>
          <w:lang w:eastAsia="en-GB"/>
        </w:rPr>
        <w:t>defence</w:t>
      </w:r>
      <w:r w:rsidRPr="009F0A54">
        <w:rPr>
          <w:lang w:eastAsia="en-GB"/>
        </w:rPr>
        <w:t>, particularly in scenarios involving severe injury resulting from sadomasochistic activities</w:t>
      </w:r>
      <w:r w:rsidR="00B55D9C">
        <w:rPr>
          <w:lang w:eastAsia="en-GB"/>
        </w:rPr>
        <w:t xml:space="preserve"> (Parliament, 2023).</w:t>
      </w:r>
      <w:r w:rsidRPr="009F0A54">
        <w:rPr>
          <w:lang w:eastAsia="en-GB"/>
        </w:rPr>
        <w:t xml:space="preserve"> This ruling accentuates a fundamental principle, legally and ethically, which maintains that consent cannot eclipse the imperative of safeguarding individuals from harm.</w:t>
      </w:r>
    </w:p>
    <w:p w14:paraId="5D79803D" w14:textId="3132C080" w:rsidR="009F0A54" w:rsidRPr="009F0A54" w:rsidRDefault="00000000" w:rsidP="009F0A54">
      <w:pPr>
        <w:rPr>
          <w:lang w:val="en-US" w:eastAsia="en-GB"/>
        </w:rPr>
      </w:pPr>
      <w:r w:rsidRPr="009F0A54">
        <w:rPr>
          <w:lang w:eastAsia="en-GB"/>
        </w:rPr>
        <w:t xml:space="preserve">Conversely, the </w:t>
      </w:r>
      <w:r w:rsidRPr="009F0A54">
        <w:rPr>
          <w:b/>
          <w:bCs/>
          <w:i/>
          <w:iCs/>
          <w:lang w:eastAsia="en-GB"/>
        </w:rPr>
        <w:t>1997 case of R v. Ireland</w:t>
      </w:r>
      <w:r w:rsidRPr="009F0A54">
        <w:rPr>
          <w:lang w:eastAsia="en-GB"/>
        </w:rPr>
        <w:t xml:space="preserve"> clarified that non-verbal cues, such as silence or passivity, can imply an absence of consent</w:t>
      </w:r>
      <w:r w:rsidR="00B55D9C">
        <w:rPr>
          <w:lang w:eastAsia="en-GB"/>
        </w:rPr>
        <w:t xml:space="preserve"> (</w:t>
      </w:r>
      <w:r w:rsidR="00B55D9C" w:rsidRPr="00C819DD">
        <w:rPr>
          <w:lang w:eastAsia="en-GB"/>
        </w:rPr>
        <w:t xml:space="preserve">Participation, </w:t>
      </w:r>
      <w:r w:rsidR="00B55D9C">
        <w:rPr>
          <w:lang w:eastAsia="en-GB"/>
        </w:rPr>
        <w:t>2023).</w:t>
      </w:r>
      <w:r w:rsidRPr="009F0A54">
        <w:rPr>
          <w:lang w:eastAsia="en-GB"/>
        </w:rPr>
        <w:t xml:space="preserve"> This decision underscores the significance of unambiguous and overt consent, aligning with the ethical principle that genuine consent must be spontaneous and well-informed.</w:t>
      </w:r>
      <w:r>
        <w:rPr>
          <w:lang w:eastAsia="en-GB"/>
        </w:rPr>
        <w:t xml:space="preserve"> </w:t>
      </w:r>
      <w:r w:rsidRPr="009F0A54">
        <w:rPr>
          <w:lang w:eastAsia="en-GB"/>
        </w:rPr>
        <w:t xml:space="preserve">The legal framework in the UK, notably the </w:t>
      </w:r>
      <w:r w:rsidRPr="009F0A54">
        <w:rPr>
          <w:b/>
          <w:bCs/>
          <w:i/>
          <w:iCs/>
          <w:lang w:eastAsia="en-GB"/>
        </w:rPr>
        <w:t>Sexual Offences Act of 2003,</w:t>
      </w:r>
      <w:r w:rsidRPr="009F0A54">
        <w:rPr>
          <w:lang w:eastAsia="en-GB"/>
        </w:rPr>
        <w:t xml:space="preserve"> underscores the significance of a "reasonable belief in consent" in sexual offence cases</w:t>
      </w:r>
      <w:r w:rsidR="00B55D9C">
        <w:rPr>
          <w:lang w:eastAsia="en-GB"/>
        </w:rPr>
        <w:t xml:space="preserve"> (</w:t>
      </w:r>
      <w:r w:rsidR="00B55D9C" w:rsidRPr="00C819DD">
        <w:rPr>
          <w:lang w:eastAsia="en-GB"/>
        </w:rPr>
        <w:t xml:space="preserve">Participation, </w:t>
      </w:r>
      <w:r w:rsidR="00B55D9C">
        <w:rPr>
          <w:lang w:eastAsia="en-GB"/>
        </w:rPr>
        <w:t>2023).</w:t>
      </w:r>
      <w:r w:rsidRPr="009F0A54">
        <w:rPr>
          <w:lang w:eastAsia="en-GB"/>
        </w:rPr>
        <w:t xml:space="preserve"> This bolsters the ethical imperative that consent must be authentic. While the law is designed to protect individual autonomy, it concurrently strives to ensure the well-being of potential victims, especially in cases where power imbalances might compromise the validity of consent.</w:t>
      </w:r>
      <w:r>
        <w:rPr>
          <w:lang w:eastAsia="en-GB"/>
        </w:rPr>
        <w:t xml:space="preserve"> Lastly,</w:t>
      </w:r>
      <w:r w:rsidRPr="009F0A54">
        <w:rPr>
          <w:lang w:eastAsia="en-GB"/>
        </w:rPr>
        <w:t xml:space="preserve"> the concept of consent within </w:t>
      </w:r>
      <w:r w:rsidRPr="009F0A54">
        <w:rPr>
          <w:lang w:eastAsia="en-GB"/>
        </w:rPr>
        <w:lastRenderedPageBreak/>
        <w:t>UK criminal law is underpinned by an intricate interplay of legal and ethical principles. Its role in battery cases is fundamentally to assess the voluntariness, informativeness, and spontaneity of consent, with the overarching objective of dispensing justice while safeguarding all involved parties</w:t>
      </w:r>
      <w:r w:rsidR="000D7FED">
        <w:rPr>
          <w:lang w:eastAsia="en-GB"/>
        </w:rPr>
        <w:t xml:space="preserve"> (</w:t>
      </w:r>
      <w:r w:rsidR="000D7FED" w:rsidRPr="003B6120">
        <w:rPr>
          <w:shd w:val="clear" w:color="auto" w:fill="FFFFFF"/>
        </w:rPr>
        <w:t>Craig</w:t>
      </w:r>
      <w:r w:rsidR="000D7FED">
        <w:rPr>
          <w:shd w:val="clear" w:color="auto" w:fill="FFFFFF"/>
        </w:rPr>
        <w:t xml:space="preserve"> </w:t>
      </w:r>
      <w:r w:rsidR="000D7FED" w:rsidRPr="003B6120">
        <w:rPr>
          <w:shd w:val="clear" w:color="auto" w:fill="FFFFFF"/>
        </w:rPr>
        <w:t>and De B</w:t>
      </w:r>
      <w:r w:rsidR="000D7FED">
        <w:rPr>
          <w:shd w:val="clear" w:color="auto" w:fill="FFFFFF"/>
        </w:rPr>
        <w:t>u</w:t>
      </w:r>
      <w:r w:rsidR="000D7FED" w:rsidRPr="003B6120">
        <w:rPr>
          <w:shd w:val="clear" w:color="auto" w:fill="FFFFFF"/>
        </w:rPr>
        <w:t>rca,</w:t>
      </w:r>
      <w:r w:rsidR="000D7FED">
        <w:rPr>
          <w:shd w:val="clear" w:color="auto" w:fill="FFFFFF"/>
        </w:rPr>
        <w:t xml:space="preserve"> 2020).</w:t>
      </w:r>
    </w:p>
    <w:p w14:paraId="561E72A9" w14:textId="13134257" w:rsidR="005D7B02" w:rsidRDefault="00000000" w:rsidP="00343ADF">
      <w:pPr>
        <w:pStyle w:val="Heading2"/>
        <w:rPr>
          <w:lang w:val="en-IN" w:eastAsia="en-GB"/>
        </w:rPr>
      </w:pPr>
      <w:bookmarkStart w:id="4" w:name="_Toc150257008"/>
      <w:r>
        <w:rPr>
          <w:lang w:val="en-IN" w:eastAsia="en-GB"/>
        </w:rPr>
        <w:t xml:space="preserve">Social, Moral, </w:t>
      </w:r>
      <w:r w:rsidR="00343ADF">
        <w:rPr>
          <w:lang w:val="en-IN" w:eastAsia="en-GB"/>
        </w:rPr>
        <w:t>Ethical,</w:t>
      </w:r>
      <w:r>
        <w:rPr>
          <w:lang w:val="en-IN" w:eastAsia="en-GB"/>
        </w:rPr>
        <w:t xml:space="preserve"> and philosophical aspects of criminal law that influence the consent understanding</w:t>
      </w:r>
      <w:bookmarkEnd w:id="4"/>
      <w:r>
        <w:rPr>
          <w:lang w:val="en-IN" w:eastAsia="en-GB"/>
        </w:rPr>
        <w:t xml:space="preserve"> </w:t>
      </w:r>
    </w:p>
    <w:p w14:paraId="5AF99CE5" w14:textId="318AA29E" w:rsidR="007C0556" w:rsidRPr="007C0556" w:rsidRDefault="00000000" w:rsidP="007C0556">
      <w:pPr>
        <w:rPr>
          <w:lang w:eastAsia="en-GB"/>
        </w:rPr>
      </w:pPr>
      <w:r w:rsidRPr="007C0556">
        <w:rPr>
          <w:lang w:eastAsia="en-GB"/>
        </w:rPr>
        <w:t xml:space="preserve">Criminal law within the United Kingdom </w:t>
      </w:r>
      <w:r w:rsidR="00982976">
        <w:rPr>
          <w:lang w:eastAsia="en-GB"/>
        </w:rPr>
        <w:t>involves</w:t>
      </w:r>
      <w:r w:rsidRPr="007C0556">
        <w:rPr>
          <w:lang w:eastAsia="en-GB"/>
        </w:rPr>
        <w:t xml:space="preserve"> multifaceted societal, moral, ethical, and philosophical dimensions, profoundly shaping the comprehension of consent. This tenet, particularly applicable in cases of sexual assault and battery, acts as a pivotal prism through which these intricacies are reflected.</w:t>
      </w:r>
      <w:r>
        <w:rPr>
          <w:lang w:eastAsia="en-GB"/>
        </w:rPr>
        <w:t xml:space="preserve"> </w:t>
      </w:r>
      <w:r w:rsidRPr="007C0556">
        <w:rPr>
          <w:lang w:eastAsia="en-GB"/>
        </w:rPr>
        <w:t xml:space="preserve">From a societal perspective, the legal precedent set by the </w:t>
      </w:r>
      <w:r w:rsidRPr="007C0556">
        <w:rPr>
          <w:b/>
          <w:bCs/>
          <w:i/>
          <w:iCs/>
          <w:lang w:eastAsia="en-GB"/>
        </w:rPr>
        <w:t>case of R v. Brown (1993)</w:t>
      </w:r>
      <w:r w:rsidRPr="007C0556">
        <w:rPr>
          <w:lang w:eastAsia="en-GB"/>
        </w:rPr>
        <w:t xml:space="preserve"> underscores the nation's collective interest in safeguarding individuals from grave harm, even when consent ostensibly exists</w:t>
      </w:r>
      <w:r w:rsidR="00E5289E">
        <w:rPr>
          <w:lang w:eastAsia="en-GB"/>
        </w:rPr>
        <w:t xml:space="preserve"> (</w:t>
      </w:r>
      <w:bookmarkStart w:id="5" w:name="_Hlk150234479"/>
      <w:r w:rsidR="00E5289E" w:rsidRPr="00C819DD">
        <w:rPr>
          <w:lang w:eastAsia="en-GB"/>
        </w:rPr>
        <w:t xml:space="preserve">Participation, </w:t>
      </w:r>
      <w:r w:rsidR="00E5289E">
        <w:rPr>
          <w:lang w:eastAsia="en-GB"/>
        </w:rPr>
        <w:t>2023</w:t>
      </w:r>
      <w:bookmarkEnd w:id="5"/>
      <w:r w:rsidR="00E5289E">
        <w:rPr>
          <w:lang w:eastAsia="en-GB"/>
        </w:rPr>
        <w:t>).</w:t>
      </w:r>
      <w:r w:rsidRPr="007C0556">
        <w:rPr>
          <w:lang w:eastAsia="en-GB"/>
        </w:rPr>
        <w:t xml:space="preserve"> This judicial landmark carefully treads the line between individual autonomy and the broader moral and societal duty to curtail extreme harm within certain activities.</w:t>
      </w:r>
      <w:r>
        <w:rPr>
          <w:lang w:eastAsia="en-GB"/>
        </w:rPr>
        <w:t xml:space="preserve"> </w:t>
      </w:r>
      <w:r w:rsidRPr="007C0556">
        <w:rPr>
          <w:lang w:eastAsia="en-GB"/>
        </w:rPr>
        <w:t xml:space="preserve">On the moral plane, the case of </w:t>
      </w:r>
      <w:r w:rsidRPr="007C0556">
        <w:rPr>
          <w:b/>
          <w:bCs/>
          <w:i/>
          <w:iCs/>
          <w:lang w:eastAsia="en-GB"/>
        </w:rPr>
        <w:t>R v. Ireland (1997)</w:t>
      </w:r>
      <w:r w:rsidRPr="007C0556">
        <w:rPr>
          <w:lang w:eastAsia="en-GB"/>
        </w:rPr>
        <w:t xml:space="preserve"> highlights the moral responsibility of ensuring consent is lucid and well-informed</w:t>
      </w:r>
      <w:r w:rsidR="00E5289E">
        <w:rPr>
          <w:lang w:eastAsia="en-GB"/>
        </w:rPr>
        <w:t xml:space="preserve"> (</w:t>
      </w:r>
      <w:r w:rsidR="00E5289E" w:rsidRPr="00C819DD">
        <w:rPr>
          <w:lang w:eastAsia="en-GB"/>
        </w:rPr>
        <w:t xml:space="preserve">Participation, </w:t>
      </w:r>
      <w:r w:rsidR="00E5289E">
        <w:rPr>
          <w:lang w:eastAsia="en-GB"/>
        </w:rPr>
        <w:t>2023).</w:t>
      </w:r>
      <w:r w:rsidR="00E5289E" w:rsidRPr="007C0556">
        <w:rPr>
          <w:lang w:eastAsia="en-GB"/>
        </w:rPr>
        <w:t xml:space="preserve"> </w:t>
      </w:r>
      <w:r w:rsidRPr="007C0556">
        <w:rPr>
          <w:lang w:eastAsia="en-GB"/>
        </w:rPr>
        <w:t>This moral mandate echoes society's stance on preserving the sanctity of self-determined decision-making and protecting individuals, particularly in scenarios where fear or coercion may imperil authentic consent.</w:t>
      </w:r>
    </w:p>
    <w:p w14:paraId="1774CBAA" w14:textId="11C36FE6" w:rsidR="007C0556" w:rsidRPr="007C0556" w:rsidRDefault="00000000" w:rsidP="007C0556">
      <w:pPr>
        <w:rPr>
          <w:lang w:eastAsia="en-GB"/>
        </w:rPr>
      </w:pPr>
      <w:r w:rsidRPr="007C0556">
        <w:rPr>
          <w:lang w:eastAsia="en-GB"/>
        </w:rPr>
        <w:t xml:space="preserve">In the realm of ethics, the </w:t>
      </w:r>
      <w:r w:rsidRPr="007C0556">
        <w:rPr>
          <w:b/>
          <w:bCs/>
          <w:i/>
          <w:iCs/>
          <w:lang w:eastAsia="en-GB"/>
        </w:rPr>
        <w:t>Sexual Offences Act 2003</w:t>
      </w:r>
      <w:r w:rsidRPr="007C0556">
        <w:rPr>
          <w:lang w:eastAsia="en-GB"/>
        </w:rPr>
        <w:t xml:space="preserve"> accentuates the significance of a "reasonable belief in consent" in cases of sexual offences</w:t>
      </w:r>
      <w:r w:rsidR="00E5289E">
        <w:rPr>
          <w:lang w:eastAsia="en-GB"/>
        </w:rPr>
        <w:t xml:space="preserve"> (</w:t>
      </w:r>
      <w:r w:rsidR="00E5289E" w:rsidRPr="00C819DD">
        <w:rPr>
          <w:lang w:eastAsia="en-GB"/>
        </w:rPr>
        <w:t xml:space="preserve">Participation, </w:t>
      </w:r>
      <w:r w:rsidR="00E5289E">
        <w:rPr>
          <w:lang w:eastAsia="en-GB"/>
        </w:rPr>
        <w:t>2023).</w:t>
      </w:r>
      <w:r w:rsidR="00E5289E" w:rsidRPr="007C0556">
        <w:rPr>
          <w:lang w:eastAsia="en-GB"/>
        </w:rPr>
        <w:t xml:space="preserve"> </w:t>
      </w:r>
      <w:r w:rsidRPr="007C0556">
        <w:rPr>
          <w:lang w:eastAsia="en-GB"/>
        </w:rPr>
        <w:t>This legislative stance harmonizes with the ethical principle that consent must be genuine, aligning with the broader ethical framework of respecting individual autonomy while simultaneously safeguarding potential victims.</w:t>
      </w:r>
      <w:r>
        <w:rPr>
          <w:lang w:eastAsia="en-GB"/>
        </w:rPr>
        <w:t xml:space="preserve"> </w:t>
      </w:r>
      <w:r w:rsidRPr="007C0556">
        <w:rPr>
          <w:lang w:eastAsia="en-GB"/>
        </w:rPr>
        <w:t>Philosophically, the intricate interplay between individual autonomy and societal interests occupies the central position in comprehending consent within criminal law</w:t>
      </w:r>
      <w:r w:rsidR="00E5289E">
        <w:rPr>
          <w:lang w:eastAsia="en-GB"/>
        </w:rPr>
        <w:t xml:space="preserve"> (</w:t>
      </w:r>
      <w:r w:rsidR="00E5289E" w:rsidRPr="003B6120">
        <w:rPr>
          <w:shd w:val="clear" w:color="auto" w:fill="FFFFFF"/>
        </w:rPr>
        <w:t>Martin</w:t>
      </w:r>
      <w:r w:rsidR="00E5289E">
        <w:rPr>
          <w:shd w:val="clear" w:color="auto" w:fill="FFFFFF"/>
        </w:rPr>
        <w:t xml:space="preserve"> </w:t>
      </w:r>
      <w:r w:rsidR="00E5289E" w:rsidRPr="00E5289E">
        <w:rPr>
          <w:i/>
          <w:iCs/>
          <w:shd w:val="clear" w:color="auto" w:fill="FFFFFF"/>
        </w:rPr>
        <w:t>et al.,</w:t>
      </w:r>
      <w:r w:rsidR="00E5289E">
        <w:rPr>
          <w:shd w:val="clear" w:color="auto" w:fill="FFFFFF"/>
        </w:rPr>
        <w:t xml:space="preserve"> 2022). </w:t>
      </w:r>
      <w:r w:rsidRPr="007C0556">
        <w:rPr>
          <w:lang w:eastAsia="en-GB"/>
        </w:rPr>
        <w:t>The United Kingdom's legal underpinnings, precedents, and legislative measures are committed to striking a balance between personal liberty and moral and societal obligations. The construct of consent epitomizes this ever-evolving equilibrium, mirroring the UK's dedication to a legal system that thoughtfully considers the intricate tapestry of societal, moral, ethical, and philosophical values while unwaveringly upholding the rule of law</w:t>
      </w:r>
      <w:r w:rsidR="00373EC6">
        <w:rPr>
          <w:lang w:eastAsia="en-GB"/>
        </w:rPr>
        <w:t xml:space="preserve"> </w:t>
      </w:r>
      <w:r w:rsidR="006C07A9">
        <w:rPr>
          <w:lang w:eastAsia="en-GB"/>
        </w:rPr>
        <w:t>(</w:t>
      </w:r>
      <w:r w:rsidR="006C07A9" w:rsidRPr="003B6120">
        <w:rPr>
          <w:shd w:val="clear" w:color="auto" w:fill="FFFFFF"/>
        </w:rPr>
        <w:t>Craig</w:t>
      </w:r>
      <w:r w:rsidR="006C07A9">
        <w:rPr>
          <w:shd w:val="clear" w:color="auto" w:fill="FFFFFF"/>
        </w:rPr>
        <w:t xml:space="preserve"> </w:t>
      </w:r>
      <w:r w:rsidR="006C07A9" w:rsidRPr="003B6120">
        <w:rPr>
          <w:shd w:val="clear" w:color="auto" w:fill="FFFFFF"/>
        </w:rPr>
        <w:t>and De B</w:t>
      </w:r>
      <w:r w:rsidR="006C07A9">
        <w:rPr>
          <w:shd w:val="clear" w:color="auto" w:fill="FFFFFF"/>
        </w:rPr>
        <w:t>u</w:t>
      </w:r>
      <w:r w:rsidR="006C07A9" w:rsidRPr="003B6120">
        <w:rPr>
          <w:shd w:val="clear" w:color="auto" w:fill="FFFFFF"/>
        </w:rPr>
        <w:t>rca,</w:t>
      </w:r>
      <w:r w:rsidR="006C07A9">
        <w:rPr>
          <w:shd w:val="clear" w:color="auto" w:fill="FFFFFF"/>
        </w:rPr>
        <w:t xml:space="preserve"> 2020).</w:t>
      </w:r>
    </w:p>
    <w:p w14:paraId="3519D4C2" w14:textId="358D6438" w:rsidR="00343ADF" w:rsidRDefault="00000000" w:rsidP="00343ADF">
      <w:pPr>
        <w:pStyle w:val="Heading2"/>
        <w:rPr>
          <w:lang w:val="en-IN" w:eastAsia="en-GB"/>
        </w:rPr>
      </w:pPr>
      <w:bookmarkStart w:id="6" w:name="_Toc150257009"/>
      <w:r>
        <w:rPr>
          <w:lang w:val="en-IN" w:eastAsia="en-GB"/>
        </w:rPr>
        <w:lastRenderedPageBreak/>
        <w:t>Evaluation of the policy issues that underlie the criminal law and the need to regulate social behaviour</w:t>
      </w:r>
      <w:bookmarkEnd w:id="6"/>
      <w:r>
        <w:rPr>
          <w:lang w:val="en-IN" w:eastAsia="en-GB"/>
        </w:rPr>
        <w:t xml:space="preserve"> </w:t>
      </w:r>
    </w:p>
    <w:p w14:paraId="19EEC07D" w14:textId="3E4B929C" w:rsidR="00DB09BE" w:rsidRPr="00DB09BE" w:rsidRDefault="00000000" w:rsidP="00DB09BE">
      <w:pPr>
        <w:rPr>
          <w:lang w:eastAsia="en-GB"/>
        </w:rPr>
      </w:pPr>
      <w:r w:rsidRPr="00DB09BE">
        <w:rPr>
          <w:lang w:eastAsia="en-GB"/>
        </w:rPr>
        <w:t xml:space="preserve">Criminal law in the UK is intricately shaped by </w:t>
      </w:r>
      <w:r w:rsidR="00982976" w:rsidRPr="00DB09BE">
        <w:rPr>
          <w:lang w:eastAsia="en-GB"/>
        </w:rPr>
        <w:t>countless</w:t>
      </w:r>
      <w:r w:rsidRPr="00DB09BE">
        <w:rPr>
          <w:lang w:eastAsia="en-GB"/>
        </w:rPr>
        <w:t xml:space="preserve"> policy issues, all centred around the pillars of preserving social harmony, safeguarding individual liberties, and upholding justice. At its core, this policy framework seeks to govern societal conduct while judiciously weighing the interests of both the accused and the aggrieved party. This interplay is demonstrated by various UK-based legal instruments:</w:t>
      </w:r>
    </w:p>
    <w:p w14:paraId="775B3C38" w14:textId="307C1C3F" w:rsidR="00DB09BE" w:rsidRPr="00DB09BE" w:rsidRDefault="00000000" w:rsidP="00DB09BE">
      <w:pPr>
        <w:rPr>
          <w:b/>
          <w:bCs/>
          <w:lang w:eastAsia="en-GB"/>
        </w:rPr>
      </w:pPr>
      <w:r w:rsidRPr="00DB09BE">
        <w:rPr>
          <w:b/>
          <w:bCs/>
          <w:lang w:eastAsia="en-GB"/>
        </w:rPr>
        <w:t>Safeguarding Society</w:t>
      </w:r>
    </w:p>
    <w:p w14:paraId="0222351F" w14:textId="50F8AC7D" w:rsidR="00DB09BE" w:rsidRPr="00DB09BE" w:rsidRDefault="00000000" w:rsidP="00DB09BE">
      <w:pPr>
        <w:numPr>
          <w:ilvl w:val="0"/>
          <w:numId w:val="1"/>
        </w:numPr>
        <w:rPr>
          <w:lang w:eastAsia="en-GB"/>
        </w:rPr>
      </w:pPr>
      <w:r w:rsidRPr="00DB09BE">
        <w:rPr>
          <w:lang w:eastAsia="en-GB"/>
        </w:rPr>
        <w:t xml:space="preserve">The </w:t>
      </w:r>
      <w:r w:rsidRPr="00DB09BE">
        <w:rPr>
          <w:b/>
          <w:bCs/>
          <w:i/>
          <w:iCs/>
          <w:lang w:eastAsia="en-GB"/>
        </w:rPr>
        <w:t>Criminal Justice Act 2003</w:t>
      </w:r>
      <w:r w:rsidRPr="00DB09BE">
        <w:rPr>
          <w:lang w:eastAsia="en-GB"/>
        </w:rPr>
        <w:t xml:space="preserve"> articulates the policy of societal protection through its sentencing guidelines, meticulously designed to discourage potential offenders and curtail recidivism</w:t>
      </w:r>
      <w:r w:rsidR="006C07A9">
        <w:rPr>
          <w:lang w:eastAsia="en-GB"/>
        </w:rPr>
        <w:t xml:space="preserve"> (</w:t>
      </w:r>
      <w:proofErr w:type="spellStart"/>
      <w:r w:rsidR="006C07A9">
        <w:t>Wipolex</w:t>
      </w:r>
      <w:proofErr w:type="spellEnd"/>
      <w:r w:rsidR="006C07A9">
        <w:t>, 2023).</w:t>
      </w:r>
    </w:p>
    <w:p w14:paraId="755C94A4" w14:textId="0ED77595" w:rsidR="00DB09BE" w:rsidRPr="00DB09BE" w:rsidRDefault="00000000" w:rsidP="00DB09BE">
      <w:pPr>
        <w:numPr>
          <w:ilvl w:val="0"/>
          <w:numId w:val="1"/>
        </w:numPr>
        <w:rPr>
          <w:lang w:eastAsia="en-GB"/>
        </w:rPr>
      </w:pPr>
      <w:r w:rsidRPr="00DB09BE">
        <w:rPr>
          <w:lang w:eastAsia="en-GB"/>
        </w:rPr>
        <w:t xml:space="preserve">The Anti-Social Behaviour, </w:t>
      </w:r>
      <w:r w:rsidRPr="00DB09BE">
        <w:rPr>
          <w:b/>
          <w:bCs/>
          <w:i/>
          <w:iCs/>
          <w:lang w:eastAsia="en-GB"/>
        </w:rPr>
        <w:t>Crime and Policing Act 2014</w:t>
      </w:r>
      <w:r w:rsidRPr="00DB09BE">
        <w:rPr>
          <w:lang w:eastAsia="en-GB"/>
        </w:rPr>
        <w:t xml:space="preserve"> extends this policy by offering tools to address antisocial conduct, contributing to public order</w:t>
      </w:r>
      <w:r w:rsidR="006C07A9">
        <w:rPr>
          <w:lang w:eastAsia="en-GB"/>
        </w:rPr>
        <w:t xml:space="preserve"> (</w:t>
      </w:r>
      <w:proofErr w:type="spellStart"/>
      <w:r w:rsidR="006C07A9">
        <w:t>Wipolex</w:t>
      </w:r>
      <w:proofErr w:type="spellEnd"/>
      <w:r w:rsidR="006C07A9">
        <w:t>, 2023).</w:t>
      </w:r>
    </w:p>
    <w:p w14:paraId="7BBF4220" w14:textId="0BF43F9F" w:rsidR="00DB09BE" w:rsidRPr="00DB09BE" w:rsidRDefault="00000000" w:rsidP="00DB09BE">
      <w:pPr>
        <w:rPr>
          <w:b/>
          <w:bCs/>
          <w:lang w:eastAsia="en-GB"/>
        </w:rPr>
      </w:pPr>
      <w:r w:rsidRPr="00DB09BE">
        <w:rPr>
          <w:b/>
          <w:bCs/>
          <w:lang w:eastAsia="en-GB"/>
        </w:rPr>
        <w:t>Defending Victim Interests</w:t>
      </w:r>
    </w:p>
    <w:p w14:paraId="7358C1C7" w14:textId="534FCC2A" w:rsidR="00DB09BE" w:rsidRPr="00DB09BE" w:rsidRDefault="00000000" w:rsidP="00DB09BE">
      <w:pPr>
        <w:numPr>
          <w:ilvl w:val="0"/>
          <w:numId w:val="2"/>
        </w:numPr>
        <w:rPr>
          <w:lang w:eastAsia="en-GB"/>
        </w:rPr>
      </w:pPr>
      <w:r w:rsidRPr="00DB09BE">
        <w:rPr>
          <w:lang w:eastAsia="en-GB"/>
        </w:rPr>
        <w:t xml:space="preserve">The Victims' Code, as enshrined in the </w:t>
      </w:r>
      <w:r w:rsidRPr="00DB09BE">
        <w:rPr>
          <w:b/>
          <w:bCs/>
          <w:i/>
          <w:iCs/>
          <w:lang w:eastAsia="en-GB"/>
        </w:rPr>
        <w:t>Domestic Abuse Act 2021</w:t>
      </w:r>
      <w:r w:rsidRPr="00DB09BE">
        <w:rPr>
          <w:lang w:eastAsia="en-GB"/>
        </w:rPr>
        <w:t>, endeavours to fortify victim support and protection, underscoring the UK's unwavering commitment to shielding those affected by criminal acts</w:t>
      </w:r>
      <w:r w:rsidR="006C07A9">
        <w:rPr>
          <w:lang w:eastAsia="en-GB"/>
        </w:rPr>
        <w:t xml:space="preserve"> (</w:t>
      </w:r>
      <w:r w:rsidR="006C07A9" w:rsidRPr="002D3F68">
        <w:t>The Law Society</w:t>
      </w:r>
      <w:r w:rsidR="006C07A9">
        <w:t>, 2023).</w:t>
      </w:r>
    </w:p>
    <w:p w14:paraId="2F0EEEBF" w14:textId="7FDC3329" w:rsidR="00DB09BE" w:rsidRPr="00DB09BE" w:rsidRDefault="00000000" w:rsidP="00DB09BE">
      <w:pPr>
        <w:numPr>
          <w:ilvl w:val="0"/>
          <w:numId w:val="2"/>
        </w:numPr>
        <w:rPr>
          <w:lang w:eastAsia="en-GB"/>
        </w:rPr>
      </w:pPr>
      <w:r w:rsidRPr="00DB09BE">
        <w:rPr>
          <w:lang w:eastAsia="en-GB"/>
        </w:rPr>
        <w:t xml:space="preserve">The </w:t>
      </w:r>
      <w:r w:rsidRPr="00DB09BE">
        <w:rPr>
          <w:b/>
          <w:bCs/>
          <w:i/>
          <w:iCs/>
          <w:lang w:eastAsia="en-GB"/>
        </w:rPr>
        <w:t>Sentencing Act 2020</w:t>
      </w:r>
      <w:r w:rsidRPr="00DB09BE">
        <w:rPr>
          <w:lang w:eastAsia="en-GB"/>
        </w:rPr>
        <w:t xml:space="preserve"> reinforces this commitment by delineating measures to impose more stringent penalties on perpetrators targeting vulnerable victims</w:t>
      </w:r>
      <w:r w:rsidR="006C07A9">
        <w:rPr>
          <w:lang w:eastAsia="en-GB"/>
        </w:rPr>
        <w:t xml:space="preserve"> (</w:t>
      </w:r>
      <w:r w:rsidR="006C07A9" w:rsidRPr="00C819DD">
        <w:rPr>
          <w:lang w:eastAsia="en-GB"/>
        </w:rPr>
        <w:t xml:space="preserve">Participation, </w:t>
      </w:r>
      <w:r w:rsidR="006C07A9">
        <w:rPr>
          <w:lang w:eastAsia="en-GB"/>
        </w:rPr>
        <w:t>2023).</w:t>
      </w:r>
    </w:p>
    <w:p w14:paraId="6AE9EE2D" w14:textId="34397E78" w:rsidR="00DB09BE" w:rsidRPr="00DB09BE" w:rsidRDefault="00000000" w:rsidP="00DB09BE">
      <w:pPr>
        <w:rPr>
          <w:b/>
          <w:bCs/>
          <w:lang w:eastAsia="en-GB"/>
        </w:rPr>
      </w:pPr>
      <w:r w:rsidRPr="00DB09BE">
        <w:rPr>
          <w:b/>
          <w:bCs/>
          <w:lang w:eastAsia="en-GB"/>
        </w:rPr>
        <w:t>Defendant Rights</w:t>
      </w:r>
    </w:p>
    <w:p w14:paraId="2B63178E" w14:textId="425AAECC" w:rsidR="00DB09BE" w:rsidRPr="00DB09BE" w:rsidRDefault="00000000" w:rsidP="00DB09BE">
      <w:pPr>
        <w:numPr>
          <w:ilvl w:val="0"/>
          <w:numId w:val="3"/>
        </w:numPr>
        <w:rPr>
          <w:lang w:eastAsia="en-GB"/>
        </w:rPr>
      </w:pPr>
      <w:r w:rsidRPr="00DB09BE">
        <w:rPr>
          <w:lang w:eastAsia="en-GB"/>
        </w:rPr>
        <w:t xml:space="preserve">The </w:t>
      </w:r>
      <w:r w:rsidRPr="00DB09BE">
        <w:rPr>
          <w:b/>
          <w:bCs/>
          <w:i/>
          <w:iCs/>
          <w:lang w:eastAsia="en-GB"/>
        </w:rPr>
        <w:t>Human Rights Act 1998</w:t>
      </w:r>
      <w:r w:rsidRPr="00DB09BE">
        <w:rPr>
          <w:lang w:eastAsia="en-GB"/>
        </w:rPr>
        <w:t xml:space="preserve"> serves as a vanguard for safeguarding defendants' rights, and ensuring their fair and equitable treatment within the criminal justice system</w:t>
      </w:r>
      <w:r w:rsidR="006C07A9">
        <w:rPr>
          <w:lang w:eastAsia="en-GB"/>
        </w:rPr>
        <w:t xml:space="preserve"> (</w:t>
      </w:r>
      <w:r w:rsidR="006C07A9" w:rsidRPr="00C819DD">
        <w:rPr>
          <w:lang w:eastAsia="en-GB"/>
        </w:rPr>
        <w:t xml:space="preserve">Participation, </w:t>
      </w:r>
      <w:r w:rsidR="006C07A9">
        <w:rPr>
          <w:lang w:eastAsia="en-GB"/>
        </w:rPr>
        <w:t>2023).</w:t>
      </w:r>
    </w:p>
    <w:p w14:paraId="138B68F2" w14:textId="23E03905" w:rsidR="00DB09BE" w:rsidRPr="00DB09BE" w:rsidRDefault="00000000" w:rsidP="00DB09BE">
      <w:pPr>
        <w:numPr>
          <w:ilvl w:val="0"/>
          <w:numId w:val="3"/>
        </w:numPr>
        <w:rPr>
          <w:lang w:eastAsia="en-GB"/>
        </w:rPr>
      </w:pPr>
      <w:r w:rsidRPr="00DB09BE">
        <w:rPr>
          <w:lang w:eastAsia="en-GB"/>
        </w:rPr>
        <w:t>The principle of "innocent until proven guilty," enrooted in UK jurisprudence, accentuates the significance of preserving defendants' rights throughout legal proceedings</w:t>
      </w:r>
      <w:r w:rsidR="006C07A9">
        <w:rPr>
          <w:lang w:eastAsia="en-GB"/>
        </w:rPr>
        <w:t xml:space="preserve"> (</w:t>
      </w:r>
      <w:r w:rsidR="006C07A9" w:rsidRPr="003B6120">
        <w:rPr>
          <w:shd w:val="clear" w:color="auto" w:fill="FFFFFF"/>
        </w:rPr>
        <w:t>Wilson,</w:t>
      </w:r>
      <w:r w:rsidR="006C07A9">
        <w:rPr>
          <w:shd w:val="clear" w:color="auto" w:fill="FFFFFF"/>
        </w:rPr>
        <w:t xml:space="preserve"> 2020).</w:t>
      </w:r>
    </w:p>
    <w:p w14:paraId="0CA84025" w14:textId="77777777" w:rsidR="00AB3B2B" w:rsidRDefault="00000000">
      <w:pPr>
        <w:spacing w:line="259" w:lineRule="auto"/>
        <w:jc w:val="left"/>
        <w:rPr>
          <w:b/>
          <w:bCs/>
          <w:lang w:eastAsia="en-GB"/>
        </w:rPr>
      </w:pPr>
      <w:r>
        <w:rPr>
          <w:b/>
          <w:bCs/>
          <w:lang w:eastAsia="en-GB"/>
        </w:rPr>
        <w:br w:type="page"/>
      </w:r>
    </w:p>
    <w:p w14:paraId="6645D4E4" w14:textId="633F40DD" w:rsidR="00DB09BE" w:rsidRPr="00DB09BE" w:rsidRDefault="00000000" w:rsidP="00DB09BE">
      <w:pPr>
        <w:rPr>
          <w:b/>
          <w:bCs/>
          <w:lang w:eastAsia="en-GB"/>
        </w:rPr>
      </w:pPr>
      <w:r w:rsidRPr="00DB09BE">
        <w:rPr>
          <w:b/>
          <w:bCs/>
          <w:lang w:eastAsia="en-GB"/>
        </w:rPr>
        <w:lastRenderedPageBreak/>
        <w:t>Advocating Uplifting Justice</w:t>
      </w:r>
    </w:p>
    <w:p w14:paraId="20052BE3" w14:textId="6B58225B" w:rsidR="00DB09BE" w:rsidRPr="00DB09BE" w:rsidRDefault="00000000" w:rsidP="00DB09BE">
      <w:pPr>
        <w:numPr>
          <w:ilvl w:val="0"/>
          <w:numId w:val="4"/>
        </w:numPr>
        <w:rPr>
          <w:lang w:eastAsia="en-GB"/>
        </w:rPr>
      </w:pPr>
      <w:r w:rsidRPr="00DB09BE">
        <w:rPr>
          <w:lang w:eastAsia="en-GB"/>
        </w:rPr>
        <w:t xml:space="preserve">The </w:t>
      </w:r>
      <w:r w:rsidRPr="00DB09BE">
        <w:rPr>
          <w:b/>
          <w:bCs/>
          <w:i/>
          <w:iCs/>
          <w:lang w:eastAsia="en-GB"/>
        </w:rPr>
        <w:t>Criminal Justice Act 2003</w:t>
      </w:r>
      <w:r w:rsidRPr="00DB09BE">
        <w:rPr>
          <w:lang w:eastAsia="en-GB"/>
        </w:rPr>
        <w:t xml:space="preserve"> introduces restorative justice mechanisms, enabling defendants and victims to partake in a mediated process that fosters reconciliation and rehabilitation</w:t>
      </w:r>
      <w:r w:rsidR="00AB3B2B">
        <w:rPr>
          <w:lang w:eastAsia="en-GB"/>
        </w:rPr>
        <w:t xml:space="preserve"> (</w:t>
      </w:r>
      <w:r w:rsidR="00AB3B2B" w:rsidRPr="00C819DD">
        <w:rPr>
          <w:lang w:eastAsia="en-GB"/>
        </w:rPr>
        <w:t xml:space="preserve">Participation, </w:t>
      </w:r>
      <w:r w:rsidR="00AB3B2B">
        <w:rPr>
          <w:lang w:eastAsia="en-GB"/>
        </w:rPr>
        <w:t>2023).</w:t>
      </w:r>
      <w:r w:rsidRPr="00DB09BE">
        <w:rPr>
          <w:lang w:eastAsia="en-GB"/>
        </w:rPr>
        <w:t xml:space="preserve"> This novel policy approach champions a more equitable consideration of the interests of both parties.</w:t>
      </w:r>
    </w:p>
    <w:p w14:paraId="01715D04" w14:textId="78B5BB46" w:rsidR="00DB09BE" w:rsidRPr="00DB09BE" w:rsidRDefault="00000000" w:rsidP="00DB09BE">
      <w:pPr>
        <w:rPr>
          <w:b/>
          <w:bCs/>
          <w:lang w:eastAsia="en-GB"/>
        </w:rPr>
      </w:pPr>
      <w:r w:rsidRPr="00DB09BE">
        <w:rPr>
          <w:b/>
          <w:bCs/>
          <w:lang w:eastAsia="en-GB"/>
        </w:rPr>
        <w:t>Balancing Sentencing Guidelines</w:t>
      </w:r>
    </w:p>
    <w:p w14:paraId="750A02BF" w14:textId="71AF393A" w:rsidR="00DB09BE" w:rsidRPr="00DB09BE" w:rsidRDefault="00000000" w:rsidP="00DB09BE">
      <w:pPr>
        <w:numPr>
          <w:ilvl w:val="0"/>
          <w:numId w:val="5"/>
        </w:numPr>
        <w:rPr>
          <w:lang w:eastAsia="en-GB"/>
        </w:rPr>
      </w:pPr>
      <w:r w:rsidRPr="00DB09BE">
        <w:rPr>
          <w:lang w:eastAsia="en-GB"/>
        </w:rPr>
        <w:t>The Sentencing Council furnishes judicial authorities with guidelines to determine apt sentences, meticulously weighing the gravity of the transgression and the circumstances of the defendant</w:t>
      </w:r>
      <w:r w:rsidR="00AB3B2B">
        <w:rPr>
          <w:lang w:eastAsia="en-GB"/>
        </w:rPr>
        <w:t xml:space="preserve"> (</w:t>
      </w:r>
      <w:bookmarkStart w:id="7" w:name="_Hlk150234683"/>
      <w:r w:rsidR="00AB3B2B" w:rsidRPr="003B6120">
        <w:rPr>
          <w:shd w:val="clear" w:color="auto" w:fill="FFFFFF"/>
        </w:rPr>
        <w:t xml:space="preserve">Wilson, </w:t>
      </w:r>
      <w:bookmarkEnd w:id="7"/>
      <w:r w:rsidR="00AB3B2B">
        <w:rPr>
          <w:shd w:val="clear" w:color="auto" w:fill="FFFFFF"/>
        </w:rPr>
        <w:t>2020).</w:t>
      </w:r>
      <w:r w:rsidRPr="00DB09BE">
        <w:rPr>
          <w:lang w:eastAsia="en-GB"/>
        </w:rPr>
        <w:t xml:space="preserve"> This approach fosters equitability and uniformity in sentencing while considering the defendant's interests.</w:t>
      </w:r>
    </w:p>
    <w:p w14:paraId="1C183E3E" w14:textId="7670983B" w:rsidR="00DB09BE" w:rsidRPr="00DB09BE" w:rsidRDefault="00000000" w:rsidP="00DB09BE">
      <w:pPr>
        <w:rPr>
          <w:lang w:eastAsia="en-GB"/>
        </w:rPr>
      </w:pPr>
      <w:r w:rsidRPr="00DB09BE">
        <w:rPr>
          <w:lang w:eastAsia="en-GB"/>
        </w:rPr>
        <w:t>In summation, the policy issues underpinning criminal law in the UK rest on the imperative of regulating societal conduct, preserving social order, safeguarding victim rights, and upholding defendant liberties</w:t>
      </w:r>
      <w:r w:rsidR="00AB3B2B">
        <w:rPr>
          <w:lang w:eastAsia="en-GB"/>
        </w:rPr>
        <w:t xml:space="preserve"> (</w:t>
      </w:r>
      <w:r w:rsidR="00AB3B2B" w:rsidRPr="003B6120">
        <w:rPr>
          <w:shd w:val="clear" w:color="auto" w:fill="FFFFFF"/>
        </w:rPr>
        <w:t>Craig</w:t>
      </w:r>
      <w:r w:rsidR="00AB3B2B">
        <w:rPr>
          <w:shd w:val="clear" w:color="auto" w:fill="FFFFFF"/>
        </w:rPr>
        <w:t xml:space="preserve"> </w:t>
      </w:r>
      <w:r w:rsidR="00AB3B2B" w:rsidRPr="003B6120">
        <w:rPr>
          <w:shd w:val="clear" w:color="auto" w:fill="FFFFFF"/>
        </w:rPr>
        <w:t>and De B</w:t>
      </w:r>
      <w:r w:rsidR="00AB3B2B">
        <w:rPr>
          <w:shd w:val="clear" w:color="auto" w:fill="FFFFFF"/>
        </w:rPr>
        <w:t>u</w:t>
      </w:r>
      <w:r w:rsidR="00AB3B2B" w:rsidRPr="003B6120">
        <w:rPr>
          <w:shd w:val="clear" w:color="auto" w:fill="FFFFFF"/>
        </w:rPr>
        <w:t>rca,</w:t>
      </w:r>
      <w:r w:rsidR="00AB3B2B">
        <w:rPr>
          <w:shd w:val="clear" w:color="auto" w:fill="FFFFFF"/>
        </w:rPr>
        <w:t xml:space="preserve"> 2020).</w:t>
      </w:r>
      <w:r w:rsidRPr="00DB09BE">
        <w:rPr>
          <w:lang w:eastAsia="en-GB"/>
        </w:rPr>
        <w:t xml:space="preserve"> The legal framework, as evidenced by a spectrum of laws and acts, conscientiously endeavours to strike a harmonious equilibrium between these interests, thereby advocating for a just and impartial criminal justice system.</w:t>
      </w:r>
    </w:p>
    <w:p w14:paraId="7BC069CF" w14:textId="668F73AF" w:rsidR="00BD7E24" w:rsidRDefault="00000000" w:rsidP="00343ADF">
      <w:pPr>
        <w:pStyle w:val="Heading2"/>
        <w:rPr>
          <w:lang w:val="en-IN" w:eastAsia="en-GB"/>
        </w:rPr>
      </w:pPr>
      <w:bookmarkStart w:id="8" w:name="_Toc150257010"/>
      <w:r>
        <w:rPr>
          <w:lang w:val="en-IN" w:eastAsia="en-GB"/>
        </w:rPr>
        <w:t>Identification of the legal principles and relevant case law</w:t>
      </w:r>
      <w:bookmarkEnd w:id="8"/>
    </w:p>
    <w:p w14:paraId="17E4DC91" w14:textId="4A7A88F0" w:rsidR="00CC2EA7" w:rsidRPr="00CC2EA7" w:rsidRDefault="00000000" w:rsidP="00CC2EA7">
      <w:pPr>
        <w:rPr>
          <w:lang w:eastAsia="en-GB"/>
        </w:rPr>
      </w:pPr>
      <w:r w:rsidRPr="00CC2EA7">
        <w:rPr>
          <w:lang w:eastAsia="en-GB"/>
        </w:rPr>
        <w:t>Policy considerations within UK criminal law are intricately linked with established legal principles and pertinent case law, with a central focus on balancing the regulation of social behaviour while judiciously addressing the interests of defendants and victims</w:t>
      </w:r>
      <w:r w:rsidR="00BC3198">
        <w:rPr>
          <w:lang w:eastAsia="en-GB"/>
        </w:rPr>
        <w:t xml:space="preserve"> (</w:t>
      </w:r>
      <w:r w:rsidR="00BC3198" w:rsidRPr="007645F6">
        <w:t xml:space="preserve">Justice, </w:t>
      </w:r>
      <w:r w:rsidR="00BC3198">
        <w:t>2015).</w:t>
      </w:r>
      <w:r>
        <w:rPr>
          <w:lang w:eastAsia="en-GB"/>
        </w:rPr>
        <w:t xml:space="preserve"> </w:t>
      </w:r>
      <w:r w:rsidRPr="00CC2EA7">
        <w:rPr>
          <w:lang w:eastAsia="en-GB"/>
        </w:rPr>
        <w:t>Key legal principles, such as the burden of proof, place the responsibility on the prosecution to establish a defendant's guilt beyond a reasonable doubt. This cornerstone of justice ensures that individuals are presumed innocent until proven guilty, underscoring the imperative of safeguarding the rights of those accused.</w:t>
      </w:r>
    </w:p>
    <w:p w14:paraId="29DE422E" w14:textId="2471F3EB" w:rsidR="00CC2EA7" w:rsidRPr="00CC2EA7" w:rsidRDefault="00000000" w:rsidP="00CC2EA7">
      <w:pPr>
        <w:rPr>
          <w:lang w:eastAsia="en-GB"/>
        </w:rPr>
      </w:pPr>
      <w:r w:rsidRPr="00CC2EA7">
        <w:rPr>
          <w:lang w:eastAsia="en-GB"/>
        </w:rPr>
        <w:t xml:space="preserve">Relevant case law, such as the pivotal </w:t>
      </w:r>
      <w:r w:rsidRPr="00CC2EA7">
        <w:rPr>
          <w:b/>
          <w:bCs/>
          <w:i/>
          <w:iCs/>
          <w:lang w:eastAsia="en-GB"/>
        </w:rPr>
        <w:t xml:space="preserve">R v. </w:t>
      </w:r>
      <w:proofErr w:type="spellStart"/>
      <w:r w:rsidRPr="00CC2EA7">
        <w:rPr>
          <w:b/>
          <w:bCs/>
          <w:i/>
          <w:iCs/>
          <w:lang w:eastAsia="en-GB"/>
        </w:rPr>
        <w:t>Jogee</w:t>
      </w:r>
      <w:proofErr w:type="spellEnd"/>
      <w:r w:rsidRPr="00CC2EA7">
        <w:rPr>
          <w:b/>
          <w:bCs/>
          <w:i/>
          <w:iCs/>
          <w:lang w:eastAsia="en-GB"/>
        </w:rPr>
        <w:t xml:space="preserve"> (2016),</w:t>
      </w:r>
      <w:r w:rsidRPr="00CC2EA7">
        <w:rPr>
          <w:lang w:eastAsia="en-GB"/>
        </w:rPr>
        <w:t xml:space="preserve"> has significantly influenced the understanding of joint enterprise liability</w:t>
      </w:r>
      <w:r w:rsidR="00BC3198">
        <w:rPr>
          <w:lang w:eastAsia="en-GB"/>
        </w:rPr>
        <w:t xml:space="preserve"> (</w:t>
      </w:r>
      <w:r w:rsidR="00BC3198" w:rsidRPr="00C819DD">
        <w:rPr>
          <w:lang w:eastAsia="en-GB"/>
        </w:rPr>
        <w:t xml:space="preserve">Participation, </w:t>
      </w:r>
      <w:r w:rsidR="00BC3198">
        <w:rPr>
          <w:lang w:eastAsia="en-GB"/>
        </w:rPr>
        <w:t>2023).</w:t>
      </w:r>
      <w:r w:rsidR="00BC3198" w:rsidRPr="00DB09BE">
        <w:rPr>
          <w:lang w:eastAsia="en-GB"/>
        </w:rPr>
        <w:t xml:space="preserve"> </w:t>
      </w:r>
      <w:r w:rsidRPr="00CC2EA7">
        <w:rPr>
          <w:lang w:eastAsia="en-GB"/>
        </w:rPr>
        <w:t>This case provided crucial clarifications on the criteria for attributing guilt in cases involving multiple individuals in a crime, emphasizing the necessity for a clear connection between the defendant's actions and the committed offence.</w:t>
      </w:r>
      <w:r>
        <w:rPr>
          <w:lang w:eastAsia="en-GB"/>
        </w:rPr>
        <w:t xml:space="preserve"> </w:t>
      </w:r>
      <w:r w:rsidRPr="00CC2EA7">
        <w:rPr>
          <w:lang w:eastAsia="en-GB"/>
        </w:rPr>
        <w:t xml:space="preserve">Furthermore, policy considerations are evident in the </w:t>
      </w:r>
      <w:r w:rsidRPr="00CC2EA7">
        <w:rPr>
          <w:b/>
          <w:bCs/>
          <w:i/>
          <w:iCs/>
          <w:lang w:eastAsia="en-GB"/>
        </w:rPr>
        <w:t>Sentencing Act 2020</w:t>
      </w:r>
      <w:r w:rsidRPr="00CC2EA7">
        <w:rPr>
          <w:lang w:eastAsia="en-GB"/>
        </w:rPr>
        <w:t xml:space="preserve"> and the guidelines provided by the Sentencing Council</w:t>
      </w:r>
      <w:r w:rsidR="00BC3198">
        <w:rPr>
          <w:lang w:eastAsia="en-GB"/>
        </w:rPr>
        <w:t xml:space="preserve"> (</w:t>
      </w:r>
      <w:r w:rsidR="00BC3198" w:rsidRPr="00C819DD">
        <w:rPr>
          <w:lang w:eastAsia="en-GB"/>
        </w:rPr>
        <w:t xml:space="preserve">Participation, </w:t>
      </w:r>
      <w:r w:rsidR="00BC3198">
        <w:rPr>
          <w:lang w:eastAsia="en-GB"/>
        </w:rPr>
        <w:t>2023).</w:t>
      </w:r>
      <w:r w:rsidR="00BC3198" w:rsidRPr="00DB09BE">
        <w:rPr>
          <w:lang w:eastAsia="en-GB"/>
        </w:rPr>
        <w:t xml:space="preserve"> </w:t>
      </w:r>
      <w:r w:rsidRPr="00CC2EA7">
        <w:rPr>
          <w:lang w:eastAsia="en-GB"/>
        </w:rPr>
        <w:t xml:space="preserve">These legal instruments are designed to ascertain that sentences are commensurate with the gravity of the offence and consider the individual circumstances of the defendant. The overarching goal is to </w:t>
      </w:r>
      <w:r w:rsidRPr="00CC2EA7">
        <w:rPr>
          <w:lang w:eastAsia="en-GB"/>
        </w:rPr>
        <w:lastRenderedPageBreak/>
        <w:t>strike a harmonious balance between accountability and rehabilitation, thereby respecting both the interests of the defendant and the overarching need for justice.</w:t>
      </w:r>
      <w:r>
        <w:rPr>
          <w:lang w:eastAsia="en-GB"/>
        </w:rPr>
        <w:t xml:space="preserve"> </w:t>
      </w:r>
      <w:r w:rsidRPr="00CC2EA7">
        <w:rPr>
          <w:lang w:eastAsia="en-GB"/>
        </w:rPr>
        <w:t>In essence, the policy dimensions in UK criminal law are deeply rooted in well-established legal principles and pertinent case law, with a primary aim of regulating social conduct while diligently upholding the rights of defendants and ensuring equitable justice for victims</w:t>
      </w:r>
      <w:r w:rsidR="00BC3198">
        <w:rPr>
          <w:lang w:eastAsia="en-GB"/>
        </w:rPr>
        <w:t xml:space="preserve"> (</w:t>
      </w:r>
      <w:r w:rsidR="00BC3198" w:rsidRPr="00BB289C">
        <w:rPr>
          <w:lang w:eastAsia="en-GB"/>
        </w:rPr>
        <w:t xml:space="preserve">Press, </w:t>
      </w:r>
      <w:r w:rsidR="00BC3198">
        <w:rPr>
          <w:lang w:eastAsia="en-GB"/>
        </w:rPr>
        <w:t>2023).</w:t>
      </w:r>
      <w:r w:rsidRPr="00CC2EA7">
        <w:rPr>
          <w:lang w:eastAsia="en-GB"/>
        </w:rPr>
        <w:t xml:space="preserve"> The legal framework, influenced by these foundational principles and legal precedents, is intricately designed to maintain equity and impartiality within the criminal justice sys</w:t>
      </w:r>
      <w:r>
        <w:rPr>
          <w:lang w:eastAsia="en-GB"/>
        </w:rPr>
        <w:t>tem.</w:t>
      </w:r>
    </w:p>
    <w:p w14:paraId="065D3B7D" w14:textId="1D0D3033" w:rsidR="00BD7E24" w:rsidRDefault="00000000" w:rsidP="00343ADF">
      <w:pPr>
        <w:pStyle w:val="Heading2"/>
        <w:rPr>
          <w:lang w:val="en-IN" w:eastAsia="en-GB"/>
        </w:rPr>
      </w:pPr>
      <w:bookmarkStart w:id="9" w:name="_Toc150257011"/>
      <w:r>
        <w:rPr>
          <w:lang w:val="en-IN" w:eastAsia="en-GB"/>
        </w:rPr>
        <w:t>Evidence</w:t>
      </w:r>
      <w:bookmarkEnd w:id="9"/>
      <w:r>
        <w:rPr>
          <w:lang w:val="en-IN" w:eastAsia="en-GB"/>
        </w:rPr>
        <w:t xml:space="preserve"> </w:t>
      </w:r>
    </w:p>
    <w:p w14:paraId="049A8CAE" w14:textId="6CD07E54" w:rsidR="00BB7684" w:rsidRPr="00BB7684" w:rsidRDefault="00000000" w:rsidP="00BB7684">
      <w:pPr>
        <w:rPr>
          <w:lang w:eastAsia="en-GB"/>
        </w:rPr>
      </w:pPr>
      <w:r>
        <w:rPr>
          <w:lang w:eastAsia="en-GB"/>
        </w:rPr>
        <w:t>The e</w:t>
      </w:r>
      <w:r w:rsidRPr="00BB7684">
        <w:rPr>
          <w:lang w:eastAsia="en-GB"/>
        </w:rPr>
        <w:t xml:space="preserve">vidence restricting from UK-based laws, sections, and acts reveals a </w:t>
      </w:r>
      <w:r>
        <w:rPr>
          <w:lang w:eastAsia="en-GB"/>
        </w:rPr>
        <w:t>refined</w:t>
      </w:r>
      <w:r w:rsidRPr="00BB7684">
        <w:rPr>
          <w:lang w:eastAsia="en-GB"/>
        </w:rPr>
        <w:t xml:space="preserve"> criminal justice framework designed to navigate the regulation of societal behaviour while meticulously considering the interests of both defendants and victims.</w:t>
      </w:r>
    </w:p>
    <w:p w14:paraId="3813A84F" w14:textId="7DF85347" w:rsidR="00BB7684" w:rsidRPr="00BB7684" w:rsidRDefault="00000000" w:rsidP="00BB7684">
      <w:pPr>
        <w:numPr>
          <w:ilvl w:val="0"/>
          <w:numId w:val="6"/>
        </w:numPr>
        <w:rPr>
          <w:lang w:eastAsia="en-GB"/>
        </w:rPr>
      </w:pPr>
      <w:r w:rsidRPr="00BB7684">
        <w:rPr>
          <w:b/>
          <w:bCs/>
          <w:lang w:eastAsia="en-GB"/>
        </w:rPr>
        <w:t>The Presumption of Innocence:</w:t>
      </w:r>
      <w:r w:rsidRPr="00BB7684">
        <w:rPr>
          <w:lang w:eastAsia="en-GB"/>
        </w:rPr>
        <w:t xml:space="preserve"> Underpinned by the </w:t>
      </w:r>
      <w:r w:rsidRPr="00BB7684">
        <w:rPr>
          <w:b/>
          <w:bCs/>
          <w:i/>
          <w:iCs/>
          <w:lang w:eastAsia="en-GB"/>
        </w:rPr>
        <w:t>Criminal Procedure and</w:t>
      </w:r>
      <w:r w:rsidRPr="00BB7684">
        <w:rPr>
          <w:lang w:eastAsia="en-GB"/>
        </w:rPr>
        <w:t xml:space="preserve"> </w:t>
      </w:r>
      <w:r w:rsidRPr="00BB7684">
        <w:rPr>
          <w:b/>
          <w:bCs/>
          <w:i/>
          <w:iCs/>
          <w:lang w:eastAsia="en-GB"/>
        </w:rPr>
        <w:t>Investigations Act 1996 (Section 3),</w:t>
      </w:r>
      <w:r w:rsidRPr="00BB7684">
        <w:rPr>
          <w:lang w:eastAsia="en-GB"/>
        </w:rPr>
        <w:t xml:space="preserve"> the fundamental legal principle places the burden of proving a defendant's guilt beyond a reasonable doubt squarely on the prosecution</w:t>
      </w:r>
      <w:r w:rsidR="00BC3198">
        <w:rPr>
          <w:lang w:eastAsia="en-GB"/>
        </w:rPr>
        <w:t xml:space="preserve"> (</w:t>
      </w:r>
      <w:bookmarkStart w:id="10" w:name="_Hlk150234746"/>
      <w:r w:rsidR="00BC3198" w:rsidRPr="007645F6">
        <w:t xml:space="preserve">Justice, </w:t>
      </w:r>
      <w:bookmarkEnd w:id="10"/>
      <w:r w:rsidR="00BC3198">
        <w:t>2015).</w:t>
      </w:r>
      <w:r w:rsidRPr="00BB7684">
        <w:rPr>
          <w:lang w:eastAsia="en-GB"/>
        </w:rPr>
        <w:t xml:space="preserve"> This robust safeguard ensures that individuals are deemed innocent until proven otherwise, constituting a formidable protection for the accused.</w:t>
      </w:r>
    </w:p>
    <w:p w14:paraId="652CA1E8" w14:textId="3B9A6626" w:rsidR="00BB7684" w:rsidRPr="00BB7684" w:rsidRDefault="00000000" w:rsidP="00BB7684">
      <w:pPr>
        <w:numPr>
          <w:ilvl w:val="0"/>
          <w:numId w:val="6"/>
        </w:numPr>
        <w:rPr>
          <w:lang w:eastAsia="en-GB"/>
        </w:rPr>
      </w:pPr>
      <w:r w:rsidRPr="00BB7684">
        <w:rPr>
          <w:b/>
          <w:bCs/>
          <w:lang w:eastAsia="en-GB"/>
        </w:rPr>
        <w:t xml:space="preserve">Significance of R v. </w:t>
      </w:r>
      <w:proofErr w:type="spellStart"/>
      <w:r w:rsidRPr="00BB7684">
        <w:rPr>
          <w:b/>
          <w:bCs/>
          <w:lang w:eastAsia="en-GB"/>
        </w:rPr>
        <w:t>Jogee</w:t>
      </w:r>
      <w:proofErr w:type="spellEnd"/>
      <w:r w:rsidRPr="00BB7684">
        <w:rPr>
          <w:b/>
          <w:bCs/>
          <w:lang w:eastAsia="en-GB"/>
        </w:rPr>
        <w:t xml:space="preserve"> (2016):</w:t>
      </w:r>
      <w:r w:rsidRPr="00BB7684">
        <w:rPr>
          <w:lang w:eastAsia="en-GB"/>
        </w:rPr>
        <w:t xml:space="preserve"> This landmark case, as underlined by Section 44 of the </w:t>
      </w:r>
      <w:r w:rsidRPr="00BB7684">
        <w:rPr>
          <w:b/>
          <w:bCs/>
          <w:i/>
          <w:iCs/>
          <w:lang w:eastAsia="en-GB"/>
        </w:rPr>
        <w:t>Serious Crime Act 2007,</w:t>
      </w:r>
      <w:r w:rsidRPr="00BB7684">
        <w:rPr>
          <w:lang w:eastAsia="en-GB"/>
        </w:rPr>
        <w:t xml:space="preserve"> significantly clarified the parameters of joint enterprise liability</w:t>
      </w:r>
      <w:r w:rsidR="00BC3198">
        <w:rPr>
          <w:lang w:eastAsia="en-GB"/>
        </w:rPr>
        <w:t xml:space="preserve"> (</w:t>
      </w:r>
      <w:r w:rsidR="00BC3198" w:rsidRPr="00AC47B8">
        <w:t xml:space="preserve">Office, </w:t>
      </w:r>
      <w:r w:rsidR="00BC3198">
        <w:t>2013).</w:t>
      </w:r>
      <w:r w:rsidRPr="00BB7684">
        <w:rPr>
          <w:lang w:eastAsia="en-GB"/>
        </w:rPr>
        <w:t xml:space="preserve"> It underscored the imperative of establishing a cogent connection between a defendant's actions and the committed offense, while judiciously considering elements like peer influence and the extent of individual involvement.</w:t>
      </w:r>
    </w:p>
    <w:p w14:paraId="7C4C3EDC" w14:textId="374AF882" w:rsidR="00BB7684" w:rsidRPr="00BB7684" w:rsidRDefault="00000000" w:rsidP="00BB7684">
      <w:pPr>
        <w:numPr>
          <w:ilvl w:val="0"/>
          <w:numId w:val="6"/>
        </w:numPr>
        <w:rPr>
          <w:lang w:eastAsia="en-GB"/>
        </w:rPr>
      </w:pPr>
      <w:r w:rsidRPr="00BB7684">
        <w:rPr>
          <w:b/>
          <w:bCs/>
          <w:lang w:eastAsia="en-GB"/>
        </w:rPr>
        <w:t>The Sentencing Act 2020:</w:t>
      </w:r>
      <w:r w:rsidRPr="00BB7684">
        <w:rPr>
          <w:lang w:eastAsia="en-GB"/>
        </w:rPr>
        <w:t xml:space="preserve"> Notably, </w:t>
      </w:r>
      <w:r w:rsidRPr="00BB7684">
        <w:rPr>
          <w:b/>
          <w:bCs/>
          <w:i/>
          <w:iCs/>
          <w:lang w:eastAsia="en-GB"/>
        </w:rPr>
        <w:t>Section 142</w:t>
      </w:r>
      <w:r w:rsidRPr="00BB7684">
        <w:rPr>
          <w:lang w:eastAsia="en-GB"/>
        </w:rPr>
        <w:t xml:space="preserve"> within this act institutes the Sentencing Council, entrusted with the responsibility of furnishing sentencing guidelines to the judiciary</w:t>
      </w:r>
      <w:r w:rsidR="00BC3198">
        <w:rPr>
          <w:lang w:eastAsia="en-GB"/>
        </w:rPr>
        <w:t xml:space="preserve"> (</w:t>
      </w:r>
      <w:r w:rsidR="00BC3198" w:rsidRPr="00C819DD">
        <w:rPr>
          <w:lang w:eastAsia="en-GB"/>
        </w:rPr>
        <w:t xml:space="preserve">Participation, </w:t>
      </w:r>
      <w:r w:rsidR="00BC3198">
        <w:rPr>
          <w:lang w:eastAsia="en-GB"/>
        </w:rPr>
        <w:t>2023).</w:t>
      </w:r>
      <w:r w:rsidR="00BC3198" w:rsidRPr="00DB09BE">
        <w:rPr>
          <w:lang w:eastAsia="en-GB"/>
        </w:rPr>
        <w:t xml:space="preserve"> </w:t>
      </w:r>
      <w:r w:rsidRPr="00BB7684">
        <w:rPr>
          <w:lang w:eastAsia="en-GB"/>
        </w:rPr>
        <w:t>These guidelines meticulously ensure that sentences are commensurate with the severity of the offence and conscientiously factor in the defendant's individual circumstances, aligning with the policy of harmonizing accountability with rehabilitation.</w:t>
      </w:r>
    </w:p>
    <w:p w14:paraId="14146840" w14:textId="01F08264" w:rsidR="00BB7684" w:rsidRPr="00BB7684" w:rsidRDefault="00000000" w:rsidP="00BB7684">
      <w:pPr>
        <w:numPr>
          <w:ilvl w:val="0"/>
          <w:numId w:val="6"/>
        </w:numPr>
        <w:rPr>
          <w:lang w:eastAsia="en-GB"/>
        </w:rPr>
      </w:pPr>
      <w:r w:rsidRPr="00BB7684">
        <w:rPr>
          <w:b/>
          <w:bCs/>
          <w:lang w:eastAsia="en-GB"/>
        </w:rPr>
        <w:t>Emphasis on Victim Welfare:</w:t>
      </w:r>
      <w:r w:rsidRPr="00BB7684">
        <w:rPr>
          <w:lang w:eastAsia="en-GB"/>
        </w:rPr>
        <w:t xml:space="preserve"> The </w:t>
      </w:r>
      <w:r w:rsidRPr="00BB7684">
        <w:rPr>
          <w:b/>
          <w:bCs/>
          <w:i/>
          <w:iCs/>
          <w:lang w:eastAsia="en-GB"/>
        </w:rPr>
        <w:t>Domestic Abuse Act 2021,</w:t>
      </w:r>
      <w:r w:rsidRPr="00BB7684">
        <w:rPr>
          <w:lang w:eastAsia="en-GB"/>
        </w:rPr>
        <w:t xml:space="preserve"> through </w:t>
      </w:r>
      <w:r w:rsidRPr="00BB7684">
        <w:rPr>
          <w:b/>
          <w:bCs/>
          <w:i/>
          <w:iCs/>
          <w:lang w:eastAsia="en-GB"/>
        </w:rPr>
        <w:t>Section 66</w:t>
      </w:r>
      <w:r w:rsidRPr="00BB7684">
        <w:rPr>
          <w:lang w:eastAsia="en-GB"/>
        </w:rPr>
        <w:t xml:space="preserve"> and the introduction of the </w:t>
      </w:r>
      <w:r w:rsidRPr="00BB7684">
        <w:rPr>
          <w:b/>
          <w:bCs/>
          <w:i/>
          <w:iCs/>
          <w:lang w:eastAsia="en-GB"/>
        </w:rPr>
        <w:t>Victims' Code,</w:t>
      </w:r>
      <w:r w:rsidRPr="00BB7684">
        <w:rPr>
          <w:lang w:eastAsia="en-GB"/>
        </w:rPr>
        <w:t xml:space="preserve"> places a pronounced focus on protecting and supporting victims</w:t>
      </w:r>
      <w:r w:rsidR="00BC3198">
        <w:rPr>
          <w:lang w:eastAsia="en-GB"/>
        </w:rPr>
        <w:t xml:space="preserve"> (</w:t>
      </w:r>
      <w:bookmarkStart w:id="11" w:name="_Hlk150234654"/>
      <w:r w:rsidR="00BC3198" w:rsidRPr="002D3F68">
        <w:t>The Law Society</w:t>
      </w:r>
      <w:r w:rsidR="00BC3198">
        <w:t>, 2023</w:t>
      </w:r>
      <w:bookmarkEnd w:id="11"/>
      <w:r w:rsidR="00BC3198">
        <w:t>).</w:t>
      </w:r>
      <w:r w:rsidRPr="00BB7684">
        <w:rPr>
          <w:lang w:eastAsia="en-GB"/>
        </w:rPr>
        <w:t xml:space="preserve"> It exemplifies the UK's unwavering commitment to the welfare of those affected by criminal acts, affording them access to essential resources and support.</w:t>
      </w:r>
    </w:p>
    <w:p w14:paraId="6DF00922" w14:textId="33CE6BBE" w:rsidR="00BB7684" w:rsidRPr="00BB7684" w:rsidRDefault="00000000" w:rsidP="00BB7684">
      <w:pPr>
        <w:numPr>
          <w:ilvl w:val="0"/>
          <w:numId w:val="6"/>
        </w:numPr>
        <w:rPr>
          <w:lang w:eastAsia="en-GB"/>
        </w:rPr>
      </w:pPr>
      <w:r w:rsidRPr="00BB7684">
        <w:rPr>
          <w:b/>
          <w:bCs/>
          <w:lang w:eastAsia="en-GB"/>
        </w:rPr>
        <w:lastRenderedPageBreak/>
        <w:t>The Human Rights Act 1998:</w:t>
      </w:r>
      <w:r w:rsidRPr="00BB7684">
        <w:rPr>
          <w:lang w:eastAsia="en-GB"/>
        </w:rPr>
        <w:t xml:space="preserve"> This pivotal legislation incorporates the European Convention on </w:t>
      </w:r>
      <w:r w:rsidRPr="00BB7684">
        <w:rPr>
          <w:b/>
          <w:bCs/>
          <w:i/>
          <w:iCs/>
          <w:lang w:eastAsia="en-GB"/>
        </w:rPr>
        <w:t>Human Rights into UK law</w:t>
      </w:r>
      <w:r w:rsidRPr="00BB7684">
        <w:rPr>
          <w:lang w:eastAsia="en-GB"/>
        </w:rPr>
        <w:t>, zealously safeguarding the rights of defendants</w:t>
      </w:r>
      <w:r w:rsidR="004E7A37">
        <w:rPr>
          <w:lang w:eastAsia="en-GB"/>
        </w:rPr>
        <w:t xml:space="preserve"> (</w:t>
      </w:r>
      <w:r w:rsidR="004E7A37" w:rsidRPr="00944E0C">
        <w:t>The Human Rights Act</w:t>
      </w:r>
      <w:r w:rsidR="004E7A37">
        <w:t xml:space="preserve">, </w:t>
      </w:r>
      <w:r w:rsidR="004E7A37" w:rsidRPr="00944E0C">
        <w:t>2022)</w:t>
      </w:r>
      <w:r w:rsidR="004E7A37">
        <w:t>.</w:t>
      </w:r>
      <w:r w:rsidRPr="00BB7684">
        <w:rPr>
          <w:lang w:eastAsia="en-GB"/>
        </w:rPr>
        <w:t xml:space="preserve"> It assures that defendants receive equitable and fair treatment within the criminal justice system, consistent with the precepts of </w:t>
      </w:r>
      <w:r w:rsidRPr="00BB7684">
        <w:rPr>
          <w:b/>
          <w:bCs/>
          <w:i/>
          <w:iCs/>
          <w:lang w:eastAsia="en-GB"/>
        </w:rPr>
        <w:t>Article 6 of the Convention</w:t>
      </w:r>
      <w:r w:rsidR="00A54462">
        <w:rPr>
          <w:b/>
          <w:bCs/>
          <w:i/>
          <w:iCs/>
          <w:lang w:eastAsia="en-GB"/>
        </w:rPr>
        <w:t xml:space="preserve"> </w:t>
      </w:r>
      <w:r w:rsidR="00A54462">
        <w:rPr>
          <w:lang w:eastAsia="en-GB"/>
        </w:rPr>
        <w:t>(</w:t>
      </w:r>
      <w:r w:rsidR="00A54462" w:rsidRPr="00DB09BE">
        <w:rPr>
          <w:lang w:eastAsia="en-GB"/>
        </w:rPr>
        <w:t>Human Rights Ac 1998</w:t>
      </w:r>
      <w:r w:rsidR="00A54462">
        <w:rPr>
          <w:lang w:eastAsia="en-GB"/>
        </w:rPr>
        <w:t>)</w:t>
      </w:r>
    </w:p>
    <w:p w14:paraId="2C9B4BCC" w14:textId="27A40839" w:rsidR="00BB7684" w:rsidRPr="00BB7684" w:rsidRDefault="00000000" w:rsidP="00BB7684">
      <w:pPr>
        <w:numPr>
          <w:ilvl w:val="0"/>
          <w:numId w:val="6"/>
        </w:numPr>
        <w:rPr>
          <w:lang w:eastAsia="en-GB"/>
        </w:rPr>
      </w:pPr>
      <w:r w:rsidRPr="00BB7684">
        <w:rPr>
          <w:b/>
          <w:bCs/>
          <w:lang w:eastAsia="en-GB"/>
        </w:rPr>
        <w:t xml:space="preserve">Mitigating Antisocial </w:t>
      </w:r>
      <w:proofErr w:type="spellStart"/>
      <w:r w:rsidRPr="00BB7684">
        <w:rPr>
          <w:b/>
          <w:bCs/>
          <w:lang w:eastAsia="en-GB"/>
        </w:rPr>
        <w:t>Behavior</w:t>
      </w:r>
      <w:proofErr w:type="spellEnd"/>
      <w:r w:rsidRPr="00BB7684">
        <w:rPr>
          <w:b/>
          <w:bCs/>
          <w:lang w:eastAsia="en-GB"/>
        </w:rPr>
        <w:t>:</w:t>
      </w:r>
      <w:r w:rsidRPr="00BB7684">
        <w:rPr>
          <w:lang w:eastAsia="en-GB"/>
        </w:rPr>
        <w:t xml:space="preserve"> The </w:t>
      </w:r>
      <w:r w:rsidRPr="00BB7684">
        <w:rPr>
          <w:b/>
          <w:bCs/>
          <w:i/>
          <w:iCs/>
          <w:lang w:eastAsia="en-GB"/>
        </w:rPr>
        <w:t>Anti-Social Behaviour, Crime, and Policing Act 2014,</w:t>
      </w:r>
      <w:r w:rsidRPr="00BB7684">
        <w:rPr>
          <w:lang w:eastAsia="en-GB"/>
        </w:rPr>
        <w:t xml:space="preserve"> especially </w:t>
      </w:r>
      <w:r w:rsidRPr="00BB7684">
        <w:rPr>
          <w:b/>
          <w:bCs/>
          <w:i/>
          <w:iCs/>
          <w:lang w:eastAsia="en-GB"/>
        </w:rPr>
        <w:t>Section 59,</w:t>
      </w:r>
      <w:r w:rsidRPr="00BB7684">
        <w:rPr>
          <w:lang w:eastAsia="en-GB"/>
        </w:rPr>
        <w:t xml:space="preserve"> encapsulates the overarching policy of shielding society by addressing and mitigating antisocial behaviour</w:t>
      </w:r>
      <w:r w:rsidR="004E7A37">
        <w:rPr>
          <w:lang w:eastAsia="en-GB"/>
        </w:rPr>
        <w:t xml:space="preserve"> (</w:t>
      </w:r>
      <w:r w:rsidR="00AC19E5" w:rsidRPr="003B6120">
        <w:rPr>
          <w:shd w:val="clear" w:color="auto" w:fill="FFFFFF"/>
        </w:rPr>
        <w:t>Martin</w:t>
      </w:r>
      <w:r w:rsidR="00AC19E5">
        <w:rPr>
          <w:shd w:val="clear" w:color="auto" w:fill="FFFFFF"/>
        </w:rPr>
        <w:t xml:space="preserve"> </w:t>
      </w:r>
      <w:r w:rsidR="00AC19E5" w:rsidRPr="00AC19E5">
        <w:rPr>
          <w:i/>
          <w:iCs/>
          <w:shd w:val="clear" w:color="auto" w:fill="FFFFFF"/>
        </w:rPr>
        <w:t>et al.,</w:t>
      </w:r>
      <w:r w:rsidR="00AC19E5">
        <w:rPr>
          <w:shd w:val="clear" w:color="auto" w:fill="FFFFFF"/>
        </w:rPr>
        <w:t xml:space="preserve"> 2022</w:t>
      </w:r>
      <w:r w:rsidR="00A54462">
        <w:rPr>
          <w:shd w:val="clear" w:color="auto" w:fill="FFFFFF"/>
        </w:rPr>
        <w:t>).</w:t>
      </w:r>
      <w:r w:rsidRPr="00BB7684">
        <w:rPr>
          <w:lang w:eastAsia="en-GB"/>
        </w:rPr>
        <w:t xml:space="preserve"> It furnishes mechanisms to effectively oversee and regulate societal conduct.</w:t>
      </w:r>
    </w:p>
    <w:p w14:paraId="5CB7A10E" w14:textId="77777777" w:rsidR="00BB7684" w:rsidRPr="00BB7684" w:rsidRDefault="00000000" w:rsidP="00BB7684">
      <w:pPr>
        <w:rPr>
          <w:lang w:eastAsia="en-GB"/>
        </w:rPr>
      </w:pPr>
      <w:r w:rsidRPr="00BB7684">
        <w:rPr>
          <w:lang w:eastAsia="en-GB"/>
        </w:rPr>
        <w:t xml:space="preserve">In summation, this array of legal and policy considerations underscores the intricate landscape of the UK's criminal justice system. It represents a finely calibrated equilibrium between the preservation of defendant rights, the robust support for victims, and the maintenance of social order. This framework, encapsulated </w:t>
      </w:r>
      <w:proofErr w:type="gramStart"/>
      <w:r w:rsidRPr="00BB7684">
        <w:rPr>
          <w:lang w:eastAsia="en-GB"/>
        </w:rPr>
        <w:t>in-laws</w:t>
      </w:r>
      <w:proofErr w:type="gramEnd"/>
      <w:r w:rsidRPr="00BB7684">
        <w:rPr>
          <w:lang w:eastAsia="en-GB"/>
        </w:rPr>
        <w:t xml:space="preserve"> and jurisprudence, continuously evolves to uphold the ideals of a fair and impartial criminal justice system.</w:t>
      </w:r>
    </w:p>
    <w:p w14:paraId="5B6F3814" w14:textId="0E0DBD18" w:rsidR="002E2322" w:rsidRDefault="00000000" w:rsidP="005D7B02">
      <w:pPr>
        <w:pStyle w:val="Heading1"/>
        <w:rPr>
          <w:lang w:val="en-IN"/>
        </w:rPr>
      </w:pPr>
      <w:bookmarkStart w:id="12" w:name="_Toc150257012"/>
      <w:r>
        <w:rPr>
          <w:lang w:val="en-IN"/>
        </w:rPr>
        <w:t>Conclusion</w:t>
      </w:r>
      <w:bookmarkEnd w:id="12"/>
    </w:p>
    <w:p w14:paraId="6C4E5733" w14:textId="002496CE" w:rsidR="005D7B02" w:rsidRDefault="00000000" w:rsidP="00683426">
      <w:pPr>
        <w:rPr>
          <w:rFonts w:eastAsiaTheme="majorEastAsia" w:cstheme="majorBidi"/>
          <w:b/>
          <w:color w:val="000000" w:themeColor="text1"/>
          <w:szCs w:val="32"/>
          <w:lang w:val="en-IN" w:eastAsia="en-GB"/>
        </w:rPr>
      </w:pPr>
      <w:r>
        <w:t>This is to conclude that the discussion of</w:t>
      </w:r>
      <w:r w:rsidRPr="00683426">
        <w:t xml:space="preserve"> UK criminal law </w:t>
      </w:r>
      <w:r>
        <w:t>reflects both</w:t>
      </w:r>
      <w:r w:rsidRPr="00683426">
        <w:t xml:space="preserve"> legal foundations and policy considerations. This delicate interplay effectively governs societal conduct while meticulously safeguarding the well-being of both defendants and victims. The foundation principle of the burden of proof, as protected in the Criminal Procedure and Investigations Act 1996, </w:t>
      </w:r>
      <w:r w:rsidR="00B5202D" w:rsidRPr="00683426">
        <w:t>persistently</w:t>
      </w:r>
      <w:r w:rsidRPr="00683426">
        <w:t xml:space="preserve"> shields defendants by upholding the presumption of their innocence until proven otherwise. The illuminating case of R v. </w:t>
      </w:r>
      <w:proofErr w:type="spellStart"/>
      <w:r w:rsidRPr="00683426">
        <w:t>Jogee</w:t>
      </w:r>
      <w:proofErr w:type="spellEnd"/>
      <w:r w:rsidRPr="00683426">
        <w:t xml:space="preserve"> (2016) refines the concept of joint enterprise liability, assuring a discernible link between a defendant's actions and the resultant offence</w:t>
      </w:r>
      <w:r w:rsidR="00A54462">
        <w:t xml:space="preserve"> (Supreme Court, 2023). </w:t>
      </w:r>
      <w:r w:rsidRPr="00683426">
        <w:t xml:space="preserve">The collaborative effects of the Sentencing Act 2020, the Domestic Abuse Act 2021, and the Human Rights Act 1998 </w:t>
      </w:r>
      <w:r w:rsidR="00213829" w:rsidRPr="00683426">
        <w:t>skilfully</w:t>
      </w:r>
      <w:r w:rsidRPr="00683426">
        <w:t xml:space="preserve"> maintain an intricate equilibrium, harmonizing defendant rights, victim support, and the imperative for a just legal system. Moreover, the Anti-Social Behaviour, Crime, and Policing Act 2014 accentuates the policy of upholding societal order. This comprehensive framework underscores the UK's dedicated pursuit of an equitable criminal justice system, ensuring that defendant rights and victim welfare are vigilantly preserved, while simultaneously promoting the interests of public safety and order.</w:t>
      </w:r>
      <w:r>
        <w:rPr>
          <w:lang w:val="en-IN"/>
        </w:rPr>
        <w:br w:type="page"/>
      </w:r>
    </w:p>
    <w:p w14:paraId="54F3896F" w14:textId="4078908D" w:rsidR="002E2322" w:rsidRDefault="00000000" w:rsidP="005D7B02">
      <w:pPr>
        <w:pStyle w:val="Heading1"/>
        <w:rPr>
          <w:lang w:val="en-IN"/>
        </w:rPr>
      </w:pPr>
      <w:bookmarkStart w:id="13" w:name="_Toc150257013"/>
      <w:r>
        <w:rPr>
          <w:lang w:val="en-IN"/>
        </w:rPr>
        <w:lastRenderedPageBreak/>
        <w:t>References</w:t>
      </w:r>
      <w:bookmarkEnd w:id="13"/>
    </w:p>
    <w:p w14:paraId="23C7C0E1" w14:textId="77777777" w:rsidR="003B6120" w:rsidRPr="003B6120" w:rsidRDefault="00000000" w:rsidP="00A54462">
      <w:pPr>
        <w:rPr>
          <w:shd w:val="clear" w:color="auto" w:fill="FFFFFF"/>
        </w:rPr>
      </w:pPr>
      <w:r w:rsidRPr="003B6120">
        <w:rPr>
          <w:shd w:val="clear" w:color="auto" w:fill="FFFFFF"/>
        </w:rPr>
        <w:t xml:space="preserve">Craig, P. and De </w:t>
      </w:r>
      <w:proofErr w:type="spellStart"/>
      <w:r w:rsidRPr="003B6120">
        <w:rPr>
          <w:shd w:val="clear" w:color="auto" w:fill="FFFFFF"/>
        </w:rPr>
        <w:t>Búrca</w:t>
      </w:r>
      <w:proofErr w:type="spellEnd"/>
      <w:r w:rsidRPr="003B6120">
        <w:rPr>
          <w:shd w:val="clear" w:color="auto" w:fill="FFFFFF"/>
        </w:rPr>
        <w:t>, G., 2020. </w:t>
      </w:r>
      <w:r w:rsidRPr="003B6120">
        <w:rPr>
          <w:i/>
          <w:iCs/>
          <w:shd w:val="clear" w:color="auto" w:fill="FFFFFF"/>
        </w:rPr>
        <w:t>EU Law: Text, Cases, and Materials UK Version</w:t>
      </w:r>
      <w:r w:rsidRPr="003B6120">
        <w:rPr>
          <w:shd w:val="clear" w:color="auto" w:fill="FFFFFF"/>
        </w:rPr>
        <w:t>. Oxford University Press, USA.</w:t>
      </w:r>
    </w:p>
    <w:p w14:paraId="413F49B6" w14:textId="77777777" w:rsidR="003B6120" w:rsidRDefault="00000000" w:rsidP="00A54462">
      <w:r w:rsidRPr="007645F6">
        <w:t>Justice, M. (2015)</w:t>
      </w:r>
      <w:r>
        <w:t>.</w:t>
      </w:r>
      <w:r w:rsidRPr="007645F6">
        <w:t xml:space="preserve"> Criminal procedure and investigations act code of practice, GOV.UK. Available at: </w:t>
      </w:r>
      <w:hyperlink r:id="rId8" w:history="1">
        <w:r w:rsidRPr="001B3D78">
          <w:rPr>
            <w:rStyle w:val="Hyperlink"/>
          </w:rPr>
          <w:t>https://www.gov.uk/government/publications/criminal-procedure-and-investigations-act-code-of-practice</w:t>
        </w:r>
      </w:hyperlink>
      <w:r w:rsidRPr="007645F6">
        <w:t xml:space="preserve"> (Accessed: 07 November 2023).</w:t>
      </w:r>
    </w:p>
    <w:p w14:paraId="33FB9A05" w14:textId="77777777" w:rsidR="003B6120" w:rsidRPr="003B6120" w:rsidRDefault="00000000" w:rsidP="00A54462">
      <w:pPr>
        <w:rPr>
          <w:shd w:val="clear" w:color="auto" w:fill="FFFFFF"/>
        </w:rPr>
      </w:pPr>
      <w:r w:rsidRPr="003B6120">
        <w:rPr>
          <w:shd w:val="clear" w:color="auto" w:fill="FFFFFF"/>
        </w:rPr>
        <w:t>Martin, J., Storey, T. and Wortley, N., 2022. </w:t>
      </w:r>
      <w:r w:rsidRPr="003B6120">
        <w:rPr>
          <w:i/>
          <w:iCs/>
          <w:shd w:val="clear" w:color="auto" w:fill="FFFFFF"/>
        </w:rPr>
        <w:t>Unlocking criminal law</w:t>
      </w:r>
      <w:r w:rsidRPr="003B6120">
        <w:rPr>
          <w:shd w:val="clear" w:color="auto" w:fill="FFFFFF"/>
        </w:rPr>
        <w:t>. Routledge.</w:t>
      </w:r>
    </w:p>
    <w:p w14:paraId="56506F8E" w14:textId="77777777" w:rsidR="003B6120" w:rsidRPr="003B6120" w:rsidRDefault="00000000" w:rsidP="00A54462">
      <w:pPr>
        <w:rPr>
          <w:shd w:val="clear" w:color="auto" w:fill="FFFFFF"/>
        </w:rPr>
      </w:pPr>
      <w:r w:rsidRPr="003B6120">
        <w:rPr>
          <w:shd w:val="clear" w:color="auto" w:fill="FFFFFF"/>
        </w:rPr>
        <w:t>Monaghan, N., 2022. </w:t>
      </w:r>
      <w:r w:rsidRPr="003B6120">
        <w:rPr>
          <w:i/>
          <w:iCs/>
          <w:shd w:val="clear" w:color="auto" w:fill="FFFFFF"/>
        </w:rPr>
        <w:t>Criminal Law Directions</w:t>
      </w:r>
      <w:r w:rsidRPr="003B6120">
        <w:rPr>
          <w:shd w:val="clear" w:color="auto" w:fill="FFFFFF"/>
        </w:rPr>
        <w:t>. Oxford University Press.</w:t>
      </w:r>
    </w:p>
    <w:p w14:paraId="66D48E33" w14:textId="77777777" w:rsidR="003B6120" w:rsidRDefault="00000000" w:rsidP="00A54462">
      <w:r w:rsidRPr="00AC47B8">
        <w:t xml:space="preserve">Office, H. (2013) Anti-social behaviour, </w:t>
      </w:r>
      <w:proofErr w:type="gramStart"/>
      <w:r w:rsidRPr="00AC47B8">
        <w:t>crime</w:t>
      </w:r>
      <w:proofErr w:type="gramEnd"/>
      <w:r w:rsidRPr="00AC47B8">
        <w:t xml:space="preserve"> and policing act, GOV.UK. Available at: </w:t>
      </w:r>
      <w:hyperlink r:id="rId9" w:history="1">
        <w:r w:rsidRPr="001B3D78">
          <w:rPr>
            <w:rStyle w:val="Hyperlink"/>
          </w:rPr>
          <w:t>https://www.gov.uk/government/collections/anti-social-behaviour-crime-and-police-bill</w:t>
        </w:r>
      </w:hyperlink>
      <w:r w:rsidRPr="00AC47B8">
        <w:t xml:space="preserve"> (Accessed: 07 November 2023).</w:t>
      </w:r>
    </w:p>
    <w:p w14:paraId="03601EC9" w14:textId="77777777" w:rsidR="003B6120" w:rsidRDefault="00000000" w:rsidP="00A54462">
      <w:pPr>
        <w:rPr>
          <w:lang w:eastAsia="en-GB"/>
        </w:rPr>
      </w:pPr>
      <w:r>
        <w:rPr>
          <w:lang w:eastAsia="en-GB"/>
        </w:rPr>
        <w:t>Parliament, 2023.</w:t>
      </w:r>
      <w:r w:rsidRPr="00A445D1">
        <w:rPr>
          <w:lang w:eastAsia="en-GB"/>
        </w:rPr>
        <w:t xml:space="preserve"> House of Lords - Regina v. Brown - publications.</w:t>
      </w:r>
      <w:r>
        <w:rPr>
          <w:lang w:eastAsia="en-GB"/>
        </w:rPr>
        <w:t xml:space="preserve"> </w:t>
      </w:r>
      <w:r w:rsidRPr="00A445D1">
        <w:rPr>
          <w:lang w:eastAsia="en-GB"/>
        </w:rPr>
        <w:t>parliament.uk. Available at:</w:t>
      </w:r>
      <w:r>
        <w:rPr>
          <w:lang w:eastAsia="en-GB"/>
        </w:rPr>
        <w:t xml:space="preserve"> </w:t>
      </w:r>
      <w:hyperlink r:id="rId10" w:history="1">
        <w:r w:rsidRPr="001B3D78">
          <w:rPr>
            <w:rStyle w:val="Hyperlink"/>
            <w:lang w:eastAsia="en-GB"/>
          </w:rPr>
          <w:t>https://publications.parliament.uk/pa/ld199798/ldjudgmt/jd970724/brown01.html</w:t>
        </w:r>
      </w:hyperlink>
      <w:r>
        <w:rPr>
          <w:lang w:eastAsia="en-GB"/>
        </w:rPr>
        <w:t xml:space="preserve"> </w:t>
      </w:r>
      <w:r w:rsidRPr="00A445D1">
        <w:rPr>
          <w:lang w:eastAsia="en-GB"/>
        </w:rPr>
        <w:t>(Accessed: 07 November 2023).</w:t>
      </w:r>
    </w:p>
    <w:p w14:paraId="1989B9D9" w14:textId="77777777" w:rsidR="003B6120" w:rsidRDefault="00000000" w:rsidP="00A54462">
      <w:r w:rsidRPr="00C819DD">
        <w:rPr>
          <w:lang w:eastAsia="en-GB"/>
        </w:rPr>
        <w:t xml:space="preserve">Participation, </w:t>
      </w:r>
      <w:r>
        <w:rPr>
          <w:lang w:eastAsia="en-GB"/>
        </w:rPr>
        <w:t xml:space="preserve">2023. </w:t>
      </w:r>
      <w:r w:rsidRPr="00BB7684">
        <w:rPr>
          <w:lang w:eastAsia="en-GB"/>
        </w:rPr>
        <w:t>Article 6 of the Convention</w:t>
      </w:r>
      <w:r>
        <w:rPr>
          <w:lang w:eastAsia="en-GB"/>
        </w:rPr>
        <w:t xml:space="preserve">, </w:t>
      </w:r>
      <w:r w:rsidRPr="00C819DD">
        <w:rPr>
          <w:lang w:eastAsia="en-GB"/>
        </w:rPr>
        <w:t xml:space="preserve">Legislation.gov.uk. Available at: </w:t>
      </w:r>
      <w:hyperlink r:id="rId11" w:anchor=":~:text=Article%206%20Right%20to%20a,impartial%20tribunal%20established%20by%20law" w:history="1">
        <w:r w:rsidRPr="001B3D78">
          <w:rPr>
            <w:rStyle w:val="Hyperlink"/>
          </w:rPr>
          <w:t>https://www.legislation.gov.uk/ukpga/1998/42/schedule/1/part/I/chapter/5#:~:text=Article%206%20Right%20to%20a,impartial%20tribunal%20established%20by%20law</w:t>
        </w:r>
      </w:hyperlink>
      <w:r>
        <w:t xml:space="preserve"> </w:t>
      </w:r>
      <w:r w:rsidRPr="00C819DD">
        <w:rPr>
          <w:lang w:eastAsia="en-GB"/>
        </w:rPr>
        <w:t>(Accessed: 07 November 2023).</w:t>
      </w:r>
    </w:p>
    <w:p w14:paraId="53AB6F7B" w14:textId="77777777" w:rsidR="003B6120" w:rsidRDefault="00000000" w:rsidP="00A54462">
      <w:r w:rsidRPr="00C819DD">
        <w:rPr>
          <w:lang w:eastAsia="en-GB"/>
        </w:rPr>
        <w:t xml:space="preserve">Participation, </w:t>
      </w:r>
      <w:r>
        <w:rPr>
          <w:lang w:eastAsia="en-GB"/>
        </w:rPr>
        <w:t xml:space="preserve">2023. </w:t>
      </w:r>
      <w:r w:rsidRPr="00DB09BE">
        <w:rPr>
          <w:lang w:eastAsia="en-GB"/>
        </w:rPr>
        <w:t>Crime and Policing Act 2014</w:t>
      </w:r>
      <w:r>
        <w:rPr>
          <w:lang w:eastAsia="en-GB"/>
        </w:rPr>
        <w:t xml:space="preserve">, </w:t>
      </w:r>
      <w:r w:rsidRPr="00C819DD">
        <w:rPr>
          <w:lang w:eastAsia="en-GB"/>
        </w:rPr>
        <w:t xml:space="preserve">Legislation.gov.uk. Available at: </w:t>
      </w:r>
      <w:hyperlink r:id="rId12" w:history="1">
        <w:r w:rsidRPr="001B3D78">
          <w:rPr>
            <w:rStyle w:val="Hyperlink"/>
          </w:rPr>
          <w:t>https://www.legislation.gov.uk/ukpga/2014/12/contents/enacted</w:t>
        </w:r>
      </w:hyperlink>
      <w:r>
        <w:t xml:space="preserve"> </w:t>
      </w:r>
      <w:r w:rsidRPr="00C819DD">
        <w:rPr>
          <w:lang w:eastAsia="en-GB"/>
        </w:rPr>
        <w:t>(Accessed: 07 November 2023).</w:t>
      </w:r>
    </w:p>
    <w:p w14:paraId="72E09D9E" w14:textId="77777777" w:rsidR="003B6120" w:rsidRDefault="00000000" w:rsidP="00A54462">
      <w:pPr>
        <w:rPr>
          <w:lang w:eastAsia="en-GB"/>
        </w:rPr>
      </w:pPr>
      <w:r w:rsidRPr="00C819DD">
        <w:rPr>
          <w:lang w:eastAsia="en-GB"/>
        </w:rPr>
        <w:t xml:space="preserve">Participation, </w:t>
      </w:r>
      <w:r>
        <w:rPr>
          <w:lang w:eastAsia="en-GB"/>
        </w:rPr>
        <w:t xml:space="preserve">2023. </w:t>
      </w:r>
      <w:r w:rsidRPr="00942597">
        <w:rPr>
          <w:lang w:eastAsia="en-GB"/>
        </w:rPr>
        <w:t>Criminal Justice Act 2003</w:t>
      </w:r>
      <w:r>
        <w:rPr>
          <w:lang w:eastAsia="en-GB"/>
        </w:rPr>
        <w:t xml:space="preserve">, </w:t>
      </w:r>
      <w:r w:rsidRPr="00C819DD">
        <w:rPr>
          <w:lang w:eastAsia="en-GB"/>
        </w:rPr>
        <w:t xml:space="preserve">Legislation.gov.uk. Available at: </w:t>
      </w:r>
      <w:hyperlink r:id="rId13" w:history="1">
        <w:r w:rsidRPr="001B3D78">
          <w:rPr>
            <w:rStyle w:val="Hyperlink"/>
          </w:rPr>
          <w:t>https://www.legislation.gov.uk/ukpga/2003/44/contents</w:t>
        </w:r>
      </w:hyperlink>
      <w:r>
        <w:t xml:space="preserve"> </w:t>
      </w:r>
      <w:r w:rsidRPr="00C819DD">
        <w:rPr>
          <w:lang w:eastAsia="en-GB"/>
        </w:rPr>
        <w:t>(Accessed: 07 November 2023).</w:t>
      </w:r>
    </w:p>
    <w:p w14:paraId="2E0BB1BB" w14:textId="77777777" w:rsidR="003B6120" w:rsidRDefault="00000000" w:rsidP="00A54462">
      <w:pPr>
        <w:rPr>
          <w:lang w:eastAsia="en-GB"/>
        </w:rPr>
      </w:pPr>
      <w:r w:rsidRPr="00C819DD">
        <w:rPr>
          <w:lang w:eastAsia="en-GB"/>
        </w:rPr>
        <w:t xml:space="preserve">Participation, </w:t>
      </w:r>
      <w:r>
        <w:rPr>
          <w:lang w:eastAsia="en-GB"/>
        </w:rPr>
        <w:t xml:space="preserve">2023. </w:t>
      </w:r>
      <w:r w:rsidRPr="00ED6FB0">
        <w:rPr>
          <w:lang w:eastAsia="en-GB"/>
        </w:rPr>
        <w:t>Domestic Abuse Act 202</w:t>
      </w:r>
      <w:r>
        <w:rPr>
          <w:lang w:eastAsia="en-GB"/>
        </w:rPr>
        <w:t xml:space="preserve">1, </w:t>
      </w:r>
      <w:r w:rsidRPr="00C819DD">
        <w:rPr>
          <w:lang w:eastAsia="en-GB"/>
        </w:rPr>
        <w:t xml:space="preserve">Legislation.gov.uk. Available at: </w:t>
      </w:r>
      <w:hyperlink r:id="rId14" w:history="1">
        <w:r w:rsidRPr="001B3D78">
          <w:rPr>
            <w:rStyle w:val="Hyperlink"/>
            <w:lang w:eastAsia="en-GB"/>
          </w:rPr>
          <w:t>https://www.legislation.gov.uk/ukpga/2021/17/contents/enacted</w:t>
        </w:r>
      </w:hyperlink>
      <w:r>
        <w:rPr>
          <w:lang w:eastAsia="en-GB"/>
        </w:rPr>
        <w:t xml:space="preserve"> </w:t>
      </w:r>
      <w:r w:rsidRPr="00C819DD">
        <w:rPr>
          <w:lang w:eastAsia="en-GB"/>
        </w:rPr>
        <w:t>(Accessed: 07 November 2023).</w:t>
      </w:r>
    </w:p>
    <w:p w14:paraId="61E17AA2" w14:textId="77777777" w:rsidR="003B6120" w:rsidRDefault="00000000" w:rsidP="00A54462">
      <w:r w:rsidRPr="00C819DD">
        <w:rPr>
          <w:lang w:eastAsia="en-GB"/>
        </w:rPr>
        <w:t xml:space="preserve">Participation, </w:t>
      </w:r>
      <w:r>
        <w:rPr>
          <w:lang w:eastAsia="en-GB"/>
        </w:rPr>
        <w:t xml:space="preserve">2023. </w:t>
      </w:r>
      <w:r w:rsidRPr="00DB09BE">
        <w:rPr>
          <w:lang w:eastAsia="en-GB"/>
        </w:rPr>
        <w:t>Human Rights Act 1998</w:t>
      </w:r>
      <w:r>
        <w:rPr>
          <w:lang w:eastAsia="en-GB"/>
        </w:rPr>
        <w:t xml:space="preserve">, </w:t>
      </w:r>
      <w:r w:rsidRPr="00C819DD">
        <w:rPr>
          <w:lang w:eastAsia="en-GB"/>
        </w:rPr>
        <w:t xml:space="preserve">Legislation.gov.uk. Available at: </w:t>
      </w:r>
      <w:hyperlink r:id="rId15" w:history="1">
        <w:r w:rsidRPr="001B3D78">
          <w:rPr>
            <w:rStyle w:val="Hyperlink"/>
          </w:rPr>
          <w:t>https://www.legislation.gov.uk/ukpga/1998/42/contents</w:t>
        </w:r>
      </w:hyperlink>
      <w:r>
        <w:t xml:space="preserve"> </w:t>
      </w:r>
      <w:r w:rsidRPr="00C819DD">
        <w:rPr>
          <w:lang w:eastAsia="en-GB"/>
        </w:rPr>
        <w:t>(Accessed: 07 November 2023).</w:t>
      </w:r>
    </w:p>
    <w:p w14:paraId="565E49D8" w14:textId="77777777" w:rsidR="003B6120" w:rsidRDefault="00000000" w:rsidP="00A54462">
      <w:r w:rsidRPr="00C819DD">
        <w:rPr>
          <w:lang w:eastAsia="en-GB"/>
        </w:rPr>
        <w:lastRenderedPageBreak/>
        <w:t xml:space="preserve">Participation, </w:t>
      </w:r>
      <w:r>
        <w:rPr>
          <w:lang w:eastAsia="en-GB"/>
        </w:rPr>
        <w:t xml:space="preserve">2023. </w:t>
      </w:r>
      <w:r w:rsidRPr="00DB09BE">
        <w:rPr>
          <w:lang w:eastAsia="en-GB"/>
        </w:rPr>
        <w:t>Sentencing Act 2020</w:t>
      </w:r>
      <w:r>
        <w:rPr>
          <w:lang w:eastAsia="en-GB"/>
        </w:rPr>
        <w:t xml:space="preserve">, </w:t>
      </w:r>
      <w:r w:rsidRPr="00C819DD">
        <w:rPr>
          <w:lang w:eastAsia="en-GB"/>
        </w:rPr>
        <w:t xml:space="preserve">Legislation.gov.uk. Available at: </w:t>
      </w:r>
      <w:hyperlink r:id="rId16" w:history="1">
        <w:r w:rsidRPr="001B3D78">
          <w:rPr>
            <w:rStyle w:val="Hyperlink"/>
          </w:rPr>
          <w:t>https://www.legislation.gov.uk/ukpga/2020/17/contents/enacted/data.htm</w:t>
        </w:r>
      </w:hyperlink>
      <w:r>
        <w:t xml:space="preserve"> </w:t>
      </w:r>
      <w:r w:rsidRPr="00C819DD">
        <w:rPr>
          <w:lang w:eastAsia="en-GB"/>
        </w:rPr>
        <w:t>(Accessed: 07 November 2023).</w:t>
      </w:r>
    </w:p>
    <w:p w14:paraId="7A43CB64" w14:textId="77777777" w:rsidR="003B6120" w:rsidRDefault="00000000" w:rsidP="00A54462">
      <w:pPr>
        <w:rPr>
          <w:lang w:eastAsia="en-GB"/>
        </w:rPr>
      </w:pPr>
      <w:r w:rsidRPr="00C819DD">
        <w:rPr>
          <w:lang w:eastAsia="en-GB"/>
        </w:rPr>
        <w:t xml:space="preserve">Participation, </w:t>
      </w:r>
      <w:r>
        <w:rPr>
          <w:lang w:eastAsia="en-GB"/>
        </w:rPr>
        <w:t xml:space="preserve">2023. </w:t>
      </w:r>
      <w:r w:rsidRPr="009F0A54">
        <w:rPr>
          <w:lang w:eastAsia="en-GB"/>
        </w:rPr>
        <w:t>Sexual Offences Act of 2003</w:t>
      </w:r>
      <w:r>
        <w:rPr>
          <w:lang w:eastAsia="en-GB"/>
        </w:rPr>
        <w:t xml:space="preserve">, </w:t>
      </w:r>
      <w:r w:rsidRPr="00C819DD">
        <w:rPr>
          <w:lang w:eastAsia="en-GB"/>
        </w:rPr>
        <w:t xml:space="preserve">Legislation.gov.uk. Available at: </w:t>
      </w:r>
      <w:hyperlink r:id="rId17" w:history="1">
        <w:r w:rsidRPr="001B3D78">
          <w:rPr>
            <w:rStyle w:val="Hyperlink"/>
            <w:lang w:eastAsia="en-GB"/>
          </w:rPr>
          <w:t>https://www.legislation.gov.uk/ukpga/2003/42/contents</w:t>
        </w:r>
      </w:hyperlink>
      <w:r>
        <w:rPr>
          <w:lang w:eastAsia="en-GB"/>
        </w:rPr>
        <w:t xml:space="preserve">  </w:t>
      </w:r>
      <w:r w:rsidRPr="00C819DD">
        <w:rPr>
          <w:lang w:eastAsia="en-GB"/>
        </w:rPr>
        <w:t>(Accessed: 07 November 2023).</w:t>
      </w:r>
    </w:p>
    <w:p w14:paraId="15DEB910" w14:textId="77777777" w:rsidR="003B6120" w:rsidRDefault="00000000" w:rsidP="00A54462">
      <w:pPr>
        <w:rPr>
          <w:lang w:eastAsia="en-GB"/>
        </w:rPr>
      </w:pPr>
      <w:r w:rsidRPr="00BB289C">
        <w:rPr>
          <w:lang w:eastAsia="en-GB"/>
        </w:rPr>
        <w:t xml:space="preserve">Press, </w:t>
      </w:r>
      <w:proofErr w:type="gramStart"/>
      <w:r w:rsidRPr="00BB289C">
        <w:rPr>
          <w:lang w:eastAsia="en-GB"/>
        </w:rPr>
        <w:t>O.U</w:t>
      </w:r>
      <w:r>
        <w:rPr>
          <w:lang w:eastAsia="en-GB"/>
        </w:rPr>
        <w:t>,</w:t>
      </w:r>
      <w:r w:rsidRPr="00BB289C">
        <w:rPr>
          <w:lang w:eastAsia="en-GB"/>
        </w:rPr>
        <w:t>.</w:t>
      </w:r>
      <w:proofErr w:type="gramEnd"/>
      <w:r>
        <w:rPr>
          <w:lang w:eastAsia="en-GB"/>
        </w:rPr>
        <w:t xml:space="preserve"> 2023. </w:t>
      </w:r>
      <w:r w:rsidRPr="00BB289C">
        <w:rPr>
          <w:lang w:eastAsia="en-GB"/>
        </w:rPr>
        <w:t xml:space="preserve">Loveland: Constitutional law, administrative </w:t>
      </w:r>
      <w:proofErr w:type="gramStart"/>
      <w:r w:rsidRPr="00BB289C">
        <w:rPr>
          <w:lang w:eastAsia="en-GB"/>
        </w:rPr>
        <w:t>law</w:t>
      </w:r>
      <w:proofErr w:type="gramEnd"/>
      <w:r w:rsidRPr="00BB289C">
        <w:rPr>
          <w:lang w:eastAsia="en-GB"/>
        </w:rPr>
        <w:t xml:space="preserve"> and human rights 8E: Online casebook, R v Brown and other appeals [1993] 2 All ER 75. Available at: </w:t>
      </w:r>
      <w:hyperlink r:id="rId18" w:history="1">
        <w:r w:rsidRPr="001B3D78">
          <w:rPr>
            <w:rStyle w:val="Hyperlink"/>
            <w:lang w:eastAsia="en-GB"/>
          </w:rPr>
          <w:t>https://learninglink.oup.com/static/5c0e79ef50eddf00160f35ad/casebook_185.html</w:t>
        </w:r>
      </w:hyperlink>
      <w:r>
        <w:rPr>
          <w:lang w:eastAsia="en-GB"/>
        </w:rPr>
        <w:t xml:space="preserve"> </w:t>
      </w:r>
      <w:r w:rsidRPr="00BB289C">
        <w:rPr>
          <w:lang w:eastAsia="en-GB"/>
        </w:rPr>
        <w:t>Accessed: 07 November 2023).</w:t>
      </w:r>
    </w:p>
    <w:p w14:paraId="4D934C01" w14:textId="77777777" w:rsidR="003B6120" w:rsidRDefault="00000000" w:rsidP="00A54462">
      <w:r>
        <w:t>Supreme Court, 2023.</w:t>
      </w:r>
      <w:r w:rsidRPr="0024631F">
        <w:t xml:space="preserve"> Case details, R v </w:t>
      </w:r>
      <w:proofErr w:type="spellStart"/>
      <w:r w:rsidRPr="0024631F">
        <w:t>Jogee</w:t>
      </w:r>
      <w:proofErr w:type="spellEnd"/>
      <w:r w:rsidRPr="0024631F">
        <w:t xml:space="preserve"> (Appellant) - The Supreme Court. Available at: </w:t>
      </w:r>
      <w:hyperlink r:id="rId19" w:history="1">
        <w:r w:rsidRPr="001B3D78">
          <w:rPr>
            <w:rStyle w:val="Hyperlink"/>
          </w:rPr>
          <w:t>https://www.supremecourt.uk/cases/uksc-2015-0015.html</w:t>
        </w:r>
      </w:hyperlink>
      <w:r w:rsidRPr="0024631F">
        <w:t xml:space="preserve"> (Accessed: 07 November 2023).</w:t>
      </w:r>
    </w:p>
    <w:p w14:paraId="26D7A259" w14:textId="690A36AC" w:rsidR="003B6120" w:rsidRDefault="00000000" w:rsidP="00A54462">
      <w:r w:rsidRPr="00944E0C">
        <w:t>The Human Rights Act</w:t>
      </w:r>
      <w:r w:rsidR="00F35F00">
        <w:t xml:space="preserve">, </w:t>
      </w:r>
      <w:r w:rsidRPr="00944E0C">
        <w:t>2022</w:t>
      </w:r>
      <w:r w:rsidR="00F35F00">
        <w:t>.</w:t>
      </w:r>
      <w:r w:rsidRPr="00944E0C">
        <w:t xml:space="preserve"> Liberty. Available at: </w:t>
      </w:r>
      <w:hyperlink r:id="rId20" w:history="1">
        <w:r w:rsidRPr="001B3D78">
          <w:rPr>
            <w:rStyle w:val="Hyperlink"/>
          </w:rPr>
          <w:t>https://www.libertyhumanrights.org.uk/your-rights/the-human-rights-act/</w:t>
        </w:r>
      </w:hyperlink>
      <w:r w:rsidRPr="00944E0C">
        <w:t xml:space="preserve"> (Accessed: 07 November 2023).</w:t>
      </w:r>
    </w:p>
    <w:p w14:paraId="397BFDF5" w14:textId="77777777" w:rsidR="003B6120" w:rsidRDefault="00000000" w:rsidP="00A54462">
      <w:r w:rsidRPr="002D3F68">
        <w:t>The Law Society</w:t>
      </w:r>
      <w:r>
        <w:t xml:space="preserve">, 2023. </w:t>
      </w:r>
      <w:r w:rsidRPr="002D3F68">
        <w:t>Domestic Abuse Act 2021</w:t>
      </w:r>
      <w:r>
        <w:t xml:space="preserve">. </w:t>
      </w:r>
      <w:r w:rsidRPr="002D3F68">
        <w:t xml:space="preserve">Available at: </w:t>
      </w:r>
      <w:hyperlink r:id="rId21" w:anchor=":~:text=Under%20the%20act%2C%20the%20government,system%20and%20other%20statutory%20agencies" w:history="1">
        <w:r w:rsidRPr="001B3D78">
          <w:rPr>
            <w:rStyle w:val="Hyperlink"/>
          </w:rPr>
          <w:t>https://www.lawsociety.org.uk/topics/family-and-children/domestic-abuse-act-2021#:~:text=Under%20the%20act%2C%20the%20government,system%20and%20other%20statutory%20agencies</w:t>
        </w:r>
      </w:hyperlink>
      <w:r w:rsidRPr="002D3F68">
        <w:t xml:space="preserve"> (Accessed: 07 November 2023).</w:t>
      </w:r>
    </w:p>
    <w:p w14:paraId="64CA80BC" w14:textId="77777777" w:rsidR="003B6120" w:rsidRPr="003B6120" w:rsidRDefault="00000000" w:rsidP="00A54462">
      <w:pPr>
        <w:rPr>
          <w:shd w:val="clear" w:color="auto" w:fill="FFFFFF"/>
        </w:rPr>
      </w:pPr>
      <w:r w:rsidRPr="003B6120">
        <w:rPr>
          <w:shd w:val="clear" w:color="auto" w:fill="FFFFFF"/>
        </w:rPr>
        <w:t>Wilson, W., 2020. </w:t>
      </w:r>
      <w:r w:rsidRPr="003B6120">
        <w:rPr>
          <w:i/>
          <w:iCs/>
          <w:shd w:val="clear" w:color="auto" w:fill="FFFFFF"/>
        </w:rPr>
        <w:t>Criminal law</w:t>
      </w:r>
      <w:r w:rsidRPr="003B6120">
        <w:rPr>
          <w:shd w:val="clear" w:color="auto" w:fill="FFFFFF"/>
        </w:rPr>
        <w:t>. Pearson UK.</w:t>
      </w:r>
    </w:p>
    <w:p w14:paraId="47B9993E" w14:textId="77777777" w:rsidR="003B6120" w:rsidRDefault="00000000" w:rsidP="00A54462">
      <w:proofErr w:type="spellStart"/>
      <w:r>
        <w:t>Wipolex</w:t>
      </w:r>
      <w:proofErr w:type="spellEnd"/>
      <w:r>
        <w:t xml:space="preserve">, 2023. </w:t>
      </w:r>
      <w:r w:rsidRPr="003B6120">
        <w:rPr>
          <w:i/>
          <w:iCs/>
        </w:rPr>
        <w:t>Criminal justice act 2003</w:t>
      </w:r>
      <w:r>
        <w:t xml:space="preserve">. Available at: </w:t>
      </w:r>
      <w:hyperlink r:id="rId22" w:history="1">
        <w:r w:rsidRPr="001B3D78">
          <w:rPr>
            <w:rStyle w:val="Hyperlink"/>
          </w:rPr>
          <w:t>https://wipolex-res.wipo.int/edocs/lexdocs/laws/en/gb/gb291en.html</w:t>
        </w:r>
      </w:hyperlink>
      <w:r>
        <w:t xml:space="preserve"> (Accessed: 07 November 2023). </w:t>
      </w:r>
    </w:p>
    <w:p w14:paraId="6749BD11" w14:textId="61A5B9AD" w:rsidR="00F7484B" w:rsidRPr="00F7484B" w:rsidRDefault="00000000">
      <w:pPr>
        <w:rPr>
          <w:rFonts w:ascii="Arial" w:hAnsi="Arial" w:cs="Arial"/>
          <w:color w:val="222222"/>
          <w:sz w:val="20"/>
          <w:szCs w:val="20"/>
          <w:shd w:val="clear" w:color="auto" w:fill="FFFFFF"/>
        </w:rPr>
      </w:pPr>
      <w:proofErr w:type="spellStart"/>
      <w:r>
        <w:t>Wipolex</w:t>
      </w:r>
      <w:proofErr w:type="spellEnd"/>
      <w:r>
        <w:t xml:space="preserve">, 2023. </w:t>
      </w:r>
      <w:r w:rsidRPr="003B6120">
        <w:rPr>
          <w:i/>
          <w:iCs/>
          <w:lang w:eastAsia="en-GB"/>
        </w:rPr>
        <w:t>Serious Crime Act 2007.</w:t>
      </w:r>
      <w:r>
        <w:rPr>
          <w:lang w:eastAsia="en-GB"/>
        </w:rPr>
        <w:t xml:space="preserve"> </w:t>
      </w:r>
      <w:r>
        <w:t xml:space="preserve">Available at: </w:t>
      </w:r>
      <w:hyperlink r:id="rId23" w:history="1">
        <w:r w:rsidRPr="001B3D78">
          <w:rPr>
            <w:rStyle w:val="Hyperlink"/>
          </w:rPr>
          <w:t>https://www.wipo.int/wipolex/en/legislation/details/13623</w:t>
        </w:r>
      </w:hyperlink>
      <w:r>
        <w:t xml:space="preserve">  (Accessed: 07 November 2023). </w:t>
      </w:r>
    </w:p>
    <w:sectPr w:rsidR="00F7484B" w:rsidRPr="00F7484B" w:rsidSect="002C542B">
      <w:footerReference w:type="default" r:id="rId24"/>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915DF1" w14:textId="77777777" w:rsidR="00213D36" w:rsidRDefault="00213D36">
      <w:pPr>
        <w:spacing w:after="0" w:line="240" w:lineRule="auto"/>
      </w:pPr>
      <w:r>
        <w:separator/>
      </w:r>
    </w:p>
  </w:endnote>
  <w:endnote w:type="continuationSeparator" w:id="0">
    <w:p w14:paraId="629A4DAF" w14:textId="77777777" w:rsidR="00213D36" w:rsidRDefault="00213D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03346281"/>
      <w:docPartObj>
        <w:docPartGallery w:val="Page Numbers (Bottom of Page)"/>
        <w:docPartUnique/>
      </w:docPartObj>
    </w:sdtPr>
    <w:sdtEndPr>
      <w:rPr>
        <w:color w:val="7F7F7F" w:themeColor="background1" w:themeShade="7F"/>
        <w:spacing w:val="60"/>
      </w:rPr>
    </w:sdtEndPr>
    <w:sdtContent>
      <w:p w14:paraId="7678CA15" w14:textId="3C61550F" w:rsidR="004C7675" w:rsidRDefault="00000000">
        <w:pPr>
          <w:pStyle w:val="Footer"/>
          <w:pBdr>
            <w:top w:val="single" w:sz="4" w:space="1" w:color="D9D9D9" w:themeColor="background1" w:themeShade="D9"/>
          </w:pBdr>
          <w:jc w:val="right"/>
        </w:pPr>
        <w:r>
          <w:fldChar w:fldCharType="begin"/>
        </w:r>
        <w:r>
          <w:instrText>PAGE   \* MERGEFORMAT</w:instrText>
        </w:r>
        <w:r>
          <w:fldChar w:fldCharType="separate"/>
        </w:r>
        <w:r>
          <w:t>2</w:t>
        </w:r>
        <w:r>
          <w:fldChar w:fldCharType="end"/>
        </w:r>
        <w:r>
          <w:t xml:space="preserve"> | </w:t>
        </w:r>
        <w:r>
          <w:rPr>
            <w:color w:val="7F7F7F" w:themeColor="background1" w:themeShade="7F"/>
            <w:spacing w:val="60"/>
          </w:rPr>
          <w:t>Page</w:t>
        </w:r>
      </w:p>
    </w:sdtContent>
  </w:sdt>
  <w:p w14:paraId="7BBB8493" w14:textId="77777777" w:rsidR="004C7675" w:rsidRDefault="004C76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588F7F" w14:textId="77777777" w:rsidR="00213D36" w:rsidRDefault="00213D36">
      <w:pPr>
        <w:spacing w:after="0" w:line="240" w:lineRule="auto"/>
      </w:pPr>
      <w:r>
        <w:separator/>
      </w:r>
    </w:p>
  </w:footnote>
  <w:footnote w:type="continuationSeparator" w:id="0">
    <w:p w14:paraId="02521CAE" w14:textId="77777777" w:rsidR="00213D36" w:rsidRDefault="00213D3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787AB0"/>
    <w:multiLevelType w:val="multilevel"/>
    <w:tmpl w:val="0F8E29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17F6B78"/>
    <w:multiLevelType w:val="hybridMultilevel"/>
    <w:tmpl w:val="6C22F304"/>
    <w:lvl w:ilvl="0" w:tplc="474E0768">
      <w:start w:val="1"/>
      <w:numFmt w:val="decimal"/>
      <w:lvlText w:val="%1."/>
      <w:lvlJc w:val="left"/>
      <w:pPr>
        <w:ind w:left="720" w:hanging="360"/>
      </w:pPr>
    </w:lvl>
    <w:lvl w:ilvl="1" w:tplc="69426CE0" w:tentative="1">
      <w:start w:val="1"/>
      <w:numFmt w:val="lowerLetter"/>
      <w:lvlText w:val="%2."/>
      <w:lvlJc w:val="left"/>
      <w:pPr>
        <w:ind w:left="1440" w:hanging="360"/>
      </w:pPr>
    </w:lvl>
    <w:lvl w:ilvl="2" w:tplc="49CA601C" w:tentative="1">
      <w:start w:val="1"/>
      <w:numFmt w:val="lowerRoman"/>
      <w:lvlText w:val="%3."/>
      <w:lvlJc w:val="right"/>
      <w:pPr>
        <w:ind w:left="2160" w:hanging="180"/>
      </w:pPr>
    </w:lvl>
    <w:lvl w:ilvl="3" w:tplc="9EDE3F46" w:tentative="1">
      <w:start w:val="1"/>
      <w:numFmt w:val="decimal"/>
      <w:lvlText w:val="%4."/>
      <w:lvlJc w:val="left"/>
      <w:pPr>
        <w:ind w:left="2880" w:hanging="360"/>
      </w:pPr>
    </w:lvl>
    <w:lvl w:ilvl="4" w:tplc="DDD2792C" w:tentative="1">
      <w:start w:val="1"/>
      <w:numFmt w:val="lowerLetter"/>
      <w:lvlText w:val="%5."/>
      <w:lvlJc w:val="left"/>
      <w:pPr>
        <w:ind w:left="3600" w:hanging="360"/>
      </w:pPr>
    </w:lvl>
    <w:lvl w:ilvl="5" w:tplc="18526E7A" w:tentative="1">
      <w:start w:val="1"/>
      <w:numFmt w:val="lowerRoman"/>
      <w:lvlText w:val="%6."/>
      <w:lvlJc w:val="right"/>
      <w:pPr>
        <w:ind w:left="4320" w:hanging="180"/>
      </w:pPr>
    </w:lvl>
    <w:lvl w:ilvl="6" w:tplc="9CC4B848" w:tentative="1">
      <w:start w:val="1"/>
      <w:numFmt w:val="decimal"/>
      <w:lvlText w:val="%7."/>
      <w:lvlJc w:val="left"/>
      <w:pPr>
        <w:ind w:left="5040" w:hanging="360"/>
      </w:pPr>
    </w:lvl>
    <w:lvl w:ilvl="7" w:tplc="4364E146" w:tentative="1">
      <w:start w:val="1"/>
      <w:numFmt w:val="lowerLetter"/>
      <w:lvlText w:val="%8."/>
      <w:lvlJc w:val="left"/>
      <w:pPr>
        <w:ind w:left="5760" w:hanging="360"/>
      </w:pPr>
    </w:lvl>
    <w:lvl w:ilvl="8" w:tplc="D5408518" w:tentative="1">
      <w:start w:val="1"/>
      <w:numFmt w:val="lowerRoman"/>
      <w:lvlText w:val="%9."/>
      <w:lvlJc w:val="right"/>
      <w:pPr>
        <w:ind w:left="6480" w:hanging="180"/>
      </w:pPr>
    </w:lvl>
  </w:abstractNum>
  <w:abstractNum w:abstractNumId="2" w15:restartNumberingAfterBreak="0">
    <w:nsid w:val="2F0175ED"/>
    <w:multiLevelType w:val="multilevel"/>
    <w:tmpl w:val="D16465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58684D90"/>
    <w:multiLevelType w:val="multilevel"/>
    <w:tmpl w:val="855A35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F783F79"/>
    <w:multiLevelType w:val="multilevel"/>
    <w:tmpl w:val="A1E07D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66BD3DFC"/>
    <w:multiLevelType w:val="multilevel"/>
    <w:tmpl w:val="7FEC27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6BB413C2"/>
    <w:multiLevelType w:val="multilevel"/>
    <w:tmpl w:val="4C8865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968170363">
    <w:abstractNumId w:val="2"/>
  </w:num>
  <w:num w:numId="2" w16cid:durableId="1731229756">
    <w:abstractNumId w:val="0"/>
  </w:num>
  <w:num w:numId="3" w16cid:durableId="952248531">
    <w:abstractNumId w:val="6"/>
  </w:num>
  <w:num w:numId="4" w16cid:durableId="867377389">
    <w:abstractNumId w:val="5"/>
  </w:num>
  <w:num w:numId="5" w16cid:durableId="304624195">
    <w:abstractNumId w:val="4"/>
  </w:num>
  <w:num w:numId="6" w16cid:durableId="914358636">
    <w:abstractNumId w:val="3"/>
  </w:num>
  <w:num w:numId="7" w16cid:durableId="138074451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3A03"/>
    <w:rsid w:val="00063F95"/>
    <w:rsid w:val="000B458F"/>
    <w:rsid w:val="000D7FED"/>
    <w:rsid w:val="00133DD7"/>
    <w:rsid w:val="001B3D78"/>
    <w:rsid w:val="00213829"/>
    <w:rsid w:val="00213D36"/>
    <w:rsid w:val="00234A53"/>
    <w:rsid w:val="0024631F"/>
    <w:rsid w:val="002C542B"/>
    <w:rsid w:val="002D3F68"/>
    <w:rsid w:val="002E2322"/>
    <w:rsid w:val="003043EC"/>
    <w:rsid w:val="00321A9C"/>
    <w:rsid w:val="00343ADF"/>
    <w:rsid w:val="0037283B"/>
    <w:rsid w:val="00373EC6"/>
    <w:rsid w:val="003B6120"/>
    <w:rsid w:val="003D0BFE"/>
    <w:rsid w:val="00440AD1"/>
    <w:rsid w:val="00445187"/>
    <w:rsid w:val="004840F2"/>
    <w:rsid w:val="004B5A36"/>
    <w:rsid w:val="004C7675"/>
    <w:rsid w:val="004E7A37"/>
    <w:rsid w:val="005D7B02"/>
    <w:rsid w:val="00683426"/>
    <w:rsid w:val="006B2BC2"/>
    <w:rsid w:val="006C07A9"/>
    <w:rsid w:val="00717793"/>
    <w:rsid w:val="007645F6"/>
    <w:rsid w:val="007B42ED"/>
    <w:rsid w:val="007C0556"/>
    <w:rsid w:val="007F1F06"/>
    <w:rsid w:val="00842D1C"/>
    <w:rsid w:val="00843A03"/>
    <w:rsid w:val="008C4C4A"/>
    <w:rsid w:val="00942597"/>
    <w:rsid w:val="00944E0C"/>
    <w:rsid w:val="00945DC4"/>
    <w:rsid w:val="00982976"/>
    <w:rsid w:val="009F0A54"/>
    <w:rsid w:val="00A031FB"/>
    <w:rsid w:val="00A445D1"/>
    <w:rsid w:val="00A54462"/>
    <w:rsid w:val="00AB3B2B"/>
    <w:rsid w:val="00AC19E5"/>
    <w:rsid w:val="00AC47B8"/>
    <w:rsid w:val="00B11C57"/>
    <w:rsid w:val="00B20111"/>
    <w:rsid w:val="00B50A92"/>
    <w:rsid w:val="00B5202D"/>
    <w:rsid w:val="00B55D9C"/>
    <w:rsid w:val="00B70E71"/>
    <w:rsid w:val="00BB289C"/>
    <w:rsid w:val="00BB7684"/>
    <w:rsid w:val="00BC3198"/>
    <w:rsid w:val="00BD7E24"/>
    <w:rsid w:val="00BE7B89"/>
    <w:rsid w:val="00C71020"/>
    <w:rsid w:val="00C771E1"/>
    <w:rsid w:val="00C819DD"/>
    <w:rsid w:val="00CC2EA7"/>
    <w:rsid w:val="00CD709A"/>
    <w:rsid w:val="00D55513"/>
    <w:rsid w:val="00D94635"/>
    <w:rsid w:val="00DB09BE"/>
    <w:rsid w:val="00DF6579"/>
    <w:rsid w:val="00E5289E"/>
    <w:rsid w:val="00ED6FB0"/>
    <w:rsid w:val="00F21620"/>
    <w:rsid w:val="00F35F00"/>
    <w:rsid w:val="00F7484B"/>
    <w:rsid w:val="00F74A72"/>
    <w:rsid w:val="00F75104"/>
    <w:rsid w:val="00FE4EF8"/>
  </w:rsids>
  <m:mathPr>
    <m:mathFont m:val="Cambria Math"/>
    <m:brkBin m:val="before"/>
    <m:brkBinSub m:val="--"/>
    <m:smallFrac m:val="0"/>
    <m:dispDef/>
    <m:lMargin m:val="0"/>
    <m:rMargin m:val="0"/>
    <m:defJc m:val="centerGroup"/>
    <m:wrapIndent m:val="1440"/>
    <m:intLim m:val="subSup"/>
    <m:naryLim m:val="undOvr"/>
  </m:mathPr>
  <w:themeFontLang w:val="en-IN"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9B05C9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5104"/>
    <w:pPr>
      <w:spacing w:line="360" w:lineRule="auto"/>
      <w:jc w:val="both"/>
    </w:pPr>
    <w:rPr>
      <w:rFonts w:ascii="Times New Roman" w:hAnsi="Times New Roman"/>
      <w:kern w:val="0"/>
      <w:sz w:val="24"/>
      <w14:ligatures w14:val="none"/>
    </w:rPr>
  </w:style>
  <w:style w:type="paragraph" w:styleId="Heading1">
    <w:name w:val="heading 1"/>
    <w:basedOn w:val="Normal"/>
    <w:next w:val="Normal"/>
    <w:link w:val="Heading1Char"/>
    <w:autoRedefine/>
    <w:uiPriority w:val="9"/>
    <w:qFormat/>
    <w:rsid w:val="00C71020"/>
    <w:pPr>
      <w:keepNext/>
      <w:keepLines/>
      <w:spacing w:before="240" w:after="0"/>
      <w:jc w:val="left"/>
      <w:outlineLvl w:val="0"/>
    </w:pPr>
    <w:rPr>
      <w:rFonts w:eastAsiaTheme="majorEastAsia" w:cstheme="majorBidi"/>
      <w:b/>
      <w:color w:val="000000" w:themeColor="text1"/>
      <w:szCs w:val="32"/>
      <w:lang w:eastAsia="en-GB"/>
    </w:rPr>
  </w:style>
  <w:style w:type="paragraph" w:styleId="Heading2">
    <w:name w:val="heading 2"/>
    <w:basedOn w:val="Normal"/>
    <w:next w:val="Normal"/>
    <w:link w:val="Heading2Char"/>
    <w:autoRedefine/>
    <w:uiPriority w:val="9"/>
    <w:unhideWhenUsed/>
    <w:qFormat/>
    <w:rsid w:val="00F75104"/>
    <w:pPr>
      <w:keepNext/>
      <w:keepLines/>
      <w:spacing w:before="40" w:after="0"/>
      <w:outlineLvl w:val="1"/>
    </w:pPr>
    <w:rPr>
      <w:rFonts w:eastAsiaTheme="majorEastAsia" w:cstheme="majorBidi"/>
      <w:b/>
      <w:color w:val="000000" w:themeColor="text1"/>
      <w:szCs w:val="26"/>
    </w:rPr>
  </w:style>
  <w:style w:type="paragraph" w:styleId="Heading3">
    <w:name w:val="heading 3"/>
    <w:basedOn w:val="Normal"/>
    <w:next w:val="Normal"/>
    <w:link w:val="Heading3Char"/>
    <w:autoRedefine/>
    <w:uiPriority w:val="9"/>
    <w:unhideWhenUsed/>
    <w:qFormat/>
    <w:rsid w:val="004B5A36"/>
    <w:pPr>
      <w:keepNext/>
      <w:keepLines/>
      <w:spacing w:before="40" w:after="0"/>
      <w:outlineLvl w:val="2"/>
    </w:pPr>
    <w:rPr>
      <w:rFonts w:eastAsiaTheme="majorEastAsia" w:cstheme="majorBidi"/>
      <w:b/>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71020"/>
    <w:rPr>
      <w:rFonts w:ascii="Times New Roman" w:eastAsiaTheme="majorEastAsia" w:hAnsi="Times New Roman" w:cstheme="majorBidi"/>
      <w:b/>
      <w:color w:val="000000" w:themeColor="text1"/>
      <w:sz w:val="24"/>
      <w:szCs w:val="32"/>
      <w:lang w:eastAsia="en-GB"/>
    </w:rPr>
  </w:style>
  <w:style w:type="character" w:customStyle="1" w:styleId="Heading2Char">
    <w:name w:val="Heading 2 Char"/>
    <w:basedOn w:val="DefaultParagraphFont"/>
    <w:link w:val="Heading2"/>
    <w:uiPriority w:val="9"/>
    <w:rsid w:val="00F75104"/>
    <w:rPr>
      <w:rFonts w:ascii="Times New Roman" w:eastAsiaTheme="majorEastAsia" w:hAnsi="Times New Roman" w:cstheme="majorBidi"/>
      <w:b/>
      <w:color w:val="000000" w:themeColor="text1"/>
      <w:sz w:val="24"/>
      <w:szCs w:val="26"/>
    </w:rPr>
  </w:style>
  <w:style w:type="paragraph" w:styleId="Title">
    <w:name w:val="Title"/>
    <w:basedOn w:val="Normal"/>
    <w:next w:val="Normal"/>
    <w:link w:val="TitleChar"/>
    <w:autoRedefine/>
    <w:uiPriority w:val="10"/>
    <w:qFormat/>
    <w:rsid w:val="0037283B"/>
    <w:pPr>
      <w:spacing w:after="0"/>
      <w:contextualSpacing/>
    </w:pPr>
    <w:rPr>
      <w:rFonts w:eastAsiaTheme="majorEastAsia" w:cstheme="majorBidi"/>
      <w:b/>
      <w:color w:val="000000" w:themeColor="text1"/>
      <w:spacing w:val="-10"/>
      <w:kern w:val="28"/>
      <w:sz w:val="36"/>
      <w:szCs w:val="56"/>
    </w:rPr>
  </w:style>
  <w:style w:type="character" w:customStyle="1" w:styleId="TitleChar">
    <w:name w:val="Title Char"/>
    <w:basedOn w:val="DefaultParagraphFont"/>
    <w:link w:val="Title"/>
    <w:uiPriority w:val="10"/>
    <w:rsid w:val="0037283B"/>
    <w:rPr>
      <w:rFonts w:ascii="Times New Roman" w:eastAsiaTheme="majorEastAsia" w:hAnsi="Times New Roman" w:cstheme="majorBidi"/>
      <w:b/>
      <w:color w:val="000000" w:themeColor="text1"/>
      <w:spacing w:val="-10"/>
      <w:kern w:val="28"/>
      <w:sz w:val="36"/>
      <w:szCs w:val="56"/>
    </w:rPr>
  </w:style>
  <w:style w:type="character" w:customStyle="1" w:styleId="Heading3Char">
    <w:name w:val="Heading 3 Char"/>
    <w:basedOn w:val="DefaultParagraphFont"/>
    <w:link w:val="Heading3"/>
    <w:uiPriority w:val="9"/>
    <w:rsid w:val="004B5A36"/>
    <w:rPr>
      <w:rFonts w:ascii="Times New Roman" w:eastAsiaTheme="majorEastAsia" w:hAnsi="Times New Roman" w:cstheme="majorBidi"/>
      <w:b/>
      <w:kern w:val="0"/>
      <w:sz w:val="24"/>
      <w:szCs w:val="24"/>
      <w:lang w:val="en-US"/>
      <w14:ligatures w14:val="none"/>
    </w:rPr>
  </w:style>
  <w:style w:type="paragraph" w:styleId="Header">
    <w:name w:val="header"/>
    <w:basedOn w:val="Normal"/>
    <w:link w:val="HeaderChar"/>
    <w:uiPriority w:val="99"/>
    <w:unhideWhenUsed/>
    <w:rsid w:val="004C7675"/>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7675"/>
    <w:rPr>
      <w:rFonts w:ascii="Times New Roman" w:hAnsi="Times New Roman"/>
      <w:kern w:val="0"/>
      <w:sz w:val="24"/>
      <w14:ligatures w14:val="none"/>
    </w:rPr>
  </w:style>
  <w:style w:type="paragraph" w:styleId="Footer">
    <w:name w:val="footer"/>
    <w:basedOn w:val="Normal"/>
    <w:link w:val="FooterChar"/>
    <w:uiPriority w:val="99"/>
    <w:unhideWhenUsed/>
    <w:rsid w:val="004C7675"/>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7675"/>
    <w:rPr>
      <w:rFonts w:ascii="Times New Roman" w:hAnsi="Times New Roman"/>
      <w:kern w:val="0"/>
      <w:sz w:val="24"/>
      <w14:ligatures w14:val="none"/>
    </w:rPr>
  </w:style>
  <w:style w:type="paragraph" w:styleId="TOCHeading">
    <w:name w:val="TOC Heading"/>
    <w:basedOn w:val="Heading1"/>
    <w:next w:val="Normal"/>
    <w:uiPriority w:val="39"/>
    <w:unhideWhenUsed/>
    <w:qFormat/>
    <w:rsid w:val="00213829"/>
    <w:pPr>
      <w:spacing w:line="259" w:lineRule="auto"/>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213829"/>
    <w:pPr>
      <w:spacing w:after="100"/>
    </w:pPr>
  </w:style>
  <w:style w:type="paragraph" w:styleId="TOC2">
    <w:name w:val="toc 2"/>
    <w:basedOn w:val="Normal"/>
    <w:next w:val="Normal"/>
    <w:autoRedefine/>
    <w:uiPriority w:val="39"/>
    <w:unhideWhenUsed/>
    <w:rsid w:val="00213829"/>
    <w:pPr>
      <w:spacing w:after="100"/>
      <w:ind w:left="240"/>
    </w:pPr>
  </w:style>
  <w:style w:type="character" w:styleId="Hyperlink">
    <w:name w:val="Hyperlink"/>
    <w:basedOn w:val="DefaultParagraphFont"/>
    <w:uiPriority w:val="99"/>
    <w:unhideWhenUsed/>
    <w:rsid w:val="00213829"/>
    <w:rPr>
      <w:color w:val="0563C1" w:themeColor="hyperlink"/>
      <w:u w:val="single"/>
    </w:rPr>
  </w:style>
  <w:style w:type="paragraph" w:styleId="ListParagraph">
    <w:name w:val="List Paragraph"/>
    <w:basedOn w:val="Normal"/>
    <w:uiPriority w:val="34"/>
    <w:qFormat/>
    <w:rsid w:val="003B612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criminal-procedure-and-investigations-act-code-of-practice" TargetMode="External"/><Relationship Id="rId13" Type="http://schemas.openxmlformats.org/officeDocument/2006/relationships/hyperlink" Target="https://www.legislation.gov.uk/ukpga/2003/44/contents" TargetMode="External"/><Relationship Id="rId18" Type="http://schemas.openxmlformats.org/officeDocument/2006/relationships/hyperlink" Target="https://learninglink.oup.com/static/5c0e79ef50eddf00160f35ad/casebook_185.html"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lawsociety.org.uk/topics/family-and-children/domestic-abuse-act-2021" TargetMode="External"/><Relationship Id="rId7" Type="http://schemas.openxmlformats.org/officeDocument/2006/relationships/endnotes" Target="endnotes.xml"/><Relationship Id="rId12" Type="http://schemas.openxmlformats.org/officeDocument/2006/relationships/hyperlink" Target="https://www.legislation.gov.uk/ukpga/2014/12/contents/enacted" TargetMode="External"/><Relationship Id="rId17" Type="http://schemas.openxmlformats.org/officeDocument/2006/relationships/hyperlink" Target="https://www.legislation.gov.uk/ukpga/2003/42/contents"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legislation.gov.uk/ukpga/2020/17/contents/enacted/data.htm" TargetMode="External"/><Relationship Id="rId20" Type="http://schemas.openxmlformats.org/officeDocument/2006/relationships/hyperlink" Target="https://www.libertyhumanrights.org.uk/your-rights/the-human-rights-ac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egislation.gov.uk/ukpga/1998/42/schedule/1/part/I/chapter/5"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legislation.gov.uk/ukpga/1998/42/contents" TargetMode="External"/><Relationship Id="rId23" Type="http://schemas.openxmlformats.org/officeDocument/2006/relationships/hyperlink" Target="https://www.wipo.int/wipolex/en/legislation/details/13623" TargetMode="External"/><Relationship Id="rId10" Type="http://schemas.openxmlformats.org/officeDocument/2006/relationships/hyperlink" Target="https://publications.parliament.uk/pa/ld199798/ldjudgmt/jd970724/brown01.html" TargetMode="External"/><Relationship Id="rId19" Type="http://schemas.openxmlformats.org/officeDocument/2006/relationships/hyperlink" Target="https://www.supremecourt.uk/cases/uksc-2015-0015.html" TargetMode="External"/><Relationship Id="rId4" Type="http://schemas.openxmlformats.org/officeDocument/2006/relationships/settings" Target="settings.xml"/><Relationship Id="rId9" Type="http://schemas.openxmlformats.org/officeDocument/2006/relationships/hyperlink" Target="https://www.gov.uk/government/collections/anti-social-behaviour-crime-and-police-bill" TargetMode="External"/><Relationship Id="rId14" Type="http://schemas.openxmlformats.org/officeDocument/2006/relationships/hyperlink" Target="https://www.legislation.gov.uk/ukpga/2021/17/contents/enacted" TargetMode="External"/><Relationship Id="rId22" Type="http://schemas.openxmlformats.org/officeDocument/2006/relationships/hyperlink" Target="https://wipolex-res.wipo.int/edocs/lexdocs/laws/en/gb/gb291en.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468345E-D0DD-4522-A25D-B4735536C4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2915</Words>
  <Characters>16617</Characters>
  <Application>Microsoft Office Word</Application>
  <DocSecurity>0</DocSecurity>
  <Lines>138</Lines>
  <Paragraphs>38</Paragraphs>
  <ScaleCrop>false</ScaleCrop>
  <Company/>
  <LinksUpToDate>false</LinksUpToDate>
  <CharactersWithSpaces>19494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2023-11-07T08:11:00Z</dcterms:created>
  <dcterms:modified xsi:type="dcterms:W3CDTF">2023-11-07T08:13:00Z</dcterms:modified>
</cp:coreProperties>
</file>