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B76DB4" w14:textId="77777777" w:rsidR="002B5996" w:rsidRPr="002B5996" w:rsidRDefault="002B5996" w:rsidP="002B5996">
      <w:pPr>
        <w:rPr>
          <w:rFonts w:ascii="Arial" w:hAnsi="Arial" w:cs="Arial"/>
          <w:b/>
          <w:bCs/>
          <w:u w:val="single"/>
        </w:rPr>
      </w:pPr>
      <w:r w:rsidRPr="002B5996">
        <w:rPr>
          <w:rFonts w:ascii="Arial" w:hAnsi="Arial" w:cs="Arial"/>
          <w:b/>
          <w:bCs/>
          <w:u w:val="single"/>
        </w:rPr>
        <w:t>Drew Wilson 2236107</w:t>
      </w:r>
    </w:p>
    <w:p w14:paraId="4BF87884" w14:textId="77777777" w:rsidR="002B5996" w:rsidRPr="002B5996" w:rsidRDefault="002B5996" w:rsidP="002B5996">
      <w:pPr>
        <w:rPr>
          <w:rFonts w:ascii="Arial" w:hAnsi="Arial" w:cs="Arial"/>
          <w:b/>
          <w:bCs/>
        </w:rPr>
      </w:pPr>
      <w:r w:rsidRPr="002B5996">
        <w:rPr>
          <w:rFonts w:ascii="Arial" w:hAnsi="Arial" w:cs="Arial"/>
          <w:b/>
          <w:bCs/>
        </w:rPr>
        <w:t xml:space="preserve">What options do the police have for investigating volume crime? How might personal attitudes, values and bias impact upon the effectiveness of these options? </w:t>
      </w:r>
    </w:p>
    <w:p w14:paraId="16344FE6" w14:textId="77777777" w:rsidR="002B5996" w:rsidRPr="002B5996" w:rsidRDefault="002B5996" w:rsidP="002B5996">
      <w:pPr>
        <w:rPr>
          <w:rFonts w:ascii="Arial" w:hAnsi="Arial" w:cs="Arial"/>
          <w:b/>
          <w:bCs/>
        </w:rPr>
      </w:pPr>
      <w:r w:rsidRPr="002B5996">
        <w:rPr>
          <w:rFonts w:ascii="Arial" w:hAnsi="Arial" w:cs="Arial"/>
          <w:b/>
          <w:bCs/>
        </w:rPr>
        <w:t>Your answer must be based on academic research rather than personal experience, but you may make reference to relevant case studies.</w:t>
      </w:r>
    </w:p>
    <w:p w14:paraId="6FE9EC44" w14:textId="77777777" w:rsidR="002B5996" w:rsidRPr="002B5996" w:rsidRDefault="002B5996" w:rsidP="002B5996">
      <w:pPr>
        <w:rPr>
          <w:rFonts w:ascii="Arial" w:hAnsi="Arial" w:cs="Arial"/>
        </w:rPr>
      </w:pPr>
    </w:p>
    <w:p w14:paraId="7C19D201" w14:textId="6A499DE0" w:rsidR="002B5996" w:rsidRPr="002B5996" w:rsidRDefault="002B5996" w:rsidP="002B5996">
      <w:pPr>
        <w:rPr>
          <w:rFonts w:ascii="Arial" w:hAnsi="Arial" w:cs="Arial"/>
        </w:rPr>
      </w:pPr>
      <w:r w:rsidRPr="002B5996">
        <w:rPr>
          <w:rFonts w:ascii="Arial" w:hAnsi="Arial" w:cs="Arial"/>
        </w:rPr>
        <w:t>Volume</w:t>
      </w:r>
      <w:r w:rsidRPr="002B5996">
        <w:rPr>
          <w:rFonts w:ascii="Arial" w:hAnsi="Arial" w:cs="Arial"/>
        </w:rPr>
        <w:t xml:space="preserve"> crimes including vehicle theft, burglary, and criminal damage</w:t>
      </w:r>
      <w:r w:rsidRPr="002B5996">
        <w:rPr>
          <w:rFonts w:ascii="Arial" w:hAnsi="Arial" w:cs="Arial"/>
        </w:rPr>
        <w:t xml:space="preserve"> </w:t>
      </w:r>
      <w:r w:rsidRPr="002B5996">
        <w:rPr>
          <w:rFonts w:ascii="Arial" w:hAnsi="Arial" w:cs="Arial"/>
        </w:rPr>
        <w:t>represents a major obstacle. Even while these crimes are frequently less serious when taken as a whole than more serious ones, they nevertheless place a significant load on police resources and have a significant effect on public perception of law enforcement's effectiveness as well as community safety. The police forces of the United Kingdom (UK) utilise a range of approaches to look into and handle high-volume crimes. These approaches combine classic policing methods with technology and community involvement. However, the attitudes, values, and biases of individual officers may affect how effective these methods are, which could help or hurt the investigation process.</w:t>
      </w:r>
    </w:p>
    <w:p w14:paraId="059A6063" w14:textId="77777777" w:rsidR="002B5996" w:rsidRPr="002B5996" w:rsidRDefault="002B5996" w:rsidP="002B5996">
      <w:pPr>
        <w:rPr>
          <w:rFonts w:ascii="Arial" w:hAnsi="Arial" w:cs="Arial"/>
        </w:rPr>
      </w:pPr>
      <w:r w:rsidRPr="002B5996">
        <w:rPr>
          <w:rFonts w:ascii="Arial" w:hAnsi="Arial" w:cs="Arial"/>
        </w:rPr>
        <w:t>This essay explores the options available to UK police for investigating volume crime and critically examines how personal factors may impact the effectiveness of these approaches.</w:t>
      </w:r>
    </w:p>
    <w:p w14:paraId="0E70585C" w14:textId="77777777" w:rsidR="002B5996" w:rsidRPr="002B5996" w:rsidRDefault="002B5996" w:rsidP="002B5996">
      <w:pPr>
        <w:rPr>
          <w:rFonts w:ascii="Arial" w:hAnsi="Arial" w:cs="Arial"/>
        </w:rPr>
      </w:pPr>
    </w:p>
    <w:p w14:paraId="06FA8336" w14:textId="77777777" w:rsidR="002B5996" w:rsidRPr="002B5996" w:rsidRDefault="002B5996" w:rsidP="002B5996">
      <w:pPr>
        <w:rPr>
          <w:rFonts w:ascii="Arial" w:hAnsi="Arial" w:cs="Arial"/>
        </w:rPr>
      </w:pPr>
      <w:r w:rsidRPr="002B5996">
        <w:rPr>
          <w:rFonts w:ascii="Arial" w:hAnsi="Arial" w:cs="Arial"/>
        </w:rPr>
        <w:t xml:space="preserve">The foundation of volume crime investigations continues to be traditional policing techniques. These techniques consist of stop and search procedures, neighbourhood policing, patrols, and reactive investigations. </w:t>
      </w:r>
    </w:p>
    <w:p w14:paraId="53887486" w14:textId="77777777" w:rsidR="002B5996" w:rsidRPr="002B5996" w:rsidRDefault="002B5996" w:rsidP="002B5996">
      <w:pPr>
        <w:rPr>
          <w:rFonts w:ascii="Arial" w:hAnsi="Arial" w:cs="Arial"/>
        </w:rPr>
      </w:pPr>
      <w:r w:rsidRPr="002B5996">
        <w:rPr>
          <w:rFonts w:ascii="Arial" w:hAnsi="Arial" w:cs="Arial"/>
        </w:rPr>
        <w:t>Patrolling neighbourhoods on a regular basis act as a deterrence and a way to obtain intelligence. Building relationships with members of the community is the main goal of neighbourhood policing, which gives officers access to local information that facilitates the identification of suspects and patterns in criminal activity. Visible policing, according to studies, helps reassure the public and discourage opportunistic crimes like burglaries. (Innes, 2004)</w:t>
      </w:r>
    </w:p>
    <w:p w14:paraId="34EB2494" w14:textId="77777777" w:rsidR="002B5996" w:rsidRPr="002B5996" w:rsidRDefault="002B5996" w:rsidP="002B5996">
      <w:pPr>
        <w:rPr>
          <w:rFonts w:ascii="Arial" w:hAnsi="Arial" w:cs="Arial"/>
        </w:rPr>
      </w:pPr>
      <w:r w:rsidRPr="002B5996">
        <w:rPr>
          <w:rFonts w:ascii="Arial" w:hAnsi="Arial" w:cs="Arial"/>
        </w:rPr>
        <w:t>Another common approach is stop and search, which gives police the right to search anyone they think might be in possession of weapons or stolen property. Although it's controversial, when applied properly, it can be useful in places with high volume crime rates. (Braakmann, N, 2022)</w:t>
      </w:r>
    </w:p>
    <w:p w14:paraId="3BE70AD2" w14:textId="77777777" w:rsidR="002B5996" w:rsidRPr="002B5996" w:rsidRDefault="002B5996" w:rsidP="002B5996">
      <w:pPr>
        <w:rPr>
          <w:rFonts w:ascii="Arial" w:hAnsi="Arial" w:cs="Arial"/>
        </w:rPr>
      </w:pPr>
      <w:r w:rsidRPr="002B5996">
        <w:rPr>
          <w:rFonts w:ascii="Arial" w:hAnsi="Arial" w:cs="Arial"/>
        </w:rPr>
        <w:t>When police receive a report of a volume crime, they usually launch a reactive investigation. This include guarding the crime scene, gathering evidence such DNA, fingerprints, and CCTV footage, house to house enquiries and speaking with witnesses and victims. The success of these investigations can be strongly impacted by the efficiency with which forensic evidence is processed and analysed. (Bond, J.W. and Sheridan, L, 2008).</w:t>
      </w:r>
    </w:p>
    <w:p w14:paraId="2996F7F3" w14:textId="77777777" w:rsidR="002B5996" w:rsidRPr="002B5996" w:rsidRDefault="002B5996" w:rsidP="002B5996">
      <w:pPr>
        <w:rPr>
          <w:rFonts w:ascii="Arial" w:hAnsi="Arial" w:cs="Arial"/>
        </w:rPr>
      </w:pPr>
    </w:p>
    <w:p w14:paraId="1FB30111" w14:textId="77777777" w:rsidR="002B5996" w:rsidRPr="002B5996" w:rsidRDefault="002B5996" w:rsidP="002B5996">
      <w:pPr>
        <w:rPr>
          <w:rFonts w:ascii="Arial" w:hAnsi="Arial" w:cs="Arial"/>
        </w:rPr>
      </w:pPr>
      <w:r w:rsidRPr="002B5996">
        <w:rPr>
          <w:rFonts w:ascii="Arial" w:hAnsi="Arial" w:cs="Arial"/>
        </w:rPr>
        <w:t>The advancement of technology has provided Police forces with new tools to combat volume crime more effectively.</w:t>
      </w:r>
    </w:p>
    <w:p w14:paraId="313CB036" w14:textId="77777777" w:rsidR="002B5996" w:rsidRPr="002B5996" w:rsidRDefault="002B5996" w:rsidP="002B5996">
      <w:pPr>
        <w:rPr>
          <w:rFonts w:ascii="Arial" w:hAnsi="Arial" w:cs="Arial"/>
        </w:rPr>
      </w:pPr>
      <w:r w:rsidRPr="002B5996">
        <w:rPr>
          <w:rFonts w:ascii="Arial" w:hAnsi="Arial" w:cs="Arial"/>
        </w:rPr>
        <w:t xml:space="preserve">In the UK, closed-circuit television, or CCTV, is widely used and has shown to be an effective tool for both preventing and investigating crimes. CCTV footage is frequently very helpful in identifying suspects and supplying proof that can result in convictions. CCTV is a valuable instrument in the fight against volume crime, but there are some limitations to its use, </w:t>
      </w:r>
      <w:r w:rsidRPr="002B5996">
        <w:rPr>
          <w:rFonts w:ascii="Arial" w:hAnsi="Arial" w:cs="Arial"/>
        </w:rPr>
        <w:lastRenderedPageBreak/>
        <w:t>including positioning of the cameras, image quality, and the requirement for human monitoring. There are also continuous discussions over privacy and the possibility of surveillance system abuse. (Piza, E.L. et al, 2019)</w:t>
      </w:r>
    </w:p>
    <w:p w14:paraId="0040C297" w14:textId="77777777" w:rsidR="002B5996" w:rsidRPr="002B5996" w:rsidRDefault="002B5996" w:rsidP="002B5996">
      <w:pPr>
        <w:rPr>
          <w:rFonts w:ascii="Arial" w:hAnsi="Arial" w:cs="Arial"/>
        </w:rPr>
      </w:pPr>
    </w:p>
    <w:p w14:paraId="4F75CC75" w14:textId="77777777" w:rsidR="002B5996" w:rsidRPr="002B5996" w:rsidRDefault="002B5996" w:rsidP="002B5996">
      <w:pPr>
        <w:rPr>
          <w:rFonts w:ascii="Arial" w:hAnsi="Arial" w:cs="Arial"/>
        </w:rPr>
      </w:pPr>
      <w:r w:rsidRPr="002B5996">
        <w:rPr>
          <w:rFonts w:ascii="Arial" w:hAnsi="Arial" w:cs="Arial"/>
        </w:rPr>
        <w:t>Furthermore, Innovations in forensic science, namely in the areas of DNA profiling and fingerprint analysis, have completely changed how volume crimes are investigated. The clearance rates for these kinds of charges have gone up since it is now possible to use tangible evidence to connect suspects to crime scenes. The use of national databases, such as the Police National Computer (PNC) and the National DNA Database (NDNAD), allows officers to access a wealth of information that can link individuals to multiple crimes across different jurisdictions. (Heffernan, L, 2008)</w:t>
      </w:r>
    </w:p>
    <w:p w14:paraId="753187C8" w14:textId="77777777" w:rsidR="002B5996" w:rsidRPr="002B5996" w:rsidRDefault="002B5996" w:rsidP="002B5996">
      <w:pPr>
        <w:rPr>
          <w:rFonts w:ascii="Arial" w:hAnsi="Arial" w:cs="Arial"/>
        </w:rPr>
      </w:pPr>
      <w:r w:rsidRPr="002B5996">
        <w:rPr>
          <w:rFonts w:ascii="Arial" w:hAnsi="Arial" w:cs="Arial"/>
        </w:rPr>
        <w:t xml:space="preserve">In addition to physical tools, Police forces can use data-driven strategies like predictive policing and crime mapping to aid resource allocation. Applying statistical methods, computers, and data analysis, predictive policing aims to spot possible criminal activity before it happens. This approach makes predictions about potential crime scenes, potential perpetrators, and environmental variables by analysing historical crime data and social data. The main goals are to increase police presence in anticipated crime hotspots. Predictive policing has faced criticism, too, particularly in light of its propensity to reinforce pre-existing biases in previous crime statistics and result in excessive policing of particular areas. (Perry, W. L., McInnis, B., Price, C. C., Smith, S. C., &amp; Hollywood, J. S, 2013). </w:t>
      </w:r>
    </w:p>
    <w:p w14:paraId="083305BC" w14:textId="77777777" w:rsidR="002B5996" w:rsidRPr="002B5996" w:rsidRDefault="002B5996" w:rsidP="002B5996">
      <w:pPr>
        <w:rPr>
          <w:rFonts w:ascii="Arial" w:hAnsi="Arial" w:cs="Arial"/>
        </w:rPr>
      </w:pPr>
      <w:r w:rsidRPr="002B5996">
        <w:rPr>
          <w:rFonts w:ascii="Arial" w:hAnsi="Arial" w:cs="Arial"/>
        </w:rPr>
        <w:t>On the other hand, crime mapping is a geographical tool that helps police and the general public recognise and interpret trends in criminal behaviour across various places by visually representing crime data on maps. (Brayne, S, 2020)</w:t>
      </w:r>
    </w:p>
    <w:p w14:paraId="286FBD5D" w14:textId="77777777" w:rsidR="002B5996" w:rsidRPr="002B5996" w:rsidRDefault="002B5996" w:rsidP="002B5996">
      <w:pPr>
        <w:rPr>
          <w:rFonts w:ascii="Arial" w:hAnsi="Arial" w:cs="Arial"/>
        </w:rPr>
      </w:pPr>
    </w:p>
    <w:p w14:paraId="61C057DF" w14:textId="77777777" w:rsidR="002B5996" w:rsidRPr="002B5996" w:rsidRDefault="002B5996" w:rsidP="002B5996">
      <w:pPr>
        <w:rPr>
          <w:rFonts w:ascii="Arial" w:hAnsi="Arial" w:cs="Arial"/>
        </w:rPr>
      </w:pPr>
      <w:r w:rsidRPr="002B5996">
        <w:rPr>
          <w:rFonts w:ascii="Arial" w:hAnsi="Arial" w:cs="Arial"/>
        </w:rPr>
        <w:t>Community engagement is essential in tackling volume crime, as these crimes often have a significant impact on local communities.</w:t>
      </w:r>
    </w:p>
    <w:p w14:paraId="2AF803F8" w14:textId="77777777" w:rsidR="002B5996" w:rsidRPr="002B5996" w:rsidRDefault="002B5996" w:rsidP="002B5996">
      <w:pPr>
        <w:rPr>
          <w:rFonts w:ascii="Arial" w:hAnsi="Arial" w:cs="Arial"/>
        </w:rPr>
      </w:pPr>
      <w:r w:rsidRPr="002B5996">
        <w:rPr>
          <w:rFonts w:ascii="Arial" w:hAnsi="Arial" w:cs="Arial"/>
        </w:rPr>
        <w:t>It is essential to establish trust with the community. Communities are more inclined to report crimes and offer important information that can support investigations when they have a sense of connection to their local police force and its officers. “The police service enjoys a high level of support, but this can be undermined in specific instances and among specific communities if they lose confidence in the effectiveness of the police” (College of Policing, 2013).</w:t>
      </w:r>
    </w:p>
    <w:p w14:paraId="07BD0189" w14:textId="77777777" w:rsidR="002B5996" w:rsidRPr="002B5996" w:rsidRDefault="002B5996" w:rsidP="002B5996">
      <w:pPr>
        <w:rPr>
          <w:rFonts w:ascii="Arial" w:hAnsi="Arial" w:cs="Arial"/>
        </w:rPr>
      </w:pPr>
      <w:r w:rsidRPr="002B5996">
        <w:rPr>
          <w:rFonts w:ascii="Arial" w:hAnsi="Arial" w:cs="Arial"/>
        </w:rPr>
        <w:t>To effectively address the root causes of volume crime, collaboration with other organisations including social services, housing associations, and local authorities might be beneficial. (Signori, R. et al, 2023)  A more comprehensive approach to crime prevention is made possible by multi-agency collaborations, which address problems including substance misuse, unemployment, and social deprivation, all of which are frequently connected to higher crime rates. (McCarthy, D. and O’Neill, M, 2014)</w:t>
      </w:r>
    </w:p>
    <w:p w14:paraId="78F0A056" w14:textId="77777777" w:rsidR="002B5996" w:rsidRPr="002B5996" w:rsidRDefault="002B5996" w:rsidP="002B5996">
      <w:pPr>
        <w:rPr>
          <w:rFonts w:ascii="Arial" w:hAnsi="Arial" w:cs="Arial"/>
        </w:rPr>
      </w:pPr>
      <w:r w:rsidRPr="002B5996">
        <w:rPr>
          <w:rFonts w:ascii="Arial" w:hAnsi="Arial" w:cs="Arial"/>
        </w:rPr>
        <w:t>Other community-led programs like Neighbourhood Watch programs can also be helpful in deterring and identifying volume crime. These programs encourage members of the public to actively participate in their personal safety and may increase the amount of information that the police get. (Neighbourhood Watch Network, 2024).</w:t>
      </w:r>
    </w:p>
    <w:p w14:paraId="4243EC97" w14:textId="77777777" w:rsidR="002B5996" w:rsidRPr="002B5996" w:rsidRDefault="002B5996" w:rsidP="002B5996">
      <w:pPr>
        <w:rPr>
          <w:rFonts w:ascii="Arial" w:hAnsi="Arial" w:cs="Arial"/>
        </w:rPr>
      </w:pPr>
    </w:p>
    <w:p w14:paraId="42D845AE" w14:textId="77777777" w:rsidR="002B5996" w:rsidRPr="002B5996" w:rsidRDefault="002B5996" w:rsidP="002B5996">
      <w:pPr>
        <w:rPr>
          <w:rFonts w:ascii="Arial" w:hAnsi="Arial" w:cs="Arial"/>
        </w:rPr>
      </w:pPr>
      <w:r w:rsidRPr="002B5996">
        <w:rPr>
          <w:rFonts w:ascii="Arial" w:hAnsi="Arial" w:cs="Arial"/>
        </w:rPr>
        <w:lastRenderedPageBreak/>
        <w:t>Intelligence-led policing is a strategic approach that involves the use of intelligence to guide operations and resource allocation.</w:t>
      </w:r>
    </w:p>
    <w:p w14:paraId="7DF60278" w14:textId="77777777" w:rsidR="002B5996" w:rsidRPr="002B5996" w:rsidRDefault="002B5996" w:rsidP="002B5996">
      <w:pPr>
        <w:rPr>
          <w:rFonts w:ascii="Arial" w:hAnsi="Arial" w:cs="Arial"/>
        </w:rPr>
      </w:pPr>
      <w:r w:rsidRPr="002B5996">
        <w:rPr>
          <w:rFonts w:ascii="Arial" w:hAnsi="Arial" w:cs="Arial"/>
        </w:rPr>
        <w:t>The primary objective of intelligence-led policing is frequently to identify and apprehend repeat offenders who account for a significant percentage of high-volume offences. Police can lower general crime rates by targeting these individuals with more resources. (Burcher, M. and Whelan, C, 2018)</w:t>
      </w:r>
    </w:p>
    <w:p w14:paraId="61C9A2C3" w14:textId="77777777" w:rsidR="002B5996" w:rsidRPr="002B5996" w:rsidRDefault="002B5996" w:rsidP="002B5996">
      <w:pPr>
        <w:rPr>
          <w:rFonts w:ascii="Arial" w:hAnsi="Arial" w:cs="Arial"/>
        </w:rPr>
      </w:pPr>
      <w:r w:rsidRPr="002B5996">
        <w:rPr>
          <w:rFonts w:ascii="Arial" w:hAnsi="Arial" w:cs="Arial"/>
        </w:rPr>
        <w:t>Surveillance and undercover work are examples of covert operations that are used to obtain intelligence about criminal networks engaged in high-volume crimes. The organised crime gangs that are frequently responsible for high rates of volume crime may be disrupted because of these efforts. Furthermore, sharing intelligence with other agencies, is essential to effective intelligence-led policing. Information on well-known criminals, crime hotspots, and new trends in crime are shared across force boarders. (Carter, D.L. and Carter, J.G, 2008)</w:t>
      </w:r>
    </w:p>
    <w:p w14:paraId="0F7605B5" w14:textId="77777777" w:rsidR="002B5996" w:rsidRPr="002B5996" w:rsidRDefault="002B5996" w:rsidP="002B5996">
      <w:pPr>
        <w:rPr>
          <w:rFonts w:ascii="Arial" w:hAnsi="Arial" w:cs="Arial"/>
        </w:rPr>
      </w:pPr>
    </w:p>
    <w:p w14:paraId="3DC5B5B0" w14:textId="77777777" w:rsidR="002B5996" w:rsidRPr="002B5996" w:rsidRDefault="002B5996" w:rsidP="002B5996">
      <w:pPr>
        <w:rPr>
          <w:rFonts w:ascii="Arial" w:hAnsi="Arial" w:cs="Arial"/>
        </w:rPr>
      </w:pPr>
      <w:r w:rsidRPr="002B5996">
        <w:rPr>
          <w:rFonts w:ascii="Arial" w:hAnsi="Arial" w:cs="Arial"/>
        </w:rPr>
        <w:t>While the above-mentioned strategies and techniques offer potential for tackling volume crime, their effectiveness can be significantly influenced by the personal attitudes, values, and biases of individual Police officers. These personal factors can shape decision-making processes, interactions with the public, and the overall conduct of investigations.</w:t>
      </w:r>
    </w:p>
    <w:p w14:paraId="64D7FEF8" w14:textId="77777777" w:rsidR="002B5996" w:rsidRPr="002B5996" w:rsidRDefault="002B5996" w:rsidP="002B5996">
      <w:pPr>
        <w:rPr>
          <w:rFonts w:ascii="Arial" w:hAnsi="Arial" w:cs="Arial"/>
        </w:rPr>
      </w:pPr>
      <w:r w:rsidRPr="002B5996">
        <w:rPr>
          <w:rFonts w:ascii="Arial" w:hAnsi="Arial" w:cs="Arial"/>
        </w:rPr>
        <w:t>Bias, whether conscious or unconscious, can affect the decision-making process at various stages of a volume crime investigation. (Psychology Today, 2020)</w:t>
      </w:r>
    </w:p>
    <w:p w14:paraId="4D5D6EB9" w14:textId="77777777" w:rsidR="002B5996" w:rsidRPr="002B5996" w:rsidRDefault="002B5996" w:rsidP="002B5996">
      <w:pPr>
        <w:rPr>
          <w:rFonts w:ascii="Arial" w:hAnsi="Arial" w:cs="Arial"/>
        </w:rPr>
      </w:pPr>
      <w:r w:rsidRPr="002B5996">
        <w:rPr>
          <w:rFonts w:ascii="Arial" w:hAnsi="Arial" w:cs="Arial"/>
        </w:rPr>
        <w:t>Studies have demonstrated that police tactics like stop, and search disproportionately impact racial and ethnic minorities. Preconceived ideas or preconceptions about particular groups may have an impact on officers, resulting in biassed policing tactics. This not only erodes public confidence but also takes funds away from potentially more productive research projects. (Bowling, B. and Phillips, C, 2002).</w:t>
      </w:r>
    </w:p>
    <w:p w14:paraId="146D8800" w14:textId="77777777" w:rsidR="002B5996" w:rsidRPr="002B5996" w:rsidRDefault="002B5996" w:rsidP="002B5996">
      <w:pPr>
        <w:rPr>
          <w:rFonts w:ascii="Arial" w:hAnsi="Arial" w:cs="Arial"/>
        </w:rPr>
      </w:pPr>
    </w:p>
    <w:p w14:paraId="490724D7" w14:textId="77777777" w:rsidR="002B5996" w:rsidRPr="002B5996" w:rsidRDefault="002B5996" w:rsidP="002B5996">
      <w:pPr>
        <w:rPr>
          <w:rFonts w:ascii="Arial" w:hAnsi="Arial" w:cs="Arial"/>
        </w:rPr>
      </w:pPr>
      <w:r w:rsidRPr="002B5996">
        <w:rPr>
          <w:rFonts w:ascii="Arial" w:hAnsi="Arial" w:cs="Arial"/>
        </w:rPr>
        <w:t>Officers are susceptible to confirmation bias during an investigation, which is the tendency to favour information that supports their own ideas or assumptions while ignoring alternative evidence. Due to tunnel vision, it may be possible to ignore probable suspects or explanations, which could result in erroneous arrests or the inability to investigate the crime. (Elaad, E, 2022)</w:t>
      </w:r>
    </w:p>
    <w:p w14:paraId="321D38D4" w14:textId="77777777" w:rsidR="002B5996" w:rsidRPr="002B5996" w:rsidRDefault="002B5996" w:rsidP="002B5996">
      <w:pPr>
        <w:rPr>
          <w:rFonts w:ascii="Arial" w:hAnsi="Arial" w:cs="Arial"/>
        </w:rPr>
      </w:pPr>
      <w:r w:rsidRPr="002B5996">
        <w:rPr>
          <w:rFonts w:ascii="Arial" w:hAnsi="Arial" w:cs="Arial"/>
        </w:rPr>
        <w:t>The way that officers view people from different socioeconomic backgrounds can also affect how successful the investigation is. Officers' judgements and presumptions may lead to the discriminatory targeting or neglect of individuals from underprivileged backgrounds. In some places, this may result in either an excessive or insufficient level of police presence, both of which may have negative consequences. (Loftus, B, 2009) The children’s charity, NSPCC also claim that “Certain groups of people are more susceptible to being taken advantage of due to their socioeconomic backgrounds. (NSPCC, 2024).</w:t>
      </w:r>
    </w:p>
    <w:p w14:paraId="2619E5FF" w14:textId="77777777" w:rsidR="002B5996" w:rsidRPr="002B5996" w:rsidRDefault="002B5996" w:rsidP="002B5996">
      <w:pPr>
        <w:rPr>
          <w:rFonts w:ascii="Arial" w:hAnsi="Arial" w:cs="Arial"/>
        </w:rPr>
      </w:pPr>
    </w:p>
    <w:p w14:paraId="4A993E54" w14:textId="77777777" w:rsidR="002B5996" w:rsidRPr="002B5996" w:rsidRDefault="002B5996" w:rsidP="002B5996">
      <w:pPr>
        <w:rPr>
          <w:rFonts w:ascii="Arial" w:hAnsi="Arial" w:cs="Arial"/>
        </w:rPr>
      </w:pPr>
      <w:r w:rsidRPr="002B5996">
        <w:rPr>
          <w:rFonts w:ascii="Arial" w:hAnsi="Arial" w:cs="Arial"/>
        </w:rPr>
        <w:t>Personal attitudes and values play a crucial role in shaping how officers interact with the communities they serve. Positive engagement can enhance the effectiveness of investigations, while negative attitudes can erode trust and cooperation.</w:t>
      </w:r>
    </w:p>
    <w:p w14:paraId="73F8FC6C" w14:textId="77777777" w:rsidR="002B5996" w:rsidRPr="002B5996" w:rsidRDefault="002B5996" w:rsidP="002B5996">
      <w:pPr>
        <w:rPr>
          <w:rFonts w:ascii="Arial" w:hAnsi="Arial" w:cs="Arial"/>
        </w:rPr>
      </w:pPr>
      <w:r w:rsidRPr="002B5996">
        <w:rPr>
          <w:rFonts w:ascii="Arial" w:hAnsi="Arial" w:cs="Arial"/>
        </w:rPr>
        <w:t xml:space="preserve">The connection between the police and the public can be harmed if officers behave disrespectfully or dismissively because of their biassed opinions towards communities. </w:t>
      </w:r>
      <w:r w:rsidRPr="002B5996">
        <w:rPr>
          <w:rFonts w:ascii="Arial" w:hAnsi="Arial" w:cs="Arial"/>
        </w:rPr>
        <w:lastRenderedPageBreak/>
        <w:t>According to research by ‘The American Academy of Political and Social Science’ communities are more willing to collaborate and support investigations when they believe that the police are impartial and legitimate. On the other hand, a lack of confidence might impede the investigation of volume crimes by resulting in lower reporting rates and a reluctance to disclose information. (Tyler, T.R, 2004)</w:t>
      </w:r>
    </w:p>
    <w:p w14:paraId="31F8A842" w14:textId="77777777" w:rsidR="002B5996" w:rsidRPr="002B5996" w:rsidRDefault="002B5996" w:rsidP="002B5996">
      <w:pPr>
        <w:rPr>
          <w:rFonts w:ascii="Arial" w:hAnsi="Arial" w:cs="Arial"/>
        </w:rPr>
      </w:pPr>
    </w:p>
    <w:p w14:paraId="2B5BAA8B" w14:textId="77777777" w:rsidR="002B5996" w:rsidRPr="002B5996" w:rsidRDefault="002B5996" w:rsidP="002B5996">
      <w:pPr>
        <w:rPr>
          <w:rFonts w:ascii="Arial" w:hAnsi="Arial" w:cs="Arial"/>
        </w:rPr>
      </w:pPr>
      <w:r w:rsidRPr="002B5996">
        <w:rPr>
          <w:rFonts w:ascii="Arial" w:hAnsi="Arial" w:cs="Arial"/>
        </w:rPr>
        <w:t>Effective policing is facilitated by officers who approach their work with empathy and a true understanding of the communities they serve. These officers are more likely to develop positive relationships. For instance, knowing the subtle cultural differences within a community can facilitate officers' ability to communicate more effectively and obtain intelligence that might not otherwise be available. (Myhill, A. and Bradford, B, 2013)</w:t>
      </w:r>
    </w:p>
    <w:p w14:paraId="76AA63AB" w14:textId="77777777" w:rsidR="002B5996" w:rsidRPr="002B5996" w:rsidRDefault="002B5996" w:rsidP="002B5996">
      <w:pPr>
        <w:rPr>
          <w:rFonts w:ascii="Arial" w:hAnsi="Arial" w:cs="Arial"/>
        </w:rPr>
      </w:pPr>
    </w:p>
    <w:p w14:paraId="01BE9AC6" w14:textId="77777777" w:rsidR="002B5996" w:rsidRPr="002B5996" w:rsidRDefault="002B5996" w:rsidP="002B5996">
      <w:pPr>
        <w:rPr>
          <w:rFonts w:ascii="Arial" w:hAnsi="Arial" w:cs="Arial"/>
        </w:rPr>
      </w:pPr>
      <w:r w:rsidRPr="002B5996">
        <w:rPr>
          <w:rFonts w:ascii="Arial" w:hAnsi="Arial" w:cs="Arial"/>
        </w:rPr>
        <w:t>The way that police officers personally see victims of high-volume crimes may also have an impact on the investigation. A more in-depth investigation may result from an officer who shows empathy and pays attention to the victim's worries. On the other hand, if an officer is callous or uncaring, significant evidence can be missed and the victim might feel alienated, which would decrease their willingness to cooperate and withdraw from assisting the ongoing investigation. (Birdsall, N. and Boulton, L, 2022)</w:t>
      </w:r>
    </w:p>
    <w:p w14:paraId="084456F4" w14:textId="77777777" w:rsidR="002B5996" w:rsidRPr="002B5996" w:rsidRDefault="002B5996" w:rsidP="002B5996">
      <w:pPr>
        <w:rPr>
          <w:rFonts w:ascii="Arial" w:hAnsi="Arial" w:cs="Arial"/>
        </w:rPr>
      </w:pPr>
    </w:p>
    <w:p w14:paraId="40C88AE3" w14:textId="77777777" w:rsidR="002B5996" w:rsidRPr="002B5996" w:rsidRDefault="002B5996" w:rsidP="002B5996">
      <w:pPr>
        <w:rPr>
          <w:rFonts w:ascii="Arial" w:hAnsi="Arial" w:cs="Arial"/>
        </w:rPr>
      </w:pPr>
      <w:r w:rsidRPr="002B5996">
        <w:rPr>
          <w:rFonts w:ascii="Arial" w:hAnsi="Arial" w:cs="Arial"/>
        </w:rPr>
        <w:t>Maintaining professionalism and accountability is crucial in mitigating the impact of personal biases on the effectiveness of volume crime investigations.</w:t>
      </w:r>
    </w:p>
    <w:p w14:paraId="6884F26E" w14:textId="77777777" w:rsidR="002B5996" w:rsidRPr="002B5996" w:rsidRDefault="002B5996" w:rsidP="002B5996">
      <w:pPr>
        <w:rPr>
          <w:rFonts w:ascii="Arial" w:hAnsi="Arial" w:cs="Arial"/>
        </w:rPr>
      </w:pPr>
      <w:r w:rsidRPr="002B5996">
        <w:rPr>
          <w:rFonts w:ascii="Arial" w:hAnsi="Arial" w:cs="Arial"/>
        </w:rPr>
        <w:t>Ongoing training in areas like unconscious bias, cultural sensitivity, and moral decision-making can assist officers in identifying and reducing their own prejudices. This can therefore result in more impartial and objective investigations. (College of Policing, 2020).</w:t>
      </w:r>
    </w:p>
    <w:p w14:paraId="4F555DEC" w14:textId="77777777" w:rsidR="002B5996" w:rsidRPr="002B5996" w:rsidRDefault="002B5996" w:rsidP="002B5996">
      <w:pPr>
        <w:rPr>
          <w:rFonts w:ascii="Arial" w:hAnsi="Arial" w:cs="Arial"/>
        </w:rPr>
      </w:pPr>
      <w:r w:rsidRPr="002B5996">
        <w:rPr>
          <w:rFonts w:ascii="Arial" w:hAnsi="Arial" w:cs="Arial"/>
        </w:rPr>
        <w:t xml:space="preserve">Ensuring impartiality in investigations can be significantly enhanced by efficient monitoring and oversight. It is the duty of senior officers to oversee the way investigations are conducted, offer direction, and step in when needed to keep prejudice from affecting results. It is vital for police forces to learn and improve from recommendations and work to promote high standards of professionalism and accountability in policing. This evidence-based approach drives improvements in policing, for the benefit of the public (Independent Office for Police Conduct, 2024). </w:t>
      </w:r>
    </w:p>
    <w:p w14:paraId="1900F928" w14:textId="77777777" w:rsidR="002B5996" w:rsidRPr="002B5996" w:rsidRDefault="002B5996" w:rsidP="002B5996">
      <w:pPr>
        <w:rPr>
          <w:rFonts w:ascii="Arial" w:hAnsi="Arial" w:cs="Arial"/>
        </w:rPr>
      </w:pPr>
      <w:r w:rsidRPr="002B5996">
        <w:rPr>
          <w:rFonts w:ascii="Arial" w:hAnsi="Arial" w:cs="Arial"/>
        </w:rPr>
        <w:t xml:space="preserve">Establishing a culture of justice and accountability in police forces requires fostering ethical norms. Committed to ethical policing, officers are more likely to approach their profession with honesty, preventing personal prejudices from interfering with the investigation of high-volume offences. (College of Policing, 2020). </w:t>
      </w:r>
    </w:p>
    <w:p w14:paraId="556345E0" w14:textId="77777777" w:rsidR="002B5996" w:rsidRPr="002B5996" w:rsidRDefault="002B5996" w:rsidP="002B5996">
      <w:pPr>
        <w:rPr>
          <w:rFonts w:ascii="Arial" w:hAnsi="Arial" w:cs="Arial"/>
        </w:rPr>
      </w:pPr>
    </w:p>
    <w:p w14:paraId="5C7C941D" w14:textId="77777777" w:rsidR="002B5996" w:rsidRPr="002B5996" w:rsidRDefault="002B5996" w:rsidP="002B5996">
      <w:pPr>
        <w:rPr>
          <w:rFonts w:ascii="Arial" w:hAnsi="Arial" w:cs="Arial"/>
        </w:rPr>
      </w:pPr>
      <w:r w:rsidRPr="002B5996">
        <w:rPr>
          <w:rFonts w:ascii="Arial" w:hAnsi="Arial" w:cs="Arial"/>
        </w:rPr>
        <w:t>In conclusion, police in the UK have a wide range of tools and tactics at their disposal for looking into high-volume crimes. These include modern methods like technology-driven policing, intelligence-led tactics, and community engagement programs, as well as traditional techniques like patrols and stop-and-search operations. Each of these choices is vital for controlling and decreasing volume crime, giving the police the adaptability to deal with various circumstances and patterns of crime.</w:t>
      </w:r>
    </w:p>
    <w:p w14:paraId="324B1266" w14:textId="77777777" w:rsidR="002B5996" w:rsidRPr="002B5996" w:rsidRDefault="002B5996" w:rsidP="002B5996">
      <w:pPr>
        <w:rPr>
          <w:rFonts w:ascii="Arial" w:hAnsi="Arial" w:cs="Arial"/>
        </w:rPr>
      </w:pPr>
      <w:r w:rsidRPr="002B5996">
        <w:rPr>
          <w:rFonts w:ascii="Arial" w:hAnsi="Arial" w:cs="Arial"/>
        </w:rPr>
        <w:t xml:space="preserve">However, the individual attitudes, values, and biases of individual officers can have a considerable impact on how effective these tactics are. Racial, ethnic, or socioeconomic bias </w:t>
      </w:r>
      <w:r w:rsidRPr="002B5996">
        <w:rPr>
          <w:rFonts w:ascii="Arial" w:hAnsi="Arial" w:cs="Arial"/>
        </w:rPr>
        <w:lastRenderedPageBreak/>
        <w:t xml:space="preserve">in decision-making can result in unfair practices and possible resource misallocation, which can weaken the investigative process. Furthermore, the manner in which law enforcement officials engage with communities—especially with regard to trust, empathy, and respect—is crucial in gaining the public's cooperation, which is necessary for efficient policing. </w:t>
      </w:r>
    </w:p>
    <w:p w14:paraId="050DA22F" w14:textId="77777777" w:rsidR="002B5996" w:rsidRPr="002B5996" w:rsidRDefault="002B5996" w:rsidP="002B5996">
      <w:pPr>
        <w:rPr>
          <w:rFonts w:ascii="Arial" w:hAnsi="Arial" w:cs="Arial"/>
        </w:rPr>
      </w:pPr>
    </w:p>
    <w:p w14:paraId="7713915B" w14:textId="77777777" w:rsidR="002B5996" w:rsidRPr="002B5996" w:rsidRDefault="002B5996" w:rsidP="002B5996">
      <w:pPr>
        <w:rPr>
          <w:rFonts w:ascii="Arial" w:hAnsi="Arial" w:cs="Arial"/>
        </w:rPr>
      </w:pPr>
      <w:r w:rsidRPr="002B5996">
        <w:rPr>
          <w:rFonts w:ascii="Arial" w:hAnsi="Arial" w:cs="Arial"/>
        </w:rPr>
        <w:t>It is essential for the police force to have strong ethical standards, good supervision, and ongoing training to lessen the effects of these individual characteristics. In order to ensure that justice is delivered fairly and effectively in all communities, police in the UK can improve the effectiveness of their volume crime investigations by addressing and reducing the role of personal biases.</w:t>
      </w:r>
    </w:p>
    <w:p w14:paraId="44BC374F" w14:textId="77777777" w:rsidR="002B5996" w:rsidRPr="002B5996" w:rsidRDefault="002B5996" w:rsidP="002B5996">
      <w:pPr>
        <w:rPr>
          <w:rFonts w:ascii="Arial" w:hAnsi="Arial" w:cs="Arial"/>
        </w:rPr>
      </w:pPr>
    </w:p>
    <w:p w14:paraId="03A2B73B" w14:textId="77777777" w:rsidR="002B5996" w:rsidRPr="002B5996" w:rsidRDefault="002B5996" w:rsidP="002B5996">
      <w:pPr>
        <w:rPr>
          <w:rFonts w:ascii="Arial" w:hAnsi="Arial" w:cs="Arial"/>
        </w:rPr>
      </w:pPr>
      <w:r w:rsidRPr="002B5996">
        <w:rPr>
          <w:rFonts w:ascii="Arial" w:hAnsi="Arial" w:cs="Arial"/>
        </w:rPr>
        <w:t>Word Count: 1952</w:t>
      </w:r>
    </w:p>
    <w:p w14:paraId="145C0AA2" w14:textId="77777777" w:rsidR="002B5996" w:rsidRPr="002B5996" w:rsidRDefault="002B5996" w:rsidP="002B5996">
      <w:pPr>
        <w:rPr>
          <w:rFonts w:ascii="Arial" w:hAnsi="Arial" w:cs="Arial"/>
        </w:rPr>
      </w:pPr>
    </w:p>
    <w:p w14:paraId="2A10A52C" w14:textId="77777777" w:rsidR="002B5996" w:rsidRPr="002B5996" w:rsidRDefault="002B5996" w:rsidP="002B5996">
      <w:pPr>
        <w:rPr>
          <w:rFonts w:ascii="Arial" w:hAnsi="Arial" w:cs="Arial"/>
        </w:rPr>
      </w:pPr>
      <w:r w:rsidRPr="002B5996">
        <w:rPr>
          <w:rFonts w:ascii="Arial" w:hAnsi="Arial" w:cs="Arial"/>
        </w:rPr>
        <w:t>Bibliography/ Reference List</w:t>
      </w:r>
    </w:p>
    <w:p w14:paraId="5B9D44ED" w14:textId="77777777" w:rsidR="002B5996" w:rsidRPr="002B5996" w:rsidRDefault="002B5996" w:rsidP="002B5996">
      <w:pPr>
        <w:rPr>
          <w:rFonts w:ascii="Arial" w:hAnsi="Arial" w:cs="Arial"/>
        </w:rPr>
      </w:pPr>
    </w:p>
    <w:p w14:paraId="3B6A1DED" w14:textId="77777777" w:rsidR="002B5996" w:rsidRPr="002B5996" w:rsidRDefault="002B5996" w:rsidP="002B5996">
      <w:pPr>
        <w:rPr>
          <w:rFonts w:ascii="Arial" w:hAnsi="Arial" w:cs="Arial"/>
        </w:rPr>
      </w:pPr>
      <w:r w:rsidRPr="002B5996">
        <w:rPr>
          <w:rFonts w:ascii="Arial" w:hAnsi="Arial" w:cs="Arial"/>
        </w:rPr>
        <w:t xml:space="preserve">Birdsall, N. and Boulton, L. (2022) ‘Theorising victim decision making in the police response to domestic abuse’, International Review of Victimology, 28(3), pp. 330–344. doi:10.1177/02697580211063658. </w:t>
      </w:r>
    </w:p>
    <w:p w14:paraId="710AE12A" w14:textId="77777777" w:rsidR="002B5996" w:rsidRPr="002B5996" w:rsidRDefault="002B5996" w:rsidP="002B5996">
      <w:pPr>
        <w:rPr>
          <w:rFonts w:ascii="Arial" w:hAnsi="Arial" w:cs="Arial"/>
        </w:rPr>
      </w:pPr>
    </w:p>
    <w:p w14:paraId="496D00D1" w14:textId="77777777" w:rsidR="002B5996" w:rsidRPr="002B5996" w:rsidRDefault="002B5996" w:rsidP="002B5996">
      <w:pPr>
        <w:rPr>
          <w:rFonts w:ascii="Arial" w:hAnsi="Arial" w:cs="Arial"/>
        </w:rPr>
      </w:pPr>
      <w:r w:rsidRPr="002B5996">
        <w:rPr>
          <w:rFonts w:ascii="Arial" w:hAnsi="Arial" w:cs="Arial"/>
        </w:rPr>
        <w:t>Bond, J.W. and Sheridan, L. (2008) ‘A novel approach to maximising the detection of volume crime with DNA and fingerprints’, International Journal of Police Science &amp;amp; Management, 10(3), pp. 326–338. doi:10.1350/ijps.2008.10.3.88.</w:t>
      </w:r>
    </w:p>
    <w:p w14:paraId="75C535CD" w14:textId="77777777" w:rsidR="002B5996" w:rsidRPr="002B5996" w:rsidRDefault="002B5996" w:rsidP="002B5996">
      <w:pPr>
        <w:rPr>
          <w:rFonts w:ascii="Arial" w:hAnsi="Arial" w:cs="Arial"/>
        </w:rPr>
      </w:pPr>
    </w:p>
    <w:p w14:paraId="29ADFE8C" w14:textId="77777777" w:rsidR="002B5996" w:rsidRPr="002B5996" w:rsidRDefault="002B5996" w:rsidP="002B5996">
      <w:pPr>
        <w:rPr>
          <w:rFonts w:ascii="Arial" w:hAnsi="Arial" w:cs="Arial"/>
        </w:rPr>
      </w:pPr>
      <w:r w:rsidRPr="002B5996">
        <w:rPr>
          <w:rFonts w:ascii="Arial" w:hAnsi="Arial" w:cs="Arial"/>
        </w:rPr>
        <w:t>Bowling, B. and Phillips, C. (2002) Racism, crime and justice. Harlow: Pearson.</w:t>
      </w:r>
    </w:p>
    <w:p w14:paraId="130B0B1E" w14:textId="77777777" w:rsidR="002B5996" w:rsidRPr="002B5996" w:rsidRDefault="002B5996" w:rsidP="002B5996">
      <w:pPr>
        <w:rPr>
          <w:rFonts w:ascii="Arial" w:hAnsi="Arial" w:cs="Arial"/>
        </w:rPr>
      </w:pPr>
    </w:p>
    <w:p w14:paraId="29B6319A" w14:textId="77777777" w:rsidR="002B5996" w:rsidRPr="002B5996" w:rsidRDefault="002B5996" w:rsidP="002B5996">
      <w:pPr>
        <w:rPr>
          <w:rFonts w:ascii="Arial" w:hAnsi="Arial" w:cs="Arial"/>
        </w:rPr>
      </w:pPr>
      <w:r w:rsidRPr="002B5996">
        <w:rPr>
          <w:rFonts w:ascii="Arial" w:hAnsi="Arial" w:cs="Arial"/>
        </w:rPr>
        <w:t xml:space="preserve">Braakmann, N. (2022) ‘Does stop and search reduce crime? evidence from street-level data and a surge in operations following a high-profile crime’, Journal of the Royal Statistical Society Series A: Statistics in Society, 185(3), pp. 1370–1397. doi:10.1111/rssa.12839. </w:t>
      </w:r>
    </w:p>
    <w:p w14:paraId="4D99A129" w14:textId="77777777" w:rsidR="002B5996" w:rsidRPr="002B5996" w:rsidRDefault="002B5996" w:rsidP="002B5996">
      <w:pPr>
        <w:rPr>
          <w:rFonts w:ascii="Arial" w:hAnsi="Arial" w:cs="Arial"/>
        </w:rPr>
      </w:pPr>
    </w:p>
    <w:p w14:paraId="19C86EEC" w14:textId="77777777" w:rsidR="002B5996" w:rsidRPr="002B5996" w:rsidRDefault="002B5996" w:rsidP="002B5996">
      <w:pPr>
        <w:rPr>
          <w:rFonts w:ascii="Arial" w:hAnsi="Arial" w:cs="Arial"/>
        </w:rPr>
      </w:pPr>
      <w:r w:rsidRPr="002B5996">
        <w:rPr>
          <w:rFonts w:ascii="Arial" w:hAnsi="Arial" w:cs="Arial"/>
        </w:rPr>
        <w:t>Brayne, S. (2020) Predict and surveil. doi:10.1093/oso/9780190684099.001.0001.</w:t>
      </w:r>
    </w:p>
    <w:p w14:paraId="39542316" w14:textId="77777777" w:rsidR="002B5996" w:rsidRPr="002B5996" w:rsidRDefault="002B5996" w:rsidP="002B5996">
      <w:pPr>
        <w:rPr>
          <w:rFonts w:ascii="Arial" w:hAnsi="Arial" w:cs="Arial"/>
        </w:rPr>
      </w:pPr>
    </w:p>
    <w:p w14:paraId="6BD2C42D" w14:textId="77777777" w:rsidR="002B5996" w:rsidRPr="002B5996" w:rsidRDefault="002B5996" w:rsidP="002B5996">
      <w:pPr>
        <w:rPr>
          <w:rFonts w:ascii="Arial" w:hAnsi="Arial" w:cs="Arial"/>
        </w:rPr>
      </w:pPr>
      <w:r w:rsidRPr="002B5996">
        <w:rPr>
          <w:rFonts w:ascii="Arial" w:hAnsi="Arial" w:cs="Arial"/>
        </w:rPr>
        <w:t>Burcher, M. and Whelan, C. (2018) ‘Intelligence-led policing in practice: Reflections from intelligence analysts’, Police Quarterly, 22(2), pp. 139–160. doi:10.1177/1098611118796890.</w:t>
      </w:r>
    </w:p>
    <w:p w14:paraId="0FBCF39A" w14:textId="77777777" w:rsidR="002B5996" w:rsidRPr="002B5996" w:rsidRDefault="002B5996" w:rsidP="002B5996">
      <w:pPr>
        <w:rPr>
          <w:rFonts w:ascii="Arial" w:hAnsi="Arial" w:cs="Arial"/>
        </w:rPr>
      </w:pPr>
    </w:p>
    <w:p w14:paraId="5EDA1B28" w14:textId="77777777" w:rsidR="002B5996" w:rsidRPr="002B5996" w:rsidRDefault="002B5996" w:rsidP="002B5996">
      <w:pPr>
        <w:rPr>
          <w:rFonts w:ascii="Arial" w:hAnsi="Arial" w:cs="Arial"/>
        </w:rPr>
      </w:pPr>
      <w:r w:rsidRPr="002B5996">
        <w:rPr>
          <w:rFonts w:ascii="Arial" w:hAnsi="Arial" w:cs="Arial"/>
        </w:rPr>
        <w:t xml:space="preserve">Carter, D.L. and Carter, J.G. (2008) ‘Intelligence-led policing’, Criminal Justice Policy Review, 20(3), pp. 310–325. doi:10.1177/0887403408327381. </w:t>
      </w:r>
    </w:p>
    <w:p w14:paraId="7050C0EB" w14:textId="77777777" w:rsidR="002B5996" w:rsidRPr="002B5996" w:rsidRDefault="002B5996" w:rsidP="002B5996">
      <w:pPr>
        <w:rPr>
          <w:rFonts w:ascii="Arial" w:hAnsi="Arial" w:cs="Arial"/>
        </w:rPr>
      </w:pPr>
    </w:p>
    <w:p w14:paraId="6505ED15" w14:textId="77777777" w:rsidR="002B5996" w:rsidRPr="002B5996" w:rsidRDefault="002B5996" w:rsidP="002B5996">
      <w:pPr>
        <w:rPr>
          <w:rFonts w:ascii="Arial" w:hAnsi="Arial" w:cs="Arial"/>
        </w:rPr>
      </w:pPr>
      <w:r w:rsidRPr="002B5996">
        <w:rPr>
          <w:rFonts w:ascii="Arial" w:hAnsi="Arial" w:cs="Arial"/>
        </w:rPr>
        <w:lastRenderedPageBreak/>
        <w:t xml:space="preserve">College of Policing (2013) Investigation introduction. Available online: www.college.police.uk/app/investigation/investigation-introduction Accessed: 15 August 2024. </w:t>
      </w:r>
    </w:p>
    <w:p w14:paraId="2F652642" w14:textId="77777777" w:rsidR="002B5996" w:rsidRPr="002B5996" w:rsidRDefault="002B5996" w:rsidP="002B5996">
      <w:pPr>
        <w:rPr>
          <w:rFonts w:ascii="Arial" w:hAnsi="Arial" w:cs="Arial"/>
        </w:rPr>
      </w:pPr>
    </w:p>
    <w:p w14:paraId="56796D78" w14:textId="28D94D4D" w:rsidR="002B5996" w:rsidRPr="002B5996" w:rsidRDefault="002B5996" w:rsidP="002B5996">
      <w:pPr>
        <w:rPr>
          <w:rFonts w:ascii="Arial" w:hAnsi="Arial" w:cs="Arial"/>
        </w:rPr>
      </w:pPr>
      <w:r w:rsidRPr="002B5996">
        <w:rPr>
          <w:rFonts w:ascii="Arial" w:hAnsi="Arial" w:cs="Arial"/>
        </w:rPr>
        <w:t xml:space="preserve">College of Policing (2020). Continuing professional development (CPD)  Available online: www.college.police.uk/career-learning/career-development/CPD Accessed: </w:t>
      </w:r>
      <w:r w:rsidR="00FB6386">
        <w:rPr>
          <w:rFonts w:ascii="Arial" w:hAnsi="Arial" w:cs="Arial"/>
        </w:rPr>
        <w:t>14</w:t>
      </w:r>
      <w:r w:rsidRPr="002B5996">
        <w:rPr>
          <w:rFonts w:ascii="Arial" w:hAnsi="Arial" w:cs="Arial"/>
        </w:rPr>
        <w:t xml:space="preserve"> August 2024. </w:t>
      </w:r>
    </w:p>
    <w:p w14:paraId="0B6976FA" w14:textId="77777777" w:rsidR="002B5996" w:rsidRPr="002B5996" w:rsidRDefault="002B5996" w:rsidP="002B5996">
      <w:pPr>
        <w:rPr>
          <w:rFonts w:ascii="Arial" w:hAnsi="Arial" w:cs="Arial"/>
        </w:rPr>
      </w:pPr>
    </w:p>
    <w:p w14:paraId="68061B40" w14:textId="77777777" w:rsidR="002B5996" w:rsidRPr="002B5996" w:rsidRDefault="002B5996" w:rsidP="002B5996">
      <w:pPr>
        <w:rPr>
          <w:rFonts w:ascii="Arial" w:hAnsi="Arial" w:cs="Arial"/>
        </w:rPr>
      </w:pPr>
      <w:r w:rsidRPr="002B5996">
        <w:rPr>
          <w:rFonts w:ascii="Arial" w:hAnsi="Arial" w:cs="Arial"/>
        </w:rPr>
        <w:t>Elaad, E. (2022) Tunnel vision and confirmation bias among police investigators and laypeople in hypothetical criminal contexts, 12(2), p. 215 doi:10.1177/21582440221095022.</w:t>
      </w:r>
    </w:p>
    <w:p w14:paraId="4D505C90" w14:textId="77777777" w:rsidR="002B5996" w:rsidRPr="002B5996" w:rsidRDefault="002B5996" w:rsidP="002B5996">
      <w:pPr>
        <w:rPr>
          <w:rFonts w:ascii="Arial" w:hAnsi="Arial" w:cs="Arial"/>
        </w:rPr>
      </w:pPr>
    </w:p>
    <w:p w14:paraId="1EFBD2E3" w14:textId="77777777" w:rsidR="002B5996" w:rsidRPr="002B5996" w:rsidRDefault="002B5996" w:rsidP="002B5996">
      <w:pPr>
        <w:rPr>
          <w:rFonts w:ascii="Arial" w:hAnsi="Arial" w:cs="Arial"/>
        </w:rPr>
      </w:pPr>
      <w:r w:rsidRPr="002B5996">
        <w:rPr>
          <w:rFonts w:ascii="Arial" w:hAnsi="Arial" w:cs="Arial"/>
        </w:rPr>
        <w:t>Heffernan, L. (2008) ‘Genetic policing: The use of DNA in criminal investigations. by Robin Williams and Paul Johnson (Willan Publishing, 2008)’, British Journal of Criminology, 48(5), pp. 699–701. doi:10.1093/bjc/azn050.</w:t>
      </w:r>
    </w:p>
    <w:p w14:paraId="3DD60863" w14:textId="77777777" w:rsidR="002B5996" w:rsidRPr="002B5996" w:rsidRDefault="002B5996" w:rsidP="002B5996">
      <w:pPr>
        <w:rPr>
          <w:rFonts w:ascii="Arial" w:hAnsi="Arial" w:cs="Arial"/>
        </w:rPr>
      </w:pPr>
    </w:p>
    <w:p w14:paraId="570C8119" w14:textId="24D278CB" w:rsidR="002B5996" w:rsidRPr="002B5996" w:rsidRDefault="002B5996" w:rsidP="002B5996">
      <w:pPr>
        <w:rPr>
          <w:rFonts w:ascii="Arial" w:hAnsi="Arial" w:cs="Arial"/>
        </w:rPr>
      </w:pPr>
      <w:r w:rsidRPr="002B5996">
        <w:rPr>
          <w:rFonts w:ascii="Arial" w:hAnsi="Arial" w:cs="Arial"/>
        </w:rPr>
        <w:t xml:space="preserve">Independent Office for Police Conduct (IOPC)(2024) Engaging with communities Available online: www.policeconduct.gov.uk/about-us Accessed: </w:t>
      </w:r>
      <w:r w:rsidR="00FB6386">
        <w:rPr>
          <w:rFonts w:ascii="Arial" w:hAnsi="Arial" w:cs="Arial"/>
        </w:rPr>
        <w:t>15</w:t>
      </w:r>
      <w:r w:rsidRPr="002B5996">
        <w:rPr>
          <w:rFonts w:ascii="Arial" w:hAnsi="Arial" w:cs="Arial"/>
        </w:rPr>
        <w:t xml:space="preserve"> August 2024.</w:t>
      </w:r>
    </w:p>
    <w:p w14:paraId="15C192B2" w14:textId="77777777" w:rsidR="002B5996" w:rsidRPr="002B5996" w:rsidRDefault="002B5996" w:rsidP="002B5996">
      <w:pPr>
        <w:rPr>
          <w:rFonts w:ascii="Arial" w:hAnsi="Arial" w:cs="Arial"/>
        </w:rPr>
      </w:pPr>
    </w:p>
    <w:p w14:paraId="3E257EBF" w14:textId="77777777" w:rsidR="002B5996" w:rsidRPr="002B5996" w:rsidRDefault="002B5996" w:rsidP="002B5996">
      <w:pPr>
        <w:rPr>
          <w:rFonts w:ascii="Arial" w:hAnsi="Arial" w:cs="Arial"/>
        </w:rPr>
      </w:pPr>
      <w:r w:rsidRPr="002B5996">
        <w:rPr>
          <w:rFonts w:ascii="Arial" w:hAnsi="Arial" w:cs="Arial"/>
        </w:rPr>
        <w:t>Innes, M. (2004) ‘Reinventing tradition?’, Criminal Justice, 4(2), pp. 151–171. doi:10.1177/1466802504044914.</w:t>
      </w:r>
    </w:p>
    <w:p w14:paraId="3F7C3530" w14:textId="77777777" w:rsidR="002B5996" w:rsidRPr="002B5996" w:rsidRDefault="002B5996" w:rsidP="002B5996">
      <w:pPr>
        <w:rPr>
          <w:rFonts w:ascii="Arial" w:hAnsi="Arial" w:cs="Arial"/>
        </w:rPr>
      </w:pPr>
    </w:p>
    <w:p w14:paraId="1B113713" w14:textId="77777777" w:rsidR="002B5996" w:rsidRPr="002B5996" w:rsidRDefault="002B5996" w:rsidP="002B5996">
      <w:pPr>
        <w:rPr>
          <w:rFonts w:ascii="Arial" w:hAnsi="Arial" w:cs="Arial"/>
        </w:rPr>
      </w:pPr>
      <w:r w:rsidRPr="002B5996">
        <w:rPr>
          <w:rFonts w:ascii="Arial" w:hAnsi="Arial" w:cs="Arial"/>
        </w:rPr>
        <w:t>Loftus, B. (2009) Police culture in a Changing World. doi:10.1093/acprof:oso/9780199560905.001.0001.</w:t>
      </w:r>
    </w:p>
    <w:p w14:paraId="7E7A960F" w14:textId="77777777" w:rsidR="002B5996" w:rsidRPr="002B5996" w:rsidRDefault="002B5996" w:rsidP="002B5996">
      <w:pPr>
        <w:rPr>
          <w:rFonts w:ascii="Arial" w:hAnsi="Arial" w:cs="Arial"/>
        </w:rPr>
      </w:pPr>
    </w:p>
    <w:p w14:paraId="3FDBCC90" w14:textId="77777777" w:rsidR="002B5996" w:rsidRPr="002B5996" w:rsidRDefault="002B5996" w:rsidP="002B5996">
      <w:pPr>
        <w:rPr>
          <w:rFonts w:ascii="Arial" w:hAnsi="Arial" w:cs="Arial"/>
        </w:rPr>
      </w:pPr>
      <w:r w:rsidRPr="002B5996">
        <w:rPr>
          <w:rFonts w:ascii="Arial" w:hAnsi="Arial" w:cs="Arial"/>
        </w:rPr>
        <w:t>McCarthy, D. and O’Neill, M. (2014) ‘The police and partnership working: Reflections on recent research’, Policing, 8(3), pp. 243–253. doi:10.1093/police/pau022.</w:t>
      </w:r>
    </w:p>
    <w:p w14:paraId="6E4387C0" w14:textId="77777777" w:rsidR="002B5996" w:rsidRPr="002B5996" w:rsidRDefault="002B5996" w:rsidP="002B5996">
      <w:pPr>
        <w:rPr>
          <w:rFonts w:ascii="Arial" w:hAnsi="Arial" w:cs="Arial"/>
        </w:rPr>
      </w:pPr>
    </w:p>
    <w:p w14:paraId="2FBBCFFB" w14:textId="77777777" w:rsidR="002B5996" w:rsidRPr="002B5996" w:rsidRDefault="002B5996" w:rsidP="002B5996">
      <w:pPr>
        <w:rPr>
          <w:rFonts w:ascii="Arial" w:hAnsi="Arial" w:cs="Arial"/>
        </w:rPr>
      </w:pPr>
      <w:r w:rsidRPr="002B5996">
        <w:rPr>
          <w:rFonts w:ascii="Arial" w:hAnsi="Arial" w:cs="Arial"/>
        </w:rPr>
        <w:t>Myhill, A. and Bradford, B. (2013) ‘Overcoming cop culture? organizational justice and police officers’ attitudes toward the public’, Policing: An International Journal of Police Strategies &amp;amp; Management, 36(2), pp. 338–356. doi:10.1108/13639511311329732.</w:t>
      </w:r>
    </w:p>
    <w:p w14:paraId="53269425" w14:textId="77777777" w:rsidR="002B5996" w:rsidRPr="002B5996" w:rsidRDefault="002B5996" w:rsidP="002B5996">
      <w:pPr>
        <w:rPr>
          <w:rFonts w:ascii="Arial" w:hAnsi="Arial" w:cs="Arial"/>
        </w:rPr>
      </w:pPr>
    </w:p>
    <w:p w14:paraId="0A0E1F9E" w14:textId="79EDD640" w:rsidR="002B5996" w:rsidRPr="002B5996" w:rsidRDefault="002B5996" w:rsidP="002B5996">
      <w:pPr>
        <w:rPr>
          <w:rFonts w:ascii="Arial" w:hAnsi="Arial" w:cs="Arial"/>
        </w:rPr>
      </w:pPr>
      <w:r w:rsidRPr="002B5996">
        <w:rPr>
          <w:rFonts w:ascii="Arial" w:hAnsi="Arial" w:cs="Arial"/>
        </w:rPr>
        <w:t xml:space="preserve">Neighbourhood Watch Network (2024) Preventing crime Available online: www.ourwatch.org.uk/crime-prevention/preventing-crime Accessed: </w:t>
      </w:r>
      <w:r w:rsidR="00FB6386">
        <w:rPr>
          <w:rFonts w:ascii="Arial" w:hAnsi="Arial" w:cs="Arial"/>
        </w:rPr>
        <w:t>14</w:t>
      </w:r>
      <w:r w:rsidRPr="002B5996">
        <w:rPr>
          <w:rFonts w:ascii="Arial" w:hAnsi="Arial" w:cs="Arial"/>
        </w:rPr>
        <w:t xml:space="preserve"> August 2024.</w:t>
      </w:r>
    </w:p>
    <w:p w14:paraId="5ADFB183" w14:textId="77777777" w:rsidR="002B5996" w:rsidRPr="002B5996" w:rsidRDefault="002B5996" w:rsidP="002B5996">
      <w:pPr>
        <w:rPr>
          <w:rFonts w:ascii="Arial" w:hAnsi="Arial" w:cs="Arial"/>
        </w:rPr>
      </w:pPr>
    </w:p>
    <w:p w14:paraId="52A9C282" w14:textId="34DF3BCA" w:rsidR="002B5996" w:rsidRPr="002B5996" w:rsidRDefault="002B5996" w:rsidP="002B5996">
      <w:pPr>
        <w:rPr>
          <w:rFonts w:ascii="Arial" w:hAnsi="Arial" w:cs="Arial"/>
        </w:rPr>
      </w:pPr>
      <w:r w:rsidRPr="002B5996">
        <w:rPr>
          <w:rFonts w:ascii="Arial" w:hAnsi="Arial" w:cs="Arial"/>
        </w:rPr>
        <w:t xml:space="preserve">NSPCC (2024). Criminal exploitation and gangs, Available online, www.nspcc.org.uk/what-is-child-abuse/types-of-abuse/gangs-criminal-exploitation, Accessed: </w:t>
      </w:r>
      <w:r w:rsidR="00FB6386">
        <w:rPr>
          <w:rFonts w:ascii="Arial" w:hAnsi="Arial" w:cs="Arial"/>
        </w:rPr>
        <w:t>15</w:t>
      </w:r>
      <w:r w:rsidRPr="002B5996">
        <w:rPr>
          <w:rFonts w:ascii="Arial" w:hAnsi="Arial" w:cs="Arial"/>
        </w:rPr>
        <w:t xml:space="preserve"> August 2024.</w:t>
      </w:r>
    </w:p>
    <w:p w14:paraId="5597DFD9" w14:textId="77777777" w:rsidR="002B5996" w:rsidRPr="002B5996" w:rsidRDefault="002B5996" w:rsidP="002B5996">
      <w:pPr>
        <w:rPr>
          <w:rFonts w:ascii="Arial" w:hAnsi="Arial" w:cs="Arial"/>
        </w:rPr>
      </w:pPr>
    </w:p>
    <w:p w14:paraId="3E7373E1" w14:textId="6D0D2693" w:rsidR="002B5996" w:rsidRPr="002B5996" w:rsidRDefault="002B5996" w:rsidP="002B5996">
      <w:pPr>
        <w:rPr>
          <w:rFonts w:ascii="Arial" w:hAnsi="Arial" w:cs="Arial"/>
        </w:rPr>
      </w:pPr>
      <w:r w:rsidRPr="002B5996">
        <w:rPr>
          <w:rFonts w:ascii="Arial" w:hAnsi="Arial" w:cs="Arial"/>
        </w:rPr>
        <w:t xml:space="preserve">Perry, W. L., McInnis, B., Price, C. C., Smith, S. C., &amp; Hollywood, J. S. (2013). Predictive Policing: The Role of Crime Forecasting in Law Enforcement Operations*. RAND </w:t>
      </w:r>
      <w:r w:rsidRPr="002B5996">
        <w:rPr>
          <w:rFonts w:ascii="Arial" w:hAnsi="Arial" w:cs="Arial"/>
        </w:rPr>
        <w:lastRenderedPageBreak/>
        <w:t xml:space="preserve">Corporation. Available online: https://www.rand.org/pubs/research_reports/RR233.html Accessed: </w:t>
      </w:r>
      <w:r w:rsidR="00FB6386">
        <w:rPr>
          <w:rFonts w:ascii="Arial" w:hAnsi="Arial" w:cs="Arial"/>
        </w:rPr>
        <w:t>15</w:t>
      </w:r>
      <w:r w:rsidRPr="002B5996">
        <w:rPr>
          <w:rFonts w:ascii="Arial" w:hAnsi="Arial" w:cs="Arial"/>
        </w:rPr>
        <w:t xml:space="preserve"> August 2024</w:t>
      </w:r>
    </w:p>
    <w:p w14:paraId="6E3155BA" w14:textId="77777777" w:rsidR="002B5996" w:rsidRPr="002B5996" w:rsidRDefault="002B5996" w:rsidP="002B5996">
      <w:pPr>
        <w:rPr>
          <w:rFonts w:ascii="Arial" w:hAnsi="Arial" w:cs="Arial"/>
        </w:rPr>
      </w:pPr>
    </w:p>
    <w:p w14:paraId="75B2BC59" w14:textId="77777777" w:rsidR="002B5996" w:rsidRPr="002B5996" w:rsidRDefault="002B5996" w:rsidP="002B5996">
      <w:pPr>
        <w:rPr>
          <w:rFonts w:ascii="Arial" w:hAnsi="Arial" w:cs="Arial"/>
        </w:rPr>
      </w:pPr>
    </w:p>
    <w:p w14:paraId="64F0A53B" w14:textId="77777777" w:rsidR="002B5996" w:rsidRPr="002B5996" w:rsidRDefault="002B5996" w:rsidP="002B5996">
      <w:pPr>
        <w:rPr>
          <w:rFonts w:ascii="Arial" w:hAnsi="Arial" w:cs="Arial"/>
        </w:rPr>
      </w:pPr>
      <w:r w:rsidRPr="002B5996">
        <w:rPr>
          <w:rFonts w:ascii="Arial" w:hAnsi="Arial" w:cs="Arial"/>
        </w:rPr>
        <w:t xml:space="preserve">Piza, E.L. et al. (2019) ‘CCTV surveillance for crime prevention’, Criminology &amp;amp; Public Policy, 18(1), pp. 135–159. doi:10.1111/1745-9133.12419. </w:t>
      </w:r>
    </w:p>
    <w:p w14:paraId="7EFFAEDB" w14:textId="77777777" w:rsidR="002B5996" w:rsidRPr="002B5996" w:rsidRDefault="002B5996" w:rsidP="002B5996">
      <w:pPr>
        <w:rPr>
          <w:rFonts w:ascii="Arial" w:hAnsi="Arial" w:cs="Arial"/>
        </w:rPr>
      </w:pPr>
    </w:p>
    <w:p w14:paraId="31E41360" w14:textId="35ECF513" w:rsidR="002B5996" w:rsidRPr="002B5996" w:rsidRDefault="002B5996" w:rsidP="002B5996">
      <w:pPr>
        <w:rPr>
          <w:rFonts w:ascii="Arial" w:hAnsi="Arial" w:cs="Arial"/>
        </w:rPr>
      </w:pPr>
      <w:r w:rsidRPr="002B5996">
        <w:rPr>
          <w:rFonts w:ascii="Arial" w:hAnsi="Arial" w:cs="Arial"/>
        </w:rPr>
        <w:t xml:space="preserve">Psychology Today (2020). What is unconscious bias (and how you can defeat it) Available online: www.psychologytoday.com/us/blog/intentional-insights/202007/what-is-unconscious-bias-and-how-you-can-defeat-it Accessed: </w:t>
      </w:r>
      <w:r w:rsidR="00FB6386">
        <w:rPr>
          <w:rFonts w:ascii="Arial" w:hAnsi="Arial" w:cs="Arial"/>
        </w:rPr>
        <w:t>15</w:t>
      </w:r>
      <w:r w:rsidRPr="002B5996">
        <w:rPr>
          <w:rFonts w:ascii="Arial" w:hAnsi="Arial" w:cs="Arial"/>
        </w:rPr>
        <w:t xml:space="preserve"> August 2024</w:t>
      </w:r>
    </w:p>
    <w:p w14:paraId="15C8219E" w14:textId="77777777" w:rsidR="002B5996" w:rsidRPr="002B5996" w:rsidRDefault="002B5996" w:rsidP="002B5996">
      <w:pPr>
        <w:rPr>
          <w:rFonts w:ascii="Arial" w:hAnsi="Arial" w:cs="Arial"/>
        </w:rPr>
      </w:pPr>
    </w:p>
    <w:p w14:paraId="39BE78C6" w14:textId="77777777" w:rsidR="002B5996" w:rsidRPr="002B5996" w:rsidRDefault="002B5996" w:rsidP="002B5996">
      <w:pPr>
        <w:rPr>
          <w:rFonts w:ascii="Arial" w:hAnsi="Arial" w:cs="Arial"/>
        </w:rPr>
      </w:pPr>
      <w:r w:rsidRPr="002B5996">
        <w:rPr>
          <w:rFonts w:ascii="Arial" w:hAnsi="Arial" w:cs="Arial"/>
        </w:rPr>
        <w:t xml:space="preserve">Signori, R. et al. (2023) ‘Relational continuity in community policing: Insights from a human-centred design perspective’, Policing: A Journal of Policy and Practice, 17. doi:10.1093/police/paad038. </w:t>
      </w:r>
    </w:p>
    <w:p w14:paraId="5B2C1D9E" w14:textId="77777777" w:rsidR="002B5996" w:rsidRPr="002B5996" w:rsidRDefault="002B5996" w:rsidP="002B5996">
      <w:pPr>
        <w:rPr>
          <w:rFonts w:ascii="Arial" w:hAnsi="Arial" w:cs="Arial"/>
        </w:rPr>
      </w:pPr>
    </w:p>
    <w:p w14:paraId="4679207F" w14:textId="77777777" w:rsidR="002B5996" w:rsidRPr="002B5996" w:rsidRDefault="002B5996" w:rsidP="002B5996">
      <w:pPr>
        <w:rPr>
          <w:rFonts w:ascii="Arial" w:hAnsi="Arial" w:cs="Arial"/>
        </w:rPr>
      </w:pPr>
      <w:r w:rsidRPr="002B5996">
        <w:rPr>
          <w:rFonts w:ascii="Arial" w:hAnsi="Arial" w:cs="Arial"/>
        </w:rPr>
        <w:t xml:space="preserve">Tyler, T.R. (2004) ‘Enhancing police legitimacy’, The ANNALS of the American Academy of Political and Social Science, 593(1), pp. 84–99. doi:10.1177/0002716203262627. </w:t>
      </w:r>
    </w:p>
    <w:p w14:paraId="2FE089C5" w14:textId="77777777" w:rsidR="002B5996" w:rsidRPr="002B5996" w:rsidRDefault="002B5996" w:rsidP="002B5996">
      <w:pPr>
        <w:rPr>
          <w:rFonts w:ascii="Arial" w:hAnsi="Arial" w:cs="Arial"/>
        </w:rPr>
      </w:pPr>
    </w:p>
    <w:p w14:paraId="5412180B" w14:textId="77777777" w:rsidR="002B5996" w:rsidRPr="002B5996" w:rsidRDefault="002B5996" w:rsidP="002B5996">
      <w:pPr>
        <w:rPr>
          <w:rFonts w:ascii="Arial" w:hAnsi="Arial" w:cs="Arial"/>
        </w:rPr>
      </w:pPr>
    </w:p>
    <w:p w14:paraId="553130CA" w14:textId="77777777" w:rsidR="002B5996" w:rsidRPr="002B5996" w:rsidRDefault="002B5996" w:rsidP="002B5996">
      <w:pPr>
        <w:rPr>
          <w:rFonts w:ascii="Arial" w:hAnsi="Arial" w:cs="Arial"/>
        </w:rPr>
      </w:pPr>
    </w:p>
    <w:p w14:paraId="5B29AA92" w14:textId="77777777" w:rsidR="002B5996" w:rsidRPr="002B5996" w:rsidRDefault="002B5996" w:rsidP="002B5996">
      <w:pPr>
        <w:rPr>
          <w:rFonts w:ascii="Arial" w:hAnsi="Arial" w:cs="Arial"/>
        </w:rPr>
      </w:pPr>
    </w:p>
    <w:p w14:paraId="6881802C" w14:textId="77777777" w:rsidR="002B5996" w:rsidRPr="002B5996" w:rsidRDefault="002B5996" w:rsidP="002B5996">
      <w:pPr>
        <w:rPr>
          <w:rFonts w:ascii="Arial" w:hAnsi="Arial" w:cs="Arial"/>
        </w:rPr>
      </w:pPr>
    </w:p>
    <w:p w14:paraId="4B1F0FB8" w14:textId="77777777" w:rsidR="002B5996" w:rsidRPr="002B5996" w:rsidRDefault="002B5996" w:rsidP="002B5996">
      <w:pPr>
        <w:rPr>
          <w:rFonts w:ascii="Arial" w:hAnsi="Arial" w:cs="Arial"/>
        </w:rPr>
      </w:pPr>
    </w:p>
    <w:p w14:paraId="01AAE9BA" w14:textId="77777777" w:rsidR="002B5996" w:rsidRPr="002B5996" w:rsidRDefault="002B5996" w:rsidP="002B5996">
      <w:pPr>
        <w:rPr>
          <w:rFonts w:ascii="Arial" w:hAnsi="Arial" w:cs="Arial"/>
        </w:rPr>
      </w:pPr>
    </w:p>
    <w:p w14:paraId="14D53CEB" w14:textId="77777777" w:rsidR="002B5996" w:rsidRPr="002B5996" w:rsidRDefault="002B5996" w:rsidP="002B5996">
      <w:pPr>
        <w:rPr>
          <w:rFonts w:ascii="Arial" w:hAnsi="Arial" w:cs="Arial"/>
        </w:rPr>
      </w:pPr>
    </w:p>
    <w:p w14:paraId="538ECDA0" w14:textId="77777777" w:rsidR="002B5996" w:rsidRPr="002B5996" w:rsidRDefault="002B5996" w:rsidP="002B5996">
      <w:pPr>
        <w:rPr>
          <w:rFonts w:ascii="Arial" w:hAnsi="Arial" w:cs="Arial"/>
        </w:rPr>
      </w:pPr>
    </w:p>
    <w:p w14:paraId="28736432" w14:textId="77777777" w:rsidR="002B5996" w:rsidRPr="002B5996" w:rsidRDefault="002B5996" w:rsidP="002B5996">
      <w:pPr>
        <w:rPr>
          <w:rFonts w:ascii="Arial" w:hAnsi="Arial" w:cs="Arial"/>
        </w:rPr>
      </w:pPr>
    </w:p>
    <w:p w14:paraId="6DD7894F" w14:textId="77777777" w:rsidR="002B5996" w:rsidRPr="002B5996" w:rsidRDefault="002B5996" w:rsidP="002B5996">
      <w:pPr>
        <w:rPr>
          <w:rFonts w:ascii="Arial" w:hAnsi="Arial" w:cs="Arial"/>
        </w:rPr>
      </w:pPr>
    </w:p>
    <w:p w14:paraId="00BB8FEB" w14:textId="77777777" w:rsidR="002B5996" w:rsidRPr="002B5996" w:rsidRDefault="002B5996" w:rsidP="002B5996">
      <w:pPr>
        <w:rPr>
          <w:rFonts w:ascii="Arial" w:hAnsi="Arial" w:cs="Arial"/>
        </w:rPr>
      </w:pPr>
    </w:p>
    <w:p w14:paraId="519CD037" w14:textId="77777777" w:rsidR="002B5996" w:rsidRPr="002B5996" w:rsidRDefault="002B5996" w:rsidP="002B5996">
      <w:pPr>
        <w:rPr>
          <w:rFonts w:ascii="Arial" w:hAnsi="Arial" w:cs="Arial"/>
        </w:rPr>
      </w:pPr>
    </w:p>
    <w:p w14:paraId="6C7FFEC2" w14:textId="77777777" w:rsidR="002B5996" w:rsidRDefault="002B5996" w:rsidP="002B5996">
      <w:pPr>
        <w:rPr>
          <w:rFonts w:ascii="Arial" w:hAnsi="Arial" w:cs="Arial"/>
          <w:b/>
          <w:bCs/>
          <w:u w:val="single"/>
        </w:rPr>
      </w:pPr>
    </w:p>
    <w:p w14:paraId="640F7735" w14:textId="77777777" w:rsidR="002B5996" w:rsidRDefault="002B5996" w:rsidP="002B5996">
      <w:pPr>
        <w:rPr>
          <w:rFonts w:ascii="Arial" w:hAnsi="Arial" w:cs="Arial"/>
          <w:b/>
          <w:bCs/>
          <w:u w:val="single"/>
        </w:rPr>
      </w:pPr>
    </w:p>
    <w:p w14:paraId="4E409B8D" w14:textId="77777777" w:rsidR="002B5996" w:rsidRDefault="002B5996" w:rsidP="002B5996">
      <w:pPr>
        <w:rPr>
          <w:rFonts w:ascii="Arial" w:hAnsi="Arial" w:cs="Arial"/>
          <w:b/>
          <w:bCs/>
          <w:u w:val="single"/>
        </w:rPr>
      </w:pPr>
    </w:p>
    <w:p w14:paraId="4A02F749" w14:textId="77777777" w:rsidR="002B5996" w:rsidRDefault="002B5996" w:rsidP="002B5996">
      <w:pPr>
        <w:rPr>
          <w:rFonts w:ascii="Arial" w:hAnsi="Arial" w:cs="Arial"/>
          <w:b/>
          <w:bCs/>
          <w:u w:val="single"/>
        </w:rPr>
      </w:pPr>
    </w:p>
    <w:p w14:paraId="1158815D" w14:textId="77777777" w:rsidR="002B5996" w:rsidRDefault="002B5996" w:rsidP="002B5996">
      <w:pPr>
        <w:rPr>
          <w:rFonts w:ascii="Arial" w:hAnsi="Arial" w:cs="Arial"/>
          <w:b/>
          <w:bCs/>
          <w:u w:val="single"/>
        </w:rPr>
      </w:pPr>
    </w:p>
    <w:p w14:paraId="1E573D79" w14:textId="6ED58B93" w:rsidR="002B5996" w:rsidRPr="002B5996" w:rsidRDefault="002B5996" w:rsidP="002B5996">
      <w:pPr>
        <w:rPr>
          <w:rFonts w:ascii="Arial" w:hAnsi="Arial" w:cs="Arial"/>
          <w:b/>
          <w:bCs/>
          <w:u w:val="single"/>
        </w:rPr>
      </w:pPr>
      <w:r w:rsidRPr="002B5996">
        <w:rPr>
          <w:rFonts w:ascii="Arial" w:hAnsi="Arial" w:cs="Arial"/>
          <w:b/>
          <w:bCs/>
          <w:u w:val="single"/>
        </w:rPr>
        <w:lastRenderedPageBreak/>
        <w:t>Drew Wilson 2236107</w:t>
      </w:r>
    </w:p>
    <w:p w14:paraId="13DE0B06" w14:textId="77777777" w:rsidR="002B5996" w:rsidRPr="002B5996" w:rsidRDefault="002B5996" w:rsidP="002B5996">
      <w:pPr>
        <w:rPr>
          <w:rFonts w:ascii="Arial" w:hAnsi="Arial" w:cs="Arial"/>
          <w:b/>
          <w:bCs/>
        </w:rPr>
      </w:pPr>
      <w:r w:rsidRPr="002B5996">
        <w:rPr>
          <w:rFonts w:ascii="Arial" w:hAnsi="Arial" w:cs="Arial"/>
          <w:b/>
          <w:bCs/>
        </w:rPr>
        <w:t xml:space="preserve">Why are terrorist organisations often involved in other forms of criminality (e.g. acquisitive crime), and how can this inform counter-terrorism policing? </w:t>
      </w:r>
    </w:p>
    <w:p w14:paraId="4859A445" w14:textId="77777777" w:rsidR="002B5996" w:rsidRPr="002B5996" w:rsidRDefault="002B5996" w:rsidP="002B5996">
      <w:pPr>
        <w:rPr>
          <w:rFonts w:ascii="Arial" w:hAnsi="Arial" w:cs="Arial"/>
          <w:b/>
          <w:bCs/>
        </w:rPr>
      </w:pPr>
      <w:r w:rsidRPr="002B5996">
        <w:rPr>
          <w:rFonts w:ascii="Arial" w:hAnsi="Arial" w:cs="Arial"/>
          <w:b/>
          <w:bCs/>
        </w:rPr>
        <w:t>Your answer must be based on academic research, although you may make reference relevant case studies.</w:t>
      </w:r>
    </w:p>
    <w:p w14:paraId="31FFC2A9" w14:textId="77777777" w:rsidR="002B5996" w:rsidRPr="002B5996" w:rsidRDefault="002B5996" w:rsidP="002B5996">
      <w:pPr>
        <w:rPr>
          <w:rFonts w:ascii="Arial" w:hAnsi="Arial" w:cs="Arial"/>
        </w:rPr>
      </w:pPr>
    </w:p>
    <w:p w14:paraId="3BDB8DD5" w14:textId="77777777" w:rsidR="002B5996" w:rsidRPr="002B5996" w:rsidRDefault="002B5996" w:rsidP="002B5996">
      <w:pPr>
        <w:rPr>
          <w:rFonts w:ascii="Arial" w:hAnsi="Arial" w:cs="Arial"/>
        </w:rPr>
      </w:pPr>
      <w:r w:rsidRPr="002B5996">
        <w:rPr>
          <w:rFonts w:ascii="Arial" w:hAnsi="Arial" w:cs="Arial"/>
        </w:rPr>
        <w:t>Over the years, terrorism in the UK has changed, with threats to national security coming from a variety of groups, including Islamist extremists and Irish republican elements. But many terrorist groups in the UK are also heavily involved in other types of criminal activity, such as acquisitive crimes like fraud, theft, and drug trafficking, in addition to their explicitly political or ideological goals. Terrorist organisations' strategic use of these crimes to maintain their networks, finance operations, and carry out ongoing operations is not accidental. Comprehending the connection between criminal activity and terrorism is crucial in formulating efficacious counterterrorism strategies.</w:t>
      </w:r>
    </w:p>
    <w:p w14:paraId="70DD064F" w14:textId="77777777" w:rsidR="002B5996" w:rsidRPr="002B5996" w:rsidRDefault="002B5996" w:rsidP="002B5996">
      <w:pPr>
        <w:rPr>
          <w:rFonts w:ascii="Arial" w:hAnsi="Arial" w:cs="Arial"/>
        </w:rPr>
      </w:pPr>
      <w:r w:rsidRPr="002B5996">
        <w:rPr>
          <w:rFonts w:ascii="Arial" w:hAnsi="Arial" w:cs="Arial"/>
        </w:rPr>
        <w:t>This essay explores why terrorist organisations in the UK engage in other forms of criminality, particularly acquisitive crime, and examines how this understanding can inform and enhance counter-terrorism policing.</w:t>
      </w:r>
    </w:p>
    <w:p w14:paraId="6A47EE0C" w14:textId="77777777" w:rsidR="002B5996" w:rsidRPr="002B5996" w:rsidRDefault="002B5996" w:rsidP="002B5996">
      <w:pPr>
        <w:rPr>
          <w:rFonts w:ascii="Arial" w:hAnsi="Arial" w:cs="Arial"/>
        </w:rPr>
      </w:pPr>
      <w:r w:rsidRPr="002B5996">
        <w:rPr>
          <w:rFonts w:ascii="Arial" w:hAnsi="Arial" w:cs="Arial"/>
        </w:rPr>
        <w:t>Terrorism is descried by the Security Service MI5 as “violence and threats of violence to influence the government or an international governmental organisation, or to intimidate the public. They do this in pursuit of a political, religious, racial or ideological cause” (MI5 - the security service, 2024)</w:t>
      </w:r>
    </w:p>
    <w:p w14:paraId="64842B2F" w14:textId="77777777" w:rsidR="002B5996" w:rsidRPr="002B5996" w:rsidRDefault="002B5996" w:rsidP="002B5996">
      <w:pPr>
        <w:rPr>
          <w:rFonts w:ascii="Arial" w:hAnsi="Arial" w:cs="Arial"/>
        </w:rPr>
      </w:pPr>
    </w:p>
    <w:p w14:paraId="3D798856" w14:textId="77777777" w:rsidR="002B5996" w:rsidRPr="002B5996" w:rsidRDefault="002B5996" w:rsidP="002B5996">
      <w:pPr>
        <w:rPr>
          <w:rFonts w:ascii="Arial" w:hAnsi="Arial" w:cs="Arial"/>
        </w:rPr>
      </w:pPr>
      <w:r w:rsidRPr="002B5996">
        <w:rPr>
          <w:rFonts w:ascii="Arial" w:hAnsi="Arial" w:cs="Arial"/>
        </w:rPr>
        <w:t xml:space="preserve">The necessity for funding terrorist organisations' operations is one of the main causes of their engagement in acquisitive crime. In contrast to foreign governments sponsoring state-sponsored terrorism, many terrorist groups operating in the United Kingdom are self-funding. Robbery, burglary, and fraud are examples of acquisitive crimes that present a low-risk, high-reward opportunity for raising financial resources. In order to fight terrorism, UK police forces employ intelligence-led strategies and are aware of the connections between acquisitive crimes—such as theft, burglary, and fraud—and terrorism. In this sense, intelligence pertains to the methodical gathering, examination, and distribution of data that can direct the tactics and activities of authorities. (GOV.UK, 2021) </w:t>
      </w:r>
    </w:p>
    <w:p w14:paraId="7A70120C" w14:textId="77777777" w:rsidR="002B5996" w:rsidRPr="002B5996" w:rsidRDefault="002B5996" w:rsidP="002B5996">
      <w:pPr>
        <w:rPr>
          <w:rFonts w:ascii="Arial" w:hAnsi="Arial" w:cs="Arial"/>
        </w:rPr>
      </w:pPr>
    </w:p>
    <w:p w14:paraId="38714926" w14:textId="77777777" w:rsidR="002B5996" w:rsidRPr="002B5996" w:rsidRDefault="002B5996" w:rsidP="002B5996">
      <w:pPr>
        <w:rPr>
          <w:rFonts w:ascii="Arial" w:hAnsi="Arial" w:cs="Arial"/>
        </w:rPr>
      </w:pPr>
      <w:r w:rsidRPr="002B5996">
        <w:rPr>
          <w:rFonts w:ascii="Arial" w:hAnsi="Arial" w:cs="Arial"/>
        </w:rPr>
        <w:t>Financial crimes like credit card, insurance, and benefit fraud have become more popular among terrorist organisations as profitable fundraising sources. Benefit fraud and small-time criminality were used to finance the 7/7 London bombings, for instance. Terrorists can gather a sizable sum of money through these kinds of operations with little risk of detection, which they can use to buy weapons, enlist new members, or finance terrorist actions. (National crime agency, 2023)</w:t>
      </w:r>
    </w:p>
    <w:p w14:paraId="022EF26C" w14:textId="77777777" w:rsidR="002B5996" w:rsidRDefault="002B5996" w:rsidP="002B5996">
      <w:pPr>
        <w:rPr>
          <w:rFonts w:ascii="Arial" w:hAnsi="Arial" w:cs="Arial"/>
        </w:rPr>
      </w:pPr>
      <w:r w:rsidRPr="002B5996">
        <w:rPr>
          <w:rFonts w:ascii="Arial" w:hAnsi="Arial" w:cs="Arial"/>
        </w:rPr>
        <w:t>There is ample evidence connecting the drug trade to terrorism. It has been reported that Islamist extremist groups in the UK use drug trafficking as a means of funding their operations. In addition to bringing in a sizable sum of money, the selling of drugs enables these groups to interact with networks of organised crime, which in turn provides them with more financial and logistical support. (Asal, V., Milward, H.B. and Schoon, E.W, 2014)</w:t>
      </w:r>
      <w:r>
        <w:rPr>
          <w:rFonts w:ascii="Arial" w:hAnsi="Arial" w:cs="Arial"/>
        </w:rPr>
        <w:t xml:space="preserve">. </w:t>
      </w:r>
    </w:p>
    <w:p w14:paraId="463F12F4" w14:textId="43F3FC9D" w:rsidR="002B5996" w:rsidRPr="002B5996" w:rsidRDefault="002B5996" w:rsidP="002B5996">
      <w:pPr>
        <w:rPr>
          <w:rFonts w:ascii="Arial" w:hAnsi="Arial" w:cs="Arial"/>
        </w:rPr>
      </w:pPr>
      <w:r w:rsidRPr="002B5996">
        <w:rPr>
          <w:rFonts w:ascii="Arial" w:hAnsi="Arial" w:cs="Arial"/>
        </w:rPr>
        <w:lastRenderedPageBreak/>
        <w:t>In addition to funding, terrorist organisations rely on criminal activities to sustain their organisational structures and maintain operational capability.</w:t>
      </w:r>
    </w:p>
    <w:p w14:paraId="7CC6E3D8" w14:textId="77777777" w:rsidR="002B5996" w:rsidRPr="002B5996" w:rsidRDefault="002B5996" w:rsidP="002B5996">
      <w:pPr>
        <w:rPr>
          <w:rFonts w:ascii="Arial" w:hAnsi="Arial" w:cs="Arial"/>
        </w:rPr>
      </w:pPr>
      <w:r w:rsidRPr="002B5996">
        <w:rPr>
          <w:rFonts w:ascii="Arial" w:hAnsi="Arial" w:cs="Arial"/>
        </w:rPr>
        <w:t>Participating in criminal activity, especially in underprivileged areas, enables terrorist groups to recruit people who are already acquainted with or active in criminal networks. Terrorist organisations may be able to take advantage of these recruits' already criminal expertise and connections by appealing to their sense of community or sense of purpose. This is especially true in Prisons, where inmates facing criminal convictions run the risk of becoming radicalised. (Rushchenko, J, 2019)</w:t>
      </w:r>
    </w:p>
    <w:p w14:paraId="751FC110" w14:textId="77777777" w:rsidR="002B5996" w:rsidRPr="002B5996" w:rsidRDefault="002B5996" w:rsidP="002B5996">
      <w:pPr>
        <w:rPr>
          <w:rFonts w:ascii="Arial" w:hAnsi="Arial" w:cs="Arial"/>
        </w:rPr>
      </w:pPr>
    </w:p>
    <w:p w14:paraId="5E3E7CB8" w14:textId="77777777" w:rsidR="002B5996" w:rsidRPr="002B5996" w:rsidRDefault="002B5996" w:rsidP="002B5996">
      <w:pPr>
        <w:rPr>
          <w:rFonts w:ascii="Arial" w:hAnsi="Arial" w:cs="Arial"/>
        </w:rPr>
      </w:pPr>
      <w:r w:rsidRPr="002B5996">
        <w:rPr>
          <w:rFonts w:ascii="Arial" w:hAnsi="Arial" w:cs="Arial"/>
        </w:rPr>
        <w:t>The money obtained through acquisitive activities is frequently utilised to support and grow terrorist networks on a national and worldwide level. These monies make it easier for people to travel, obtain phoney documents, and get in touch with like-minded organisations elsewhere. When terrorist groups are self-sufficient, they depend less on outside funding, which increases their resilience and makes them more difficult to dismantle. (Sandberg, S., Tutenges, S. and Ilan, J, 2023)</w:t>
      </w:r>
    </w:p>
    <w:p w14:paraId="1E438D11" w14:textId="77777777" w:rsidR="002B5996" w:rsidRPr="002B5996" w:rsidRDefault="002B5996" w:rsidP="002B5996">
      <w:pPr>
        <w:rPr>
          <w:rFonts w:ascii="Arial" w:hAnsi="Arial" w:cs="Arial"/>
        </w:rPr>
      </w:pPr>
      <w:r w:rsidRPr="002B5996">
        <w:rPr>
          <w:rFonts w:ascii="Arial" w:hAnsi="Arial" w:cs="Arial"/>
        </w:rPr>
        <w:t>Terrorist attack preparation and logistics are also aided by criminal activity. For instance, fake documents such as passports, visa’s and ID cards as well as stolen property such as cars and weapons might be used to harm targets, evade police, or make travel easier. The complex utilisation of illegal methods and resources is frequently exposed by the logistics of significant terrorist acts, highlighting the significance of crime in terrorist organisations' operational strategies. (Clarke, R.V. and Newman, G.R, 2007)</w:t>
      </w:r>
    </w:p>
    <w:p w14:paraId="2D0884A9" w14:textId="77777777" w:rsidR="002B5996" w:rsidRDefault="002B5996" w:rsidP="002B5996">
      <w:pPr>
        <w:rPr>
          <w:rFonts w:ascii="Arial" w:hAnsi="Arial" w:cs="Arial"/>
        </w:rPr>
      </w:pPr>
    </w:p>
    <w:p w14:paraId="5119862B" w14:textId="5E16D57A" w:rsidR="002B5996" w:rsidRPr="002B5996" w:rsidRDefault="002B5996" w:rsidP="002B5996">
      <w:pPr>
        <w:rPr>
          <w:rFonts w:ascii="Arial" w:hAnsi="Arial" w:cs="Arial"/>
        </w:rPr>
      </w:pPr>
      <w:r w:rsidRPr="002B5996">
        <w:rPr>
          <w:rFonts w:ascii="Arial" w:hAnsi="Arial" w:cs="Arial"/>
        </w:rPr>
        <w:t>Terrorist organisations often exploit societal vulnerabilities, particularly within marginalised or disadvantaged communities, to further their criminal activities and ideological objectives.</w:t>
      </w:r>
    </w:p>
    <w:p w14:paraId="5B3D12EF" w14:textId="77777777" w:rsidR="002B5996" w:rsidRPr="002B5996" w:rsidRDefault="002B5996" w:rsidP="002B5996">
      <w:pPr>
        <w:rPr>
          <w:rFonts w:ascii="Arial" w:hAnsi="Arial" w:cs="Arial"/>
        </w:rPr>
      </w:pPr>
      <w:r w:rsidRPr="002B5996">
        <w:rPr>
          <w:rFonts w:ascii="Arial" w:hAnsi="Arial" w:cs="Arial"/>
        </w:rPr>
        <w:t>Acquisitive crime is more prevalent in many locations with significant levels of social hardship. Through their illicit operations, terrorist groups take advantage of these circumstances by offering a substitute for established societal norms or economic opportunities. This may be paying recruits with financial incentives or supporting the relatives of people slain or imprisoned while engaging in terrorist activity. These communities might provide covert assistance or protection in exchange for the group's terrorist and illegal actions. (Bandyopadhyay, S. and Ijaz, A, 2021)</w:t>
      </w:r>
    </w:p>
    <w:p w14:paraId="510C4991" w14:textId="77777777" w:rsidR="002B5996" w:rsidRPr="002B5996" w:rsidRDefault="002B5996" w:rsidP="002B5996">
      <w:pPr>
        <w:rPr>
          <w:rFonts w:ascii="Arial" w:hAnsi="Arial" w:cs="Arial"/>
        </w:rPr>
      </w:pPr>
      <w:r w:rsidRPr="002B5996">
        <w:rPr>
          <w:rFonts w:ascii="Arial" w:hAnsi="Arial" w:cs="Arial"/>
        </w:rPr>
        <w:t>Terrorist groups have the ability to influence established criminal networks within communities, taking advantage of their knowledge and connections to further their terrorist goals. For instance, local gangs that engage in drug trafficking or smuggling may work with terrorist organisations in return for protection or a percentage of the earnings. The mutually beneficial association not only amplifies the ability of terrorist groups to function, but also strengthens their integration into society, so complicating efforts by Police to combat them. (Hutchinson, S. and O’malley, P, 2007)</w:t>
      </w:r>
    </w:p>
    <w:p w14:paraId="5F6F2B59" w14:textId="77777777" w:rsidR="002B5996" w:rsidRPr="002B5996" w:rsidRDefault="002B5996" w:rsidP="002B5996">
      <w:pPr>
        <w:rPr>
          <w:rFonts w:ascii="Arial" w:hAnsi="Arial" w:cs="Arial"/>
        </w:rPr>
      </w:pPr>
    </w:p>
    <w:p w14:paraId="48066B70" w14:textId="650213E3" w:rsidR="002B5996" w:rsidRPr="002B5996" w:rsidRDefault="002B5996" w:rsidP="002B5996">
      <w:pPr>
        <w:rPr>
          <w:rFonts w:ascii="Arial" w:hAnsi="Arial" w:cs="Arial"/>
        </w:rPr>
      </w:pPr>
      <w:r w:rsidRPr="002B5996">
        <w:rPr>
          <w:rFonts w:ascii="Arial" w:hAnsi="Arial" w:cs="Arial"/>
        </w:rPr>
        <w:t>Understanding the relationship between terrorism and criminal activity holds paramount importance for counterterrorism law enforcement in the United Kingdom. Police forces along with the help of other agencies can successfully dismantle terrorist organisations and stop such attacks by identifying and combating the illegal activity that supports terrorist operations</w:t>
      </w:r>
      <w:r>
        <w:rPr>
          <w:rFonts w:ascii="Arial" w:hAnsi="Arial" w:cs="Arial"/>
        </w:rPr>
        <w:t>.</w:t>
      </w:r>
    </w:p>
    <w:p w14:paraId="3954796F" w14:textId="77777777" w:rsidR="002B5996" w:rsidRPr="002B5996" w:rsidRDefault="002B5996" w:rsidP="002B5996">
      <w:pPr>
        <w:rPr>
          <w:rFonts w:ascii="Arial" w:hAnsi="Arial" w:cs="Arial"/>
        </w:rPr>
      </w:pPr>
      <w:r w:rsidRPr="002B5996">
        <w:rPr>
          <w:rFonts w:ascii="Arial" w:hAnsi="Arial" w:cs="Arial"/>
        </w:rPr>
        <w:lastRenderedPageBreak/>
        <w:t>One of the key implications is the need for an integrated policing approach that combines counter-terrorism efforts with traditional crime-fighting strategies.</w:t>
      </w:r>
    </w:p>
    <w:p w14:paraId="78C377AE" w14:textId="77777777" w:rsidR="002B5996" w:rsidRPr="002B5996" w:rsidRDefault="002B5996" w:rsidP="002B5996">
      <w:pPr>
        <w:rPr>
          <w:rFonts w:ascii="Arial" w:hAnsi="Arial" w:cs="Arial"/>
        </w:rPr>
      </w:pPr>
      <w:r w:rsidRPr="002B5996">
        <w:rPr>
          <w:rFonts w:ascii="Arial" w:hAnsi="Arial" w:cs="Arial"/>
        </w:rPr>
        <w:t>Close cooperation between various agencies, particularly those that are devoted to financial crime, organised crime, and community police, is necessary for counterterrorism policing. To find and stop the illegal activities that finance and encourage terrorism, intelligence from various fields must be shared. For instance, to address the financial and organised crime components of terrorist activities, the UK's National Crime Agency (NCA) collaborates closely with counterterrorism units, guaranteeing a coordinated response. (National crime agency, 2023)</w:t>
      </w:r>
    </w:p>
    <w:p w14:paraId="7DD33EAD" w14:textId="77777777" w:rsidR="002B5996" w:rsidRPr="002B5996" w:rsidRDefault="002B5996" w:rsidP="002B5996">
      <w:pPr>
        <w:rPr>
          <w:rFonts w:ascii="Arial" w:hAnsi="Arial" w:cs="Arial"/>
        </w:rPr>
      </w:pPr>
      <w:r w:rsidRPr="002B5996">
        <w:rPr>
          <w:rFonts w:ascii="Arial" w:hAnsi="Arial" w:cs="Arial"/>
        </w:rPr>
        <w:t>Agencies such as the Police and the NCA may disrupt the financial and logistical underpinnings of terrorism by going after the criminal networks that aid terrorist organisations. This entails focussing on people and organisations involved in the larger criminal activities that support terrorist operations in addition to those who are directly involved in terrorism. For example, asset seizures and money laundering investigations can be especially successful in severing terrorist organisations' financial supply networks. (Campana, P, 2016)</w:t>
      </w:r>
    </w:p>
    <w:p w14:paraId="2C18656A" w14:textId="77777777" w:rsidR="002B5996" w:rsidRPr="002B5996" w:rsidRDefault="002B5996" w:rsidP="002B5996">
      <w:pPr>
        <w:rPr>
          <w:rFonts w:ascii="Arial" w:hAnsi="Arial" w:cs="Arial"/>
        </w:rPr>
      </w:pPr>
    </w:p>
    <w:p w14:paraId="3EF76302" w14:textId="77777777" w:rsidR="002B5996" w:rsidRPr="002B5996" w:rsidRDefault="002B5996" w:rsidP="002B5996">
      <w:pPr>
        <w:rPr>
          <w:rFonts w:ascii="Arial" w:hAnsi="Arial" w:cs="Arial"/>
        </w:rPr>
      </w:pPr>
      <w:r w:rsidRPr="002B5996">
        <w:rPr>
          <w:rFonts w:ascii="Arial" w:hAnsi="Arial" w:cs="Arial"/>
        </w:rPr>
        <w:t>Effective counter-terrorism policing relies on enhanced intelligence and surveillance capabilities to monitor and disrupt the criminal activities of terrorist organisations.</w:t>
      </w:r>
    </w:p>
    <w:p w14:paraId="339E12DA" w14:textId="77777777" w:rsidR="002B5996" w:rsidRPr="002B5996" w:rsidRDefault="002B5996" w:rsidP="002B5996">
      <w:pPr>
        <w:rPr>
          <w:rFonts w:ascii="Arial" w:hAnsi="Arial" w:cs="Arial"/>
        </w:rPr>
      </w:pPr>
      <w:r w:rsidRPr="002B5996">
        <w:rPr>
          <w:rFonts w:ascii="Arial" w:hAnsi="Arial" w:cs="Arial"/>
        </w:rPr>
        <w:t>Police have the capability to spot trends that point to a connection between terrorist activity and acquisitive crime by strategically analysing crime data. For example, recurring incidences of specific types of crimes in specific locations can point to a larger scheme including the financing or logistics of terrorism. Investigations into these crimes may become more extensive if the profiling of those involved reveals connections to terrorist organisations. (Richards, J, 2012).</w:t>
      </w:r>
    </w:p>
    <w:p w14:paraId="524607D7" w14:textId="77777777" w:rsidR="002B5996" w:rsidRPr="002B5996" w:rsidRDefault="002B5996" w:rsidP="002B5996">
      <w:pPr>
        <w:rPr>
          <w:rFonts w:ascii="Arial" w:hAnsi="Arial" w:cs="Arial"/>
        </w:rPr>
      </w:pPr>
    </w:p>
    <w:p w14:paraId="63A7AA5B" w14:textId="77777777" w:rsidR="002B5996" w:rsidRPr="002B5996" w:rsidRDefault="002B5996" w:rsidP="002B5996">
      <w:pPr>
        <w:rPr>
          <w:rFonts w:ascii="Arial" w:hAnsi="Arial" w:cs="Arial"/>
        </w:rPr>
      </w:pPr>
      <w:r w:rsidRPr="002B5996">
        <w:rPr>
          <w:rFonts w:ascii="Arial" w:hAnsi="Arial" w:cs="Arial"/>
        </w:rPr>
        <w:t>When it comes to spotting suspicious financial activity that could be connected to terrorism, financial intelligence units (FIUs) are essential. These teams can identify and dismantle terrorist networks by keeping an eye on transactions and examining financial patterns to determine the movement of funds linked to criminal and terrorist activity. As a division of the NCA, the UK's Financial Intelligence Unit seeks to identify and stop the laundering of money obtained via both criminal and terrorist activity. (Schneider, F, 2010).</w:t>
      </w:r>
    </w:p>
    <w:p w14:paraId="323F4A70" w14:textId="77777777" w:rsidR="002B5996" w:rsidRPr="002B5996" w:rsidRDefault="002B5996" w:rsidP="002B5996">
      <w:pPr>
        <w:rPr>
          <w:rFonts w:ascii="Arial" w:hAnsi="Arial" w:cs="Arial"/>
        </w:rPr>
      </w:pPr>
      <w:r w:rsidRPr="002B5996">
        <w:rPr>
          <w:rFonts w:ascii="Arial" w:hAnsi="Arial" w:cs="Arial"/>
        </w:rPr>
        <w:t>Technological developments, especially in data analytics and surveillance, make it possible to monitor terrorist-related criminal activity more successfully. For instance, a report published by FATF shows that the employment of advanced algorithms to monitor and examine trends in illicit transactions or online fraud can assist in locating links between terrorist organisations and criminal networks. In a similar vein, improved surveillance methods like social media and encrypted communication monitoring might yield important details on the organisation and planning of terrorist acts. (FATF, 2015)</w:t>
      </w:r>
    </w:p>
    <w:p w14:paraId="41177B50" w14:textId="77777777" w:rsidR="002B5996" w:rsidRPr="002B5996" w:rsidRDefault="002B5996" w:rsidP="002B5996">
      <w:pPr>
        <w:rPr>
          <w:rFonts w:ascii="Arial" w:hAnsi="Arial" w:cs="Arial"/>
        </w:rPr>
      </w:pPr>
    </w:p>
    <w:p w14:paraId="3CE2709F" w14:textId="784CFE5E" w:rsidR="002B5996" w:rsidRPr="002B5996" w:rsidRDefault="002B5996" w:rsidP="002B5996">
      <w:pPr>
        <w:rPr>
          <w:rFonts w:ascii="Arial" w:hAnsi="Arial" w:cs="Arial"/>
        </w:rPr>
      </w:pPr>
      <w:r w:rsidRPr="002B5996">
        <w:rPr>
          <w:rFonts w:ascii="Arial" w:hAnsi="Arial" w:cs="Arial"/>
        </w:rPr>
        <w:t>Intelligence gathering and community policing are also crucial elements of counterterrorism initiatives. Police can promote the sharing of information that might identify a person's involvement in both criminal and terrorist activity by fostering trust throughout the community. Gaining insight into local criminal networks and potential terrorist sympathisers can be facilitated by community police initiatives that prioritise relationship-building in disadvantaged</w:t>
      </w:r>
      <w:r>
        <w:rPr>
          <w:rFonts w:ascii="Arial" w:hAnsi="Arial" w:cs="Arial"/>
        </w:rPr>
        <w:t xml:space="preserve"> </w:t>
      </w:r>
      <w:r w:rsidRPr="002B5996">
        <w:rPr>
          <w:rFonts w:ascii="Arial" w:hAnsi="Arial" w:cs="Arial"/>
        </w:rPr>
        <w:lastRenderedPageBreak/>
        <w:t>areas. (Mythen, G., Walklate, S. and Peatfield, E.-J, 2017) Additionally, intelligence is an important component in community-based counterterrorism initiatives like the Prevent program. To obtain information that can be used to identify those who are at danger of radicalisation, police collaborate with local communities. This strategy tackles the root causes that push people towards extreme beliefs in addition to trying to stop terrorism. (GOV.UK, 2011).</w:t>
      </w:r>
    </w:p>
    <w:p w14:paraId="56076551" w14:textId="77777777" w:rsidR="002B5996" w:rsidRPr="002B5996" w:rsidRDefault="002B5996" w:rsidP="002B5996">
      <w:pPr>
        <w:rPr>
          <w:rFonts w:ascii="Arial" w:hAnsi="Arial" w:cs="Arial"/>
        </w:rPr>
      </w:pPr>
    </w:p>
    <w:p w14:paraId="07F25788" w14:textId="77777777" w:rsidR="002B5996" w:rsidRPr="002B5996" w:rsidRDefault="002B5996" w:rsidP="002B5996">
      <w:pPr>
        <w:rPr>
          <w:rFonts w:ascii="Arial" w:hAnsi="Arial" w:cs="Arial"/>
        </w:rPr>
      </w:pPr>
      <w:r w:rsidRPr="002B5996">
        <w:rPr>
          <w:rFonts w:ascii="Arial" w:hAnsi="Arial" w:cs="Arial"/>
        </w:rPr>
        <w:t>Preventative measures and early intervention are critical in addressing the root causes of the nexus between terrorism and criminality.</w:t>
      </w:r>
    </w:p>
    <w:p w14:paraId="6DF7566E" w14:textId="77777777" w:rsidR="002B5996" w:rsidRPr="002B5996" w:rsidRDefault="002B5996" w:rsidP="002B5996">
      <w:pPr>
        <w:rPr>
          <w:rFonts w:ascii="Arial" w:hAnsi="Arial" w:cs="Arial"/>
        </w:rPr>
      </w:pPr>
      <w:r w:rsidRPr="002B5996">
        <w:rPr>
          <w:rFonts w:ascii="Arial" w:hAnsi="Arial" w:cs="Arial"/>
        </w:rPr>
        <w:t>De-radicalization tactics for those engaged in both terrorism and criminal activity should be part of counterterrorism enforcement. Interventions that address people's engagement in criminal activity and work to disassociate them from extremist ideology can assist stop the progression of crime into terrorism. For instance, the UK's Prevent policy works with persons who are at danger of radicalisation, such as those engaged in criminal activity, in an effort to prevent them from becoming terrorists. (GOV.UK, 2011)</w:t>
      </w:r>
    </w:p>
    <w:p w14:paraId="6CF95C02" w14:textId="77777777" w:rsidR="002B5996" w:rsidRPr="002B5996" w:rsidRDefault="002B5996" w:rsidP="002B5996">
      <w:pPr>
        <w:rPr>
          <w:rFonts w:ascii="Arial" w:hAnsi="Arial" w:cs="Arial"/>
        </w:rPr>
      </w:pPr>
      <w:r w:rsidRPr="002B5996">
        <w:rPr>
          <w:rFonts w:ascii="Arial" w:hAnsi="Arial" w:cs="Arial"/>
        </w:rPr>
        <w:t>Long-term prevention requires addressing the socioeconomic conditions that fuel both crime and terrorism. Law enforcement authorities can carry out initiatives that minimise social deprivation, give vulnerable people support, and offer education and career opportunities in collaboration with other government agencies and community organisations. These programs can contribute to lessening the attraction of terrorist organisations and lowering their pool of potential recruits by enhancing the socioeconomic environments that support both crime and terrorism. (BRIGGS, R, 2010).</w:t>
      </w:r>
    </w:p>
    <w:p w14:paraId="354BA7C5" w14:textId="77777777" w:rsidR="002B5996" w:rsidRPr="002B5996" w:rsidRDefault="002B5996" w:rsidP="002B5996">
      <w:pPr>
        <w:rPr>
          <w:rFonts w:ascii="Arial" w:hAnsi="Arial" w:cs="Arial"/>
        </w:rPr>
      </w:pPr>
    </w:p>
    <w:p w14:paraId="327011E6" w14:textId="77777777" w:rsidR="002B5996" w:rsidRPr="002B5996" w:rsidRDefault="002B5996" w:rsidP="002B5996">
      <w:pPr>
        <w:rPr>
          <w:rFonts w:ascii="Arial" w:hAnsi="Arial" w:cs="Arial"/>
        </w:rPr>
      </w:pPr>
      <w:r w:rsidRPr="002B5996">
        <w:rPr>
          <w:rFonts w:ascii="Arial" w:hAnsi="Arial" w:cs="Arial"/>
        </w:rPr>
        <w:t>Pre-emptive actions that address the relationship between criminals and terrorists directly can also be successful. This covers tactics including disrupting the supply chains for illicit items, enforcing stricter border controls to stop smuggling, and strengthening financial transaction regulations to stop money laundering. The police can reduce terrorist organisations' operational capabilities and decrease the risk of terrorist attacks by making it more difficult for them to engage in criminal activity. (Makarenko, T, 2004)</w:t>
      </w:r>
    </w:p>
    <w:p w14:paraId="48B888A6" w14:textId="77777777" w:rsidR="002B5996" w:rsidRDefault="002B5996" w:rsidP="002B5996">
      <w:pPr>
        <w:rPr>
          <w:rFonts w:ascii="Arial" w:hAnsi="Arial" w:cs="Arial"/>
        </w:rPr>
      </w:pPr>
    </w:p>
    <w:p w14:paraId="0694DD9A" w14:textId="3CC7669E" w:rsidR="002B5996" w:rsidRPr="002B5996" w:rsidRDefault="002B5996" w:rsidP="002B5996">
      <w:pPr>
        <w:rPr>
          <w:rFonts w:ascii="Arial" w:hAnsi="Arial" w:cs="Arial"/>
        </w:rPr>
      </w:pPr>
      <w:r w:rsidRPr="002B5996">
        <w:rPr>
          <w:rFonts w:ascii="Arial" w:hAnsi="Arial" w:cs="Arial"/>
        </w:rPr>
        <w:t>In conclusion, terrorist organisations' need to fund activities, maintain logistical capabilities, and maintain their networks leads them to become involved in other acquisitive crimes, including fraud, drug trafficking, and money laundering. Not only do these activities give vital financing, but they also mask their main goals, making it harder for police to detect and stop them. Understanding the relationship between terrorism and acquisitive crime is essential for counterterrorism prevention in the United Kingdom.</w:t>
      </w:r>
    </w:p>
    <w:p w14:paraId="180603E9" w14:textId="77777777" w:rsidR="002B5996" w:rsidRPr="002B5996" w:rsidRDefault="002B5996" w:rsidP="002B5996">
      <w:pPr>
        <w:rPr>
          <w:rFonts w:ascii="Arial" w:hAnsi="Arial" w:cs="Arial"/>
        </w:rPr>
      </w:pPr>
      <w:r w:rsidRPr="002B5996">
        <w:rPr>
          <w:rFonts w:ascii="Arial" w:hAnsi="Arial" w:cs="Arial"/>
        </w:rPr>
        <w:t>Police can more effectively detect, disrupt, and destroy terrorist networks by taking a comprehensive strategy that targets the financial foundations of the terrorist organisation. To combat these overlapping dangers, there must be increased cooperation between financial crime investigators, counterterrorism units, and foreign partners. In the long run, UK law enforcement can more successfully counteract the changing landscape of terrorist activity by concentrating on the economic aspects of terrorism.</w:t>
      </w:r>
    </w:p>
    <w:p w14:paraId="27310232" w14:textId="77777777" w:rsidR="002B5996" w:rsidRDefault="002B5996" w:rsidP="002B5996">
      <w:pPr>
        <w:rPr>
          <w:rFonts w:ascii="Arial" w:hAnsi="Arial" w:cs="Arial"/>
        </w:rPr>
      </w:pPr>
    </w:p>
    <w:p w14:paraId="29922BBA" w14:textId="67A45A81" w:rsidR="002B5996" w:rsidRDefault="002B5996" w:rsidP="002B5996">
      <w:pPr>
        <w:rPr>
          <w:rFonts w:ascii="Arial" w:hAnsi="Arial" w:cs="Arial"/>
        </w:rPr>
      </w:pPr>
      <w:r w:rsidRPr="002B5996">
        <w:rPr>
          <w:rFonts w:ascii="Arial" w:hAnsi="Arial" w:cs="Arial"/>
        </w:rPr>
        <w:t>Word Count: 1831</w:t>
      </w:r>
    </w:p>
    <w:p w14:paraId="3E76AC3F" w14:textId="603D4523" w:rsidR="002B5996" w:rsidRPr="002B5996" w:rsidRDefault="002B5996" w:rsidP="002B5996">
      <w:pPr>
        <w:rPr>
          <w:rFonts w:ascii="Arial" w:hAnsi="Arial" w:cs="Arial"/>
        </w:rPr>
      </w:pPr>
      <w:r w:rsidRPr="002B5996">
        <w:rPr>
          <w:rFonts w:ascii="Arial" w:hAnsi="Arial" w:cs="Arial"/>
        </w:rPr>
        <w:lastRenderedPageBreak/>
        <w:t xml:space="preserve">Asal, V., Milward, H.B. and Schoon, E.W. (2014) ‘When terrorists go bad: Analyzing terrorist organizations’ involvement in drug smuggling’, International Studies Quarterly, 59(1), pp. 112–123. doi:10.1111/isqu.12162. </w:t>
      </w:r>
    </w:p>
    <w:p w14:paraId="69BAD39C" w14:textId="77777777" w:rsidR="002B5996" w:rsidRPr="002B5996" w:rsidRDefault="002B5996" w:rsidP="002B5996">
      <w:pPr>
        <w:rPr>
          <w:rFonts w:ascii="Arial" w:hAnsi="Arial" w:cs="Arial"/>
        </w:rPr>
      </w:pPr>
    </w:p>
    <w:p w14:paraId="3F550900" w14:textId="77777777" w:rsidR="002B5996" w:rsidRPr="002B5996" w:rsidRDefault="002B5996" w:rsidP="002B5996">
      <w:pPr>
        <w:rPr>
          <w:rFonts w:ascii="Arial" w:hAnsi="Arial" w:cs="Arial"/>
        </w:rPr>
      </w:pPr>
      <w:r w:rsidRPr="002B5996">
        <w:rPr>
          <w:rFonts w:ascii="Arial" w:hAnsi="Arial" w:cs="Arial"/>
        </w:rPr>
        <w:t>Bandyopadhyay, S. and Ijaz, A. (2021) ‘Is there a relationship between inequality and terrorism? evidence from a semi-parametric approach’, Applied Economics Letters, 29(9), pp. 855–860. doi:10.1080/13504851.2021.1925625.</w:t>
      </w:r>
    </w:p>
    <w:p w14:paraId="3C470C1C" w14:textId="77777777" w:rsidR="002B5996" w:rsidRPr="002B5996" w:rsidRDefault="002B5996" w:rsidP="002B5996">
      <w:pPr>
        <w:rPr>
          <w:rFonts w:ascii="Arial" w:hAnsi="Arial" w:cs="Arial"/>
        </w:rPr>
      </w:pPr>
    </w:p>
    <w:p w14:paraId="0CA8501D" w14:textId="77777777" w:rsidR="002B5996" w:rsidRPr="002B5996" w:rsidRDefault="002B5996" w:rsidP="002B5996">
      <w:pPr>
        <w:rPr>
          <w:rFonts w:ascii="Arial" w:hAnsi="Arial" w:cs="Arial"/>
        </w:rPr>
      </w:pPr>
      <w:r w:rsidRPr="002B5996">
        <w:rPr>
          <w:rFonts w:ascii="Arial" w:hAnsi="Arial" w:cs="Arial"/>
        </w:rPr>
        <w:t>BRIGGS, R. (2010). Community engagement for counterterrorism: lessons from the United Kingdom. International Affairs (Royal Institute of International Affairs 1944-), 86(4), 971–981. http://www.jstor.org/stable/40865006</w:t>
      </w:r>
    </w:p>
    <w:p w14:paraId="30161605" w14:textId="77777777" w:rsidR="002B5996" w:rsidRPr="002B5996" w:rsidRDefault="002B5996" w:rsidP="002B5996">
      <w:pPr>
        <w:rPr>
          <w:rFonts w:ascii="Arial" w:hAnsi="Arial" w:cs="Arial"/>
        </w:rPr>
      </w:pPr>
    </w:p>
    <w:p w14:paraId="5A577B1B" w14:textId="77777777" w:rsidR="002B5996" w:rsidRPr="002B5996" w:rsidRDefault="002B5996" w:rsidP="002B5996">
      <w:pPr>
        <w:rPr>
          <w:rFonts w:ascii="Arial" w:hAnsi="Arial" w:cs="Arial"/>
        </w:rPr>
      </w:pPr>
      <w:r w:rsidRPr="002B5996">
        <w:rPr>
          <w:rFonts w:ascii="Arial" w:hAnsi="Arial" w:cs="Arial"/>
        </w:rPr>
        <w:t xml:space="preserve">Campana, P. (2016) ‘Explaining criminal networks: Strategies and potential pitfalls’, Methodological Innovations, 9, p. 205979911562274. doi:10.1177/2059799115622748. </w:t>
      </w:r>
    </w:p>
    <w:p w14:paraId="691AAAF9" w14:textId="77777777" w:rsidR="002B5996" w:rsidRPr="002B5996" w:rsidRDefault="002B5996" w:rsidP="002B5996">
      <w:pPr>
        <w:rPr>
          <w:rFonts w:ascii="Arial" w:hAnsi="Arial" w:cs="Arial"/>
        </w:rPr>
      </w:pPr>
    </w:p>
    <w:p w14:paraId="3F1E0F70" w14:textId="77777777" w:rsidR="002B5996" w:rsidRPr="002B5996" w:rsidRDefault="002B5996" w:rsidP="002B5996">
      <w:pPr>
        <w:rPr>
          <w:rFonts w:ascii="Arial" w:hAnsi="Arial" w:cs="Arial"/>
        </w:rPr>
      </w:pPr>
      <w:r w:rsidRPr="002B5996">
        <w:rPr>
          <w:rFonts w:ascii="Arial" w:hAnsi="Arial" w:cs="Arial"/>
        </w:rPr>
        <w:t xml:space="preserve">Clarke, R.V. and Newman, G.R. (2007) ‘Police and the prevention of terrorism’, Policing, 1(1), pp. 9–20. doi:10.1093/police/pam003. </w:t>
      </w:r>
    </w:p>
    <w:p w14:paraId="7F4314A0" w14:textId="77777777" w:rsidR="002B5996" w:rsidRPr="002B5996" w:rsidRDefault="002B5996" w:rsidP="002B5996">
      <w:pPr>
        <w:rPr>
          <w:rFonts w:ascii="Arial" w:hAnsi="Arial" w:cs="Arial"/>
        </w:rPr>
      </w:pPr>
    </w:p>
    <w:p w14:paraId="4B7B2F44" w14:textId="77777777" w:rsidR="002B5996" w:rsidRPr="002B5996" w:rsidRDefault="002B5996" w:rsidP="002B5996">
      <w:pPr>
        <w:rPr>
          <w:rFonts w:ascii="Arial" w:hAnsi="Arial" w:cs="Arial"/>
        </w:rPr>
      </w:pPr>
      <w:r w:rsidRPr="002B5996">
        <w:rPr>
          <w:rFonts w:ascii="Arial" w:hAnsi="Arial" w:cs="Arial"/>
        </w:rPr>
        <w:t>Financial Action Task Force, (FATF) (2015) Digital Transformation of AML/CFT. Available online: www.fatf-gafi.org/en/publications/Digitaltransformation/Digital-transformation.html Accessed: 31 August 2024.</w:t>
      </w:r>
    </w:p>
    <w:p w14:paraId="4FD12855" w14:textId="77777777" w:rsidR="002B5996" w:rsidRPr="002B5996" w:rsidRDefault="002B5996" w:rsidP="002B5996">
      <w:pPr>
        <w:rPr>
          <w:rFonts w:ascii="Arial" w:hAnsi="Arial" w:cs="Arial"/>
        </w:rPr>
      </w:pPr>
    </w:p>
    <w:p w14:paraId="26051C8C" w14:textId="77777777" w:rsidR="002B5996" w:rsidRPr="002B5996" w:rsidRDefault="002B5996" w:rsidP="002B5996">
      <w:pPr>
        <w:rPr>
          <w:rFonts w:ascii="Arial" w:hAnsi="Arial" w:cs="Arial"/>
        </w:rPr>
      </w:pPr>
      <w:r w:rsidRPr="002B5996">
        <w:rPr>
          <w:rFonts w:ascii="Arial" w:hAnsi="Arial" w:cs="Arial"/>
        </w:rPr>
        <w:t xml:space="preserve">GOV.UK (2011) Prevent strategy 2011, Home officer. Available online: www.gov.uk/government/publications/prevent-strategy-2011 Accessed: 31 August 2024. </w:t>
      </w:r>
    </w:p>
    <w:p w14:paraId="2D24EE44" w14:textId="77777777" w:rsidR="002B5996" w:rsidRPr="002B5996" w:rsidRDefault="002B5996" w:rsidP="002B5996">
      <w:pPr>
        <w:rPr>
          <w:rFonts w:ascii="Arial" w:hAnsi="Arial" w:cs="Arial"/>
        </w:rPr>
      </w:pPr>
    </w:p>
    <w:p w14:paraId="26497F51" w14:textId="77777777" w:rsidR="002B5996" w:rsidRPr="002B5996" w:rsidRDefault="002B5996" w:rsidP="002B5996">
      <w:pPr>
        <w:rPr>
          <w:rFonts w:ascii="Arial" w:hAnsi="Arial" w:cs="Arial"/>
        </w:rPr>
      </w:pPr>
      <w:r w:rsidRPr="002B5996">
        <w:rPr>
          <w:rFonts w:ascii="Arial" w:hAnsi="Arial" w:cs="Arial"/>
        </w:rPr>
        <w:t>GOV.UK (2021) Countering Terrorist Financing, Treasury, H. Available online: www.gov.uk/government/publications/countering-terrorist-financing/countering-terrorist-financing Accessed: 31 August 2024.</w:t>
      </w:r>
    </w:p>
    <w:p w14:paraId="6CA6054A" w14:textId="77777777" w:rsidR="002B5996" w:rsidRPr="002B5996" w:rsidRDefault="002B5996" w:rsidP="002B5996">
      <w:pPr>
        <w:rPr>
          <w:rFonts w:ascii="Arial" w:hAnsi="Arial" w:cs="Arial"/>
        </w:rPr>
      </w:pPr>
    </w:p>
    <w:p w14:paraId="3825D0EF" w14:textId="77777777" w:rsidR="002B5996" w:rsidRPr="002B5996" w:rsidRDefault="002B5996" w:rsidP="002B5996">
      <w:pPr>
        <w:rPr>
          <w:rFonts w:ascii="Arial" w:hAnsi="Arial" w:cs="Arial"/>
        </w:rPr>
      </w:pPr>
      <w:r w:rsidRPr="002B5996">
        <w:rPr>
          <w:rFonts w:ascii="Arial" w:hAnsi="Arial" w:cs="Arial"/>
        </w:rPr>
        <w:t xml:space="preserve">Hutchinson, S. and O’malley, P. (2007) ‘A crime–terror nexus? thinking on some of the links between terrorism and criminality1’, Studies in Conflict &amp;amp; Terrorism, 30(12), pp. 1095–1107. doi:10.1080/10576100701670870. </w:t>
      </w:r>
    </w:p>
    <w:p w14:paraId="1DCD2DC7" w14:textId="77777777" w:rsidR="002B5996" w:rsidRPr="002B5996" w:rsidRDefault="002B5996" w:rsidP="002B5996">
      <w:pPr>
        <w:rPr>
          <w:rFonts w:ascii="Arial" w:hAnsi="Arial" w:cs="Arial"/>
        </w:rPr>
      </w:pPr>
    </w:p>
    <w:p w14:paraId="6361F3AC" w14:textId="77777777" w:rsidR="002B5996" w:rsidRPr="002B5996" w:rsidRDefault="002B5996" w:rsidP="002B5996">
      <w:pPr>
        <w:rPr>
          <w:rFonts w:ascii="Arial" w:hAnsi="Arial" w:cs="Arial"/>
        </w:rPr>
      </w:pPr>
      <w:r w:rsidRPr="002B5996">
        <w:rPr>
          <w:rFonts w:ascii="Arial" w:hAnsi="Arial" w:cs="Arial"/>
        </w:rPr>
        <w:t xml:space="preserve">Makarenko, T. (2004) ‘The crime-terror continuum: Tracing the interplay between transnational organised crime and terrorism’, Global Crime, 6(1), pp. 129–145. doi:10.1080/1744057042000297025. </w:t>
      </w:r>
    </w:p>
    <w:p w14:paraId="3FCDF928" w14:textId="77777777" w:rsidR="002B5996" w:rsidRPr="002B5996" w:rsidRDefault="002B5996" w:rsidP="002B5996">
      <w:pPr>
        <w:rPr>
          <w:rFonts w:ascii="Arial" w:hAnsi="Arial" w:cs="Arial"/>
        </w:rPr>
      </w:pPr>
    </w:p>
    <w:p w14:paraId="5BDC4E0B" w14:textId="77777777" w:rsidR="002B5996" w:rsidRPr="002B5996" w:rsidRDefault="002B5996" w:rsidP="002B5996">
      <w:pPr>
        <w:rPr>
          <w:rFonts w:ascii="Arial" w:hAnsi="Arial" w:cs="Arial"/>
        </w:rPr>
      </w:pPr>
      <w:r w:rsidRPr="002B5996">
        <w:rPr>
          <w:rFonts w:ascii="Arial" w:hAnsi="Arial" w:cs="Arial"/>
        </w:rPr>
        <w:t>MI5 - the security service (2024) Counter-terrorism: Security Service MI5. Available online: www.mi5.gov.uk/what-we-do/countering-terrorism Accessed: 30 August 2024.</w:t>
      </w:r>
    </w:p>
    <w:p w14:paraId="2DAAE605" w14:textId="77777777" w:rsidR="002B5996" w:rsidRPr="002B5996" w:rsidRDefault="002B5996" w:rsidP="002B5996">
      <w:pPr>
        <w:rPr>
          <w:rFonts w:ascii="Arial" w:hAnsi="Arial" w:cs="Arial"/>
        </w:rPr>
      </w:pPr>
    </w:p>
    <w:p w14:paraId="1047287C" w14:textId="77777777" w:rsidR="002B5996" w:rsidRPr="002B5996" w:rsidRDefault="002B5996" w:rsidP="002B5996">
      <w:pPr>
        <w:rPr>
          <w:rFonts w:ascii="Arial" w:hAnsi="Arial" w:cs="Arial"/>
        </w:rPr>
      </w:pPr>
      <w:r w:rsidRPr="002B5996">
        <w:rPr>
          <w:rFonts w:ascii="Arial" w:hAnsi="Arial" w:cs="Arial"/>
        </w:rPr>
        <w:t xml:space="preserve">Mythen, G., Walklate, S. and Peatfield, E.-J. (2017) ‘Assembling and deconstructing radicalisation in prevent: A case of policy-based evidence making?’, Critical Social Policy, 37(2), pp. 180–201. doi:10.1177/0261018316683463. </w:t>
      </w:r>
    </w:p>
    <w:p w14:paraId="14E8C849" w14:textId="77777777" w:rsidR="002B5996" w:rsidRPr="002B5996" w:rsidRDefault="002B5996" w:rsidP="002B5996">
      <w:pPr>
        <w:rPr>
          <w:rFonts w:ascii="Arial" w:hAnsi="Arial" w:cs="Arial"/>
        </w:rPr>
      </w:pPr>
    </w:p>
    <w:p w14:paraId="41584494" w14:textId="77777777" w:rsidR="002B5996" w:rsidRPr="002B5996" w:rsidRDefault="002B5996" w:rsidP="002B5996">
      <w:pPr>
        <w:rPr>
          <w:rFonts w:ascii="Arial" w:hAnsi="Arial" w:cs="Arial"/>
        </w:rPr>
      </w:pPr>
      <w:r w:rsidRPr="002B5996">
        <w:rPr>
          <w:rFonts w:ascii="Arial" w:hAnsi="Arial" w:cs="Arial"/>
        </w:rPr>
        <w:t>National crime agency (2023) Money laundering and illicit finance -. Available online: www.nationalcrimeagency.gov.uk/what-we-do/crime-threats/money-laundering-and-illicit-finance Accessed: 29 August 2024.</w:t>
      </w:r>
    </w:p>
    <w:p w14:paraId="724BB41C" w14:textId="77777777" w:rsidR="002B5996" w:rsidRPr="002B5996" w:rsidRDefault="002B5996" w:rsidP="002B5996">
      <w:pPr>
        <w:rPr>
          <w:rFonts w:ascii="Arial" w:hAnsi="Arial" w:cs="Arial"/>
        </w:rPr>
      </w:pPr>
    </w:p>
    <w:p w14:paraId="5D4987E9" w14:textId="77777777" w:rsidR="002B5996" w:rsidRPr="002B5996" w:rsidRDefault="002B5996" w:rsidP="002B5996">
      <w:pPr>
        <w:rPr>
          <w:rFonts w:ascii="Arial" w:hAnsi="Arial" w:cs="Arial"/>
        </w:rPr>
      </w:pPr>
      <w:r w:rsidRPr="002B5996">
        <w:rPr>
          <w:rFonts w:ascii="Arial" w:hAnsi="Arial" w:cs="Arial"/>
        </w:rPr>
        <w:t>Richards, J, (2012) ‘Intelligence dilemma? contemporary counter-terrorism in a liberal democracy’, Intelligence and National Security, 27(5), pp. 761–780. doi:10.1080/02684527.2012.708528.</w:t>
      </w:r>
    </w:p>
    <w:p w14:paraId="68EFEBA8" w14:textId="77777777" w:rsidR="002B5996" w:rsidRPr="002B5996" w:rsidRDefault="002B5996" w:rsidP="002B5996">
      <w:pPr>
        <w:rPr>
          <w:rFonts w:ascii="Arial" w:hAnsi="Arial" w:cs="Arial"/>
        </w:rPr>
      </w:pPr>
      <w:r w:rsidRPr="002B5996">
        <w:rPr>
          <w:rFonts w:ascii="Arial" w:hAnsi="Arial" w:cs="Arial"/>
        </w:rPr>
        <w:t>Rushchenko, J. (2019) ‘Terrorist recruitment and prison radicalization: Assessing the UK experiment of “Separation Centres”’, European Journal of Criminology, 16(3), pp. 295–314. doi:10.1177/1477370819828946.</w:t>
      </w:r>
    </w:p>
    <w:p w14:paraId="57306917" w14:textId="77777777" w:rsidR="002B5996" w:rsidRPr="002B5996" w:rsidRDefault="002B5996" w:rsidP="002B5996">
      <w:pPr>
        <w:rPr>
          <w:rFonts w:ascii="Arial" w:hAnsi="Arial" w:cs="Arial"/>
        </w:rPr>
      </w:pPr>
    </w:p>
    <w:p w14:paraId="773C881F" w14:textId="77777777" w:rsidR="002B5996" w:rsidRPr="002B5996" w:rsidRDefault="002B5996" w:rsidP="002B5996">
      <w:pPr>
        <w:rPr>
          <w:rFonts w:ascii="Arial" w:hAnsi="Arial" w:cs="Arial"/>
        </w:rPr>
      </w:pPr>
      <w:r w:rsidRPr="002B5996">
        <w:rPr>
          <w:rFonts w:ascii="Arial" w:hAnsi="Arial" w:cs="Arial"/>
        </w:rPr>
        <w:t xml:space="preserve">Sandberg, S., Tutenges, S. and Ilan, J. (2023) ‘The street-jihadi spectrum: Marginality, radicalization, and resistance to extremism’, European Journal of Criminology, 21(2), pp. 210–230. doi:10.1177/14773708231182520. </w:t>
      </w:r>
    </w:p>
    <w:p w14:paraId="683EF543" w14:textId="77777777" w:rsidR="002B5996" w:rsidRPr="002B5996" w:rsidRDefault="002B5996" w:rsidP="002B5996">
      <w:pPr>
        <w:rPr>
          <w:rFonts w:ascii="Arial" w:hAnsi="Arial" w:cs="Arial"/>
        </w:rPr>
      </w:pPr>
    </w:p>
    <w:p w14:paraId="69DBA644" w14:textId="5253E9AC" w:rsidR="00206856" w:rsidRPr="002B5996" w:rsidRDefault="002B5996" w:rsidP="002B5996">
      <w:pPr>
        <w:rPr>
          <w:rFonts w:ascii="Arial" w:hAnsi="Arial" w:cs="Arial"/>
        </w:rPr>
      </w:pPr>
      <w:r w:rsidRPr="002B5996">
        <w:rPr>
          <w:rFonts w:ascii="Arial" w:hAnsi="Arial" w:cs="Arial"/>
        </w:rPr>
        <w:t>Schneider, F. (2010). Turnover of organized crime and money laundering: some preliminary empirical findings. Public Choice, 144(3/4), 473–486. http://www.jstor.org/stable/40835624</w:t>
      </w:r>
    </w:p>
    <w:sectPr w:rsidR="00206856" w:rsidRPr="002B5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996"/>
    <w:rsid w:val="00206856"/>
    <w:rsid w:val="002B5996"/>
    <w:rsid w:val="00320CCE"/>
    <w:rsid w:val="003A1D2C"/>
    <w:rsid w:val="00FB6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20B3"/>
  <w15:chartTrackingRefBased/>
  <w15:docId w15:val="{EDC9952A-4AFA-4CDF-A825-F228CE5D5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5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5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59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9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9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9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9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9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9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9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59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59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9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9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9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9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9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996"/>
    <w:rPr>
      <w:rFonts w:eastAsiaTheme="majorEastAsia" w:cstheme="majorBidi"/>
      <w:color w:val="272727" w:themeColor="text1" w:themeTint="D8"/>
    </w:rPr>
  </w:style>
  <w:style w:type="paragraph" w:styleId="Title">
    <w:name w:val="Title"/>
    <w:basedOn w:val="Normal"/>
    <w:next w:val="Normal"/>
    <w:link w:val="TitleChar"/>
    <w:uiPriority w:val="10"/>
    <w:qFormat/>
    <w:rsid w:val="002B59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9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9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9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996"/>
    <w:pPr>
      <w:spacing w:before="160"/>
      <w:jc w:val="center"/>
    </w:pPr>
    <w:rPr>
      <w:i/>
      <w:iCs/>
      <w:color w:val="404040" w:themeColor="text1" w:themeTint="BF"/>
    </w:rPr>
  </w:style>
  <w:style w:type="character" w:customStyle="1" w:styleId="QuoteChar">
    <w:name w:val="Quote Char"/>
    <w:basedOn w:val="DefaultParagraphFont"/>
    <w:link w:val="Quote"/>
    <w:uiPriority w:val="29"/>
    <w:rsid w:val="002B5996"/>
    <w:rPr>
      <w:i/>
      <w:iCs/>
      <w:color w:val="404040" w:themeColor="text1" w:themeTint="BF"/>
    </w:rPr>
  </w:style>
  <w:style w:type="paragraph" w:styleId="ListParagraph">
    <w:name w:val="List Paragraph"/>
    <w:basedOn w:val="Normal"/>
    <w:uiPriority w:val="34"/>
    <w:qFormat/>
    <w:rsid w:val="002B5996"/>
    <w:pPr>
      <w:ind w:left="720"/>
      <w:contextualSpacing/>
    </w:pPr>
  </w:style>
  <w:style w:type="character" w:styleId="IntenseEmphasis">
    <w:name w:val="Intense Emphasis"/>
    <w:basedOn w:val="DefaultParagraphFont"/>
    <w:uiPriority w:val="21"/>
    <w:qFormat/>
    <w:rsid w:val="002B5996"/>
    <w:rPr>
      <w:i/>
      <w:iCs/>
      <w:color w:val="0F4761" w:themeColor="accent1" w:themeShade="BF"/>
    </w:rPr>
  </w:style>
  <w:style w:type="paragraph" w:styleId="IntenseQuote">
    <w:name w:val="Intense Quote"/>
    <w:basedOn w:val="Normal"/>
    <w:next w:val="Normal"/>
    <w:link w:val="IntenseQuoteChar"/>
    <w:uiPriority w:val="30"/>
    <w:qFormat/>
    <w:rsid w:val="002B5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996"/>
    <w:rPr>
      <w:i/>
      <w:iCs/>
      <w:color w:val="0F4761" w:themeColor="accent1" w:themeShade="BF"/>
    </w:rPr>
  </w:style>
  <w:style w:type="character" w:styleId="IntenseReference">
    <w:name w:val="Intense Reference"/>
    <w:basedOn w:val="DefaultParagraphFont"/>
    <w:uiPriority w:val="32"/>
    <w:qFormat/>
    <w:rsid w:val="002B59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5187</Words>
  <Characters>29567</Characters>
  <Application>Microsoft Office Word</Application>
  <DocSecurity>0</DocSecurity>
  <Lines>246</Lines>
  <Paragraphs>69</Paragraphs>
  <ScaleCrop>false</ScaleCrop>
  <Company>South Wales Police</Company>
  <LinksUpToDate>false</LinksUpToDate>
  <CharactersWithSpaces>34685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Wilson,Drew swp8567</dc:creator>
  <cp:keywords/>
  <dc:description/>
  <cp:lastModifiedBy>Wilson,Drew swp8567</cp:lastModifiedBy>
  <cp:revision>2</cp:revision>
  <dcterms:created xsi:type="dcterms:W3CDTF">2024-09-02T11:35:00Z</dcterms:created>
  <dcterms:modified xsi:type="dcterms:W3CDTF">2024-09-02T11:42:00Z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2024-09-02T11:40:24Z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0fbfcfb5-8d12-4a91-aedb-b3e7324a88d7</vt:lpwstr>
  </property>
  <property fmtid="{D5CDD505-2E9C-101B-9397-08002B2CF9AE}" pid="8" name="MSIP_Label_66cf8fe5-b7b7-4df7-b38d-1c61ac2f6639_ContentBits">
    <vt:lpwstr>0</vt:lpwstr>
  </property>
</Properties>
</file>