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3C85" w:rsidRPr="00A14FB4" w:rsidRDefault="001F1504">
      <w:pPr>
        <w:rPr>
          <w:sz w:val="28"/>
          <w:szCs w:val="28"/>
          <w:u w:val="single"/>
        </w:rPr>
      </w:pPr>
      <w:r w:rsidRPr="00A14FB4">
        <w:rPr>
          <w:sz w:val="28"/>
          <w:szCs w:val="28"/>
          <w:u w:val="single"/>
        </w:rPr>
        <w:t>Does the example of the ship of Theseus resolve issues about the continuing identity of persons?</w:t>
      </w:r>
    </w:p>
    <w:p w:rsidR="0045489F" w:rsidRPr="00A14FB4" w:rsidRDefault="0045489F">
      <w:r w:rsidRPr="00A14FB4">
        <w:t>The issue of continuing identity of persons, and what constitutes such a continuation, has largely been approached through two opposing ideas. The physical continuity approach looks at the significance of a persisting form, whereas the p</w:t>
      </w:r>
      <w:r w:rsidR="00934822">
        <w:t>sychol</w:t>
      </w:r>
      <w:r w:rsidRPr="00A14FB4">
        <w:t>ogical continuity approach focuses on the endurance of a person’s mental facets. Although the ship of Theseus does not exhibit personhood, it can address and perhaps resolve these issues.</w:t>
      </w:r>
    </w:p>
    <w:p w:rsidR="000A7829" w:rsidRPr="00A14FB4" w:rsidRDefault="00696E59">
      <w:r w:rsidRPr="00A14FB4">
        <w:t>The example</w:t>
      </w:r>
      <w:r w:rsidR="001F1504" w:rsidRPr="00A14FB4">
        <w:t xml:space="preserve"> of the ship of Theseus</w:t>
      </w:r>
      <w:r w:rsidR="0045489F" w:rsidRPr="00A14FB4">
        <w:t xml:space="preserve"> primarily</w:t>
      </w:r>
      <w:r w:rsidR="001F1504" w:rsidRPr="00A14FB4">
        <w:t xml:space="preserve"> addresses the question of whether being subject to physical change has any bearing on the continuity of the identity. Over time, the ships constituent parts are gradually replaced. As new parts </w:t>
      </w:r>
      <w:r w:rsidR="008F0440" w:rsidRPr="00A14FB4">
        <w:t xml:space="preserve">are </w:t>
      </w:r>
      <w:r w:rsidR="001F1504" w:rsidRPr="00A14FB4">
        <w:t xml:space="preserve">attached, and old ones discarded, one is left to wonder at what point the ship ceased to be the original ship of Theseus. </w:t>
      </w:r>
      <w:r w:rsidR="00765329" w:rsidRPr="00A14FB4">
        <w:t>If physical continuity has significance concerning continued identity, one can imagine that once all the original parts were replaced by new ones, the original parts could be reassembled. Then, it would follow, that what one had reassembled was the original ship</w:t>
      </w:r>
      <w:r w:rsidR="00182251">
        <w:t>,</w:t>
      </w:r>
      <w:r w:rsidR="00765329" w:rsidRPr="00A14FB4">
        <w:t xml:space="preserve"> rather than an entirely new one. </w:t>
      </w:r>
    </w:p>
    <w:p w:rsidR="00623C85" w:rsidRPr="00A14FB4" w:rsidRDefault="00765329" w:rsidP="008276DE">
      <w:r w:rsidRPr="00A14FB4">
        <w:t xml:space="preserve">This principle seems to apply well. In the United States of America, Beyond Meat Co. has successfully used this principle in the marketing of their plant based meat products, which they distinguish </w:t>
      </w:r>
      <w:r w:rsidR="008F0440" w:rsidRPr="00A14FB4">
        <w:t xml:space="preserve">from meat alternative products </w:t>
      </w:r>
      <w:r w:rsidRPr="00A14FB4">
        <w:t>such as textured soya protein or wheat-based seitan</w:t>
      </w:r>
      <w:r w:rsidRPr="00A14FB4">
        <w:rPr>
          <w:rStyle w:val="FootnoteReference"/>
        </w:rPr>
        <w:footnoteReference w:id="1"/>
      </w:r>
      <w:r w:rsidRPr="00A14FB4">
        <w:t>.</w:t>
      </w:r>
      <w:r w:rsidR="000A7829" w:rsidRPr="00A14FB4">
        <w:t xml:space="preserve"> CEO Ethan Brown has described his approach as ‘creating a piece of meat directly from plants</w:t>
      </w:r>
      <w:r w:rsidR="000A7829" w:rsidRPr="00A14FB4">
        <w:rPr>
          <w:rStyle w:val="FootnoteReference"/>
        </w:rPr>
        <w:footnoteReference w:id="2"/>
      </w:r>
      <w:r w:rsidR="000A7829" w:rsidRPr="00A14FB4">
        <w:t>’, identifying the physical characteristics of meat and assembling plant sourced materials in accordance with the architecture of meat</w:t>
      </w:r>
      <w:r w:rsidR="000A7829" w:rsidRPr="00A14FB4">
        <w:rPr>
          <w:rStyle w:val="FootnoteReference"/>
        </w:rPr>
        <w:footnoteReference w:id="3"/>
      </w:r>
      <w:r w:rsidR="000A7829" w:rsidRPr="00A14FB4">
        <w:t xml:space="preserve">. </w:t>
      </w:r>
      <w:r w:rsidR="008F0440" w:rsidRPr="00A14FB4">
        <w:t>T</w:t>
      </w:r>
      <w:r w:rsidR="000A7829" w:rsidRPr="00A14FB4">
        <w:t>hey have evidenced their own successful campaign to have their products stocked alongside animal-base</w:t>
      </w:r>
      <w:r w:rsidR="00851FB7" w:rsidRPr="00A14FB4">
        <w:t>d meat products in some outlets</w:t>
      </w:r>
      <w:r w:rsidR="000A7829" w:rsidRPr="00A14FB4">
        <w:rPr>
          <w:rStyle w:val="FootnoteReference"/>
        </w:rPr>
        <w:footnoteReference w:id="4"/>
      </w:r>
      <w:r w:rsidR="00851FB7" w:rsidRPr="00A14FB4">
        <w:t>.</w:t>
      </w:r>
      <w:r w:rsidR="003D3BDD" w:rsidRPr="00A14FB4">
        <w:t xml:space="preserve"> The physical continuity of identity, in this case, is convincing enough to lobby big businesses and legislators of trading standards.</w:t>
      </w:r>
      <w:r w:rsidR="00550C79" w:rsidRPr="00A14FB4">
        <w:br/>
      </w:r>
      <w:r w:rsidR="00550C79" w:rsidRPr="00A14FB4">
        <w:br/>
        <w:t>E.J. Lowe expands</w:t>
      </w:r>
      <w:r w:rsidR="000A7829" w:rsidRPr="00A14FB4">
        <w:t xml:space="preserve"> the</w:t>
      </w:r>
      <w:r w:rsidR="00550C79" w:rsidRPr="00A14FB4">
        <w:t xml:space="preserve"> </w:t>
      </w:r>
      <w:r w:rsidR="00851FB7" w:rsidRPr="00A14FB4">
        <w:t xml:space="preserve">ship </w:t>
      </w:r>
      <w:r w:rsidR="00550C79" w:rsidRPr="00A14FB4">
        <w:t>example, and considers the following. If a ship</w:t>
      </w:r>
      <w:r w:rsidR="00851FB7" w:rsidRPr="00A14FB4">
        <w:t xml:space="preserve"> really</w:t>
      </w:r>
      <w:r w:rsidR="00550C79" w:rsidRPr="00A14FB4">
        <w:t xml:space="preserve"> were to retain its identity, what if by many degrees these changes were to alter its design and functionality drastically</w:t>
      </w:r>
      <w:r w:rsidR="008F0440" w:rsidRPr="00A14FB4">
        <w:t>,</w:t>
      </w:r>
      <w:r w:rsidR="00550C79" w:rsidRPr="00A14FB4">
        <w:t xml:space="preserve"> until it was eventually no longer a ship at all</w:t>
      </w:r>
      <w:r w:rsidR="00550C79" w:rsidRPr="00A14FB4">
        <w:rPr>
          <w:rStyle w:val="FootnoteReference"/>
        </w:rPr>
        <w:footnoteReference w:id="5"/>
      </w:r>
      <w:r w:rsidR="00550C79" w:rsidRPr="00A14FB4">
        <w:t xml:space="preserve">? </w:t>
      </w:r>
      <w:r w:rsidR="00851FB7" w:rsidRPr="00A14FB4">
        <w:t>Surely</w:t>
      </w:r>
      <w:r w:rsidR="005B6F48" w:rsidRPr="00A14FB4">
        <w:t xml:space="preserve"> if it is not a ship,</w:t>
      </w:r>
      <w:r w:rsidR="00851FB7" w:rsidRPr="00A14FB4">
        <w:t xml:space="preserve"> then it cannot be the same ship, or the same in any meaningful identifying way, and so Lowe has highlighted a potential </w:t>
      </w:r>
      <w:r w:rsidR="004F0A65">
        <w:t>shortcoming</w:t>
      </w:r>
      <w:r w:rsidR="00851FB7" w:rsidRPr="00A14FB4">
        <w:t xml:space="preserve"> concerning the physical continuity of identity</w:t>
      </w:r>
      <w:r w:rsidR="00851FB7" w:rsidRPr="00A14FB4">
        <w:rPr>
          <w:rStyle w:val="FootnoteReference"/>
        </w:rPr>
        <w:footnoteReference w:id="6"/>
      </w:r>
      <w:r w:rsidR="00851FB7" w:rsidRPr="00A14FB4">
        <w:t xml:space="preserve">. Lowe’s attention to design and </w:t>
      </w:r>
      <w:r w:rsidR="008F0440" w:rsidRPr="00A14FB4">
        <w:t>functionality</w:t>
      </w:r>
      <w:r w:rsidR="00851FB7" w:rsidRPr="00A14FB4">
        <w:t xml:space="preserve"> is a heavy criticism of the identity’s ability to endure through physical changes, and is particularly </w:t>
      </w:r>
      <w:r w:rsidR="003D3BDD" w:rsidRPr="00A14FB4">
        <w:t>relevant to</w:t>
      </w:r>
      <w:r w:rsidR="00E505C5" w:rsidRPr="00A14FB4">
        <w:t xml:space="preserve"> the case of personal identity. We can, with this approach, discern what significance the changes undergone by a person bear on their continued identity. Physically, our form changes a great deal through the natural course of our lifespan. </w:t>
      </w:r>
      <w:r w:rsidR="0082583D" w:rsidRPr="00A14FB4">
        <w:t>We typically increase in size and strength</w:t>
      </w:r>
      <w:r w:rsidR="00E505C5" w:rsidRPr="00A14FB4">
        <w:t xml:space="preserve"> through childhood and adolescence</w:t>
      </w:r>
      <w:r w:rsidR="0082583D" w:rsidRPr="00A14FB4">
        <w:t>,</w:t>
      </w:r>
      <w:r w:rsidR="00E505C5" w:rsidRPr="00A14FB4">
        <w:t xml:space="preserve"> and directly through exercise and activity, just as we diminish in fortitud</w:t>
      </w:r>
      <w:r w:rsidR="005B6F48" w:rsidRPr="00A14FB4">
        <w:t xml:space="preserve">e through sickness and old age. Our cells duplicate themselves over and over, fuelled by externally sourced nutrients that we amalgamate with our </w:t>
      </w:r>
      <w:r w:rsidR="0082583D" w:rsidRPr="00A14FB4">
        <w:t>own physical mass</w:t>
      </w:r>
      <w:r w:rsidR="005B6F48" w:rsidRPr="00A14FB4">
        <w:t>. The effects upon our functionality these changes can bring about</w:t>
      </w:r>
      <w:r w:rsidR="0082583D" w:rsidRPr="00A14FB4">
        <w:t xml:space="preserve"> in degrees</w:t>
      </w:r>
      <w:r w:rsidR="008276DE" w:rsidRPr="00A14FB4">
        <w:t>, just as in the case of the ship,</w:t>
      </w:r>
      <w:r w:rsidR="00902703" w:rsidRPr="00A14FB4">
        <w:t xml:space="preserve"> could</w:t>
      </w:r>
      <w:r w:rsidR="005B6F48" w:rsidRPr="00A14FB4">
        <w:t xml:space="preserve"> raise the question of </w:t>
      </w:r>
      <w:r w:rsidR="00902703" w:rsidRPr="00A14FB4">
        <w:t>whether</w:t>
      </w:r>
      <w:r w:rsidR="005B6F48" w:rsidRPr="00A14FB4">
        <w:t xml:space="preserve"> these changes</w:t>
      </w:r>
      <w:r w:rsidR="00902703" w:rsidRPr="00A14FB4">
        <w:t xml:space="preserve"> can</w:t>
      </w:r>
      <w:r w:rsidR="005B6F48" w:rsidRPr="00A14FB4">
        <w:t xml:space="preserve"> amount t</w:t>
      </w:r>
      <w:r w:rsidR="00902703" w:rsidRPr="00A14FB4">
        <w:t>o a distinct identity</w:t>
      </w:r>
      <w:r w:rsidR="008276DE" w:rsidRPr="00A14FB4">
        <w:t xml:space="preserve"> in persons</w:t>
      </w:r>
      <w:r w:rsidR="00902703" w:rsidRPr="00A14FB4">
        <w:t>.</w:t>
      </w:r>
      <w:r w:rsidR="00902703" w:rsidRPr="00A14FB4">
        <w:br/>
      </w:r>
      <w:r w:rsidR="00902703" w:rsidRPr="00A14FB4">
        <w:br/>
      </w:r>
      <w:r w:rsidR="00696E59" w:rsidRPr="00A14FB4">
        <w:lastRenderedPageBreak/>
        <w:t>A different</w:t>
      </w:r>
      <w:r w:rsidR="00902703" w:rsidRPr="00A14FB4">
        <w:t xml:space="preserve"> approach to the problem of continuing </w:t>
      </w:r>
      <w:r w:rsidR="004F0A65">
        <w:t xml:space="preserve">personal identity </w:t>
      </w:r>
      <w:r w:rsidR="00902703" w:rsidRPr="00A14FB4">
        <w:t xml:space="preserve">is that employed by John Locke. Locke considers consciousness and its role in determining continued identity, taking the position that identity is continued in </w:t>
      </w:r>
      <w:r w:rsidR="00BE6A22" w:rsidRPr="00A14FB4">
        <w:t xml:space="preserve">the extension of consciousness between present </w:t>
      </w:r>
      <w:r w:rsidR="00696E59" w:rsidRPr="00A14FB4">
        <w:t xml:space="preserve">and past </w:t>
      </w:r>
      <w:r w:rsidR="00BE6A22" w:rsidRPr="00A14FB4">
        <w:t>events</w:t>
      </w:r>
      <w:r w:rsidR="00BE6A22" w:rsidRPr="00A14FB4">
        <w:rPr>
          <w:rStyle w:val="FootnoteReference"/>
        </w:rPr>
        <w:footnoteReference w:id="7"/>
      </w:r>
      <w:r w:rsidR="00BE6A22" w:rsidRPr="00A14FB4">
        <w:t xml:space="preserve">. </w:t>
      </w:r>
      <w:r w:rsidR="008276DE" w:rsidRPr="00A14FB4">
        <w:t xml:space="preserve">Locke’s concept of the self, this thinking person as opposed to the </w:t>
      </w:r>
      <w:r w:rsidR="008276DE" w:rsidRPr="00A14FB4">
        <w:rPr>
          <w:rFonts w:cstheme="minorHAnsi"/>
        </w:rPr>
        <w:t xml:space="preserve">physical human mass, is key to his understanding of identity in this instance. </w:t>
      </w:r>
      <w:r w:rsidR="008276DE" w:rsidRPr="00A14FB4">
        <w:t>The human being, with its spatiotemporal qualities, may be subject to the qualification of physical continuity in ascertaining whether it has a continuous identity. However, according to Locke, it is the human being’s physical mass, not their person, that possesses these qualities and therefore their continued personal identity need not meet the physical continuity criterion</w:t>
      </w:r>
      <w:r w:rsidR="008276DE" w:rsidRPr="00A14FB4">
        <w:rPr>
          <w:rStyle w:val="FootnoteReference"/>
        </w:rPr>
        <w:footnoteReference w:id="8"/>
      </w:r>
      <w:r w:rsidR="008276DE" w:rsidRPr="00A14FB4">
        <w:t xml:space="preserve">. </w:t>
      </w:r>
    </w:p>
    <w:p w:rsidR="008276DE" w:rsidRPr="00A14FB4" w:rsidRDefault="008276DE" w:rsidP="008276DE">
      <w:pPr>
        <w:rPr>
          <w:rFonts w:cstheme="minorHAnsi"/>
        </w:rPr>
      </w:pPr>
      <w:r w:rsidRPr="00A14FB4">
        <w:rPr>
          <w:rFonts w:cstheme="minorHAnsi"/>
        </w:rPr>
        <w:t xml:space="preserve">John Locke writes in </w:t>
      </w:r>
      <w:r w:rsidRPr="00A14FB4">
        <w:rPr>
          <w:rFonts w:cstheme="minorHAnsi"/>
          <w:i/>
        </w:rPr>
        <w:t>An</w:t>
      </w:r>
      <w:r w:rsidRPr="00A14FB4">
        <w:rPr>
          <w:rFonts w:cstheme="minorHAnsi"/>
        </w:rPr>
        <w:t xml:space="preserve"> </w:t>
      </w:r>
      <w:r w:rsidRPr="00A14FB4">
        <w:rPr>
          <w:rFonts w:cstheme="minorHAnsi"/>
          <w:i/>
        </w:rPr>
        <w:t>Essay Concerning Human Understanding</w:t>
      </w:r>
      <w:r w:rsidR="00994AB5" w:rsidRPr="00A14FB4">
        <w:rPr>
          <w:rFonts w:cstheme="minorHAnsi"/>
          <w:i/>
        </w:rPr>
        <w:t>,</w:t>
      </w:r>
    </w:p>
    <w:p w:rsidR="008276DE" w:rsidRPr="00A14FB4" w:rsidRDefault="008276DE" w:rsidP="008276DE">
      <w:pPr>
        <w:ind w:left="567" w:right="567"/>
        <w:rPr>
          <w:rFonts w:cstheme="minorHAnsi"/>
          <w:color w:val="000000"/>
          <w:shd w:val="clear" w:color="auto" w:fill="FFFFFF"/>
        </w:rPr>
      </w:pPr>
      <w:r w:rsidRPr="00A14FB4">
        <w:rPr>
          <w:rFonts w:cstheme="minorHAnsi"/>
          <w:color w:val="000000"/>
          <w:shd w:val="clear" w:color="auto" w:fill="FFFFFF"/>
        </w:rPr>
        <w:t xml:space="preserve">‘For since consciousness always accompanies thinking, and ’tis that, that makes </w:t>
      </w:r>
      <w:proofErr w:type="spellStart"/>
      <w:proofErr w:type="gramStart"/>
      <w:r w:rsidRPr="00A14FB4">
        <w:rPr>
          <w:rFonts w:cstheme="minorHAnsi"/>
          <w:color w:val="000000"/>
          <w:shd w:val="clear" w:color="auto" w:fill="FFFFFF"/>
        </w:rPr>
        <w:t>every one</w:t>
      </w:r>
      <w:proofErr w:type="spellEnd"/>
      <w:proofErr w:type="gramEnd"/>
      <w:r w:rsidRPr="00A14FB4">
        <w:rPr>
          <w:rFonts w:cstheme="minorHAnsi"/>
          <w:color w:val="000000"/>
          <w:shd w:val="clear" w:color="auto" w:fill="FFFFFF"/>
        </w:rPr>
        <w:t xml:space="preserve"> to be, what he calls </w:t>
      </w:r>
      <w:r w:rsidRPr="00A14FB4">
        <w:rPr>
          <w:rFonts w:cstheme="minorHAnsi"/>
          <w:i/>
          <w:iCs/>
          <w:color w:val="000000"/>
          <w:shd w:val="clear" w:color="auto" w:fill="FFFFFF"/>
        </w:rPr>
        <w:t>self</w:t>
      </w:r>
      <w:r w:rsidRPr="00A14FB4">
        <w:rPr>
          <w:rFonts w:cstheme="minorHAnsi"/>
          <w:color w:val="000000"/>
          <w:shd w:val="clear" w:color="auto" w:fill="FFFFFF"/>
        </w:rPr>
        <w:t>; and thereby distinguishes himself from all other thinking things, in this alone consists </w:t>
      </w:r>
      <w:r w:rsidRPr="00A14FB4">
        <w:rPr>
          <w:rFonts w:cstheme="minorHAnsi"/>
          <w:i/>
          <w:iCs/>
          <w:color w:val="000000"/>
          <w:shd w:val="clear" w:color="auto" w:fill="FFFFFF"/>
        </w:rPr>
        <w:t>personal Identity</w:t>
      </w:r>
      <w:r w:rsidRPr="00A14FB4">
        <w:rPr>
          <w:rFonts w:cstheme="minorHAnsi"/>
          <w:color w:val="000000"/>
          <w:shd w:val="clear" w:color="auto" w:fill="FFFFFF"/>
        </w:rPr>
        <w:t>, </w:t>
      </w:r>
      <w:r w:rsidRPr="00A14FB4">
        <w:rPr>
          <w:rFonts w:cstheme="minorHAnsi"/>
          <w:i/>
          <w:iCs/>
          <w:color w:val="000000"/>
          <w:shd w:val="clear" w:color="auto" w:fill="FFFFFF"/>
        </w:rPr>
        <w:t>i.e.</w:t>
      </w:r>
      <w:r w:rsidRPr="00A14FB4">
        <w:rPr>
          <w:rFonts w:cstheme="minorHAnsi"/>
          <w:color w:val="000000"/>
          <w:shd w:val="clear" w:color="auto" w:fill="FFFFFF"/>
        </w:rPr>
        <w:t> the sameness of a rational Being</w:t>
      </w:r>
      <w:r w:rsidRPr="00A14FB4">
        <w:rPr>
          <w:rStyle w:val="FootnoteReference"/>
          <w:rFonts w:cstheme="minorHAnsi"/>
          <w:color w:val="000000"/>
          <w:shd w:val="clear" w:color="auto" w:fill="FFFFFF"/>
        </w:rPr>
        <w:footnoteReference w:id="9"/>
      </w:r>
      <w:r w:rsidRPr="00A14FB4">
        <w:rPr>
          <w:rFonts w:cstheme="minorHAnsi"/>
          <w:color w:val="000000"/>
          <w:shd w:val="clear" w:color="auto" w:fill="FFFFFF"/>
        </w:rPr>
        <w:t>’.</w:t>
      </w:r>
    </w:p>
    <w:p w:rsidR="00CA1DCA" w:rsidRPr="00A14FB4" w:rsidRDefault="00BE6A22" w:rsidP="008276DE">
      <w:r w:rsidRPr="00A14FB4">
        <w:t xml:space="preserve">Locke’s view states that in </w:t>
      </w:r>
      <w:r w:rsidR="008276DE" w:rsidRPr="00A14FB4">
        <w:t xml:space="preserve">thinking, in </w:t>
      </w:r>
      <w:r w:rsidRPr="00A14FB4">
        <w:t xml:space="preserve">being consciously </w:t>
      </w:r>
      <w:r w:rsidR="008276DE" w:rsidRPr="00A14FB4">
        <w:t xml:space="preserve">aware </w:t>
      </w:r>
      <w:r w:rsidRPr="00A14FB4">
        <w:t xml:space="preserve">of past events </w:t>
      </w:r>
      <w:r w:rsidR="008276DE" w:rsidRPr="00A14FB4">
        <w:t>in the first-person</w:t>
      </w:r>
      <w:r w:rsidRPr="00A14FB4">
        <w:t>, we are continuous in ou</w:t>
      </w:r>
      <w:r w:rsidR="00696E59" w:rsidRPr="00A14FB4">
        <w:t>r identity between then and now</w:t>
      </w:r>
      <w:r w:rsidRPr="00A14FB4">
        <w:rPr>
          <w:rStyle w:val="FootnoteReference"/>
        </w:rPr>
        <w:footnoteReference w:id="10"/>
      </w:r>
      <w:r w:rsidR="008276DE" w:rsidRPr="00A14FB4">
        <w:t>. Therefore, issues raised by the ship analogy don’t much effect his perspective on personal identity, as he distinguishes it from the physical identity of the human being.</w:t>
      </w:r>
      <w:r w:rsidR="00B715E1" w:rsidRPr="00A14FB4">
        <w:t xml:space="preserve"> </w:t>
      </w:r>
      <w:r w:rsidR="008276DE" w:rsidRPr="00A14FB4">
        <w:t xml:space="preserve">This seems well evidenced in our attitudes towards one another, considering the way we interact with individuals with whom we have not interacted for a </w:t>
      </w:r>
      <w:r w:rsidR="00B715E1" w:rsidRPr="00A14FB4">
        <w:t xml:space="preserve">long </w:t>
      </w:r>
      <w:r w:rsidR="008276DE" w:rsidRPr="00A14FB4">
        <w:t>time. We</w:t>
      </w:r>
      <w:r w:rsidR="00B715E1" w:rsidRPr="00A14FB4">
        <w:t xml:space="preserve"> would</w:t>
      </w:r>
      <w:r w:rsidR="008276DE" w:rsidRPr="00A14FB4">
        <w:t xml:space="preserve"> tend to ask them questions such as “How have you been?”, “What have you been up to?” or even “What’s new with you?”</w:t>
      </w:r>
      <w:r w:rsidR="00934822">
        <w:t>, as if testing their ability to recall memory</w:t>
      </w:r>
      <w:r w:rsidR="00182251">
        <w:t xml:space="preserve"> so we can keep an up-to-date idea of their identity in our minds</w:t>
      </w:r>
      <w:r w:rsidR="00B715E1" w:rsidRPr="00A14FB4">
        <w:t>.</w:t>
      </w:r>
      <w:r w:rsidR="00934822">
        <w:t xml:space="preserve"> </w:t>
      </w:r>
      <w:r w:rsidR="00B715E1" w:rsidRPr="00A14FB4">
        <w:t xml:space="preserve"> Also, supposing that such a person failed to recollect us, we might consider that we had misidentified them and swiftly apologise. This would suggest</w:t>
      </w:r>
      <w:r w:rsidR="008276DE" w:rsidRPr="00A14FB4">
        <w:t xml:space="preserve"> that</w:t>
      </w:r>
      <w:r w:rsidR="00B715E1" w:rsidRPr="00A14FB4">
        <w:t xml:space="preserve">, at least in practice, our concept of their identity would directly concern their ability to be the continuous recipient of their own recollections. </w:t>
      </w:r>
    </w:p>
    <w:p w:rsidR="00663239" w:rsidRPr="00A14FB4" w:rsidRDefault="008276DE" w:rsidP="00FF7F6C">
      <w:r w:rsidRPr="00A14FB4">
        <w:t xml:space="preserve">A common objection to Locke’s view concerns the fragility of this dependence on memory in anchoring one’s identity to oneself. </w:t>
      </w:r>
      <w:r w:rsidR="003E39E5" w:rsidRPr="00A14FB4">
        <w:t>The reliability of memory seems too fragile to carry the entire weight of continuing identity, and Locke’s view leaves little room to accommodate</w:t>
      </w:r>
      <w:r w:rsidR="00D94F24" w:rsidRPr="00A14FB4">
        <w:t xml:space="preserve"> issues of</w:t>
      </w:r>
      <w:r w:rsidR="003E39E5" w:rsidRPr="00A14FB4">
        <w:t xml:space="preserve"> memory loss or flawed recall</w:t>
      </w:r>
      <w:r w:rsidR="00D94F24" w:rsidRPr="00A14FB4">
        <w:t xml:space="preserve">. Moral issues arise </w:t>
      </w:r>
      <w:r w:rsidR="00182251">
        <w:t>here also</w:t>
      </w:r>
      <w:r w:rsidR="00D94F24" w:rsidRPr="00A14FB4">
        <w:t>, as it appears that if an individual who committed a crime were to lose all recollection of doing so, their identity would no longer be continuous with the perpetrator of that crime. In following through with this position, such a person might no longer be considered culpable for those criminal actions. This seems largely problematic, and Locke’s view appears very much at odds with the way</w:t>
      </w:r>
      <w:r w:rsidR="004F0A65">
        <w:t xml:space="preserve"> we</w:t>
      </w:r>
      <w:r w:rsidR="00D94F24" w:rsidRPr="00A14FB4">
        <w:t xml:space="preserve"> would usually think about such a situation.</w:t>
      </w:r>
      <w:r w:rsidR="003E39E5" w:rsidRPr="00A14FB4">
        <w:t xml:space="preserve"> Thomas Reid’s response to Locke invites the </w:t>
      </w:r>
      <w:r w:rsidR="00290EDB" w:rsidRPr="00A14FB4">
        <w:t>imagining of an</w:t>
      </w:r>
      <w:r w:rsidR="00F77317" w:rsidRPr="00A14FB4">
        <w:t xml:space="preserve"> elderly person</w:t>
      </w:r>
      <w:r w:rsidR="00290EDB" w:rsidRPr="00A14FB4">
        <w:t>, who remembers his life as an adult, and who as an adult remembered his life as an infant</w:t>
      </w:r>
      <w:r w:rsidR="00290EDB" w:rsidRPr="00A14FB4">
        <w:rPr>
          <w:rStyle w:val="FootnoteReference"/>
        </w:rPr>
        <w:footnoteReference w:id="11"/>
      </w:r>
      <w:r w:rsidR="00290EDB" w:rsidRPr="00A14FB4">
        <w:t>. Suppose als</w:t>
      </w:r>
      <w:r w:rsidR="00F77317" w:rsidRPr="00A14FB4">
        <w:t>o though, that in old age</w:t>
      </w:r>
      <w:r w:rsidR="00290EDB" w:rsidRPr="00A14FB4">
        <w:t xml:space="preserve"> </w:t>
      </w:r>
      <w:r w:rsidR="00F77317" w:rsidRPr="00A14FB4">
        <w:t>t</w:t>
      </w:r>
      <w:r w:rsidR="00290EDB" w:rsidRPr="00A14FB4">
        <w:t>he</w:t>
      </w:r>
      <w:r w:rsidR="00F77317" w:rsidRPr="00A14FB4">
        <w:t xml:space="preserve"> person does not recall any of their</w:t>
      </w:r>
      <w:r w:rsidR="00290EDB" w:rsidRPr="00A14FB4">
        <w:t xml:space="preserve"> life before adulthood. Reid suggests that, through Locke’s reasoning, the identity of the infant is both continuous, and yet not so, with that of the identity of the </w:t>
      </w:r>
      <w:r w:rsidR="00F77317" w:rsidRPr="00A14FB4">
        <w:t>elderly person</w:t>
      </w:r>
      <w:r w:rsidR="00290EDB" w:rsidRPr="00A14FB4">
        <w:rPr>
          <w:rStyle w:val="FootnoteReference"/>
        </w:rPr>
        <w:footnoteReference w:id="12"/>
      </w:r>
      <w:r w:rsidR="00290EDB" w:rsidRPr="00A14FB4">
        <w:t xml:space="preserve">. </w:t>
      </w:r>
      <w:r w:rsidR="00D94F24" w:rsidRPr="00A14FB4">
        <w:t xml:space="preserve">Reid’s example allows for the idea that </w:t>
      </w:r>
      <w:r w:rsidR="00115B73" w:rsidRPr="00A14FB4">
        <w:t>identity maybe understood in degrees, and as such the ship of Theseus may be said to become less a</w:t>
      </w:r>
      <w:r w:rsidR="00182251">
        <w:t>nd</w:t>
      </w:r>
      <w:r w:rsidR="00115B73" w:rsidRPr="00A14FB4">
        <w:t xml:space="preserve"> less identical to its former identity as it undergoes physical </w:t>
      </w:r>
      <w:r w:rsidR="00F77317" w:rsidRPr="00A14FB4">
        <w:t>changes. Likewise, the identity of person</w:t>
      </w:r>
      <w:r w:rsidR="00182251">
        <w:t>s</w:t>
      </w:r>
      <w:r w:rsidR="00F77317" w:rsidRPr="00A14FB4">
        <w:t xml:space="preserve"> can be said to change in degrees, </w:t>
      </w:r>
      <w:r w:rsidR="00F77317" w:rsidRPr="00A14FB4">
        <w:lastRenderedPageBreak/>
        <w:t>from infant, to adult, to old age.</w:t>
      </w:r>
      <w:r w:rsidR="00663239" w:rsidRPr="00A14FB4">
        <w:t xml:space="preserve"> </w:t>
      </w:r>
      <w:r w:rsidR="00F77317" w:rsidRPr="00A14FB4">
        <w:t>Derek Parfit has developed this into an observation that rather</w:t>
      </w:r>
      <w:r w:rsidR="00182251">
        <w:t xml:space="preserve"> than</w:t>
      </w:r>
      <w:r w:rsidR="00F77317" w:rsidRPr="00A14FB4">
        <w:t xml:space="preserve"> adhering to Locke’s view on the crucial importance of recall, the importance of psychological continuity lies not in the recollection of single memories but the continuity of those memories</w:t>
      </w:r>
      <w:r w:rsidR="00F77317" w:rsidRPr="00A14FB4">
        <w:rPr>
          <w:rStyle w:val="FootnoteReference"/>
        </w:rPr>
        <w:footnoteReference w:id="13"/>
      </w:r>
      <w:r w:rsidR="00F77317" w:rsidRPr="00A14FB4">
        <w:t>.</w:t>
      </w:r>
      <w:r w:rsidR="00663239" w:rsidRPr="00A14FB4">
        <w:t xml:space="preserve"> </w:t>
      </w:r>
      <w:r w:rsidR="0045489F" w:rsidRPr="00A14FB4">
        <w:t xml:space="preserve"> </w:t>
      </w:r>
      <w:r w:rsidR="00663239" w:rsidRPr="00A14FB4">
        <w:t>If, as in Reid’s example, there is continuous connective flow of memories from one stage of identity to another, the</w:t>
      </w:r>
      <w:r w:rsidR="0045489F" w:rsidRPr="00A14FB4">
        <w:t>n our</w:t>
      </w:r>
      <w:r w:rsidR="00663239" w:rsidRPr="00A14FB4">
        <w:t xml:space="preserve"> criteria for continuous p</w:t>
      </w:r>
      <w:r w:rsidR="00FF7F6C" w:rsidRPr="00A14FB4">
        <w:t>ersonal identity are satisfied</w:t>
      </w:r>
      <w:r w:rsidR="00663239" w:rsidRPr="00A14FB4">
        <w:t xml:space="preserve">. </w:t>
      </w:r>
    </w:p>
    <w:p w:rsidR="00623C85" w:rsidRPr="00A14FB4" w:rsidRDefault="00D65CFC" w:rsidP="00CA1DCA">
      <w:r w:rsidRPr="00A14FB4">
        <w:t xml:space="preserve">The nature of physical change is too extreme to accommodate the whole burden of proof for the continuing identity of persons. Like the ship of Theseus, our original physical material is lost over time, and subject to change as we interact with our environment. </w:t>
      </w:r>
      <w:r w:rsidR="004F0A65">
        <w:t>However, o</w:t>
      </w:r>
      <w:r w:rsidR="00182251">
        <w:t xml:space="preserve">ne </w:t>
      </w:r>
      <w:r w:rsidR="00182251" w:rsidRPr="00A14FB4">
        <w:t>might say of the many-times refur</w:t>
      </w:r>
      <w:r w:rsidR="00182251">
        <w:t>bished ship of Theseus, “This</w:t>
      </w:r>
      <w:r w:rsidR="00182251" w:rsidRPr="00A14FB4">
        <w:t xml:space="preserve"> ship is less like the same ship now that part X is gone,” just as one might say of the long lived, “This person is less like the person they used to be now their memory of X is gone”</w:t>
      </w:r>
      <w:r w:rsidR="00182251">
        <w:t>.</w:t>
      </w:r>
      <w:r w:rsidR="00182251">
        <w:t xml:space="preserve"> </w:t>
      </w:r>
      <w:r w:rsidR="00847CF1">
        <w:t>T</w:t>
      </w:r>
      <w:r w:rsidRPr="00A14FB4">
        <w:t xml:space="preserve">he arguments supporting the psychological continuity of personal identity are </w:t>
      </w:r>
      <w:r w:rsidR="003E162E">
        <w:t xml:space="preserve">also </w:t>
      </w:r>
      <w:r w:rsidRPr="00A14FB4">
        <w:t>flawed</w:t>
      </w:r>
      <w:r w:rsidR="003E162E">
        <w:t>,</w:t>
      </w:r>
      <w:bookmarkStart w:id="0" w:name="_GoBack"/>
      <w:bookmarkEnd w:id="0"/>
      <w:r w:rsidRPr="00A14FB4">
        <w:t xml:space="preserve"> in that they require certain opinions of the self to be fully fleshed out and supported, opinions which whilst well-reasoned are not considered definitive. </w:t>
      </w:r>
      <w:r w:rsidR="00182251">
        <w:t>T</w:t>
      </w:r>
      <w:r w:rsidR="00623C85" w:rsidRPr="00A14FB4">
        <w:t>he ship of Theseus analogy does not resolve the issue, but has served to further the discussion towards more holistic concepts that synergise the physi</w:t>
      </w:r>
      <w:r w:rsidR="00994AB5" w:rsidRPr="00A14FB4">
        <w:t>cal and psychological arguments.</w:t>
      </w: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994AB5" w:rsidRDefault="00994AB5" w:rsidP="00CA1DCA">
      <w:pPr>
        <w:rPr>
          <w:sz w:val="20"/>
          <w:szCs w:val="20"/>
        </w:rPr>
      </w:pPr>
    </w:p>
    <w:p w:rsidR="00623C85" w:rsidRPr="00994AB5" w:rsidRDefault="00623C85" w:rsidP="00CA1DCA">
      <w:pPr>
        <w:rPr>
          <w:rFonts w:cstheme="minorHAnsi"/>
          <w:color w:val="000000"/>
          <w:sz w:val="18"/>
          <w:szCs w:val="18"/>
          <w:shd w:val="clear" w:color="auto" w:fill="FFFFFF"/>
        </w:rPr>
      </w:pPr>
      <w:r w:rsidRPr="00623C85">
        <w:rPr>
          <w:rFonts w:cstheme="minorHAnsi"/>
          <w:color w:val="000000"/>
          <w:u w:val="single"/>
          <w:shd w:val="clear" w:color="auto" w:fill="FFFFFF"/>
        </w:rPr>
        <w:lastRenderedPageBreak/>
        <w:t>Bibliography</w:t>
      </w:r>
      <w:r>
        <w:rPr>
          <w:rFonts w:cstheme="minorHAnsi"/>
          <w:color w:val="000000"/>
          <w:u w:val="single"/>
          <w:shd w:val="clear" w:color="auto" w:fill="FFFFFF"/>
        </w:rPr>
        <w:br/>
      </w:r>
      <w:r>
        <w:rPr>
          <w:rFonts w:cstheme="minorHAnsi"/>
          <w:color w:val="000000"/>
          <w:u w:val="single"/>
          <w:shd w:val="clear" w:color="auto" w:fill="FFFFFF"/>
        </w:rPr>
        <w:br/>
      </w:r>
      <w:r w:rsidRPr="00994AB5">
        <w:rPr>
          <w:rFonts w:cstheme="minorHAnsi"/>
          <w:color w:val="000000"/>
          <w:sz w:val="18"/>
          <w:szCs w:val="18"/>
          <w:shd w:val="clear" w:color="auto" w:fill="FFFFFF"/>
        </w:rPr>
        <w:t xml:space="preserve">Derek Parfit, </w:t>
      </w:r>
      <w:r w:rsidRPr="00994AB5">
        <w:rPr>
          <w:rFonts w:cstheme="minorHAnsi"/>
          <w:i/>
          <w:color w:val="000000"/>
          <w:sz w:val="18"/>
          <w:szCs w:val="18"/>
          <w:shd w:val="clear" w:color="auto" w:fill="FFFFFF"/>
        </w:rPr>
        <w:t xml:space="preserve">Reasons and Persons </w:t>
      </w:r>
      <w:r w:rsidRPr="00994AB5">
        <w:rPr>
          <w:rFonts w:cstheme="minorHAnsi"/>
          <w:color w:val="000000"/>
          <w:sz w:val="18"/>
          <w:szCs w:val="18"/>
          <w:shd w:val="clear" w:color="auto" w:fill="FFFFFF"/>
        </w:rPr>
        <w:t>(Oxford: Oxford University Press, 1986)</w:t>
      </w:r>
    </w:p>
    <w:p w:rsidR="00623C85" w:rsidRPr="00994AB5" w:rsidRDefault="00623C85" w:rsidP="00CA1DCA">
      <w:pPr>
        <w:rPr>
          <w:rFonts w:cstheme="minorHAnsi"/>
          <w:color w:val="000000"/>
          <w:sz w:val="18"/>
          <w:szCs w:val="18"/>
          <w:shd w:val="clear" w:color="auto" w:fill="FFFFFF"/>
        </w:rPr>
      </w:pPr>
      <w:r w:rsidRPr="00994AB5">
        <w:rPr>
          <w:rFonts w:cstheme="minorHAnsi"/>
          <w:color w:val="000000"/>
          <w:sz w:val="18"/>
          <w:szCs w:val="18"/>
          <w:shd w:val="clear" w:color="auto" w:fill="FFFFFF"/>
        </w:rPr>
        <w:t xml:space="preserve">E.J. Lowe, </w:t>
      </w:r>
      <w:r w:rsidRPr="00994AB5">
        <w:rPr>
          <w:rFonts w:cstheme="minorHAnsi"/>
          <w:i/>
          <w:color w:val="000000"/>
          <w:sz w:val="18"/>
          <w:szCs w:val="18"/>
          <w:shd w:val="clear" w:color="auto" w:fill="FFFFFF"/>
        </w:rPr>
        <w:t xml:space="preserve">The Possibility of Metaphysics: Substance, Identity and Time </w:t>
      </w:r>
      <w:r w:rsidRPr="00994AB5">
        <w:rPr>
          <w:rFonts w:cstheme="minorHAnsi"/>
          <w:color w:val="000000"/>
          <w:sz w:val="18"/>
          <w:szCs w:val="18"/>
          <w:shd w:val="clear" w:color="auto" w:fill="FFFFFF"/>
        </w:rPr>
        <w:t>(Oxford: Oxford University Press, 2001)</w:t>
      </w:r>
    </w:p>
    <w:p w:rsidR="00994AB5" w:rsidRPr="00994AB5" w:rsidRDefault="00994AB5" w:rsidP="00CA1DCA">
      <w:pPr>
        <w:rPr>
          <w:rFonts w:cstheme="minorHAnsi"/>
          <w:color w:val="000000"/>
          <w:sz w:val="18"/>
          <w:szCs w:val="18"/>
          <w:shd w:val="clear" w:color="auto" w:fill="FFFFFF"/>
        </w:rPr>
      </w:pPr>
      <w:r w:rsidRPr="00994AB5">
        <w:rPr>
          <w:sz w:val="18"/>
          <w:szCs w:val="18"/>
        </w:rPr>
        <w:t xml:space="preserve">John Locke, ‘An Essay Concerning Human Understanding’, </w:t>
      </w:r>
      <w:r w:rsidRPr="00994AB5">
        <w:rPr>
          <w:i/>
          <w:sz w:val="18"/>
          <w:szCs w:val="18"/>
        </w:rPr>
        <w:t xml:space="preserve">Early Modern Texts, </w:t>
      </w:r>
      <w:r w:rsidRPr="00994AB5">
        <w:rPr>
          <w:sz w:val="18"/>
          <w:szCs w:val="18"/>
        </w:rPr>
        <w:t>written: 1690, uploaded: 2004,</w:t>
      </w:r>
      <w:r w:rsidRPr="00994AB5">
        <w:rPr>
          <w:i/>
          <w:sz w:val="18"/>
          <w:szCs w:val="18"/>
        </w:rPr>
        <w:t xml:space="preserve"> </w:t>
      </w:r>
      <w:hyperlink r:id="rId6" w:history="1">
        <w:r w:rsidRPr="00994AB5">
          <w:rPr>
            <w:rStyle w:val="Hyperlink"/>
            <w:sz w:val="18"/>
            <w:szCs w:val="18"/>
          </w:rPr>
          <w:t>http://www.earlymoderntexts.com/assets/pdfs/locke1690book2.pdf</w:t>
        </w:r>
      </w:hyperlink>
      <w:r w:rsidRPr="00994AB5">
        <w:rPr>
          <w:sz w:val="18"/>
          <w:szCs w:val="18"/>
        </w:rPr>
        <w:t>, accessed: 5/11/2017</w:t>
      </w:r>
    </w:p>
    <w:p w:rsidR="00623C85" w:rsidRPr="00994AB5" w:rsidRDefault="00623C85" w:rsidP="00CA1DCA">
      <w:pPr>
        <w:rPr>
          <w:rFonts w:cstheme="minorHAnsi"/>
          <w:color w:val="000000"/>
          <w:sz w:val="18"/>
          <w:szCs w:val="18"/>
          <w:shd w:val="clear" w:color="auto" w:fill="FFFFFF"/>
        </w:rPr>
      </w:pPr>
      <w:r w:rsidRPr="00994AB5">
        <w:rPr>
          <w:rFonts w:cstheme="minorHAnsi"/>
          <w:color w:val="000000"/>
          <w:sz w:val="18"/>
          <w:szCs w:val="18"/>
          <w:shd w:val="clear" w:color="auto" w:fill="FFFFFF"/>
        </w:rPr>
        <w:t xml:space="preserve">Matthew Stuart, </w:t>
      </w:r>
      <w:r w:rsidRPr="00994AB5">
        <w:rPr>
          <w:rFonts w:cstheme="minorHAnsi"/>
          <w:i/>
          <w:color w:val="000000"/>
          <w:sz w:val="18"/>
          <w:szCs w:val="18"/>
          <w:shd w:val="clear" w:color="auto" w:fill="FFFFFF"/>
        </w:rPr>
        <w:t xml:space="preserve">Locke’s Metaphysics </w:t>
      </w:r>
      <w:r w:rsidRPr="00994AB5">
        <w:rPr>
          <w:rFonts w:cstheme="minorHAnsi"/>
          <w:color w:val="000000"/>
          <w:sz w:val="18"/>
          <w:szCs w:val="18"/>
          <w:shd w:val="clear" w:color="auto" w:fill="FFFFFF"/>
        </w:rPr>
        <w:t>(</w:t>
      </w:r>
      <w:r w:rsidR="00994AB5" w:rsidRPr="00994AB5">
        <w:rPr>
          <w:rFonts w:cstheme="minorHAnsi"/>
          <w:color w:val="000000"/>
          <w:sz w:val="18"/>
          <w:szCs w:val="18"/>
          <w:shd w:val="clear" w:color="auto" w:fill="FFFFFF"/>
        </w:rPr>
        <w:t>Oxford, Oxford University Press, 2016)</w:t>
      </w:r>
    </w:p>
    <w:p w:rsidR="00994AB5" w:rsidRPr="00994AB5" w:rsidRDefault="00994AB5" w:rsidP="00CA1DCA">
      <w:pPr>
        <w:rPr>
          <w:rFonts w:cstheme="minorHAnsi"/>
          <w:color w:val="000000"/>
          <w:sz w:val="18"/>
          <w:szCs w:val="18"/>
          <w:shd w:val="clear" w:color="auto" w:fill="FFFFFF"/>
        </w:rPr>
      </w:pPr>
      <w:r w:rsidRPr="00994AB5">
        <w:rPr>
          <w:sz w:val="18"/>
          <w:szCs w:val="18"/>
        </w:rPr>
        <w:t xml:space="preserve">Plant Based News, ‘Building meat from plants w/Beyond Meat’s Ethan Brown’, </w:t>
      </w:r>
      <w:proofErr w:type="spellStart"/>
      <w:r w:rsidRPr="00994AB5">
        <w:rPr>
          <w:i/>
          <w:sz w:val="18"/>
          <w:szCs w:val="18"/>
        </w:rPr>
        <w:t>Youtube</w:t>
      </w:r>
      <w:proofErr w:type="spellEnd"/>
      <w:r w:rsidRPr="00994AB5">
        <w:rPr>
          <w:i/>
          <w:sz w:val="18"/>
          <w:szCs w:val="18"/>
        </w:rPr>
        <w:t xml:space="preserve">, </w:t>
      </w:r>
      <w:r w:rsidRPr="00994AB5">
        <w:rPr>
          <w:sz w:val="18"/>
          <w:szCs w:val="18"/>
        </w:rPr>
        <w:t xml:space="preserve">uploaded:11/12/2016, </w:t>
      </w:r>
      <w:hyperlink r:id="rId7" w:history="1">
        <w:r w:rsidRPr="00994AB5">
          <w:rPr>
            <w:rStyle w:val="Hyperlink"/>
            <w:sz w:val="18"/>
            <w:szCs w:val="18"/>
          </w:rPr>
          <w:t>https://www.youtube.com/watch?v=vyQ6Ku910F8</w:t>
        </w:r>
      </w:hyperlink>
      <w:r w:rsidRPr="00994AB5">
        <w:rPr>
          <w:sz w:val="18"/>
          <w:szCs w:val="18"/>
        </w:rPr>
        <w:t>, accessed: 5/11/2017</w:t>
      </w:r>
    </w:p>
    <w:p w:rsidR="00994AB5" w:rsidRPr="00623C85" w:rsidRDefault="00994AB5" w:rsidP="00CA1DCA">
      <w:pPr>
        <w:rPr>
          <w:rFonts w:cstheme="minorHAnsi"/>
          <w:color w:val="000000"/>
          <w:sz w:val="16"/>
          <w:szCs w:val="16"/>
          <w:shd w:val="clear" w:color="auto" w:fill="FFFFFF"/>
        </w:rPr>
      </w:pPr>
    </w:p>
    <w:sectPr w:rsidR="00994AB5" w:rsidRPr="00623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6719" w:rsidRDefault="00686719" w:rsidP="00550C79">
      <w:pPr>
        <w:spacing w:after="0" w:line="240" w:lineRule="auto"/>
      </w:pPr>
      <w:r>
        <w:separator/>
      </w:r>
    </w:p>
  </w:endnote>
  <w:endnote w:type="continuationSeparator" w:id="0">
    <w:p w:rsidR="00686719" w:rsidRDefault="00686719" w:rsidP="00550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6719" w:rsidRDefault="00686719" w:rsidP="00550C79">
      <w:pPr>
        <w:spacing w:after="0" w:line="240" w:lineRule="auto"/>
      </w:pPr>
      <w:r>
        <w:separator/>
      </w:r>
    </w:p>
  </w:footnote>
  <w:footnote w:type="continuationSeparator" w:id="0">
    <w:p w:rsidR="00686719" w:rsidRDefault="00686719" w:rsidP="00550C79">
      <w:pPr>
        <w:spacing w:after="0" w:line="240" w:lineRule="auto"/>
      </w:pPr>
      <w:r>
        <w:continuationSeparator/>
      </w:r>
    </w:p>
  </w:footnote>
  <w:footnote w:id="1">
    <w:p w:rsidR="00765329" w:rsidRPr="00765329" w:rsidRDefault="00765329">
      <w:pPr>
        <w:pStyle w:val="FootnoteText"/>
      </w:pPr>
      <w:r>
        <w:rPr>
          <w:rStyle w:val="FootnoteReference"/>
        </w:rPr>
        <w:footnoteRef/>
      </w:r>
      <w:r>
        <w:t xml:space="preserve"> Plant Based News, ‘Building meat from plants w/Beyond Meat’s Ethan Brown’, </w:t>
      </w:r>
      <w:proofErr w:type="spellStart"/>
      <w:r>
        <w:rPr>
          <w:i/>
        </w:rPr>
        <w:t>Youtube</w:t>
      </w:r>
      <w:proofErr w:type="spellEnd"/>
      <w:r>
        <w:rPr>
          <w:i/>
        </w:rPr>
        <w:t xml:space="preserve">, </w:t>
      </w:r>
      <w:r>
        <w:t xml:space="preserve">uploaded:11/12/2016, </w:t>
      </w:r>
      <w:hyperlink r:id="rId1" w:history="1">
        <w:r w:rsidRPr="00073B32">
          <w:rPr>
            <w:rStyle w:val="Hyperlink"/>
          </w:rPr>
          <w:t>https://www.youtube.com/watch?v=vyQ6Ku910F8</w:t>
        </w:r>
      </w:hyperlink>
      <w:r>
        <w:t xml:space="preserve">, </w:t>
      </w:r>
      <w:r w:rsidR="000A7829">
        <w:t>accessed: 5/11/2017</w:t>
      </w:r>
    </w:p>
  </w:footnote>
  <w:footnote w:id="2">
    <w:p w:rsidR="000A7829" w:rsidRDefault="000A7829">
      <w:pPr>
        <w:pStyle w:val="FootnoteText"/>
      </w:pPr>
      <w:r>
        <w:rPr>
          <w:rStyle w:val="FootnoteReference"/>
        </w:rPr>
        <w:footnoteRef/>
      </w:r>
      <w:r>
        <w:t xml:space="preserve"> Plant Based News, accessed: 5/11/2017</w:t>
      </w:r>
    </w:p>
  </w:footnote>
  <w:footnote w:id="3">
    <w:p w:rsidR="000A7829" w:rsidRDefault="000A7829">
      <w:pPr>
        <w:pStyle w:val="FootnoteText"/>
      </w:pPr>
      <w:r>
        <w:rPr>
          <w:rStyle w:val="FootnoteReference"/>
        </w:rPr>
        <w:footnoteRef/>
      </w:r>
      <w:r>
        <w:t xml:space="preserve"> Plant Based News, accessed: 5/11/2017</w:t>
      </w:r>
    </w:p>
  </w:footnote>
  <w:footnote w:id="4">
    <w:p w:rsidR="000A7829" w:rsidRDefault="000A7829">
      <w:pPr>
        <w:pStyle w:val="FootnoteText"/>
      </w:pPr>
      <w:r>
        <w:rPr>
          <w:rStyle w:val="FootnoteReference"/>
        </w:rPr>
        <w:footnoteRef/>
      </w:r>
      <w:r>
        <w:t xml:space="preserve"> Plant Based News, accessed: 5/11/2017</w:t>
      </w:r>
    </w:p>
  </w:footnote>
  <w:footnote w:id="5">
    <w:p w:rsidR="00550C79" w:rsidRPr="00550C79" w:rsidRDefault="00765329">
      <w:pPr>
        <w:pStyle w:val="FootnoteText"/>
      </w:pPr>
      <w:r>
        <w:t xml:space="preserve"> </w:t>
      </w:r>
      <w:r w:rsidR="00550C79">
        <w:rPr>
          <w:rStyle w:val="FootnoteReference"/>
        </w:rPr>
        <w:footnoteRef/>
      </w:r>
      <w:r w:rsidR="00550C79">
        <w:t xml:space="preserve"> E.J.</w:t>
      </w:r>
      <w:r w:rsidR="00696E59">
        <w:t xml:space="preserve"> </w:t>
      </w:r>
      <w:r w:rsidR="00550C79">
        <w:t>Lowe,</w:t>
      </w:r>
      <w:r w:rsidR="00550C79">
        <w:rPr>
          <w:i/>
        </w:rPr>
        <w:t xml:space="preserve"> The Possibility of Metaphysics: Substance, Identity and Time </w:t>
      </w:r>
      <w:r w:rsidR="00550C79">
        <w:t>(Oxford: Oxford University Press, 2001) pg.54</w:t>
      </w:r>
    </w:p>
  </w:footnote>
  <w:footnote w:id="6">
    <w:p w:rsidR="00851FB7" w:rsidRDefault="00851FB7">
      <w:pPr>
        <w:pStyle w:val="FootnoteText"/>
      </w:pPr>
      <w:r>
        <w:rPr>
          <w:rStyle w:val="FootnoteReference"/>
        </w:rPr>
        <w:footnoteRef/>
      </w:r>
      <w:r>
        <w:t xml:space="preserve"> E.J. Lowe, pg.54</w:t>
      </w:r>
    </w:p>
  </w:footnote>
  <w:footnote w:id="7">
    <w:p w:rsidR="00BE6A22" w:rsidRPr="00BE6A22" w:rsidRDefault="00BE6A22">
      <w:pPr>
        <w:pStyle w:val="FootnoteText"/>
      </w:pPr>
      <w:r>
        <w:rPr>
          <w:rStyle w:val="FootnoteReference"/>
        </w:rPr>
        <w:footnoteRef/>
      </w:r>
      <w:r>
        <w:t xml:space="preserve"> Matthew Stuart, </w:t>
      </w:r>
      <w:r>
        <w:rPr>
          <w:i/>
        </w:rPr>
        <w:t xml:space="preserve">Locke’s Metaphysics </w:t>
      </w:r>
      <w:r>
        <w:t>(Oxford: Oxford University Press, 2013) pg. 340</w:t>
      </w:r>
    </w:p>
  </w:footnote>
  <w:footnote w:id="8">
    <w:p w:rsidR="008276DE" w:rsidRDefault="008276DE" w:rsidP="008276DE">
      <w:pPr>
        <w:pStyle w:val="FootnoteText"/>
      </w:pPr>
      <w:r>
        <w:rPr>
          <w:rStyle w:val="FootnoteReference"/>
        </w:rPr>
        <w:footnoteRef/>
      </w:r>
      <w:r>
        <w:t xml:space="preserve"> Matthew Stuart, pg. 340</w:t>
      </w:r>
    </w:p>
  </w:footnote>
  <w:footnote w:id="9">
    <w:p w:rsidR="008276DE" w:rsidRPr="00994AB5" w:rsidRDefault="008276DE" w:rsidP="008276DE">
      <w:pPr>
        <w:pStyle w:val="FootnoteText"/>
        <w:rPr>
          <w:i/>
        </w:rPr>
      </w:pPr>
      <w:r>
        <w:rPr>
          <w:rStyle w:val="FootnoteReference"/>
        </w:rPr>
        <w:footnoteRef/>
      </w:r>
      <w:r>
        <w:t xml:space="preserve"> </w:t>
      </w:r>
      <w:r w:rsidR="00994AB5">
        <w:t xml:space="preserve">John Locke, ‘An Essay Concerning Human Understanding’, </w:t>
      </w:r>
      <w:r w:rsidR="00994AB5">
        <w:rPr>
          <w:i/>
        </w:rPr>
        <w:t xml:space="preserve">Early Modern Texts, </w:t>
      </w:r>
      <w:r w:rsidR="00994AB5" w:rsidRPr="00994AB5">
        <w:t>written: 1690, uploaded: 2004,</w:t>
      </w:r>
      <w:r w:rsidR="00994AB5">
        <w:rPr>
          <w:i/>
        </w:rPr>
        <w:t xml:space="preserve"> </w:t>
      </w:r>
      <w:hyperlink r:id="rId2" w:history="1">
        <w:r w:rsidR="00994AB5" w:rsidRPr="00073B32">
          <w:rPr>
            <w:rStyle w:val="Hyperlink"/>
          </w:rPr>
          <w:t>http://www.earlymoderntexts.com/assets/pdfs/locke1690book2.pdf</w:t>
        </w:r>
      </w:hyperlink>
      <w:r w:rsidR="00994AB5">
        <w:t>, accessed: 5/11/2017</w:t>
      </w:r>
    </w:p>
  </w:footnote>
  <w:footnote w:id="10">
    <w:p w:rsidR="00BE6A22" w:rsidRDefault="00BE6A22">
      <w:pPr>
        <w:pStyle w:val="FootnoteText"/>
      </w:pPr>
      <w:r>
        <w:rPr>
          <w:rStyle w:val="FootnoteReference"/>
        </w:rPr>
        <w:footnoteRef/>
      </w:r>
      <w:r>
        <w:t xml:space="preserve"> Matthew Stuart, pg.340</w:t>
      </w:r>
    </w:p>
  </w:footnote>
  <w:footnote w:id="11">
    <w:p w:rsidR="00290EDB" w:rsidRDefault="00290EDB">
      <w:pPr>
        <w:pStyle w:val="FootnoteText"/>
      </w:pPr>
      <w:r>
        <w:rPr>
          <w:rStyle w:val="FootnoteReference"/>
        </w:rPr>
        <w:footnoteRef/>
      </w:r>
      <w:r>
        <w:t xml:space="preserve"> Matthew Stuart, pg. 349</w:t>
      </w:r>
    </w:p>
  </w:footnote>
  <w:footnote w:id="12">
    <w:p w:rsidR="00290EDB" w:rsidRDefault="00290EDB">
      <w:pPr>
        <w:pStyle w:val="FootnoteText"/>
      </w:pPr>
      <w:r>
        <w:rPr>
          <w:rStyle w:val="FootnoteReference"/>
        </w:rPr>
        <w:footnoteRef/>
      </w:r>
      <w:r>
        <w:t xml:space="preserve"> Matthew Stuart, pg. 349</w:t>
      </w:r>
    </w:p>
  </w:footnote>
  <w:footnote w:id="13">
    <w:p w:rsidR="00F77317" w:rsidRPr="00F77317" w:rsidRDefault="00F77317">
      <w:pPr>
        <w:pStyle w:val="FootnoteText"/>
      </w:pPr>
      <w:r>
        <w:rPr>
          <w:rStyle w:val="FootnoteReference"/>
        </w:rPr>
        <w:footnoteRef/>
      </w:r>
      <w:r>
        <w:t xml:space="preserve"> Derek Parfit, </w:t>
      </w:r>
      <w:r>
        <w:rPr>
          <w:i/>
        </w:rPr>
        <w:t xml:space="preserve">Reasons and Persons </w:t>
      </w:r>
      <w:r>
        <w:t>(Oxford: Oxford University Press, 1986) pg.219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504"/>
    <w:rsid w:val="000A7829"/>
    <w:rsid w:val="00115B73"/>
    <w:rsid w:val="00182251"/>
    <w:rsid w:val="001963B4"/>
    <w:rsid w:val="001F1504"/>
    <w:rsid w:val="00290EDB"/>
    <w:rsid w:val="00396CB4"/>
    <w:rsid w:val="003D3BDD"/>
    <w:rsid w:val="003E162E"/>
    <w:rsid w:val="003E39E5"/>
    <w:rsid w:val="0045489F"/>
    <w:rsid w:val="004F0A65"/>
    <w:rsid w:val="00550C79"/>
    <w:rsid w:val="005B6F48"/>
    <w:rsid w:val="00623C85"/>
    <w:rsid w:val="00663239"/>
    <w:rsid w:val="00686719"/>
    <w:rsid w:val="00696E59"/>
    <w:rsid w:val="00765329"/>
    <w:rsid w:val="0081404F"/>
    <w:rsid w:val="0082583D"/>
    <w:rsid w:val="008276DE"/>
    <w:rsid w:val="00847CF1"/>
    <w:rsid w:val="00851FB7"/>
    <w:rsid w:val="008F0440"/>
    <w:rsid w:val="00902703"/>
    <w:rsid w:val="00934822"/>
    <w:rsid w:val="00994AB5"/>
    <w:rsid w:val="00A14FB4"/>
    <w:rsid w:val="00AB5670"/>
    <w:rsid w:val="00B557C9"/>
    <w:rsid w:val="00B715E1"/>
    <w:rsid w:val="00BE6A22"/>
    <w:rsid w:val="00CA1DCA"/>
    <w:rsid w:val="00CB5CE1"/>
    <w:rsid w:val="00D65CFC"/>
    <w:rsid w:val="00D94F24"/>
    <w:rsid w:val="00E505C5"/>
    <w:rsid w:val="00E6710E"/>
    <w:rsid w:val="00EB22E6"/>
    <w:rsid w:val="00F77317"/>
    <w:rsid w:val="00FF7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21B5"/>
  <w15:chartTrackingRefBased/>
  <w15:docId w15:val="{F0CA034D-2020-40A0-AF91-52EE3FF4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50C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0C79"/>
    <w:rPr>
      <w:sz w:val="20"/>
      <w:szCs w:val="20"/>
    </w:rPr>
  </w:style>
  <w:style w:type="character" w:styleId="FootnoteReference">
    <w:name w:val="footnote reference"/>
    <w:basedOn w:val="DefaultParagraphFont"/>
    <w:uiPriority w:val="99"/>
    <w:semiHidden/>
    <w:unhideWhenUsed/>
    <w:rsid w:val="00550C79"/>
    <w:rPr>
      <w:vertAlign w:val="superscript"/>
    </w:rPr>
  </w:style>
  <w:style w:type="character" w:styleId="Hyperlink">
    <w:name w:val="Hyperlink"/>
    <w:basedOn w:val="DefaultParagraphFont"/>
    <w:uiPriority w:val="99"/>
    <w:unhideWhenUsed/>
    <w:rsid w:val="00765329"/>
    <w:rPr>
      <w:color w:val="0563C1" w:themeColor="hyperlink"/>
      <w:u w:val="single"/>
    </w:rPr>
  </w:style>
  <w:style w:type="character" w:styleId="UnresolvedMention">
    <w:name w:val="Unresolved Mention"/>
    <w:basedOn w:val="DefaultParagraphFont"/>
    <w:uiPriority w:val="99"/>
    <w:semiHidden/>
    <w:unhideWhenUsed/>
    <w:rsid w:val="0076532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vyQ6Ku910F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arlymoderntexts.com/assets/pdfs/locke1690book2.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earlymoderntexts.com/assets/pdfs/locke1690book2.pdf" TargetMode="External"/><Relationship Id="rId1" Type="http://schemas.openxmlformats.org/officeDocument/2006/relationships/hyperlink" Target="https://www.youtube.com/watch?v=vyQ6Ku910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4</Pages>
  <Words>1382</Words>
  <Characters>7881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Singh</dc:creator>
  <cp:keywords/>
  <dc:description/>
  <cp:lastModifiedBy>Stephen Singh</cp:lastModifiedBy>
  <cp:revision>3</cp:revision>
  <dcterms:created xsi:type="dcterms:W3CDTF">2017-11-07T16:57:00Z</dcterms:created>
  <dcterms:modified xsi:type="dcterms:W3CDTF">2017-11-08T13:36:00Z</dcterms:modified>
</cp:coreProperties>
</file>