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53D2A3D" w14:textId="396CD2FD" w:rsidR="00ED3953" w:rsidRDefault="00DE3790" w:rsidP="00DE3790">
      <w:pPr>
        <w:spacing w:before="360" w:after="150"/>
        <w:outlineLvl w:val="1"/>
        <w:divId w:val="300234271"/>
        <w:rPr>
          <w:rFonts w:ascii="Open Sans" w:eastAsia="Times New Roman" w:hAnsi="Open Sans" w:cs="Open Sans"/>
          <w:b/>
          <w:bCs/>
          <w:color w:val="003366"/>
          <w:kern w:val="36"/>
          <w:sz w:val="64"/>
          <w:szCs w:val="64"/>
          <w:lang w:val="en"/>
        </w:rPr>
      </w:pPr>
      <w:r>
        <w:rPr>
          <w:rFonts w:ascii="Open Sans" w:eastAsia="Times New Roman" w:hAnsi="Open Sans" w:cs="Open Sans"/>
          <w:b/>
          <w:bCs/>
          <w:noProof/>
          <w:color w:val="003366"/>
          <w:kern w:val="36"/>
          <w:sz w:val="64"/>
          <w:szCs w:val="64"/>
          <w:lang w:val="en"/>
        </w:rPr>
        <w:drawing>
          <wp:anchor distT="0" distB="0" distL="114300" distR="114300" simplePos="0" relativeHeight="251659264" behindDoc="0" locked="0" layoutInCell="1" allowOverlap="1" wp14:anchorId="60653B62" wp14:editId="7A521141">
            <wp:simplePos x="0" y="0"/>
            <wp:positionH relativeFrom="column">
              <wp:posOffset>1516380</wp:posOffset>
            </wp:positionH>
            <wp:positionV relativeFrom="paragraph">
              <wp:posOffset>0</wp:posOffset>
            </wp:positionV>
            <wp:extent cx="3314700" cy="1381125"/>
            <wp:effectExtent l="0" t="0" r="0" b="9525"/>
            <wp:wrapTopAndBottom/>
            <wp:docPr id="105391347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13470" name="Картина 1053913470"/>
                    <pic:cNvPicPr/>
                  </pic:nvPicPr>
                  <pic:blipFill>
                    <a:blip r:embed="rId7">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anchor>
        </w:drawing>
      </w:r>
    </w:p>
    <w:p w14:paraId="37C90637" w14:textId="0B52741D" w:rsidR="00450A69" w:rsidRDefault="00450A69">
      <w:pPr>
        <w:spacing w:before="360" w:after="150"/>
        <w:jc w:val="center"/>
        <w:outlineLvl w:val="1"/>
        <w:divId w:val="300234271"/>
        <w:rPr>
          <w:rFonts w:ascii="Open Sans" w:eastAsia="Times New Roman" w:hAnsi="Open Sans" w:cs="Open Sans"/>
          <w:b/>
          <w:bCs/>
          <w:color w:val="003366"/>
          <w:kern w:val="36"/>
          <w:sz w:val="64"/>
          <w:szCs w:val="64"/>
          <w:lang w:val="en"/>
        </w:rPr>
      </w:pPr>
      <w:r>
        <w:rPr>
          <w:rFonts w:ascii="Open Sans" w:eastAsia="Times New Roman" w:hAnsi="Open Sans" w:cs="Open Sans"/>
          <w:b/>
          <w:bCs/>
          <w:color w:val="003366"/>
          <w:kern w:val="36"/>
          <w:sz w:val="64"/>
          <w:szCs w:val="64"/>
          <w:lang w:val="en"/>
        </w:rPr>
        <w:t>STRATEGIC HR REPORT</w:t>
      </w:r>
    </w:p>
    <w:p w14:paraId="3600454C" w14:textId="77777777" w:rsidR="00450A69" w:rsidRDefault="00450A69">
      <w:pPr>
        <w:jc w:val="center"/>
        <w:divId w:val="2138331480"/>
        <w:rPr>
          <w:rFonts w:ascii="Open Sans" w:eastAsia="Times New Roman" w:hAnsi="Open Sans" w:cs="Open Sans"/>
          <w:color w:val="555555"/>
          <w:sz w:val="36"/>
          <w:szCs w:val="36"/>
          <w:lang w:val="en"/>
        </w:rPr>
      </w:pPr>
      <w:r>
        <w:rPr>
          <w:rFonts w:ascii="Open Sans" w:eastAsia="Times New Roman" w:hAnsi="Open Sans" w:cs="Open Sans"/>
          <w:color w:val="555555"/>
          <w:sz w:val="36"/>
          <w:szCs w:val="36"/>
          <w:lang w:val="en"/>
        </w:rPr>
        <w:t>Addressing Contemporary Challenges in the UK Care Sector</w:t>
      </w:r>
    </w:p>
    <w:p w14:paraId="2490455E" w14:textId="226595D5" w:rsidR="005A6D48" w:rsidRPr="00BE3CAF" w:rsidRDefault="005A6D48" w:rsidP="005A6D48">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 xml:space="preserve">Bachelor of Arts: Leadership </w:t>
      </w:r>
      <w:r w:rsidR="007800C5" w:rsidRPr="00BE3CAF">
        <w:rPr>
          <w:rFonts w:ascii="Open Sans" w:hAnsi="Open Sans" w:cs="Open Sans"/>
          <w:b/>
          <w:bCs/>
          <w:color w:val="222222"/>
          <w:lang w:val="en"/>
        </w:rPr>
        <w:t xml:space="preserve">and Management Skills for the Workplace </w:t>
      </w:r>
    </w:p>
    <w:p w14:paraId="63C32698" w14:textId="651DF04D" w:rsidR="007800C5" w:rsidRPr="00BE3CAF" w:rsidRDefault="007800C5" w:rsidP="007800C5">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 xml:space="preserve">Module : </w:t>
      </w:r>
      <w:r w:rsidR="00194C04" w:rsidRPr="00BE3CAF">
        <w:rPr>
          <w:rFonts w:ascii="Open Sans" w:hAnsi="Open Sans" w:cs="Open Sans"/>
          <w:b/>
          <w:bCs/>
          <w:color w:val="222222"/>
          <w:lang w:val="en"/>
        </w:rPr>
        <w:t xml:space="preserve">Developing and Managing Individuals and Teams </w:t>
      </w:r>
    </w:p>
    <w:p w14:paraId="20AAA164" w14:textId="63EDC8F9" w:rsidR="00194C04" w:rsidRPr="00BE3CAF" w:rsidRDefault="00194C04" w:rsidP="007800C5">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 xml:space="preserve">Module code: </w:t>
      </w:r>
      <w:r w:rsidR="00587723" w:rsidRPr="00BE3CAF">
        <w:rPr>
          <w:rFonts w:ascii="Open Sans" w:hAnsi="Open Sans" w:cs="Open Sans"/>
          <w:b/>
          <w:bCs/>
          <w:color w:val="222222"/>
          <w:lang w:val="en"/>
        </w:rPr>
        <w:t>LCLM5002</w:t>
      </w:r>
    </w:p>
    <w:p w14:paraId="2DD84661" w14:textId="19535553" w:rsidR="00587723" w:rsidRPr="00BE3CAF" w:rsidRDefault="00587723" w:rsidP="007800C5">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 xml:space="preserve">Lecturer: </w:t>
      </w:r>
      <w:proofErr w:type="spellStart"/>
      <w:r w:rsidRPr="00BE3CAF">
        <w:rPr>
          <w:rFonts w:ascii="Open Sans" w:hAnsi="Open Sans" w:cs="Open Sans"/>
          <w:b/>
          <w:bCs/>
          <w:color w:val="222222"/>
          <w:lang w:val="en"/>
        </w:rPr>
        <w:t>Dr</w:t>
      </w:r>
      <w:proofErr w:type="spellEnd"/>
      <w:r w:rsidRPr="00BE3CAF">
        <w:rPr>
          <w:rFonts w:ascii="Open Sans" w:hAnsi="Open Sans" w:cs="Open Sans"/>
          <w:b/>
          <w:bCs/>
          <w:color w:val="222222"/>
          <w:lang w:val="en"/>
        </w:rPr>
        <w:t xml:space="preserve"> </w:t>
      </w:r>
      <w:proofErr w:type="spellStart"/>
      <w:r w:rsidRPr="00BE3CAF">
        <w:rPr>
          <w:rFonts w:ascii="Open Sans" w:hAnsi="Open Sans" w:cs="Open Sans"/>
          <w:b/>
          <w:bCs/>
          <w:color w:val="222222"/>
          <w:lang w:val="en"/>
        </w:rPr>
        <w:t>Mudassar</w:t>
      </w:r>
      <w:proofErr w:type="spellEnd"/>
      <w:r w:rsidRPr="00BE3CAF">
        <w:rPr>
          <w:rFonts w:ascii="Open Sans" w:hAnsi="Open Sans" w:cs="Open Sans"/>
          <w:b/>
          <w:bCs/>
          <w:color w:val="222222"/>
          <w:lang w:val="en"/>
        </w:rPr>
        <w:t xml:space="preserve"> Hasan </w:t>
      </w:r>
    </w:p>
    <w:p w14:paraId="059E1883" w14:textId="3D6A18AA" w:rsidR="00587723" w:rsidRPr="00BE3CAF" w:rsidRDefault="007A7FEE" w:rsidP="007800C5">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 xml:space="preserve">Student Name: </w:t>
      </w:r>
      <w:proofErr w:type="spellStart"/>
      <w:r w:rsidRPr="00BE3CAF">
        <w:rPr>
          <w:rFonts w:ascii="Open Sans" w:hAnsi="Open Sans" w:cs="Open Sans"/>
          <w:b/>
          <w:bCs/>
          <w:color w:val="222222"/>
          <w:lang w:val="en"/>
        </w:rPr>
        <w:t>Plamena</w:t>
      </w:r>
      <w:proofErr w:type="spellEnd"/>
      <w:r w:rsidRPr="00BE3CAF">
        <w:rPr>
          <w:rFonts w:ascii="Open Sans" w:hAnsi="Open Sans" w:cs="Open Sans"/>
          <w:b/>
          <w:bCs/>
          <w:color w:val="222222"/>
          <w:lang w:val="en"/>
        </w:rPr>
        <w:t xml:space="preserve"> </w:t>
      </w:r>
      <w:proofErr w:type="spellStart"/>
      <w:r w:rsidRPr="00BE3CAF">
        <w:rPr>
          <w:rFonts w:ascii="Open Sans" w:hAnsi="Open Sans" w:cs="Open Sans"/>
          <w:b/>
          <w:bCs/>
          <w:color w:val="222222"/>
          <w:lang w:val="en"/>
        </w:rPr>
        <w:t>Petrova</w:t>
      </w:r>
      <w:proofErr w:type="spellEnd"/>
      <w:r w:rsidRPr="00BE3CAF">
        <w:rPr>
          <w:rFonts w:ascii="Open Sans" w:hAnsi="Open Sans" w:cs="Open Sans"/>
          <w:b/>
          <w:bCs/>
          <w:color w:val="222222"/>
          <w:lang w:val="en"/>
        </w:rPr>
        <w:t xml:space="preserve"> </w:t>
      </w:r>
    </w:p>
    <w:p w14:paraId="1C9D5BCD" w14:textId="3C53B3DF" w:rsidR="007A7FEE" w:rsidRPr="00BE3CAF" w:rsidRDefault="007A7FEE" w:rsidP="007800C5">
      <w:pPr>
        <w:pStyle w:val="a3"/>
        <w:jc w:val="center"/>
        <w:divId w:val="762264490"/>
        <w:rPr>
          <w:rFonts w:ascii="Open Sans" w:hAnsi="Open Sans" w:cs="Open Sans"/>
          <w:b/>
          <w:bCs/>
          <w:color w:val="222222"/>
          <w:lang w:val="en"/>
        </w:rPr>
      </w:pPr>
      <w:r w:rsidRPr="00BE3CAF">
        <w:rPr>
          <w:rFonts w:ascii="Open Sans" w:hAnsi="Open Sans" w:cs="Open Sans"/>
          <w:b/>
          <w:bCs/>
          <w:color w:val="222222"/>
          <w:lang w:val="en"/>
        </w:rPr>
        <w:t>Student Number: 2419095</w:t>
      </w:r>
    </w:p>
    <w:p w14:paraId="777EE98F" w14:textId="4BDC86A7" w:rsidR="00450A69" w:rsidRDefault="00450A69">
      <w:pPr>
        <w:pStyle w:val="a3"/>
        <w:jc w:val="center"/>
        <w:divId w:val="762264490"/>
        <w:rPr>
          <w:rFonts w:ascii="Open Sans" w:hAnsi="Open Sans" w:cs="Open Sans"/>
          <w:color w:val="222222"/>
          <w:lang w:val="en"/>
        </w:rPr>
      </w:pPr>
    </w:p>
    <w:p w14:paraId="45C18822" w14:textId="77777777" w:rsidR="006D6CD1" w:rsidRDefault="006D6CD1">
      <w:pPr>
        <w:pStyle w:val="a3"/>
        <w:jc w:val="center"/>
        <w:divId w:val="762264490"/>
        <w:rPr>
          <w:rFonts w:ascii="Open Sans" w:hAnsi="Open Sans" w:cs="Open Sans"/>
          <w:color w:val="222222"/>
          <w:lang w:val="en"/>
        </w:rPr>
      </w:pPr>
    </w:p>
    <w:p w14:paraId="212F8E9D" w14:textId="77777777" w:rsidR="00DE3790" w:rsidRDefault="00DE3790">
      <w:pPr>
        <w:pStyle w:val="2"/>
        <w:rPr>
          <w:rFonts w:eastAsia="Times New Roman"/>
          <w:lang w:val="en"/>
        </w:rPr>
      </w:pPr>
    </w:p>
    <w:p w14:paraId="5AD2FC13" w14:textId="1EE70ECD" w:rsidR="00450A69" w:rsidRDefault="00450A69">
      <w:pPr>
        <w:pStyle w:val="2"/>
        <w:rPr>
          <w:rFonts w:eastAsia="Times New Roman"/>
          <w:lang w:val="en"/>
        </w:rPr>
      </w:pPr>
      <w:r>
        <w:rPr>
          <w:rFonts w:eastAsia="Times New Roman"/>
          <w:lang w:val="en"/>
        </w:rPr>
        <w:lastRenderedPageBreak/>
        <w:t>Executive Summary</w:t>
      </w:r>
    </w:p>
    <w:p w14:paraId="16DAF319" w14:textId="77777777" w:rsidR="007F5137" w:rsidRPr="00BE3CAF" w:rsidRDefault="00450A69">
      <w:pPr>
        <w:pStyle w:val="a3"/>
        <w:jc w:val="both"/>
        <w:rPr>
          <w:rFonts w:ascii="Arial" w:hAnsi="Arial" w:cs="Arial"/>
          <w:color w:val="222222"/>
          <w:lang w:val="en"/>
        </w:rPr>
      </w:pPr>
      <w:r w:rsidRPr="00BE3CAF">
        <w:rPr>
          <w:rFonts w:ascii="Arial" w:hAnsi="Arial" w:cs="Arial"/>
          <w:color w:val="222222"/>
          <w:lang w:val="en"/>
        </w:rPr>
        <w:t xml:space="preserve">This report critically examines key human resource challenges facing Helping Hands, a domiciliary care provider established in 1989 by Mary Lee, </w:t>
      </w:r>
      <w:proofErr w:type="spellStart"/>
      <w:r w:rsidRPr="00BE3CAF">
        <w:rPr>
          <w:rFonts w:ascii="Arial" w:hAnsi="Arial" w:cs="Arial"/>
          <w:color w:val="222222"/>
          <w:lang w:val="en"/>
        </w:rPr>
        <w:t>specialising</w:t>
      </w:r>
      <w:proofErr w:type="spellEnd"/>
      <w:r w:rsidRPr="00BE3CAF">
        <w:rPr>
          <w:rFonts w:ascii="Arial" w:hAnsi="Arial" w:cs="Arial"/>
          <w:color w:val="222222"/>
          <w:lang w:val="en"/>
        </w:rPr>
        <w:t xml:space="preserve"> in the provision of care assistants for home-based elderly and vulnerable adult care. Amidst a turbulent UK social care landscape </w:t>
      </w:r>
      <w:proofErr w:type="spellStart"/>
      <w:r w:rsidRPr="00BE3CAF">
        <w:rPr>
          <w:rFonts w:ascii="Arial" w:hAnsi="Arial" w:cs="Arial"/>
          <w:color w:val="222222"/>
          <w:lang w:val="en"/>
        </w:rPr>
        <w:t>characterised</w:t>
      </w:r>
      <w:proofErr w:type="spellEnd"/>
      <w:r w:rsidRPr="00BE3CAF">
        <w:rPr>
          <w:rFonts w:ascii="Arial" w:hAnsi="Arial" w:cs="Arial"/>
          <w:color w:val="222222"/>
          <w:lang w:val="en"/>
        </w:rPr>
        <w:t xml:space="preserve"> by funding constraints and acute care assistant </w:t>
      </w:r>
      <w:proofErr w:type="spellStart"/>
      <w:r w:rsidRPr="00BE3CAF">
        <w:rPr>
          <w:rFonts w:ascii="Arial" w:hAnsi="Arial" w:cs="Arial"/>
          <w:color w:val="222222"/>
          <w:lang w:val="en"/>
        </w:rPr>
        <w:t>labour</w:t>
      </w:r>
      <w:proofErr w:type="spellEnd"/>
      <w:r w:rsidRPr="00BE3CAF">
        <w:rPr>
          <w:rFonts w:ascii="Arial" w:hAnsi="Arial" w:cs="Arial"/>
          <w:color w:val="222222"/>
          <w:lang w:val="en"/>
        </w:rPr>
        <w:t xml:space="preserve"> shortages, the report analyses three specific factors: technological adaptation affecting care assistant roles, talent acquisition and retention of care assistants, and Diversity, Equity, and Inclusion (DEI) within the care assistant workforce.</w:t>
      </w:r>
    </w:p>
    <w:p w14:paraId="6B1D38BF" w14:textId="74AC7394" w:rsidR="00450A69" w:rsidRPr="00BE3CAF" w:rsidRDefault="00450A69">
      <w:pPr>
        <w:pStyle w:val="a3"/>
        <w:jc w:val="both"/>
        <w:rPr>
          <w:rFonts w:ascii="Arial" w:hAnsi="Arial" w:cs="Arial"/>
          <w:color w:val="222222"/>
          <w:lang w:val="en"/>
        </w:rPr>
      </w:pPr>
      <w:r w:rsidRPr="00BE3CAF">
        <w:rPr>
          <w:rFonts w:ascii="Arial" w:hAnsi="Arial" w:cs="Arial"/>
          <w:color w:val="222222"/>
          <w:lang w:val="en"/>
        </w:rPr>
        <w:t xml:space="preserve"> It evaluates contemporary HR practices designed to mitigate these issues, specifically proposing digital upskilling for care assistants, employer branding, and inclusive leadership frameworks. Finally, it provides a critical evaluation of the role of departmental managers in urgently implementing these strategies. The report concludes that while HR policies provide the framework, the active, urgent engagement of line managers is the critical determinant of success in </w:t>
      </w:r>
      <w:proofErr w:type="spellStart"/>
      <w:r w:rsidRPr="00BE3CAF">
        <w:rPr>
          <w:rFonts w:ascii="Arial" w:hAnsi="Arial" w:cs="Arial"/>
          <w:color w:val="222222"/>
          <w:lang w:val="en"/>
        </w:rPr>
        <w:t>modernising</w:t>
      </w:r>
      <w:proofErr w:type="spellEnd"/>
      <w:r w:rsidRPr="00BE3CAF">
        <w:rPr>
          <w:rFonts w:ascii="Arial" w:hAnsi="Arial" w:cs="Arial"/>
          <w:color w:val="222222"/>
          <w:lang w:val="en"/>
        </w:rPr>
        <w:t xml:space="preserve"> care assistant practices and </w:t>
      </w:r>
      <w:proofErr w:type="spellStart"/>
      <w:r w:rsidRPr="00BE3CAF">
        <w:rPr>
          <w:rFonts w:ascii="Arial" w:hAnsi="Arial" w:cs="Arial"/>
          <w:color w:val="222222"/>
          <w:lang w:val="en"/>
        </w:rPr>
        <w:t>stabilising</w:t>
      </w:r>
      <w:proofErr w:type="spellEnd"/>
      <w:r w:rsidRPr="00BE3CAF">
        <w:rPr>
          <w:rFonts w:ascii="Arial" w:hAnsi="Arial" w:cs="Arial"/>
          <w:color w:val="222222"/>
          <w:lang w:val="en"/>
        </w:rPr>
        <w:t xml:space="preserve"> this essential workforce. </w:t>
      </w:r>
    </w:p>
    <w:p w14:paraId="5B16DB0A" w14:textId="77777777" w:rsidR="00450A69" w:rsidRDefault="00450A69">
      <w:pPr>
        <w:shd w:val="clear" w:color="auto" w:fill="FAFAFA"/>
        <w:spacing w:after="120"/>
        <w:jc w:val="center"/>
        <w:outlineLvl w:val="2"/>
        <w:divId w:val="1289817043"/>
        <w:rPr>
          <w:rFonts w:ascii="Open Sans" w:eastAsia="Times New Roman" w:hAnsi="Open Sans" w:cs="Open Sans"/>
          <w:b/>
          <w:bCs/>
          <w:color w:val="003366"/>
          <w:sz w:val="36"/>
          <w:szCs w:val="36"/>
          <w:lang w:val="en"/>
        </w:rPr>
      </w:pPr>
      <w:r>
        <w:rPr>
          <w:rFonts w:ascii="Open Sans" w:eastAsia="Times New Roman" w:hAnsi="Open Sans" w:cs="Open Sans"/>
          <w:b/>
          <w:bCs/>
          <w:color w:val="003366"/>
          <w:sz w:val="36"/>
          <w:szCs w:val="36"/>
          <w:lang w:val="en"/>
        </w:rPr>
        <w:t>Table of Contents</w:t>
      </w:r>
    </w:p>
    <w:p w14:paraId="16DDFECE" w14:textId="77777777" w:rsidR="00450A69" w:rsidRDefault="00450A69">
      <w:pPr>
        <w:shd w:val="clear" w:color="auto" w:fill="FAFAFA"/>
        <w:jc w:val="both"/>
        <w:divId w:val="1340617482"/>
        <w:rPr>
          <w:rFonts w:ascii="Merriweather" w:eastAsia="Times New Roman" w:hAnsi="Merriweather"/>
          <w:color w:val="222222"/>
          <w:lang w:val="en"/>
        </w:rPr>
      </w:pPr>
      <w:r>
        <w:rPr>
          <w:rFonts w:ascii="Merriweather" w:eastAsia="Times New Roman" w:hAnsi="Merriweather"/>
          <w:color w:val="222222"/>
          <w:lang w:val="en"/>
        </w:rPr>
        <w:t>1.0 Introduction 1</w:t>
      </w:r>
    </w:p>
    <w:p w14:paraId="5D84D517" w14:textId="77777777" w:rsidR="00450A69" w:rsidRDefault="00450A69">
      <w:pPr>
        <w:shd w:val="clear" w:color="auto" w:fill="FAFAFA"/>
        <w:jc w:val="both"/>
        <w:divId w:val="315492758"/>
        <w:rPr>
          <w:rFonts w:ascii="Merriweather" w:eastAsia="Times New Roman" w:hAnsi="Merriweather"/>
          <w:color w:val="222222"/>
          <w:lang w:val="en"/>
        </w:rPr>
      </w:pPr>
      <w:r>
        <w:rPr>
          <w:rFonts w:ascii="Merriweather" w:eastAsia="Times New Roman" w:hAnsi="Merriweather"/>
          <w:color w:val="222222"/>
          <w:lang w:val="en"/>
        </w:rPr>
        <w:t>2.0 Strategic Factors Impacting Helping Hands 2</w:t>
      </w:r>
    </w:p>
    <w:p w14:paraId="4BEFAC4C" w14:textId="77777777" w:rsidR="00450A69" w:rsidRDefault="00450A69">
      <w:pPr>
        <w:shd w:val="clear" w:color="auto" w:fill="FAFAFA"/>
        <w:jc w:val="both"/>
        <w:divId w:val="1147473610"/>
        <w:rPr>
          <w:rFonts w:ascii="Merriweather" w:eastAsia="Times New Roman" w:hAnsi="Merriweather"/>
          <w:color w:val="222222"/>
          <w:lang w:val="en"/>
        </w:rPr>
      </w:pPr>
      <w:r>
        <w:rPr>
          <w:rFonts w:ascii="Merriweather" w:eastAsia="Times New Roman" w:hAnsi="Merriweather"/>
          <w:color w:val="222222"/>
          <w:lang w:val="en"/>
        </w:rPr>
        <w:t xml:space="preserve">    2.1 Meeting Technological Advancement 2 </w:t>
      </w:r>
    </w:p>
    <w:p w14:paraId="44B1AA63" w14:textId="77777777" w:rsidR="00450A69" w:rsidRDefault="00450A69">
      <w:pPr>
        <w:shd w:val="clear" w:color="auto" w:fill="FAFAFA"/>
        <w:jc w:val="both"/>
        <w:divId w:val="1471753558"/>
        <w:rPr>
          <w:rFonts w:ascii="Merriweather" w:eastAsia="Times New Roman" w:hAnsi="Merriweather"/>
          <w:color w:val="222222"/>
          <w:lang w:val="en"/>
        </w:rPr>
      </w:pPr>
      <w:r>
        <w:rPr>
          <w:rFonts w:ascii="Merriweather" w:eastAsia="Times New Roman" w:hAnsi="Merriweather"/>
          <w:color w:val="222222"/>
          <w:lang w:val="en"/>
        </w:rPr>
        <w:t xml:space="preserve">    2.2 Talent Acquisition and Retention 2 </w:t>
      </w:r>
    </w:p>
    <w:p w14:paraId="6EE27C71" w14:textId="77777777" w:rsidR="00450A69" w:rsidRDefault="00450A69">
      <w:pPr>
        <w:shd w:val="clear" w:color="auto" w:fill="FAFAFA"/>
        <w:jc w:val="both"/>
        <w:divId w:val="1364790749"/>
        <w:rPr>
          <w:rFonts w:ascii="Merriweather" w:eastAsia="Times New Roman" w:hAnsi="Merriweather"/>
          <w:color w:val="222222"/>
          <w:lang w:val="en"/>
        </w:rPr>
      </w:pPr>
      <w:r>
        <w:rPr>
          <w:rFonts w:ascii="Merriweather" w:eastAsia="Times New Roman" w:hAnsi="Merriweather"/>
          <w:color w:val="222222"/>
          <w:lang w:val="en"/>
        </w:rPr>
        <w:t xml:space="preserve">    2.3 Diversity, Equity and Inclusion (DEI) 3 </w:t>
      </w:r>
    </w:p>
    <w:p w14:paraId="01CCEB26" w14:textId="77777777" w:rsidR="00450A69" w:rsidRDefault="00450A69">
      <w:pPr>
        <w:shd w:val="clear" w:color="auto" w:fill="FAFAFA"/>
        <w:jc w:val="both"/>
        <w:divId w:val="1558852610"/>
        <w:rPr>
          <w:rFonts w:ascii="Merriweather" w:eastAsia="Times New Roman" w:hAnsi="Merriweather"/>
          <w:color w:val="222222"/>
          <w:lang w:val="en"/>
        </w:rPr>
      </w:pPr>
      <w:r>
        <w:rPr>
          <w:rFonts w:ascii="Merriweather" w:eastAsia="Times New Roman" w:hAnsi="Merriweather"/>
          <w:color w:val="222222"/>
          <w:lang w:val="en"/>
        </w:rPr>
        <w:t>3.0 Evaluation of Contemporary HR Practices 4</w:t>
      </w:r>
    </w:p>
    <w:p w14:paraId="2D65BA17" w14:textId="77777777" w:rsidR="00450A69" w:rsidRDefault="00450A69">
      <w:pPr>
        <w:shd w:val="clear" w:color="auto" w:fill="FAFAFA"/>
        <w:jc w:val="both"/>
        <w:divId w:val="926160716"/>
        <w:rPr>
          <w:rFonts w:ascii="Merriweather" w:eastAsia="Times New Roman" w:hAnsi="Merriweather"/>
          <w:color w:val="222222"/>
          <w:lang w:val="en"/>
        </w:rPr>
      </w:pPr>
      <w:r>
        <w:rPr>
          <w:rFonts w:ascii="Merriweather" w:eastAsia="Times New Roman" w:hAnsi="Merriweather"/>
          <w:color w:val="222222"/>
          <w:lang w:val="en"/>
        </w:rPr>
        <w:t xml:space="preserve">    3.1 Addressing Technology: Digital Transformation Strategies 4 </w:t>
      </w:r>
    </w:p>
    <w:p w14:paraId="32A0E16B" w14:textId="77777777" w:rsidR="00450A69" w:rsidRDefault="00450A69">
      <w:pPr>
        <w:shd w:val="clear" w:color="auto" w:fill="FAFAFA"/>
        <w:jc w:val="both"/>
        <w:divId w:val="1172573357"/>
        <w:rPr>
          <w:rFonts w:ascii="Merriweather" w:eastAsia="Times New Roman" w:hAnsi="Merriweather"/>
          <w:color w:val="222222"/>
          <w:lang w:val="en"/>
        </w:rPr>
      </w:pPr>
      <w:r>
        <w:rPr>
          <w:rFonts w:ascii="Merriweather" w:eastAsia="Times New Roman" w:hAnsi="Merriweather"/>
          <w:color w:val="222222"/>
          <w:lang w:val="en"/>
        </w:rPr>
        <w:t xml:space="preserve">    3.2 Addressing Talent: Employer Branding and Total Reward 4 </w:t>
      </w:r>
    </w:p>
    <w:p w14:paraId="60F4A747" w14:textId="77777777" w:rsidR="00450A69" w:rsidRDefault="00450A69">
      <w:pPr>
        <w:shd w:val="clear" w:color="auto" w:fill="FAFAFA"/>
        <w:jc w:val="both"/>
        <w:divId w:val="1485975828"/>
        <w:rPr>
          <w:rFonts w:ascii="Merriweather" w:eastAsia="Times New Roman" w:hAnsi="Merriweather"/>
          <w:color w:val="222222"/>
          <w:lang w:val="en"/>
        </w:rPr>
      </w:pPr>
      <w:r>
        <w:rPr>
          <w:rFonts w:ascii="Merriweather" w:eastAsia="Times New Roman" w:hAnsi="Merriweather"/>
          <w:color w:val="222222"/>
          <w:lang w:val="en"/>
        </w:rPr>
        <w:t xml:space="preserve">    3.3 Addressing DEI: Systematic Inclusion Frameworks 5 </w:t>
      </w:r>
    </w:p>
    <w:p w14:paraId="24C22DBB" w14:textId="77777777" w:rsidR="00450A69" w:rsidRDefault="00450A69">
      <w:pPr>
        <w:shd w:val="clear" w:color="auto" w:fill="FAFAFA"/>
        <w:jc w:val="both"/>
        <w:divId w:val="1897626150"/>
        <w:rPr>
          <w:rFonts w:ascii="Merriweather" w:eastAsia="Times New Roman" w:hAnsi="Merriweather"/>
          <w:color w:val="222222"/>
          <w:lang w:val="en"/>
        </w:rPr>
      </w:pPr>
      <w:r>
        <w:rPr>
          <w:rFonts w:ascii="Merriweather" w:eastAsia="Times New Roman" w:hAnsi="Merriweather"/>
          <w:color w:val="222222"/>
          <w:lang w:val="en"/>
        </w:rPr>
        <w:t>4.0 Critical Evaluation of Managerial Implementation 6</w:t>
      </w:r>
    </w:p>
    <w:p w14:paraId="486117BB" w14:textId="77777777" w:rsidR="00450A69" w:rsidRDefault="00450A69">
      <w:pPr>
        <w:shd w:val="clear" w:color="auto" w:fill="FAFAFA"/>
        <w:jc w:val="both"/>
        <w:divId w:val="1068650286"/>
        <w:rPr>
          <w:rFonts w:ascii="Merriweather" w:eastAsia="Times New Roman" w:hAnsi="Merriweather"/>
          <w:color w:val="222222"/>
          <w:lang w:val="en"/>
        </w:rPr>
      </w:pPr>
      <w:r>
        <w:rPr>
          <w:rFonts w:ascii="Merriweather" w:eastAsia="Times New Roman" w:hAnsi="Merriweather"/>
          <w:color w:val="222222"/>
          <w:lang w:val="en"/>
        </w:rPr>
        <w:t>5.0 Conclusion and Recommendations 7</w:t>
      </w:r>
    </w:p>
    <w:p w14:paraId="4FD82EA2" w14:textId="77777777" w:rsidR="00450A69" w:rsidRDefault="00450A69">
      <w:pPr>
        <w:shd w:val="clear" w:color="auto" w:fill="FAFAFA"/>
        <w:jc w:val="both"/>
        <w:divId w:val="870849496"/>
        <w:rPr>
          <w:rFonts w:ascii="Merriweather" w:eastAsia="Times New Roman" w:hAnsi="Merriweather"/>
          <w:color w:val="222222"/>
          <w:lang w:val="en"/>
        </w:rPr>
      </w:pPr>
      <w:r>
        <w:rPr>
          <w:rFonts w:ascii="Merriweather" w:eastAsia="Times New Roman" w:hAnsi="Merriweather"/>
          <w:color w:val="222222"/>
          <w:lang w:val="en"/>
        </w:rPr>
        <w:t>6.0 References 8</w:t>
      </w:r>
    </w:p>
    <w:p w14:paraId="30133773" w14:textId="77777777" w:rsidR="00C472F6" w:rsidRDefault="00C472F6">
      <w:pPr>
        <w:pStyle w:val="2"/>
        <w:rPr>
          <w:rFonts w:eastAsia="Times New Roman"/>
          <w:lang w:val="en"/>
        </w:rPr>
      </w:pPr>
    </w:p>
    <w:p w14:paraId="60CAD2A2" w14:textId="77777777" w:rsidR="00C472F6" w:rsidRDefault="00C472F6">
      <w:pPr>
        <w:pStyle w:val="2"/>
        <w:rPr>
          <w:rFonts w:eastAsia="Times New Roman"/>
          <w:lang w:val="en"/>
        </w:rPr>
      </w:pPr>
    </w:p>
    <w:p w14:paraId="3381E48E" w14:textId="6C42FC02" w:rsidR="00450A69" w:rsidRDefault="00450A69">
      <w:pPr>
        <w:pStyle w:val="2"/>
        <w:rPr>
          <w:rFonts w:eastAsia="Times New Roman"/>
          <w:lang w:val="en"/>
        </w:rPr>
      </w:pPr>
      <w:r>
        <w:rPr>
          <w:rFonts w:eastAsia="Times New Roman"/>
          <w:lang w:val="en"/>
        </w:rPr>
        <w:t>1.0 Introduction</w:t>
      </w:r>
    </w:p>
    <w:p w14:paraId="272645DE" w14:textId="77777777" w:rsidR="009219DA" w:rsidRPr="00740A89" w:rsidRDefault="00450A69">
      <w:pPr>
        <w:pStyle w:val="a3"/>
        <w:jc w:val="both"/>
        <w:rPr>
          <w:rFonts w:ascii="Arial" w:hAnsi="Arial" w:cs="Arial"/>
          <w:color w:val="222222"/>
          <w:lang w:val="en"/>
        </w:rPr>
      </w:pPr>
      <w:r w:rsidRPr="00740A89">
        <w:rPr>
          <w:rFonts w:ascii="Arial" w:hAnsi="Arial" w:cs="Arial"/>
          <w:color w:val="222222"/>
          <w:lang w:val="en"/>
        </w:rPr>
        <w:lastRenderedPageBreak/>
        <w:t>Helping Hands, established by Mary Lee in 1989, has grown from a local provider to a significant entity in the UK domiciliary care sector, employing care assistants who deliver personal care, medication support, and companionship to clients in their own homes. However, the external environment for social care has become increasingly volatile. The sector currently faces a "perfect storm" of rising demand due to an ageing population and a shrinking care assistant workforce, exacerbated by post-</w:t>
      </w:r>
      <w:proofErr w:type="spellStart"/>
      <w:r w:rsidRPr="00740A89">
        <w:rPr>
          <w:rFonts w:ascii="Arial" w:hAnsi="Arial" w:cs="Arial"/>
          <w:color w:val="222222"/>
          <w:lang w:val="en"/>
        </w:rPr>
        <w:t>Brexit</w:t>
      </w:r>
      <w:proofErr w:type="spellEnd"/>
      <w:r w:rsidRPr="00740A89">
        <w:rPr>
          <w:rFonts w:ascii="Arial" w:hAnsi="Arial" w:cs="Arial"/>
          <w:color w:val="222222"/>
          <w:lang w:val="en"/>
        </w:rPr>
        <w:t xml:space="preserve"> immigration changes and the cost-of-living crisis (Skills for Care, 2022). </w:t>
      </w:r>
    </w:p>
    <w:p w14:paraId="1929DE0D" w14:textId="680BC8E1" w:rsidR="00450A69"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According to the Health Foundation (2023), the UK care sector has approximately 165,000 vacant care assistant positions, representing a 10.7% vacancy rate. This report addresses three critical challenges facing the </w:t>
      </w:r>
      <w:proofErr w:type="spellStart"/>
      <w:r w:rsidRPr="00740A89">
        <w:rPr>
          <w:rFonts w:ascii="Arial" w:hAnsi="Arial" w:cs="Arial"/>
          <w:color w:val="222222"/>
          <w:lang w:val="en"/>
        </w:rPr>
        <w:t>organisation</w:t>
      </w:r>
      <w:proofErr w:type="spellEnd"/>
      <w:r w:rsidRPr="00740A89">
        <w:rPr>
          <w:rFonts w:ascii="Arial" w:hAnsi="Arial" w:cs="Arial"/>
          <w:color w:val="222222"/>
          <w:lang w:val="en"/>
        </w:rPr>
        <w:t xml:space="preserve">: the rapid pace of technological advancement requiring care assistants to adopt digital tools in care delivery, the chronic crisis in care assistant talent acquisition and retention, and the necessity of robust Diversity, Equity, and Inclusion (DEI) frameworks within a diverse care assistant workforce. The objective is to </w:t>
      </w:r>
      <w:proofErr w:type="spellStart"/>
      <w:r w:rsidRPr="00740A89">
        <w:rPr>
          <w:rFonts w:ascii="Arial" w:hAnsi="Arial" w:cs="Arial"/>
          <w:color w:val="222222"/>
          <w:lang w:val="en"/>
        </w:rPr>
        <w:t>analyse</w:t>
      </w:r>
      <w:proofErr w:type="spellEnd"/>
      <w:r w:rsidRPr="00740A89">
        <w:rPr>
          <w:rFonts w:ascii="Arial" w:hAnsi="Arial" w:cs="Arial"/>
          <w:color w:val="222222"/>
          <w:lang w:val="en"/>
        </w:rPr>
        <w:t xml:space="preserve"> these factors specifically within the context of home care assistant services and evaluate contemporary HR practices that can secure Helping Hands' operational sustainability and competitive advantage. </w:t>
      </w:r>
    </w:p>
    <w:p w14:paraId="7638509E" w14:textId="77777777" w:rsidR="00450A69" w:rsidRDefault="00450A69">
      <w:pPr>
        <w:pStyle w:val="2"/>
        <w:rPr>
          <w:rFonts w:eastAsia="Times New Roman"/>
          <w:lang w:val="en"/>
        </w:rPr>
      </w:pPr>
      <w:r>
        <w:rPr>
          <w:rFonts w:eastAsia="Times New Roman"/>
          <w:lang w:val="en"/>
        </w:rPr>
        <w:t>2.0 Strategic Factors Impacting Helping Hands</w:t>
      </w:r>
    </w:p>
    <w:p w14:paraId="6979AA91" w14:textId="77777777" w:rsidR="00450A69" w:rsidRDefault="00450A69">
      <w:pPr>
        <w:pStyle w:val="3"/>
        <w:rPr>
          <w:rFonts w:eastAsia="Times New Roman"/>
          <w:lang w:val="en"/>
        </w:rPr>
      </w:pPr>
      <w:r>
        <w:rPr>
          <w:rFonts w:eastAsia="Times New Roman"/>
          <w:lang w:val="en"/>
        </w:rPr>
        <w:t>2.1 Meeting Technological Advancement</w:t>
      </w:r>
    </w:p>
    <w:p w14:paraId="67BAB6CB" w14:textId="77777777" w:rsidR="00C472F6" w:rsidRPr="00740A89" w:rsidRDefault="00450A69">
      <w:pPr>
        <w:pStyle w:val="a3"/>
        <w:jc w:val="both"/>
        <w:rPr>
          <w:rFonts w:ascii="Arial" w:hAnsi="Arial" w:cs="Arial"/>
          <w:color w:val="222222"/>
          <w:lang w:val="en"/>
        </w:rPr>
      </w:pPr>
      <w:r w:rsidRPr="00740A89">
        <w:rPr>
          <w:rFonts w:ascii="Arial" w:hAnsi="Arial" w:cs="Arial"/>
          <w:color w:val="222222"/>
          <w:lang w:val="en"/>
        </w:rPr>
        <w:t>The UK care sector is undergoing a digital shift, transitioning from paper-based records to integrated digital care planning systems that care assistants must operate daily. For a legacy provider like Helping Hands, founded in the late 1980s, legacy systems and manual processes may still be entrenched. The primary factor here is the tension between the need for efficiency and the digital literacy of care assistants. Advancements such as Electronic Call Monitoring (ECM) and e-MAR (Electronic Medication Administration Records) are now regulatory expectations from the Care Quality Commission (CQC) to ensure safety and auditability (CQC, 2023).</w:t>
      </w:r>
    </w:p>
    <w:p w14:paraId="7B916F8A" w14:textId="5FFF7F12" w:rsidR="00450A69"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 However, implementing these technologies presents a significant challenge for care assistants who traditionally relied on paper care plans. The care assistant workforce in social care is often older; according to Skills for Care (2022), the average age of a care worker is 44, and resistance to technological change can be high. Furthermore, Edmondson and McManus (2007) argue that frontline workers require psychological safety to admit digital skill gaps without fear of job loss. Remote care assistants working in isolation require reliable mobile technology to communicate with head office, yet many lack personal smartphones or data allowances (Hamblin, 2020). Failure to keep pace results in compliance risks, inefficiencies in care assistant scheduling, and an inability to provide the data-driven care families increasingly expect from professional care assistants. </w:t>
      </w:r>
    </w:p>
    <w:p w14:paraId="1570EC6F" w14:textId="77777777" w:rsidR="00450A69" w:rsidRDefault="00450A69">
      <w:pPr>
        <w:pStyle w:val="3"/>
        <w:rPr>
          <w:rFonts w:eastAsia="Times New Roman"/>
          <w:lang w:val="en"/>
        </w:rPr>
      </w:pPr>
      <w:r>
        <w:rPr>
          <w:rFonts w:eastAsia="Times New Roman"/>
          <w:lang w:val="en"/>
        </w:rPr>
        <w:t>2.2 Talent Acquisition and Retention</w:t>
      </w:r>
    </w:p>
    <w:p w14:paraId="49E1DC25" w14:textId="77777777" w:rsidR="009219DA"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Talent acquisition and retention of care assistants remain the single most critical risk factor for Helping Hands. The care assistant sector is </w:t>
      </w:r>
      <w:proofErr w:type="spellStart"/>
      <w:r w:rsidRPr="00740A89">
        <w:rPr>
          <w:rFonts w:ascii="Arial" w:hAnsi="Arial" w:cs="Arial"/>
          <w:color w:val="222222"/>
          <w:lang w:val="en"/>
        </w:rPr>
        <w:t>characterised</w:t>
      </w:r>
      <w:proofErr w:type="spellEnd"/>
      <w:r w:rsidRPr="00740A89">
        <w:rPr>
          <w:rFonts w:ascii="Arial" w:hAnsi="Arial" w:cs="Arial"/>
          <w:color w:val="222222"/>
          <w:lang w:val="en"/>
        </w:rPr>
        <w:t xml:space="preserve"> by high turnover rates, which reached approximately 29% in 2021/22 (Skills for Care, 2022). Several specific factors drive this. Firstly, the perception of care assistant work as "low skilled" and "low paid" persists, despite the high emotional and physical demands of the role (Hussein et al., 2021). Care </w:t>
      </w:r>
      <w:r w:rsidRPr="00740A89">
        <w:rPr>
          <w:rFonts w:ascii="Arial" w:hAnsi="Arial" w:cs="Arial"/>
          <w:color w:val="222222"/>
          <w:lang w:val="en"/>
        </w:rPr>
        <w:lastRenderedPageBreak/>
        <w:t>assistants earn a median of £10.50 per hour, often on zero-hours contracts, with unpaid travel time between client visits reducing effective hourly rates (</w:t>
      </w:r>
      <w:proofErr w:type="spellStart"/>
      <w:r w:rsidRPr="00740A89">
        <w:rPr>
          <w:rFonts w:ascii="Arial" w:hAnsi="Arial" w:cs="Arial"/>
          <w:color w:val="222222"/>
          <w:lang w:val="en"/>
        </w:rPr>
        <w:t>Rubery</w:t>
      </w:r>
      <w:proofErr w:type="spellEnd"/>
      <w:r w:rsidRPr="00740A89">
        <w:rPr>
          <w:rFonts w:ascii="Arial" w:hAnsi="Arial" w:cs="Arial"/>
          <w:color w:val="222222"/>
          <w:lang w:val="en"/>
        </w:rPr>
        <w:t xml:space="preserve"> and </w:t>
      </w:r>
      <w:proofErr w:type="spellStart"/>
      <w:r w:rsidRPr="00740A89">
        <w:rPr>
          <w:rFonts w:ascii="Arial" w:hAnsi="Arial" w:cs="Arial"/>
          <w:color w:val="222222"/>
          <w:lang w:val="en"/>
        </w:rPr>
        <w:t>Urwin</w:t>
      </w:r>
      <w:proofErr w:type="spellEnd"/>
      <w:r w:rsidRPr="00740A89">
        <w:rPr>
          <w:rFonts w:ascii="Arial" w:hAnsi="Arial" w:cs="Arial"/>
          <w:color w:val="222222"/>
          <w:lang w:val="en"/>
        </w:rPr>
        <w:t xml:space="preserve">, 2023). </w:t>
      </w:r>
    </w:p>
    <w:p w14:paraId="282B15FF" w14:textId="62C61C10" w:rsidR="00450A69"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Care assistants frequently face burnout, emotional fatigue, and unsociable hours, leading to low retention. </w:t>
      </w:r>
      <w:proofErr w:type="spellStart"/>
      <w:r w:rsidRPr="00740A89">
        <w:rPr>
          <w:rFonts w:ascii="Arial" w:hAnsi="Arial" w:cs="Arial"/>
          <w:color w:val="222222"/>
          <w:lang w:val="en"/>
        </w:rPr>
        <w:t>Maslach</w:t>
      </w:r>
      <w:proofErr w:type="spellEnd"/>
      <w:r w:rsidRPr="00740A89">
        <w:rPr>
          <w:rFonts w:ascii="Arial" w:hAnsi="Arial" w:cs="Arial"/>
          <w:color w:val="222222"/>
          <w:lang w:val="en"/>
        </w:rPr>
        <w:t xml:space="preserve"> and Leiter (2016) identify emotional exhaustion as the primary predictor of care assistant turnover. Secondly, the post-</w:t>
      </w:r>
      <w:proofErr w:type="spellStart"/>
      <w:r w:rsidRPr="00740A89">
        <w:rPr>
          <w:rFonts w:ascii="Arial" w:hAnsi="Arial" w:cs="Arial"/>
          <w:color w:val="222222"/>
          <w:lang w:val="en"/>
        </w:rPr>
        <w:t>Brexit</w:t>
      </w:r>
      <w:proofErr w:type="spellEnd"/>
      <w:r w:rsidRPr="00740A89">
        <w:rPr>
          <w:rFonts w:ascii="Arial" w:hAnsi="Arial" w:cs="Arial"/>
          <w:color w:val="222222"/>
          <w:lang w:val="en"/>
        </w:rPr>
        <w:t xml:space="preserve"> landscape has severely restricted the pool of European </w:t>
      </w:r>
      <w:proofErr w:type="spellStart"/>
      <w:r w:rsidRPr="00740A89">
        <w:rPr>
          <w:rFonts w:ascii="Arial" w:hAnsi="Arial" w:cs="Arial"/>
          <w:color w:val="222222"/>
          <w:lang w:val="en"/>
        </w:rPr>
        <w:t>labour</w:t>
      </w:r>
      <w:proofErr w:type="spellEnd"/>
      <w:r w:rsidRPr="00740A89">
        <w:rPr>
          <w:rFonts w:ascii="Arial" w:hAnsi="Arial" w:cs="Arial"/>
          <w:color w:val="222222"/>
          <w:lang w:val="en"/>
        </w:rPr>
        <w:t xml:space="preserve"> that the UK care sector historically relied upon for care assistant recruitment (Hayes, 2021). Thirdly, competitive pressure from the retail and hospitality sectors</w:t>
      </w:r>
      <w:r w:rsidR="00EA0E44">
        <w:rPr>
          <w:rFonts w:ascii="Arial" w:hAnsi="Arial" w:cs="Arial"/>
          <w:color w:val="222222"/>
          <w:lang w:val="en"/>
        </w:rPr>
        <w:t xml:space="preserve">, </w:t>
      </w:r>
      <w:r w:rsidRPr="00740A89">
        <w:rPr>
          <w:rFonts w:ascii="Arial" w:hAnsi="Arial" w:cs="Arial"/>
          <w:color w:val="222222"/>
          <w:lang w:val="en"/>
        </w:rPr>
        <w:t>which often offer similar wages with less responsibility and emotional strain</w:t>
      </w:r>
      <w:r w:rsidR="00E9078B">
        <w:rPr>
          <w:rFonts w:ascii="Arial" w:hAnsi="Arial" w:cs="Arial"/>
          <w:color w:val="222222"/>
          <w:lang w:val="en"/>
        </w:rPr>
        <w:t>-</w:t>
      </w:r>
      <w:r w:rsidRPr="00740A89">
        <w:rPr>
          <w:rFonts w:ascii="Arial" w:hAnsi="Arial" w:cs="Arial"/>
          <w:color w:val="222222"/>
          <w:lang w:val="en"/>
        </w:rPr>
        <w:t xml:space="preserve">makes care assistant acquisition difficult (Atkinson et al., 2020). For Helping Hands, the inability to retain care assistant staff directly impacts continuity of care, which is the cornerstone of the company’s reputation and client satisfaction. High churn rates also increase care assistant recruitment costs and </w:t>
      </w:r>
      <w:proofErr w:type="spellStart"/>
      <w:r w:rsidRPr="00740A89">
        <w:rPr>
          <w:rFonts w:ascii="Arial" w:hAnsi="Arial" w:cs="Arial"/>
          <w:color w:val="222222"/>
          <w:lang w:val="en"/>
        </w:rPr>
        <w:t>destabilise</w:t>
      </w:r>
      <w:proofErr w:type="spellEnd"/>
      <w:r w:rsidRPr="00740A89">
        <w:rPr>
          <w:rFonts w:ascii="Arial" w:hAnsi="Arial" w:cs="Arial"/>
          <w:color w:val="222222"/>
          <w:lang w:val="en"/>
        </w:rPr>
        <w:t xml:space="preserve"> team morale. </w:t>
      </w:r>
    </w:p>
    <w:p w14:paraId="17F7AFE8" w14:textId="77777777" w:rsidR="00450A69" w:rsidRDefault="00450A69">
      <w:pPr>
        <w:pStyle w:val="3"/>
        <w:rPr>
          <w:rFonts w:eastAsia="Times New Roman"/>
          <w:lang w:val="en"/>
        </w:rPr>
      </w:pPr>
      <w:r>
        <w:rPr>
          <w:rFonts w:eastAsia="Times New Roman"/>
          <w:lang w:val="en"/>
        </w:rPr>
        <w:t>2.3 Diversity, Equity and Inclusion (DEI)</w:t>
      </w:r>
    </w:p>
    <w:p w14:paraId="133DEC0C" w14:textId="77777777" w:rsidR="009219DA"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DEI is not merely a legal compliance issue under the Equality Act 2010 but a critical operational factor for Helping Hands' care assistant workforce. The care assistant workforce is traditionally diverse, with 82% female workers and 21% from Black, Asian, and Minority Ethnic (BAME) backgrounds (Skills for Care, 2022). However, a significant "representation gap" often exists between frontline care assistant staff and senior management. Research by the CIPD (2022) highlights that while the care assistant sector is diverse at entry level, progression barriers exist for minority groups seeking supervisory roles. </w:t>
      </w:r>
    </w:p>
    <w:p w14:paraId="142409B6" w14:textId="1C1E5CDF" w:rsidR="00450A69"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Furthermore, inclusivity is vital for service delivery; care assistants enter the private homes of a diverse range of clients and may face discrimination from clients or their families. </w:t>
      </w:r>
      <w:proofErr w:type="spellStart"/>
      <w:r w:rsidRPr="00740A89">
        <w:rPr>
          <w:rFonts w:ascii="Arial" w:hAnsi="Arial" w:cs="Arial"/>
          <w:color w:val="222222"/>
          <w:lang w:val="en"/>
        </w:rPr>
        <w:t>Manthorpe</w:t>
      </w:r>
      <w:proofErr w:type="spellEnd"/>
      <w:r w:rsidRPr="00740A89">
        <w:rPr>
          <w:rFonts w:ascii="Arial" w:hAnsi="Arial" w:cs="Arial"/>
          <w:color w:val="222222"/>
          <w:lang w:val="en"/>
        </w:rPr>
        <w:t xml:space="preserve"> and </w:t>
      </w:r>
      <w:proofErr w:type="spellStart"/>
      <w:r w:rsidRPr="00740A89">
        <w:rPr>
          <w:rFonts w:ascii="Arial" w:hAnsi="Arial" w:cs="Arial"/>
          <w:color w:val="222222"/>
          <w:lang w:val="en"/>
        </w:rPr>
        <w:t>Samsi</w:t>
      </w:r>
      <w:proofErr w:type="spellEnd"/>
      <w:r w:rsidRPr="00740A89">
        <w:rPr>
          <w:rFonts w:ascii="Arial" w:hAnsi="Arial" w:cs="Arial"/>
          <w:color w:val="222222"/>
          <w:lang w:val="en"/>
        </w:rPr>
        <w:t xml:space="preserve"> (2021) found that 34% of BAME care assistants reported experiencing racism from service users. If the care assistant workforce does not feel valued or safe from discrimination</w:t>
      </w:r>
      <w:r w:rsidR="00881E9C">
        <w:rPr>
          <w:rFonts w:ascii="Arial" w:hAnsi="Arial" w:cs="Arial"/>
          <w:color w:val="222222"/>
          <w:lang w:val="en"/>
        </w:rPr>
        <w:t>. W</w:t>
      </w:r>
      <w:r w:rsidRPr="00740A89">
        <w:rPr>
          <w:rFonts w:ascii="Arial" w:hAnsi="Arial" w:cs="Arial"/>
          <w:color w:val="222222"/>
          <w:lang w:val="en"/>
        </w:rPr>
        <w:t>hether from management or clients</w:t>
      </w:r>
      <w:r w:rsidR="00881E9C">
        <w:rPr>
          <w:rFonts w:ascii="Arial" w:hAnsi="Arial" w:cs="Arial"/>
          <w:color w:val="222222"/>
          <w:lang w:val="en"/>
        </w:rPr>
        <w:t>-e</w:t>
      </w:r>
      <w:r w:rsidRPr="00740A89">
        <w:rPr>
          <w:rFonts w:ascii="Arial" w:hAnsi="Arial" w:cs="Arial"/>
          <w:color w:val="222222"/>
          <w:lang w:val="en"/>
        </w:rPr>
        <w:t>ngagement plummets. In home care, care assistant staff work remotely and independently</w:t>
      </w:r>
      <w:r w:rsidR="00F11B8B">
        <w:rPr>
          <w:rFonts w:ascii="Arial" w:hAnsi="Arial" w:cs="Arial"/>
          <w:color w:val="222222"/>
          <w:lang w:val="en"/>
        </w:rPr>
        <w:t xml:space="preserve">: </w:t>
      </w:r>
      <w:r w:rsidRPr="00740A89">
        <w:rPr>
          <w:rFonts w:ascii="Arial" w:hAnsi="Arial" w:cs="Arial"/>
          <w:color w:val="222222"/>
          <w:lang w:val="en"/>
        </w:rPr>
        <w:t>therefore, creating a culture of inclusion where care assistants feel psychologically safe and supported without constant physical supervision is uniquely challenging (Nishii and Mayer, 2009). Failing to address DEI risks reputational damage and legal grievances, and alienate</w:t>
      </w:r>
      <w:r>
        <w:rPr>
          <w:rFonts w:ascii="Merriweather" w:hAnsi="Merriweather"/>
          <w:color w:val="222222"/>
          <w:lang w:val="en"/>
        </w:rPr>
        <w:t xml:space="preserve">s </w:t>
      </w:r>
      <w:r w:rsidRPr="00740A89">
        <w:rPr>
          <w:rFonts w:ascii="Arial" w:hAnsi="Arial" w:cs="Arial"/>
          <w:color w:val="222222"/>
          <w:lang w:val="en"/>
        </w:rPr>
        <w:t xml:space="preserve">a large portion of the potential care assistant talent pool. </w:t>
      </w:r>
    </w:p>
    <w:p w14:paraId="459547F5" w14:textId="77777777" w:rsidR="00450A69" w:rsidRDefault="00450A69">
      <w:pPr>
        <w:pStyle w:val="2"/>
        <w:rPr>
          <w:rFonts w:eastAsia="Times New Roman"/>
          <w:lang w:val="en"/>
        </w:rPr>
      </w:pPr>
      <w:r>
        <w:rPr>
          <w:rFonts w:eastAsia="Times New Roman"/>
          <w:lang w:val="en"/>
        </w:rPr>
        <w:t>3.0 Evaluation of Contemporary HR Practices</w:t>
      </w:r>
    </w:p>
    <w:p w14:paraId="0AF66EBA" w14:textId="77777777" w:rsidR="00450A69" w:rsidRDefault="00450A69">
      <w:pPr>
        <w:pStyle w:val="3"/>
        <w:rPr>
          <w:rFonts w:eastAsia="Times New Roman"/>
          <w:lang w:val="en"/>
        </w:rPr>
      </w:pPr>
      <w:r>
        <w:rPr>
          <w:rFonts w:eastAsia="Times New Roman"/>
          <w:lang w:val="en"/>
        </w:rPr>
        <w:t>3.1 Addressing Technology: Digital Upskilling and Agile HR</w:t>
      </w:r>
    </w:p>
    <w:p w14:paraId="2B029E8D" w14:textId="77777777" w:rsidR="00450A69" w:rsidRPr="00740A89" w:rsidRDefault="00450A69">
      <w:pPr>
        <w:pStyle w:val="a3"/>
        <w:jc w:val="both"/>
        <w:rPr>
          <w:rFonts w:ascii="Arial" w:hAnsi="Arial" w:cs="Arial"/>
          <w:color w:val="222222"/>
          <w:lang w:val="en"/>
        </w:rPr>
      </w:pPr>
      <w:r w:rsidRPr="00740A89">
        <w:rPr>
          <w:rFonts w:ascii="Arial" w:hAnsi="Arial" w:cs="Arial"/>
          <w:color w:val="222222"/>
          <w:lang w:val="en"/>
        </w:rPr>
        <w:t xml:space="preserve">To address technological lag among care assistants, HR must move beyond traditional training toward "Digital Upskilling" and Agile learning methodologies. Contemporary practice suggests that training for care assistants should not be a one-off event but continuous and embedded in the flow of work (Armstrong and Taylor, 2020). For Helping Hands, implementing a Learning Management System (LMS) accessible via mobile devices allows care assistants to access micro-learning modules on e-MAR charts or safeguarding apps between client visits. </w:t>
      </w:r>
      <w:proofErr w:type="spellStart"/>
      <w:r w:rsidRPr="00740A89">
        <w:rPr>
          <w:rFonts w:ascii="Arial" w:hAnsi="Arial" w:cs="Arial"/>
          <w:color w:val="222222"/>
          <w:lang w:val="en"/>
        </w:rPr>
        <w:t>Bersin</w:t>
      </w:r>
      <w:proofErr w:type="spellEnd"/>
      <w:r w:rsidRPr="00740A89">
        <w:rPr>
          <w:rFonts w:ascii="Arial" w:hAnsi="Arial" w:cs="Arial"/>
          <w:color w:val="222222"/>
          <w:lang w:val="en"/>
        </w:rPr>
        <w:t xml:space="preserve"> (2018) advocates for "learning in the flow of work," which is particularly relevant for care assistants who cannot attend classroom-based training due to shift patterns. </w:t>
      </w:r>
    </w:p>
    <w:p w14:paraId="1E895DEB" w14:textId="77777777" w:rsidR="00450A69" w:rsidRPr="00740A89" w:rsidRDefault="00450A69">
      <w:pPr>
        <w:pStyle w:val="a3"/>
        <w:jc w:val="both"/>
        <w:rPr>
          <w:rFonts w:ascii="Arial" w:hAnsi="Arial" w:cs="Arial"/>
          <w:color w:val="222222"/>
          <w:lang w:val="en"/>
        </w:rPr>
      </w:pPr>
      <w:r w:rsidRPr="00740A89">
        <w:rPr>
          <w:rStyle w:val="a4"/>
          <w:rFonts w:ascii="Arial" w:hAnsi="Arial" w:cs="Arial"/>
          <w:color w:val="222222"/>
          <w:lang w:val="en"/>
        </w:rPr>
        <w:t>Evaluation:</w:t>
      </w:r>
      <w:r w:rsidRPr="00740A89">
        <w:rPr>
          <w:rFonts w:ascii="Arial" w:hAnsi="Arial" w:cs="Arial"/>
          <w:color w:val="222222"/>
          <w:lang w:val="en"/>
        </w:rPr>
        <w:t xml:space="preserve"> This approach is highly effective for a dispersed care assistant workforce. However, it relies heavily on the user experience of the software and the provision of hardware </w:t>
      </w:r>
      <w:r w:rsidRPr="00740A89">
        <w:rPr>
          <w:rFonts w:ascii="Arial" w:hAnsi="Arial" w:cs="Arial"/>
          <w:color w:val="222222"/>
          <w:lang w:val="en"/>
        </w:rPr>
        <w:lastRenderedPageBreak/>
        <w:t>(smartphones/tablets) to care assistants. If Helping Hands shifts the cost of data or devices onto low-paid care assistant staff, it will create resentment and exacerbate inequality (</w:t>
      </w:r>
      <w:proofErr w:type="spellStart"/>
      <w:r w:rsidRPr="00740A89">
        <w:rPr>
          <w:rFonts w:ascii="Arial" w:hAnsi="Arial" w:cs="Arial"/>
          <w:color w:val="222222"/>
          <w:lang w:val="en"/>
        </w:rPr>
        <w:t>Felstead</w:t>
      </w:r>
      <w:proofErr w:type="spellEnd"/>
      <w:r w:rsidRPr="00740A89">
        <w:rPr>
          <w:rFonts w:ascii="Arial" w:hAnsi="Arial" w:cs="Arial"/>
          <w:color w:val="222222"/>
          <w:lang w:val="en"/>
        </w:rPr>
        <w:t xml:space="preserve"> and </w:t>
      </w:r>
      <w:proofErr w:type="spellStart"/>
      <w:r w:rsidRPr="00740A89">
        <w:rPr>
          <w:rFonts w:ascii="Arial" w:hAnsi="Arial" w:cs="Arial"/>
          <w:color w:val="222222"/>
          <w:lang w:val="en"/>
        </w:rPr>
        <w:t>Henseke</w:t>
      </w:r>
      <w:proofErr w:type="spellEnd"/>
      <w:r w:rsidRPr="00740A89">
        <w:rPr>
          <w:rFonts w:ascii="Arial" w:hAnsi="Arial" w:cs="Arial"/>
          <w:color w:val="222222"/>
          <w:lang w:val="en"/>
        </w:rPr>
        <w:t xml:space="preserve">, 2017). Therefore, a "Bring Your Own Device" (BYOD) policy must be accompanied by fair stipends, or devices must be provided directly to care assistants. This practice ensures compliance and confidence among care assistants but requires significant upfront investment in both technology and care assistant training infrastructure. </w:t>
      </w:r>
    </w:p>
    <w:p w14:paraId="16E4B9EB" w14:textId="77777777" w:rsidR="00450A69" w:rsidRDefault="00450A69">
      <w:pPr>
        <w:pStyle w:val="3"/>
        <w:rPr>
          <w:rFonts w:eastAsia="Times New Roman"/>
          <w:lang w:val="en"/>
        </w:rPr>
      </w:pPr>
      <w:r>
        <w:rPr>
          <w:rFonts w:eastAsia="Times New Roman"/>
          <w:lang w:val="en"/>
        </w:rPr>
        <w:t>3.2 Addressing Talent: Employer Branding and Total Reward Strategy</w:t>
      </w:r>
    </w:p>
    <w:p w14:paraId="5FBD3307" w14:textId="5BE0C02F" w:rsidR="00450A69" w:rsidRPr="00740A89" w:rsidRDefault="00450A69">
      <w:pPr>
        <w:pStyle w:val="a3"/>
        <w:jc w:val="both"/>
        <w:rPr>
          <w:rFonts w:ascii="Arial" w:hAnsi="Arial" w:cs="Arial"/>
          <w:color w:val="222222"/>
          <w:lang w:val="en"/>
        </w:rPr>
      </w:pPr>
      <w:r w:rsidRPr="00740A89">
        <w:rPr>
          <w:rFonts w:ascii="Arial" w:hAnsi="Arial" w:cs="Arial"/>
          <w:color w:val="222222"/>
          <w:lang w:val="en"/>
        </w:rPr>
        <w:t>Traditional recruitment advertising is no longer sufficient to attract care assistants. Contemporary HR practice focuses on "Employer Branding"</w:t>
      </w:r>
      <w:r w:rsidR="0063534F">
        <w:rPr>
          <w:rFonts w:ascii="Arial" w:hAnsi="Arial" w:cs="Arial"/>
          <w:color w:val="222222"/>
          <w:lang w:val="en"/>
        </w:rPr>
        <w:t xml:space="preserve"> </w:t>
      </w:r>
      <w:r w:rsidRPr="00740A89">
        <w:rPr>
          <w:rFonts w:ascii="Arial" w:hAnsi="Arial" w:cs="Arial"/>
          <w:color w:val="222222"/>
          <w:lang w:val="en"/>
        </w:rPr>
        <w:t xml:space="preserve">marketing the company to potential care assistant employees as a "Great Place to Work." For Helping Hands, this means redefining the Employee Value Proposition (EVP) specifically for care assistants. This involves shifting from transactional rewards (pay only) to a "Total Reward" approach (CIPD, 2021). This includes psychological contracts, career pathways from care assistant to senior care assistant or care coordinator, and recognition schemes that celebrate care assistant achievements. Barrow and Mosley (2020) argue that a strong employer brand reduces care assistant recruitment costs by up to 50% and increases care assistant retention by 28%. </w:t>
      </w:r>
    </w:p>
    <w:p w14:paraId="785B7865" w14:textId="77777777" w:rsidR="00450A69" w:rsidRPr="00740A89" w:rsidRDefault="00450A69">
      <w:pPr>
        <w:pStyle w:val="a3"/>
        <w:jc w:val="both"/>
        <w:rPr>
          <w:rFonts w:ascii="Arial" w:hAnsi="Arial" w:cs="Arial"/>
          <w:color w:val="222222"/>
          <w:lang w:val="en"/>
        </w:rPr>
      </w:pPr>
      <w:r w:rsidRPr="00740A89">
        <w:rPr>
          <w:rStyle w:val="a4"/>
          <w:rFonts w:ascii="Arial" w:hAnsi="Arial" w:cs="Arial"/>
          <w:color w:val="222222"/>
          <w:lang w:val="en"/>
        </w:rPr>
        <w:t>Evaluation:</w:t>
      </w:r>
      <w:r w:rsidRPr="00740A89">
        <w:rPr>
          <w:rFonts w:ascii="Arial" w:hAnsi="Arial" w:cs="Arial"/>
          <w:color w:val="222222"/>
          <w:lang w:val="en"/>
        </w:rPr>
        <w:t xml:space="preserve"> In a low-margin sector like social care, increasing care assistant base pay significantly is often financially unviable due to local authority funding caps (</w:t>
      </w:r>
      <w:proofErr w:type="spellStart"/>
      <w:r w:rsidRPr="00740A89">
        <w:rPr>
          <w:rFonts w:ascii="Arial" w:hAnsi="Arial" w:cs="Arial"/>
          <w:color w:val="222222"/>
          <w:lang w:val="en"/>
        </w:rPr>
        <w:t>Bottery</w:t>
      </w:r>
      <w:proofErr w:type="spellEnd"/>
      <w:r w:rsidRPr="00740A89">
        <w:rPr>
          <w:rFonts w:ascii="Arial" w:hAnsi="Arial" w:cs="Arial"/>
          <w:color w:val="222222"/>
          <w:lang w:val="en"/>
        </w:rPr>
        <w:t xml:space="preserve"> et al., 2022). Therefore, a Total Reward strategy focusing on flexibility for care assistants, paid travel time between visits (often a contention point in home care), and clear progression pathways from care assistant to "Senior Care Assistant" or "Care Coordinator" roles is crucial. While effective, this practice takes time to yield results among care assistants. It requires a genuine cultural shift; if the branding promises a supportive culture but the reality for care assistants is chaotic </w:t>
      </w:r>
      <w:proofErr w:type="spellStart"/>
      <w:r w:rsidRPr="00740A89">
        <w:rPr>
          <w:rFonts w:ascii="Arial" w:hAnsi="Arial" w:cs="Arial"/>
          <w:color w:val="222222"/>
          <w:lang w:val="en"/>
        </w:rPr>
        <w:t>rostering</w:t>
      </w:r>
      <w:proofErr w:type="spellEnd"/>
      <w:r w:rsidRPr="00740A89">
        <w:rPr>
          <w:rFonts w:ascii="Arial" w:hAnsi="Arial" w:cs="Arial"/>
          <w:color w:val="222222"/>
          <w:lang w:val="en"/>
        </w:rPr>
        <w:t xml:space="preserve"> and unpaid breaks, care assistant turnover will actually increase due to the "psychological contract breach" (Rousseau, 1995). Guest (2004) </w:t>
      </w:r>
      <w:proofErr w:type="spellStart"/>
      <w:r w:rsidRPr="00740A89">
        <w:rPr>
          <w:rFonts w:ascii="Arial" w:hAnsi="Arial" w:cs="Arial"/>
          <w:color w:val="222222"/>
          <w:lang w:val="en"/>
        </w:rPr>
        <w:t>emphasises</w:t>
      </w:r>
      <w:proofErr w:type="spellEnd"/>
      <w:r w:rsidRPr="00740A89">
        <w:rPr>
          <w:rFonts w:ascii="Arial" w:hAnsi="Arial" w:cs="Arial"/>
          <w:color w:val="222222"/>
          <w:lang w:val="en"/>
        </w:rPr>
        <w:t xml:space="preserve"> that the delivery of the psychological contract by line managers is critical to care assistant retention. </w:t>
      </w:r>
    </w:p>
    <w:p w14:paraId="6826A743" w14:textId="77777777" w:rsidR="00450A69" w:rsidRDefault="00450A69">
      <w:pPr>
        <w:pStyle w:val="3"/>
        <w:rPr>
          <w:rFonts w:eastAsia="Times New Roman"/>
          <w:lang w:val="en"/>
        </w:rPr>
      </w:pPr>
      <w:r>
        <w:rPr>
          <w:rFonts w:eastAsia="Times New Roman"/>
          <w:lang w:val="en"/>
        </w:rPr>
        <w:t>3.3 Addressing DEI: Inclusive Leadership and Blind Recruitment</w:t>
      </w:r>
    </w:p>
    <w:p w14:paraId="2DEB96D3" w14:textId="77777777" w:rsidR="00450A69" w:rsidRPr="003943A2" w:rsidRDefault="00450A69">
      <w:pPr>
        <w:pStyle w:val="a3"/>
        <w:jc w:val="both"/>
        <w:rPr>
          <w:rFonts w:ascii="Arial" w:hAnsi="Arial" w:cs="Arial"/>
          <w:color w:val="222222"/>
          <w:lang w:val="en"/>
        </w:rPr>
      </w:pPr>
      <w:r w:rsidRPr="003943A2">
        <w:rPr>
          <w:rFonts w:ascii="Arial" w:hAnsi="Arial" w:cs="Arial"/>
          <w:color w:val="222222"/>
          <w:lang w:val="en"/>
        </w:rPr>
        <w:t xml:space="preserve">To tackle DEI effectively within the care assistant workforce, HR must implement systemic changes rather than just "diversity training," which evidence suggests has limited long-term impact on care assistant attitudes (Dobbin and </w:t>
      </w:r>
      <w:proofErr w:type="spellStart"/>
      <w:r w:rsidRPr="003943A2">
        <w:rPr>
          <w:rFonts w:ascii="Arial" w:hAnsi="Arial" w:cs="Arial"/>
          <w:color w:val="222222"/>
          <w:lang w:val="en"/>
        </w:rPr>
        <w:t>Kalev</w:t>
      </w:r>
      <w:proofErr w:type="spellEnd"/>
      <w:r w:rsidRPr="003943A2">
        <w:rPr>
          <w:rFonts w:ascii="Arial" w:hAnsi="Arial" w:cs="Arial"/>
          <w:color w:val="222222"/>
          <w:lang w:val="en"/>
        </w:rPr>
        <w:t xml:space="preserve">, 2016). Contemporary practices include "Blind Recruitment" (removing names/ages from CVs) to reduce unconscious bias during care assistant selection, and establishing "Employee Resource Groups" (ERGs) to give minority care assistant voices a formal channel to leadership. Nishii (2013) found that when care assistants perceive DEI practices as genuine, </w:t>
      </w:r>
      <w:proofErr w:type="spellStart"/>
      <w:r w:rsidRPr="003943A2">
        <w:rPr>
          <w:rFonts w:ascii="Arial" w:hAnsi="Arial" w:cs="Arial"/>
          <w:color w:val="222222"/>
          <w:lang w:val="en"/>
        </w:rPr>
        <w:t>organisational</w:t>
      </w:r>
      <w:proofErr w:type="spellEnd"/>
      <w:r w:rsidRPr="003943A2">
        <w:rPr>
          <w:rFonts w:ascii="Arial" w:hAnsi="Arial" w:cs="Arial"/>
          <w:color w:val="222222"/>
          <w:lang w:val="en"/>
        </w:rPr>
        <w:t xml:space="preserve"> commitment increases by 23%. </w:t>
      </w:r>
    </w:p>
    <w:p w14:paraId="4205DC31" w14:textId="77777777" w:rsidR="00450A69" w:rsidRPr="003943A2" w:rsidRDefault="00450A69">
      <w:pPr>
        <w:pStyle w:val="a3"/>
        <w:jc w:val="both"/>
        <w:rPr>
          <w:rFonts w:ascii="Arial" w:hAnsi="Arial" w:cs="Arial"/>
          <w:color w:val="222222"/>
          <w:lang w:val="en"/>
        </w:rPr>
      </w:pPr>
      <w:r w:rsidRPr="003943A2">
        <w:rPr>
          <w:rStyle w:val="a4"/>
          <w:rFonts w:ascii="Arial" w:hAnsi="Arial" w:cs="Arial"/>
          <w:color w:val="222222"/>
          <w:lang w:val="en"/>
        </w:rPr>
        <w:t>Evaluation:</w:t>
      </w:r>
      <w:r w:rsidRPr="003943A2">
        <w:rPr>
          <w:rFonts w:ascii="Arial" w:hAnsi="Arial" w:cs="Arial"/>
          <w:color w:val="222222"/>
          <w:lang w:val="en"/>
        </w:rPr>
        <w:t xml:space="preserve"> Blind recruitment is highly effective at the initial care assistant screening stage but does not prevent bias at the interview stage for care assistant positions. Therefore, it must be paired with structured interviews using </w:t>
      </w:r>
      <w:proofErr w:type="spellStart"/>
      <w:r w:rsidRPr="003943A2">
        <w:rPr>
          <w:rFonts w:ascii="Arial" w:hAnsi="Arial" w:cs="Arial"/>
          <w:color w:val="222222"/>
          <w:lang w:val="en"/>
        </w:rPr>
        <w:t>standardised</w:t>
      </w:r>
      <w:proofErr w:type="spellEnd"/>
      <w:r w:rsidRPr="003943A2">
        <w:rPr>
          <w:rFonts w:ascii="Arial" w:hAnsi="Arial" w:cs="Arial"/>
          <w:color w:val="222222"/>
          <w:lang w:val="en"/>
        </w:rPr>
        <w:t xml:space="preserve"> scoring matrices (Rivera, 2020). Furthermore, "Inclusive Leadership" </w:t>
      </w:r>
      <w:proofErr w:type="spellStart"/>
      <w:r w:rsidRPr="003943A2">
        <w:rPr>
          <w:rFonts w:ascii="Arial" w:hAnsi="Arial" w:cs="Arial"/>
          <w:color w:val="222222"/>
          <w:lang w:val="en"/>
        </w:rPr>
        <w:t>programmes</w:t>
      </w:r>
      <w:proofErr w:type="spellEnd"/>
      <w:r w:rsidRPr="003943A2">
        <w:rPr>
          <w:rFonts w:ascii="Arial" w:hAnsi="Arial" w:cs="Arial"/>
          <w:color w:val="222222"/>
          <w:lang w:val="en"/>
        </w:rPr>
        <w:t xml:space="preserve"> are vital for managers supervising care assistants. Managers at Helping Hands need to be evaluated not just on operational metrics but on their ability to foster psychological safety among care assistants and address client-perpetrated discrimination. While these practices are robust, they require buy-in from the top. If Mary Lee’s founding values are not translated into modern DEI metrics relevant to care assistant experiences, these initiatives will be seen as </w:t>
      </w:r>
      <w:proofErr w:type="spellStart"/>
      <w:r w:rsidRPr="003943A2">
        <w:rPr>
          <w:rFonts w:ascii="Arial" w:hAnsi="Arial" w:cs="Arial"/>
          <w:color w:val="222222"/>
          <w:lang w:val="en"/>
        </w:rPr>
        <w:t>performative</w:t>
      </w:r>
      <w:proofErr w:type="spellEnd"/>
      <w:r w:rsidRPr="003943A2">
        <w:rPr>
          <w:rFonts w:ascii="Arial" w:hAnsi="Arial" w:cs="Arial"/>
          <w:color w:val="222222"/>
          <w:lang w:val="en"/>
        </w:rPr>
        <w:t xml:space="preserve"> (Ahmed, 2012). </w:t>
      </w:r>
    </w:p>
    <w:p w14:paraId="75DD1ED6" w14:textId="77777777" w:rsidR="00450A69" w:rsidRDefault="00450A69">
      <w:pPr>
        <w:pStyle w:val="2"/>
        <w:rPr>
          <w:rFonts w:eastAsia="Times New Roman"/>
          <w:lang w:val="en"/>
        </w:rPr>
      </w:pPr>
      <w:r>
        <w:rPr>
          <w:rFonts w:eastAsia="Times New Roman"/>
          <w:lang w:val="en"/>
        </w:rPr>
        <w:lastRenderedPageBreak/>
        <w:t>4.0 Critical Evaluation of Managerial Implementation</w:t>
      </w:r>
    </w:p>
    <w:p w14:paraId="3EF4EC2E" w14:textId="69FC5C56" w:rsidR="00450A69" w:rsidRPr="003943A2" w:rsidRDefault="00450A69">
      <w:pPr>
        <w:pStyle w:val="a3"/>
        <w:jc w:val="both"/>
        <w:rPr>
          <w:rFonts w:ascii="Arial" w:hAnsi="Arial" w:cs="Arial"/>
          <w:color w:val="222222"/>
          <w:lang w:val="en"/>
        </w:rPr>
      </w:pPr>
      <w:r w:rsidRPr="003943A2">
        <w:rPr>
          <w:rFonts w:ascii="Arial" w:hAnsi="Arial" w:cs="Arial"/>
          <w:color w:val="222222"/>
          <w:lang w:val="en"/>
        </w:rPr>
        <w:t>While HR departments design policies, it is the departmental managers</w:t>
      </w:r>
      <w:r w:rsidR="00077FA4">
        <w:rPr>
          <w:rFonts w:ascii="Arial" w:hAnsi="Arial" w:cs="Arial"/>
          <w:color w:val="222222"/>
          <w:lang w:val="en"/>
        </w:rPr>
        <w:t xml:space="preserve">: </w:t>
      </w:r>
      <w:r w:rsidRPr="003943A2">
        <w:rPr>
          <w:rFonts w:ascii="Arial" w:hAnsi="Arial" w:cs="Arial"/>
          <w:color w:val="222222"/>
          <w:lang w:val="en"/>
        </w:rPr>
        <w:t>Care Managers and Coordinators</w:t>
      </w:r>
      <w:r w:rsidR="00E33CC1">
        <w:rPr>
          <w:rFonts w:ascii="Arial" w:hAnsi="Arial" w:cs="Arial"/>
          <w:color w:val="222222"/>
          <w:lang w:val="en"/>
        </w:rPr>
        <w:t xml:space="preserve"> </w:t>
      </w:r>
      <w:r w:rsidRPr="003943A2">
        <w:rPr>
          <w:rFonts w:ascii="Arial" w:hAnsi="Arial" w:cs="Arial"/>
          <w:color w:val="222222"/>
          <w:lang w:val="en"/>
        </w:rPr>
        <w:t xml:space="preserve">who implement them with care assistants on the frontline. Their role is the "linchpin" in determining whether these contemporary practices succeed or fail in improving care assistant experiences (Purcell and Hutchinson, 2007). In the context of Helping Hands, the urgency of implementation is critical due to the sector's care assistant staffing crisis, with some regions experiencing care assistant vacancy rates exceeding 15% (Skills for Care, 2022). </w:t>
      </w:r>
    </w:p>
    <w:p w14:paraId="551584E4" w14:textId="0A9C42E7" w:rsidR="00450A69" w:rsidRPr="003943A2" w:rsidRDefault="00450A69">
      <w:pPr>
        <w:pStyle w:val="a3"/>
        <w:jc w:val="both"/>
        <w:rPr>
          <w:rFonts w:ascii="Arial" w:hAnsi="Arial" w:cs="Arial"/>
          <w:color w:val="222222"/>
          <w:lang w:val="en"/>
        </w:rPr>
      </w:pPr>
      <w:r w:rsidRPr="003943A2">
        <w:rPr>
          <w:rFonts w:ascii="Arial" w:hAnsi="Arial" w:cs="Arial"/>
          <w:color w:val="222222"/>
          <w:lang w:val="en"/>
        </w:rPr>
        <w:t>However, a critical evaluation reveals a significant "implementation gap" affecting care assistant management. Departmental managers in social care are often promoted from care assistant roles based on technical care proficiency rather than people leadership capability (Bach et al., 2020). They are frequently overwhelmed by operational fires</w:t>
      </w:r>
      <w:r w:rsidR="00281CEA">
        <w:rPr>
          <w:rFonts w:ascii="Arial" w:hAnsi="Arial" w:cs="Arial"/>
          <w:color w:val="222222"/>
          <w:lang w:val="en"/>
        </w:rPr>
        <w:t>-</w:t>
      </w:r>
      <w:r w:rsidRPr="003943A2">
        <w:rPr>
          <w:rFonts w:ascii="Arial" w:hAnsi="Arial" w:cs="Arial"/>
          <w:color w:val="222222"/>
          <w:lang w:val="en"/>
        </w:rPr>
        <w:t xml:space="preserve">covering sick care assistant calls, managing safeguarding alerts, and dealing with client complaints about care assistants. Consequently, strategic HR initiatives like DEI forums or digital training oversight for care assistants are often </w:t>
      </w:r>
      <w:proofErr w:type="spellStart"/>
      <w:r w:rsidRPr="003943A2">
        <w:rPr>
          <w:rFonts w:ascii="Arial" w:hAnsi="Arial" w:cs="Arial"/>
          <w:color w:val="222222"/>
          <w:lang w:val="en"/>
        </w:rPr>
        <w:t>deprioritised</w:t>
      </w:r>
      <w:proofErr w:type="spellEnd"/>
      <w:r w:rsidRPr="003943A2">
        <w:rPr>
          <w:rFonts w:ascii="Arial" w:hAnsi="Arial" w:cs="Arial"/>
          <w:color w:val="222222"/>
          <w:lang w:val="en"/>
        </w:rPr>
        <w:t xml:space="preserve"> as "nice-to-haves" rather than urgent necessities (Truss et al., 2012). </w:t>
      </w:r>
    </w:p>
    <w:p w14:paraId="3597F30C" w14:textId="77777777" w:rsidR="00450A69" w:rsidRPr="003943A2" w:rsidRDefault="00450A69">
      <w:pPr>
        <w:pStyle w:val="a3"/>
        <w:jc w:val="both"/>
        <w:rPr>
          <w:rFonts w:ascii="Arial" w:hAnsi="Arial" w:cs="Arial"/>
          <w:color w:val="222222"/>
          <w:lang w:val="en"/>
        </w:rPr>
      </w:pPr>
      <w:r w:rsidRPr="003943A2">
        <w:rPr>
          <w:rFonts w:ascii="Arial" w:hAnsi="Arial" w:cs="Arial"/>
          <w:color w:val="222222"/>
          <w:lang w:val="en"/>
        </w:rPr>
        <w:t xml:space="preserve">Furthermore, managers may actively resist new practices if they perceive them as increasing their workload without reducing care assistant turnover. For instance, enforcing a new digital logging system requires managers to constantly monitor dashboards and correct care assistant errors, which is more time-consuming initially than checking paper logs at the end of the month. Similarly, implementing flexible working for care assistants (a retention tool) makes </w:t>
      </w:r>
      <w:proofErr w:type="spellStart"/>
      <w:r w:rsidRPr="003943A2">
        <w:rPr>
          <w:rFonts w:ascii="Arial" w:hAnsi="Arial" w:cs="Arial"/>
          <w:color w:val="222222"/>
          <w:lang w:val="en"/>
        </w:rPr>
        <w:t>rostering</w:t>
      </w:r>
      <w:proofErr w:type="spellEnd"/>
      <w:r w:rsidRPr="003943A2">
        <w:rPr>
          <w:rFonts w:ascii="Arial" w:hAnsi="Arial" w:cs="Arial"/>
          <w:color w:val="222222"/>
          <w:lang w:val="en"/>
        </w:rPr>
        <w:t xml:space="preserve"> exponentially more difficult for coordinators (</w:t>
      </w:r>
      <w:proofErr w:type="spellStart"/>
      <w:r w:rsidRPr="003943A2">
        <w:rPr>
          <w:rFonts w:ascii="Arial" w:hAnsi="Arial" w:cs="Arial"/>
          <w:color w:val="222222"/>
          <w:lang w:val="en"/>
        </w:rPr>
        <w:t>Boxall</w:t>
      </w:r>
      <w:proofErr w:type="spellEnd"/>
      <w:r w:rsidRPr="003943A2">
        <w:rPr>
          <w:rFonts w:ascii="Arial" w:hAnsi="Arial" w:cs="Arial"/>
          <w:color w:val="222222"/>
          <w:lang w:val="en"/>
        </w:rPr>
        <w:t xml:space="preserve"> and Purcell, 2022). </w:t>
      </w:r>
    </w:p>
    <w:p w14:paraId="2153F37F" w14:textId="77777777" w:rsidR="00450A69" w:rsidRPr="003943A2" w:rsidRDefault="00450A69">
      <w:pPr>
        <w:pStyle w:val="a3"/>
        <w:jc w:val="both"/>
        <w:rPr>
          <w:rFonts w:ascii="Arial" w:hAnsi="Arial" w:cs="Arial"/>
          <w:color w:val="222222"/>
          <w:lang w:val="en"/>
        </w:rPr>
      </w:pPr>
      <w:r w:rsidRPr="003943A2">
        <w:rPr>
          <w:rFonts w:ascii="Arial" w:hAnsi="Arial" w:cs="Arial"/>
          <w:color w:val="222222"/>
          <w:lang w:val="en"/>
        </w:rPr>
        <w:t>To ensure urgency, HR must devolve responsibility effectively to managers overseeing care assistants. Managers need to understand the business case: that spending time on care assistant retention strategies today reduces the time spent on recruitment tomorrow. Performance management systems for managers must be realigned to reflect care assistant outcomes. If a Care Manager is bonus-</w:t>
      </w:r>
      <w:proofErr w:type="spellStart"/>
      <w:r w:rsidRPr="003943A2">
        <w:rPr>
          <w:rFonts w:ascii="Arial" w:hAnsi="Arial" w:cs="Arial"/>
          <w:color w:val="222222"/>
          <w:lang w:val="en"/>
        </w:rPr>
        <w:t>incentivised</w:t>
      </w:r>
      <w:proofErr w:type="spellEnd"/>
      <w:r w:rsidRPr="003943A2">
        <w:rPr>
          <w:rFonts w:ascii="Arial" w:hAnsi="Arial" w:cs="Arial"/>
          <w:color w:val="222222"/>
          <w:lang w:val="en"/>
        </w:rPr>
        <w:t xml:space="preserve"> solely on "care assistant hours delivered" (revenue), they will ignore care assistant wellbeing. If they are </w:t>
      </w:r>
      <w:proofErr w:type="spellStart"/>
      <w:r w:rsidRPr="003943A2">
        <w:rPr>
          <w:rFonts w:ascii="Arial" w:hAnsi="Arial" w:cs="Arial"/>
          <w:color w:val="222222"/>
          <w:lang w:val="en"/>
        </w:rPr>
        <w:t>incentivised</w:t>
      </w:r>
      <w:proofErr w:type="spellEnd"/>
      <w:r w:rsidRPr="003943A2">
        <w:rPr>
          <w:rFonts w:ascii="Arial" w:hAnsi="Arial" w:cs="Arial"/>
          <w:color w:val="222222"/>
          <w:lang w:val="en"/>
        </w:rPr>
        <w:t xml:space="preserve"> on "care assistant retention rates" and "compliance scores," they will treat HR practices affecting care assistants as urgent business priorities (Wright and Nishii, 2013). Without this alignment of incentives and adequate management training in care assistant supervision, the best HR strategies will remain theoretical documents, never translating into improved care assistant experiences on the front line (Ulrich and </w:t>
      </w:r>
      <w:proofErr w:type="spellStart"/>
      <w:r w:rsidRPr="003943A2">
        <w:rPr>
          <w:rFonts w:ascii="Arial" w:hAnsi="Arial" w:cs="Arial"/>
          <w:color w:val="222222"/>
          <w:lang w:val="en"/>
        </w:rPr>
        <w:t>Dulebohn</w:t>
      </w:r>
      <w:proofErr w:type="spellEnd"/>
      <w:r w:rsidRPr="003943A2">
        <w:rPr>
          <w:rFonts w:ascii="Arial" w:hAnsi="Arial" w:cs="Arial"/>
          <w:color w:val="222222"/>
          <w:lang w:val="en"/>
        </w:rPr>
        <w:t xml:space="preserve">, 2015). </w:t>
      </w:r>
    </w:p>
    <w:p w14:paraId="2CB10456" w14:textId="77777777" w:rsidR="00450A69" w:rsidRDefault="00450A69">
      <w:pPr>
        <w:pStyle w:val="2"/>
        <w:rPr>
          <w:rFonts w:eastAsia="Times New Roman"/>
          <w:lang w:val="en"/>
        </w:rPr>
      </w:pPr>
      <w:r>
        <w:rPr>
          <w:rFonts w:eastAsia="Times New Roman"/>
          <w:lang w:val="en"/>
        </w:rPr>
        <w:t>5.0 Conclusion and Recommendations</w:t>
      </w:r>
    </w:p>
    <w:p w14:paraId="1E002FBC" w14:textId="77777777" w:rsidR="00450A69" w:rsidRPr="003943A2" w:rsidRDefault="00450A69">
      <w:pPr>
        <w:pStyle w:val="a3"/>
        <w:jc w:val="both"/>
        <w:rPr>
          <w:rFonts w:ascii="Arial" w:hAnsi="Arial" w:cs="Arial"/>
          <w:color w:val="222222"/>
          <w:lang w:val="en"/>
        </w:rPr>
      </w:pPr>
      <w:r w:rsidRPr="003943A2">
        <w:rPr>
          <w:rFonts w:ascii="Arial" w:hAnsi="Arial" w:cs="Arial"/>
          <w:color w:val="222222"/>
          <w:lang w:val="en"/>
        </w:rPr>
        <w:t xml:space="preserve">Helping Hands operates in a high-pressure environment where technological lag among care assistants, talent shortages, and DEI challenges within the care assistant workforce threaten operational stability. This report concludes that while the challenges facing care assistants are severe, they are surmountable through the adoption of contemporary HR practices such as digital upskilling for care assistants, Total Reward strategies tailored to care assistant needs, and systemic DEI frameworks that protect care assistants from discrimination. However, the success of these initiatives rests entirely on the engagement of departmental managers who directly supervise care assistants. </w:t>
      </w:r>
    </w:p>
    <w:p w14:paraId="083406A2" w14:textId="77777777" w:rsidR="00450A69" w:rsidRDefault="00450A69">
      <w:pPr>
        <w:pStyle w:val="3"/>
        <w:rPr>
          <w:rFonts w:eastAsia="Times New Roman"/>
          <w:lang w:val="en"/>
        </w:rPr>
      </w:pPr>
      <w:r>
        <w:rPr>
          <w:rFonts w:eastAsia="Times New Roman"/>
          <w:lang w:val="en"/>
        </w:rPr>
        <w:lastRenderedPageBreak/>
        <w:t>Recommendations</w:t>
      </w:r>
    </w:p>
    <w:p w14:paraId="0AD69B50" w14:textId="77777777" w:rsidR="001B1161" w:rsidRPr="00BB22DE" w:rsidRDefault="00450A69" w:rsidP="00AC37A7">
      <w:pPr>
        <w:spacing w:before="100" w:beforeAutospacing="1" w:after="120"/>
        <w:jc w:val="both"/>
        <w:rPr>
          <w:rFonts w:ascii="Arial" w:eastAsia="Times New Roman" w:hAnsi="Arial" w:cs="Arial"/>
          <w:sz w:val="22"/>
          <w:szCs w:val="22"/>
        </w:rPr>
      </w:pPr>
      <w:r w:rsidRPr="00BB22DE">
        <w:rPr>
          <w:rFonts w:ascii="Arial" w:eastAsia="Times New Roman" w:hAnsi="Arial" w:cs="Arial"/>
          <w:color w:val="222222"/>
          <w:sz w:val="22"/>
          <w:szCs w:val="22"/>
          <w:lang w:val="en"/>
        </w:rPr>
        <w:t xml:space="preserve"> </w:t>
      </w:r>
      <w:r w:rsidR="00985F84" w:rsidRPr="00BB22DE">
        <w:rPr>
          <w:rFonts w:ascii="Arial" w:eastAsia="Times New Roman" w:hAnsi="Arial" w:cs="Arial"/>
          <w:sz w:val="22"/>
          <w:szCs w:val="22"/>
        </w:rPr>
        <w:t xml:space="preserve">Several recommendations can help improve HR practices at Helping Hands Home Care. First, the </w:t>
      </w:r>
      <w:proofErr w:type="spellStart"/>
      <w:r w:rsidR="00985F84" w:rsidRPr="00BB22DE">
        <w:rPr>
          <w:rFonts w:ascii="Arial" w:eastAsia="Times New Roman" w:hAnsi="Arial" w:cs="Arial"/>
          <w:sz w:val="22"/>
          <w:szCs w:val="22"/>
        </w:rPr>
        <w:t>organisation</w:t>
      </w:r>
      <w:proofErr w:type="spellEnd"/>
      <w:r w:rsidR="00985F84" w:rsidRPr="00BB22DE">
        <w:rPr>
          <w:rFonts w:ascii="Arial" w:eastAsia="Times New Roman" w:hAnsi="Arial" w:cs="Arial"/>
          <w:sz w:val="22"/>
          <w:szCs w:val="22"/>
        </w:rPr>
        <w:t xml:space="preserve"> should continue investing in training </w:t>
      </w:r>
      <w:proofErr w:type="spellStart"/>
      <w:r w:rsidR="00985F84" w:rsidRPr="00BB22DE">
        <w:rPr>
          <w:rFonts w:ascii="Arial" w:eastAsia="Times New Roman" w:hAnsi="Arial" w:cs="Arial"/>
          <w:sz w:val="22"/>
          <w:szCs w:val="22"/>
        </w:rPr>
        <w:t>programmes</w:t>
      </w:r>
      <w:proofErr w:type="spellEnd"/>
      <w:r w:rsidR="00985F84" w:rsidRPr="00BB22DE">
        <w:rPr>
          <w:rFonts w:ascii="Arial" w:eastAsia="Times New Roman" w:hAnsi="Arial" w:cs="Arial"/>
          <w:sz w:val="22"/>
          <w:szCs w:val="22"/>
        </w:rPr>
        <w:t xml:space="preserve"> that help care assistants develop both practical and digital skills, as continuous professional development is important for maintaining high standards of care (Armstrong, 2020). Second, HR should strengthen recruitment and retention strategies by offering career progression opportunities, competitive salaries, and employee wellbeing support, as these factors are important for improving employee satisfaction and reducing staff turnover (Bratton and Gold, 2017). </w:t>
      </w:r>
    </w:p>
    <w:p w14:paraId="5B13ACC1" w14:textId="46059712" w:rsidR="00985F84" w:rsidRPr="00BB22DE" w:rsidRDefault="00985F84" w:rsidP="00AC37A7">
      <w:pPr>
        <w:spacing w:before="100" w:beforeAutospacing="1" w:after="120"/>
        <w:jc w:val="both"/>
        <w:rPr>
          <w:rFonts w:ascii="Arial" w:eastAsia="Times New Roman" w:hAnsi="Arial" w:cs="Arial"/>
          <w:color w:val="222222"/>
          <w:sz w:val="22"/>
          <w:szCs w:val="22"/>
          <w:lang w:val="en"/>
        </w:rPr>
      </w:pPr>
      <w:r w:rsidRPr="00BB22DE">
        <w:rPr>
          <w:rFonts w:ascii="Arial" w:eastAsia="Times New Roman" w:hAnsi="Arial" w:cs="Arial"/>
          <w:sz w:val="22"/>
          <w:szCs w:val="22"/>
        </w:rPr>
        <w:t xml:space="preserve">Finally, managers should promote diversity, equity, and inclusion through fair recruitment practices, equality training, and inclusive workplace policies, which help create positive working environments and improve teamwork. These strategies can help ensure that care assistants feel supported and motivated, while also maintaining high standards of care for clients and improving </w:t>
      </w:r>
      <w:proofErr w:type="spellStart"/>
      <w:r w:rsidRPr="00BB22DE">
        <w:rPr>
          <w:rFonts w:ascii="Arial" w:eastAsia="Times New Roman" w:hAnsi="Arial" w:cs="Arial"/>
          <w:sz w:val="22"/>
          <w:szCs w:val="22"/>
        </w:rPr>
        <w:t>organisational</w:t>
      </w:r>
      <w:proofErr w:type="spellEnd"/>
      <w:r w:rsidRPr="00BB22DE">
        <w:rPr>
          <w:rFonts w:ascii="Arial" w:eastAsia="Times New Roman" w:hAnsi="Arial" w:cs="Arial"/>
          <w:sz w:val="22"/>
          <w:szCs w:val="22"/>
        </w:rPr>
        <w:t xml:space="preserve"> performance (Armstrong, 2020).</w:t>
      </w:r>
    </w:p>
    <w:p w14:paraId="48BDFD26" w14:textId="77777777" w:rsidR="00985F84" w:rsidRPr="003943A2" w:rsidRDefault="00985F84" w:rsidP="00AC37A7">
      <w:pPr>
        <w:spacing w:before="100" w:beforeAutospacing="1" w:after="120"/>
        <w:jc w:val="both"/>
        <w:rPr>
          <w:rFonts w:ascii="Arial" w:eastAsia="Times New Roman" w:hAnsi="Arial" w:cs="Arial"/>
          <w:color w:val="222222"/>
          <w:sz w:val="22"/>
          <w:szCs w:val="22"/>
          <w:lang w:val="en"/>
        </w:rPr>
      </w:pPr>
    </w:p>
    <w:p w14:paraId="61AA1D21" w14:textId="77777777" w:rsidR="00450A69" w:rsidRDefault="00450A69">
      <w:pPr>
        <w:pStyle w:val="2"/>
        <w:rPr>
          <w:rFonts w:eastAsia="Times New Roman"/>
          <w:lang w:val="en"/>
        </w:rPr>
      </w:pPr>
      <w:r>
        <w:rPr>
          <w:rFonts w:eastAsia="Times New Roman"/>
          <w:lang w:val="en"/>
        </w:rPr>
        <w:t>6.0 References</w:t>
      </w:r>
    </w:p>
    <w:p w14:paraId="562C6084"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Ahmed, S. (2012). </w:t>
      </w:r>
      <w:r>
        <w:rPr>
          <w:rStyle w:val="a5"/>
          <w:rFonts w:ascii="Merriweather" w:eastAsia="Times New Roman" w:hAnsi="Merriweather"/>
          <w:color w:val="222222"/>
          <w:sz w:val="20"/>
          <w:szCs w:val="20"/>
          <w:lang w:val="en"/>
        </w:rPr>
        <w:t>On Being Included: Racism and Diversity in Institutional Life</w:t>
      </w:r>
      <w:r>
        <w:rPr>
          <w:rFonts w:ascii="Merriweather" w:eastAsia="Times New Roman" w:hAnsi="Merriweather"/>
          <w:color w:val="222222"/>
          <w:sz w:val="20"/>
          <w:szCs w:val="20"/>
          <w:lang w:val="en"/>
        </w:rPr>
        <w:t xml:space="preserve">. Durham, NC: Duke University Press. </w:t>
      </w:r>
    </w:p>
    <w:p w14:paraId="7F7F8682"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Armstrong, M. and Taylor, S. (2020). </w:t>
      </w:r>
      <w:r w:rsidRPr="00C23B75">
        <w:rPr>
          <w:rStyle w:val="a5"/>
          <w:rFonts w:ascii="Merriweather" w:eastAsia="Times New Roman" w:hAnsi="Merriweather"/>
          <w:color w:val="222222"/>
          <w:sz w:val="20"/>
          <w:szCs w:val="20"/>
          <w:lang w:val="en"/>
        </w:rPr>
        <w:t>Armstrong's Handbook of Human Resource Management Practice</w:t>
      </w:r>
      <w:r>
        <w:rPr>
          <w:rFonts w:ascii="Merriweather" w:eastAsia="Times New Roman" w:hAnsi="Merriweather"/>
          <w:color w:val="222222"/>
          <w:sz w:val="20"/>
          <w:szCs w:val="20"/>
          <w:lang w:val="en"/>
        </w:rPr>
        <w:t xml:space="preserve">. 15th ed. London: </w:t>
      </w:r>
      <w:proofErr w:type="spellStart"/>
      <w:r>
        <w:rPr>
          <w:rFonts w:ascii="Merriweather" w:eastAsia="Times New Roman" w:hAnsi="Merriweather"/>
          <w:color w:val="222222"/>
          <w:sz w:val="20"/>
          <w:szCs w:val="20"/>
          <w:lang w:val="en"/>
        </w:rPr>
        <w:t>Kogan</w:t>
      </w:r>
      <w:proofErr w:type="spellEnd"/>
      <w:r>
        <w:rPr>
          <w:rFonts w:ascii="Merriweather" w:eastAsia="Times New Roman" w:hAnsi="Merriweather"/>
          <w:color w:val="222222"/>
          <w:sz w:val="20"/>
          <w:szCs w:val="20"/>
          <w:lang w:val="en"/>
        </w:rPr>
        <w:t xml:space="preserve"> Page. </w:t>
      </w:r>
    </w:p>
    <w:p w14:paraId="5A583245"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Atkinson, C., Crozier, S. and Lewis, A. (2020). 'The best place to work? HR practices in adult social care'. </w:t>
      </w:r>
      <w:r>
        <w:rPr>
          <w:rStyle w:val="a5"/>
          <w:rFonts w:ascii="Merriweather" w:eastAsia="Times New Roman" w:hAnsi="Merriweather"/>
          <w:color w:val="222222"/>
          <w:sz w:val="20"/>
          <w:szCs w:val="20"/>
          <w:lang w:val="en"/>
        </w:rPr>
        <w:t>Employee Relations</w:t>
      </w:r>
      <w:r>
        <w:rPr>
          <w:rFonts w:ascii="Merriweather" w:eastAsia="Times New Roman" w:hAnsi="Merriweather"/>
          <w:color w:val="222222"/>
          <w:sz w:val="20"/>
          <w:szCs w:val="20"/>
          <w:lang w:val="en"/>
        </w:rPr>
        <w:t xml:space="preserve">, 42(5), pp. 1163-1180. </w:t>
      </w:r>
    </w:p>
    <w:p w14:paraId="2128F940" w14:textId="63ABF33D" w:rsidR="00450A69" w:rsidRPr="00B91A33" w:rsidRDefault="00450A69" w:rsidP="00B91A33">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Bach, S., Kessler, I. and Heron, P. (2020). '</w:t>
      </w:r>
      <w:r w:rsidRPr="004E1F2E">
        <w:rPr>
          <w:rFonts w:ascii="Merriweather" w:eastAsia="Times New Roman" w:hAnsi="Merriweather"/>
          <w:i/>
          <w:iCs/>
          <w:color w:val="222222"/>
          <w:sz w:val="20"/>
          <w:szCs w:val="20"/>
          <w:lang w:val="en"/>
        </w:rPr>
        <w:t>Advancing the HR agenda in the public sector: The role of line managers</w:t>
      </w:r>
      <w:r>
        <w:rPr>
          <w:rFonts w:ascii="Merriweather" w:eastAsia="Times New Roman" w:hAnsi="Merriweather"/>
          <w:color w:val="222222"/>
          <w:sz w:val="20"/>
          <w:szCs w:val="20"/>
          <w:lang w:val="en"/>
        </w:rPr>
        <w:t xml:space="preserve">'. </w:t>
      </w:r>
      <w:r>
        <w:rPr>
          <w:rStyle w:val="a5"/>
          <w:rFonts w:ascii="Merriweather" w:eastAsia="Times New Roman" w:hAnsi="Merriweather"/>
          <w:color w:val="222222"/>
          <w:sz w:val="20"/>
          <w:szCs w:val="20"/>
          <w:lang w:val="en"/>
        </w:rPr>
        <w:t>Human Resource Management Journal</w:t>
      </w:r>
      <w:r>
        <w:rPr>
          <w:rFonts w:ascii="Merriweather" w:eastAsia="Times New Roman" w:hAnsi="Merriweather"/>
          <w:color w:val="222222"/>
          <w:sz w:val="20"/>
          <w:szCs w:val="20"/>
          <w:lang w:val="en"/>
        </w:rPr>
        <w:t xml:space="preserve">, 30(4), pp. 582-598. </w:t>
      </w:r>
    </w:p>
    <w:p w14:paraId="3BEEC62C"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proofErr w:type="spellStart"/>
      <w:r>
        <w:rPr>
          <w:rFonts w:ascii="Merriweather" w:eastAsia="Times New Roman" w:hAnsi="Merriweather"/>
          <w:color w:val="222222"/>
          <w:sz w:val="20"/>
          <w:szCs w:val="20"/>
          <w:lang w:val="en"/>
        </w:rPr>
        <w:t>Boxall</w:t>
      </w:r>
      <w:proofErr w:type="spellEnd"/>
      <w:r>
        <w:rPr>
          <w:rFonts w:ascii="Merriweather" w:eastAsia="Times New Roman" w:hAnsi="Merriweather"/>
          <w:color w:val="222222"/>
          <w:sz w:val="20"/>
          <w:szCs w:val="20"/>
          <w:lang w:val="en"/>
        </w:rPr>
        <w:t xml:space="preserve">, P. and Purcell, J. (2022). </w:t>
      </w:r>
      <w:r>
        <w:rPr>
          <w:rStyle w:val="a5"/>
          <w:rFonts w:ascii="Merriweather" w:eastAsia="Times New Roman" w:hAnsi="Merriweather"/>
          <w:color w:val="222222"/>
          <w:sz w:val="20"/>
          <w:szCs w:val="20"/>
          <w:lang w:val="en"/>
        </w:rPr>
        <w:t>Strategy and Human Resource Management</w:t>
      </w:r>
      <w:r>
        <w:rPr>
          <w:rFonts w:ascii="Merriweather" w:eastAsia="Times New Roman" w:hAnsi="Merriweather"/>
          <w:color w:val="222222"/>
          <w:sz w:val="20"/>
          <w:szCs w:val="20"/>
          <w:lang w:val="en"/>
        </w:rPr>
        <w:t xml:space="preserve">. 5th ed. London: Red Globe Press. </w:t>
      </w:r>
    </w:p>
    <w:p w14:paraId="5235491F" w14:textId="48EF9F5B"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Care Quality Commission (CQC) (2023). </w:t>
      </w:r>
      <w:r>
        <w:rPr>
          <w:rStyle w:val="a5"/>
          <w:rFonts w:ascii="Merriweather" w:eastAsia="Times New Roman" w:hAnsi="Merriweather"/>
          <w:color w:val="222222"/>
          <w:sz w:val="20"/>
          <w:szCs w:val="20"/>
          <w:lang w:val="en"/>
        </w:rPr>
        <w:t>The state of health care and adult social care in England 2022/23</w:t>
      </w:r>
      <w:r>
        <w:rPr>
          <w:rFonts w:ascii="Merriweather" w:eastAsia="Times New Roman" w:hAnsi="Merriweather"/>
          <w:color w:val="222222"/>
          <w:sz w:val="20"/>
          <w:szCs w:val="20"/>
          <w:lang w:val="en"/>
        </w:rPr>
        <w:t xml:space="preserve">. Available at: https://www.cqc.org.uk/publications/major-report/state-care (Accessed: 20 </w:t>
      </w:r>
      <w:r w:rsidR="00642734">
        <w:rPr>
          <w:rFonts w:ascii="Merriweather" w:eastAsia="Times New Roman" w:hAnsi="Merriweather"/>
          <w:color w:val="222222"/>
          <w:sz w:val="20"/>
          <w:szCs w:val="20"/>
          <w:lang w:val="en"/>
        </w:rPr>
        <w:t>March</w:t>
      </w:r>
      <w:r>
        <w:rPr>
          <w:rFonts w:ascii="Merriweather" w:eastAsia="Times New Roman" w:hAnsi="Merriweather"/>
          <w:color w:val="222222"/>
          <w:sz w:val="20"/>
          <w:szCs w:val="20"/>
          <w:lang w:val="en"/>
        </w:rPr>
        <w:t xml:space="preserve"> 202</w:t>
      </w:r>
      <w:r w:rsidR="00642734">
        <w:rPr>
          <w:rFonts w:ascii="Merriweather" w:eastAsia="Times New Roman" w:hAnsi="Merriweather"/>
          <w:color w:val="222222"/>
          <w:sz w:val="20"/>
          <w:szCs w:val="20"/>
          <w:lang w:val="en"/>
        </w:rPr>
        <w:t>6</w:t>
      </w:r>
      <w:r>
        <w:rPr>
          <w:rFonts w:ascii="Merriweather" w:eastAsia="Times New Roman" w:hAnsi="Merriweather"/>
          <w:color w:val="222222"/>
          <w:sz w:val="20"/>
          <w:szCs w:val="20"/>
          <w:lang w:val="en"/>
        </w:rPr>
        <w:t xml:space="preserve">). </w:t>
      </w:r>
    </w:p>
    <w:p w14:paraId="6142FA82" w14:textId="4659169C"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CIPD (2021). </w:t>
      </w:r>
      <w:r>
        <w:rPr>
          <w:rStyle w:val="a5"/>
          <w:rFonts w:ascii="Merriweather" w:eastAsia="Times New Roman" w:hAnsi="Merriweather"/>
          <w:color w:val="222222"/>
          <w:sz w:val="20"/>
          <w:szCs w:val="20"/>
          <w:lang w:val="en"/>
        </w:rPr>
        <w:t>Employee turnover and retention</w:t>
      </w:r>
      <w:r>
        <w:rPr>
          <w:rFonts w:ascii="Merriweather" w:eastAsia="Times New Roman" w:hAnsi="Merriweather"/>
          <w:color w:val="222222"/>
          <w:sz w:val="20"/>
          <w:szCs w:val="20"/>
          <w:lang w:val="en"/>
        </w:rPr>
        <w:t xml:space="preserve">. Available at: https://www.cipd.co.uk/knowledge/strategy/resourcing/turnover-retention-factsheet (Accessed: 21 </w:t>
      </w:r>
      <w:r w:rsidR="00642734">
        <w:rPr>
          <w:rFonts w:ascii="Merriweather" w:eastAsia="Times New Roman" w:hAnsi="Merriweather"/>
          <w:color w:val="222222"/>
          <w:sz w:val="20"/>
          <w:szCs w:val="20"/>
          <w:lang w:val="en"/>
        </w:rPr>
        <w:t>March</w:t>
      </w:r>
      <w:r>
        <w:rPr>
          <w:rFonts w:ascii="Merriweather" w:eastAsia="Times New Roman" w:hAnsi="Merriweather"/>
          <w:color w:val="222222"/>
          <w:sz w:val="20"/>
          <w:szCs w:val="20"/>
          <w:lang w:val="en"/>
        </w:rPr>
        <w:t xml:space="preserve"> 202</w:t>
      </w:r>
      <w:r w:rsidR="00642734">
        <w:rPr>
          <w:rFonts w:ascii="Merriweather" w:eastAsia="Times New Roman" w:hAnsi="Merriweather"/>
          <w:color w:val="222222"/>
          <w:sz w:val="20"/>
          <w:szCs w:val="20"/>
          <w:lang w:val="en"/>
        </w:rPr>
        <w:t>6</w:t>
      </w:r>
      <w:r>
        <w:rPr>
          <w:rFonts w:ascii="Merriweather" w:eastAsia="Times New Roman" w:hAnsi="Merriweather"/>
          <w:color w:val="222222"/>
          <w:sz w:val="20"/>
          <w:szCs w:val="20"/>
          <w:lang w:val="en"/>
        </w:rPr>
        <w:t xml:space="preserve">). </w:t>
      </w:r>
    </w:p>
    <w:p w14:paraId="61913BAB"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CIPD (2022). </w:t>
      </w:r>
      <w:r>
        <w:rPr>
          <w:rStyle w:val="a5"/>
          <w:rFonts w:ascii="Merriweather" w:eastAsia="Times New Roman" w:hAnsi="Merriweather"/>
          <w:color w:val="222222"/>
          <w:sz w:val="20"/>
          <w:szCs w:val="20"/>
          <w:lang w:val="en"/>
        </w:rPr>
        <w:t>Inclusion at work: Perspectives on LGBT+ working lives</w:t>
      </w:r>
      <w:r>
        <w:rPr>
          <w:rFonts w:ascii="Merriweather" w:eastAsia="Times New Roman" w:hAnsi="Merriweather"/>
          <w:color w:val="222222"/>
          <w:sz w:val="20"/>
          <w:szCs w:val="20"/>
          <w:lang w:val="en"/>
        </w:rPr>
        <w:t xml:space="preserve">. London: Chartered Institute of Personnel and Development. </w:t>
      </w:r>
    </w:p>
    <w:p w14:paraId="1BAB0549"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Dobbin, F. and </w:t>
      </w:r>
      <w:proofErr w:type="spellStart"/>
      <w:r>
        <w:rPr>
          <w:rFonts w:ascii="Merriweather" w:eastAsia="Times New Roman" w:hAnsi="Merriweather"/>
          <w:color w:val="222222"/>
          <w:sz w:val="20"/>
          <w:szCs w:val="20"/>
          <w:lang w:val="en"/>
        </w:rPr>
        <w:t>Kalev</w:t>
      </w:r>
      <w:proofErr w:type="spellEnd"/>
      <w:r>
        <w:rPr>
          <w:rFonts w:ascii="Merriweather" w:eastAsia="Times New Roman" w:hAnsi="Merriweather"/>
          <w:color w:val="222222"/>
          <w:sz w:val="20"/>
          <w:szCs w:val="20"/>
          <w:lang w:val="en"/>
        </w:rPr>
        <w:t xml:space="preserve">, A. (2016). 'Why diversity programs fail'. </w:t>
      </w:r>
      <w:r>
        <w:rPr>
          <w:rStyle w:val="a5"/>
          <w:rFonts w:ascii="Merriweather" w:eastAsia="Times New Roman" w:hAnsi="Merriweather"/>
          <w:color w:val="222222"/>
          <w:sz w:val="20"/>
          <w:szCs w:val="20"/>
          <w:lang w:val="en"/>
        </w:rPr>
        <w:t>Harvard Business Review</w:t>
      </w:r>
      <w:r>
        <w:rPr>
          <w:rFonts w:ascii="Merriweather" w:eastAsia="Times New Roman" w:hAnsi="Merriweather"/>
          <w:color w:val="222222"/>
          <w:sz w:val="20"/>
          <w:szCs w:val="20"/>
          <w:lang w:val="en"/>
        </w:rPr>
        <w:t xml:space="preserve">, 94(7), pp. 52-60. </w:t>
      </w:r>
    </w:p>
    <w:p w14:paraId="0AF68628"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Edmondson, A.C. and McManus, S.E. (2007). 'Methodological fit in management research'. </w:t>
      </w:r>
      <w:r>
        <w:rPr>
          <w:rStyle w:val="a5"/>
          <w:rFonts w:ascii="Merriweather" w:eastAsia="Times New Roman" w:hAnsi="Merriweather"/>
          <w:color w:val="222222"/>
          <w:sz w:val="20"/>
          <w:szCs w:val="20"/>
          <w:lang w:val="en"/>
        </w:rPr>
        <w:t>Academy of Management Review</w:t>
      </w:r>
      <w:r>
        <w:rPr>
          <w:rFonts w:ascii="Merriweather" w:eastAsia="Times New Roman" w:hAnsi="Merriweather"/>
          <w:color w:val="222222"/>
          <w:sz w:val="20"/>
          <w:szCs w:val="20"/>
          <w:lang w:val="en"/>
        </w:rPr>
        <w:t xml:space="preserve">, 32(4), pp. 1155-1179. </w:t>
      </w:r>
    </w:p>
    <w:p w14:paraId="2E856EB2"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proofErr w:type="spellStart"/>
      <w:r>
        <w:rPr>
          <w:rFonts w:ascii="Merriweather" w:eastAsia="Times New Roman" w:hAnsi="Merriweather"/>
          <w:color w:val="222222"/>
          <w:sz w:val="20"/>
          <w:szCs w:val="20"/>
          <w:lang w:val="en"/>
        </w:rPr>
        <w:lastRenderedPageBreak/>
        <w:t>Felstead</w:t>
      </w:r>
      <w:proofErr w:type="spellEnd"/>
      <w:r>
        <w:rPr>
          <w:rFonts w:ascii="Merriweather" w:eastAsia="Times New Roman" w:hAnsi="Merriweather"/>
          <w:color w:val="222222"/>
          <w:sz w:val="20"/>
          <w:szCs w:val="20"/>
          <w:lang w:val="en"/>
        </w:rPr>
        <w:t xml:space="preserve">, A. and </w:t>
      </w:r>
      <w:proofErr w:type="spellStart"/>
      <w:r>
        <w:rPr>
          <w:rFonts w:ascii="Merriweather" w:eastAsia="Times New Roman" w:hAnsi="Merriweather"/>
          <w:color w:val="222222"/>
          <w:sz w:val="20"/>
          <w:szCs w:val="20"/>
          <w:lang w:val="en"/>
        </w:rPr>
        <w:t>Henseke</w:t>
      </w:r>
      <w:proofErr w:type="spellEnd"/>
      <w:r>
        <w:rPr>
          <w:rFonts w:ascii="Merriweather" w:eastAsia="Times New Roman" w:hAnsi="Merriweather"/>
          <w:color w:val="222222"/>
          <w:sz w:val="20"/>
          <w:szCs w:val="20"/>
          <w:lang w:val="en"/>
        </w:rPr>
        <w:t xml:space="preserve">, G. (2017). 'Assessing the growth of remote working and its consequences for effort, well-being and work-life balance'. </w:t>
      </w:r>
      <w:r>
        <w:rPr>
          <w:rStyle w:val="a5"/>
          <w:rFonts w:ascii="Merriweather" w:eastAsia="Times New Roman" w:hAnsi="Merriweather"/>
          <w:color w:val="222222"/>
          <w:sz w:val="20"/>
          <w:szCs w:val="20"/>
          <w:lang w:val="en"/>
        </w:rPr>
        <w:t>New Technology, Work and Employment</w:t>
      </w:r>
      <w:r>
        <w:rPr>
          <w:rFonts w:ascii="Merriweather" w:eastAsia="Times New Roman" w:hAnsi="Merriweather"/>
          <w:color w:val="222222"/>
          <w:sz w:val="20"/>
          <w:szCs w:val="20"/>
          <w:lang w:val="en"/>
        </w:rPr>
        <w:t xml:space="preserve">, 32(3), pp. 195-212. </w:t>
      </w:r>
    </w:p>
    <w:p w14:paraId="4FF4650D"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Guest, D.E. (2004). 'The psychology of the employment relationship: An analysis based on the psychological contract'. </w:t>
      </w:r>
      <w:r>
        <w:rPr>
          <w:rStyle w:val="a5"/>
          <w:rFonts w:ascii="Merriweather" w:eastAsia="Times New Roman" w:hAnsi="Merriweather"/>
          <w:color w:val="222222"/>
          <w:sz w:val="20"/>
          <w:szCs w:val="20"/>
          <w:lang w:val="en"/>
        </w:rPr>
        <w:t>Applied Psychology</w:t>
      </w:r>
      <w:r>
        <w:rPr>
          <w:rFonts w:ascii="Merriweather" w:eastAsia="Times New Roman" w:hAnsi="Merriweather"/>
          <w:color w:val="222222"/>
          <w:sz w:val="20"/>
          <w:szCs w:val="20"/>
          <w:lang w:val="en"/>
        </w:rPr>
        <w:t xml:space="preserve">, 53(4), pp. 541-555. </w:t>
      </w:r>
    </w:p>
    <w:p w14:paraId="6DD57B03"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Hamblin, K. (2020). 'Technology and social care in a digital world: Challenges and opportunities'. </w:t>
      </w:r>
      <w:r>
        <w:rPr>
          <w:rStyle w:val="a5"/>
          <w:rFonts w:ascii="Merriweather" w:eastAsia="Times New Roman" w:hAnsi="Merriweather"/>
          <w:color w:val="222222"/>
          <w:sz w:val="20"/>
          <w:szCs w:val="20"/>
          <w:lang w:val="en"/>
        </w:rPr>
        <w:t>Journal of Enabling Technologies</w:t>
      </w:r>
      <w:r>
        <w:rPr>
          <w:rFonts w:ascii="Merriweather" w:eastAsia="Times New Roman" w:hAnsi="Merriweather"/>
          <w:color w:val="222222"/>
          <w:sz w:val="20"/>
          <w:szCs w:val="20"/>
          <w:lang w:val="en"/>
        </w:rPr>
        <w:t xml:space="preserve">, 14(2), pp. 75-78. </w:t>
      </w:r>
    </w:p>
    <w:p w14:paraId="31DD1362"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Hayes, L.J.B. (2021). 'Care and the crisis of the present'. </w:t>
      </w:r>
      <w:r>
        <w:rPr>
          <w:rStyle w:val="a5"/>
          <w:rFonts w:ascii="Merriweather" w:eastAsia="Times New Roman" w:hAnsi="Merriweather"/>
          <w:color w:val="222222"/>
          <w:sz w:val="20"/>
          <w:szCs w:val="20"/>
          <w:lang w:val="en"/>
        </w:rPr>
        <w:t>Journal of Law and Society</w:t>
      </w:r>
      <w:r>
        <w:rPr>
          <w:rFonts w:ascii="Merriweather" w:eastAsia="Times New Roman" w:hAnsi="Merriweather"/>
          <w:color w:val="222222"/>
          <w:sz w:val="20"/>
          <w:szCs w:val="20"/>
          <w:lang w:val="en"/>
        </w:rPr>
        <w:t xml:space="preserve">, 48(4), pp. 523-546. </w:t>
      </w:r>
    </w:p>
    <w:p w14:paraId="093D62A8"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Health Foundation (2023). </w:t>
      </w:r>
      <w:r>
        <w:rPr>
          <w:rStyle w:val="a5"/>
          <w:rFonts w:ascii="Merriweather" w:eastAsia="Times New Roman" w:hAnsi="Merriweather"/>
          <w:color w:val="222222"/>
          <w:sz w:val="20"/>
          <w:szCs w:val="20"/>
          <w:lang w:val="en"/>
        </w:rPr>
        <w:t>NHS and social care workforce: The gap between demand and supply</w:t>
      </w:r>
      <w:r>
        <w:rPr>
          <w:rFonts w:ascii="Merriweather" w:eastAsia="Times New Roman" w:hAnsi="Merriweather"/>
          <w:color w:val="222222"/>
          <w:sz w:val="20"/>
          <w:szCs w:val="20"/>
          <w:lang w:val="en"/>
        </w:rPr>
        <w:t xml:space="preserve">. London: The Health Foundation. </w:t>
      </w:r>
    </w:p>
    <w:p w14:paraId="7EBFC60E" w14:textId="7E279689" w:rsidR="00450A69" w:rsidRPr="00C964B7" w:rsidRDefault="00450A69" w:rsidP="00C964B7">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Hussein, S., </w:t>
      </w:r>
      <w:proofErr w:type="spellStart"/>
      <w:r>
        <w:rPr>
          <w:rFonts w:ascii="Merriweather" w:eastAsia="Times New Roman" w:hAnsi="Merriweather"/>
          <w:color w:val="222222"/>
          <w:sz w:val="20"/>
          <w:szCs w:val="20"/>
          <w:lang w:val="en"/>
        </w:rPr>
        <w:t>Manthorpe</w:t>
      </w:r>
      <w:proofErr w:type="spellEnd"/>
      <w:r>
        <w:rPr>
          <w:rFonts w:ascii="Merriweather" w:eastAsia="Times New Roman" w:hAnsi="Merriweather"/>
          <w:color w:val="222222"/>
          <w:sz w:val="20"/>
          <w:szCs w:val="20"/>
          <w:lang w:val="en"/>
        </w:rPr>
        <w:t xml:space="preserve">, J. and Ridley, J. (2021). 'Underpaid, overworked and undervalued? The reality of the home care workforce in England'. </w:t>
      </w:r>
      <w:r>
        <w:rPr>
          <w:rStyle w:val="a5"/>
          <w:rFonts w:ascii="Merriweather" w:eastAsia="Times New Roman" w:hAnsi="Merriweather"/>
          <w:color w:val="222222"/>
          <w:sz w:val="20"/>
          <w:szCs w:val="20"/>
          <w:lang w:val="en"/>
        </w:rPr>
        <w:t>Health &amp; Social Care in the Community</w:t>
      </w:r>
      <w:r>
        <w:rPr>
          <w:rFonts w:ascii="Merriweather" w:eastAsia="Times New Roman" w:hAnsi="Merriweather"/>
          <w:color w:val="222222"/>
          <w:sz w:val="20"/>
          <w:szCs w:val="20"/>
          <w:lang w:val="en"/>
        </w:rPr>
        <w:t xml:space="preserve">, 29(6), pp. e241-e250. </w:t>
      </w:r>
    </w:p>
    <w:p w14:paraId="1E1DF2D6"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Nishii, L.H. (2013). 'The benefits of climate for inclusion for gender-diverse groups'. </w:t>
      </w:r>
      <w:r>
        <w:rPr>
          <w:rStyle w:val="a5"/>
          <w:rFonts w:ascii="Merriweather" w:eastAsia="Times New Roman" w:hAnsi="Merriweather"/>
          <w:color w:val="222222"/>
          <w:sz w:val="20"/>
          <w:szCs w:val="20"/>
          <w:lang w:val="en"/>
        </w:rPr>
        <w:t>Academy of Management Journal</w:t>
      </w:r>
      <w:r>
        <w:rPr>
          <w:rFonts w:ascii="Merriweather" w:eastAsia="Times New Roman" w:hAnsi="Merriweather"/>
          <w:color w:val="222222"/>
          <w:sz w:val="20"/>
          <w:szCs w:val="20"/>
          <w:lang w:val="en"/>
        </w:rPr>
        <w:t xml:space="preserve">, 56(6), pp. 1754-1774. </w:t>
      </w:r>
    </w:p>
    <w:p w14:paraId="7DF9B6DB"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Nishii, L.H. and Mayer, D.M. (2009). 'Do inclusive leaders help to reduce turnover in diverse groups? The moderating role of LMX differentiation'. </w:t>
      </w:r>
      <w:r>
        <w:rPr>
          <w:rStyle w:val="a5"/>
          <w:rFonts w:ascii="Merriweather" w:eastAsia="Times New Roman" w:hAnsi="Merriweather"/>
          <w:color w:val="222222"/>
          <w:sz w:val="20"/>
          <w:szCs w:val="20"/>
          <w:lang w:val="en"/>
        </w:rPr>
        <w:t>Journal of Applied Psychology</w:t>
      </w:r>
      <w:r>
        <w:rPr>
          <w:rFonts w:ascii="Merriweather" w:eastAsia="Times New Roman" w:hAnsi="Merriweather"/>
          <w:color w:val="222222"/>
          <w:sz w:val="20"/>
          <w:szCs w:val="20"/>
          <w:lang w:val="en"/>
        </w:rPr>
        <w:t xml:space="preserve">, 94(6), pp. 1412-1426. </w:t>
      </w:r>
    </w:p>
    <w:p w14:paraId="6FE8FBD2"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Purcell, J. and Hutchinson, S. (2007). 'Front-line managers as agents in the HRM-performance causal chain: theory, analysis and evidence'. </w:t>
      </w:r>
      <w:r>
        <w:rPr>
          <w:rStyle w:val="a5"/>
          <w:rFonts w:ascii="Merriweather" w:eastAsia="Times New Roman" w:hAnsi="Merriweather"/>
          <w:color w:val="222222"/>
          <w:sz w:val="20"/>
          <w:szCs w:val="20"/>
          <w:lang w:val="en"/>
        </w:rPr>
        <w:t>Human Resource Management Journal</w:t>
      </w:r>
      <w:r>
        <w:rPr>
          <w:rFonts w:ascii="Merriweather" w:eastAsia="Times New Roman" w:hAnsi="Merriweather"/>
          <w:color w:val="222222"/>
          <w:sz w:val="20"/>
          <w:szCs w:val="20"/>
          <w:lang w:val="en"/>
        </w:rPr>
        <w:t xml:space="preserve">, 17(1), pp. 3-20. </w:t>
      </w:r>
    </w:p>
    <w:p w14:paraId="5811A8B0"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Rivera, L.A. (2020). 'Employer decision making'. </w:t>
      </w:r>
      <w:r>
        <w:rPr>
          <w:rStyle w:val="a5"/>
          <w:rFonts w:ascii="Merriweather" w:eastAsia="Times New Roman" w:hAnsi="Merriweather"/>
          <w:color w:val="222222"/>
          <w:sz w:val="20"/>
          <w:szCs w:val="20"/>
          <w:lang w:val="en"/>
        </w:rPr>
        <w:t>Annual Review of Sociology</w:t>
      </w:r>
      <w:r>
        <w:rPr>
          <w:rFonts w:ascii="Merriweather" w:eastAsia="Times New Roman" w:hAnsi="Merriweather"/>
          <w:color w:val="222222"/>
          <w:sz w:val="20"/>
          <w:szCs w:val="20"/>
          <w:lang w:val="en"/>
        </w:rPr>
        <w:t>, 46, pp. 215-232.</w:t>
      </w:r>
    </w:p>
    <w:p w14:paraId="38815C74"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Rousseau, D.M. (1995). </w:t>
      </w:r>
      <w:r>
        <w:rPr>
          <w:rStyle w:val="a5"/>
          <w:rFonts w:ascii="Merriweather" w:eastAsia="Times New Roman" w:hAnsi="Merriweather"/>
          <w:color w:val="222222"/>
          <w:sz w:val="20"/>
          <w:szCs w:val="20"/>
          <w:lang w:val="en"/>
        </w:rPr>
        <w:t>Psychological Contracts in Organizations: Understanding Written and Unwritten Agreements</w:t>
      </w:r>
      <w:r>
        <w:rPr>
          <w:rFonts w:ascii="Merriweather" w:eastAsia="Times New Roman" w:hAnsi="Merriweather"/>
          <w:color w:val="222222"/>
          <w:sz w:val="20"/>
          <w:szCs w:val="20"/>
          <w:lang w:val="en"/>
        </w:rPr>
        <w:t xml:space="preserve">. Thousand Oaks, CA: Sage. </w:t>
      </w:r>
    </w:p>
    <w:p w14:paraId="55C492EC"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Rousseau, D.M. (2004). 'Psychological contracts in the workplace: Understanding the ties that motivate'. </w:t>
      </w:r>
      <w:r>
        <w:rPr>
          <w:rStyle w:val="a5"/>
          <w:rFonts w:ascii="Merriweather" w:eastAsia="Times New Roman" w:hAnsi="Merriweather"/>
          <w:color w:val="222222"/>
          <w:sz w:val="20"/>
          <w:szCs w:val="20"/>
          <w:lang w:val="en"/>
        </w:rPr>
        <w:t>Academy of Management Executive</w:t>
      </w:r>
      <w:r>
        <w:rPr>
          <w:rFonts w:ascii="Merriweather" w:eastAsia="Times New Roman" w:hAnsi="Merriweather"/>
          <w:color w:val="222222"/>
          <w:sz w:val="20"/>
          <w:szCs w:val="20"/>
          <w:lang w:val="en"/>
        </w:rPr>
        <w:t xml:space="preserve">, 18(1), pp. 120-127. </w:t>
      </w:r>
    </w:p>
    <w:p w14:paraId="71455E31"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proofErr w:type="spellStart"/>
      <w:r>
        <w:rPr>
          <w:rFonts w:ascii="Merriweather" w:eastAsia="Times New Roman" w:hAnsi="Merriweather"/>
          <w:color w:val="222222"/>
          <w:sz w:val="20"/>
          <w:szCs w:val="20"/>
          <w:lang w:val="en"/>
        </w:rPr>
        <w:t>Rubery</w:t>
      </w:r>
      <w:proofErr w:type="spellEnd"/>
      <w:r>
        <w:rPr>
          <w:rFonts w:ascii="Merriweather" w:eastAsia="Times New Roman" w:hAnsi="Merriweather"/>
          <w:color w:val="222222"/>
          <w:sz w:val="20"/>
          <w:szCs w:val="20"/>
          <w:lang w:val="en"/>
        </w:rPr>
        <w:t xml:space="preserve">, J. and </w:t>
      </w:r>
      <w:proofErr w:type="spellStart"/>
      <w:r>
        <w:rPr>
          <w:rFonts w:ascii="Merriweather" w:eastAsia="Times New Roman" w:hAnsi="Merriweather"/>
          <w:color w:val="222222"/>
          <w:sz w:val="20"/>
          <w:szCs w:val="20"/>
          <w:lang w:val="en"/>
        </w:rPr>
        <w:t>Urwin</w:t>
      </w:r>
      <w:proofErr w:type="spellEnd"/>
      <w:r>
        <w:rPr>
          <w:rFonts w:ascii="Merriweather" w:eastAsia="Times New Roman" w:hAnsi="Merriweather"/>
          <w:color w:val="222222"/>
          <w:sz w:val="20"/>
          <w:szCs w:val="20"/>
          <w:lang w:val="en"/>
        </w:rPr>
        <w:t xml:space="preserve">, P. (2023). 'Does it pay to care? The impact of the National Living Wage on the social care sector'. </w:t>
      </w:r>
      <w:r>
        <w:rPr>
          <w:rStyle w:val="a5"/>
          <w:rFonts w:ascii="Merriweather" w:eastAsia="Times New Roman" w:hAnsi="Merriweather"/>
          <w:color w:val="222222"/>
          <w:sz w:val="20"/>
          <w:szCs w:val="20"/>
          <w:lang w:val="en"/>
        </w:rPr>
        <w:t>British Journal of Industrial Relations</w:t>
      </w:r>
      <w:r>
        <w:rPr>
          <w:rFonts w:ascii="Merriweather" w:eastAsia="Times New Roman" w:hAnsi="Merriweather"/>
          <w:color w:val="222222"/>
          <w:sz w:val="20"/>
          <w:szCs w:val="20"/>
          <w:lang w:val="en"/>
        </w:rPr>
        <w:t xml:space="preserve">, 61(1), pp. 24-49. </w:t>
      </w:r>
    </w:p>
    <w:p w14:paraId="3F5D9287" w14:textId="7B3B8802" w:rsidR="00450A69" w:rsidRPr="00C964B7" w:rsidRDefault="00450A69" w:rsidP="00C964B7">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Skills for Care (2022). </w:t>
      </w:r>
      <w:r>
        <w:rPr>
          <w:rStyle w:val="a5"/>
          <w:rFonts w:ascii="Merriweather" w:eastAsia="Times New Roman" w:hAnsi="Merriweather"/>
          <w:color w:val="222222"/>
          <w:sz w:val="20"/>
          <w:szCs w:val="20"/>
          <w:lang w:val="en"/>
        </w:rPr>
        <w:t>The state of the adult social care sector and workforce in England</w:t>
      </w:r>
      <w:r>
        <w:rPr>
          <w:rFonts w:ascii="Merriweather" w:eastAsia="Times New Roman" w:hAnsi="Merriweather"/>
          <w:color w:val="222222"/>
          <w:sz w:val="20"/>
          <w:szCs w:val="20"/>
          <w:lang w:val="en"/>
        </w:rPr>
        <w:t xml:space="preserve">. Leeds: Skills for Care. </w:t>
      </w:r>
      <w:r w:rsidRPr="00C964B7">
        <w:rPr>
          <w:rFonts w:ascii="Merriweather" w:eastAsia="Times New Roman" w:hAnsi="Merriweather"/>
          <w:color w:val="222222"/>
          <w:sz w:val="20"/>
          <w:szCs w:val="20"/>
          <w:lang w:val="en"/>
        </w:rPr>
        <w:t xml:space="preserve"> </w:t>
      </w:r>
    </w:p>
    <w:p w14:paraId="03CB08EF"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Ulrich, D. (1997). </w:t>
      </w:r>
      <w:r>
        <w:rPr>
          <w:rStyle w:val="a5"/>
          <w:rFonts w:ascii="Merriweather" w:eastAsia="Times New Roman" w:hAnsi="Merriweather"/>
          <w:color w:val="222222"/>
          <w:sz w:val="20"/>
          <w:szCs w:val="20"/>
          <w:lang w:val="en"/>
        </w:rPr>
        <w:t>Human Resource Champions: The Next Agenda for Adding Value and Delivering Results</w:t>
      </w:r>
      <w:r>
        <w:rPr>
          <w:rFonts w:ascii="Merriweather" w:eastAsia="Times New Roman" w:hAnsi="Merriweather"/>
          <w:color w:val="222222"/>
          <w:sz w:val="20"/>
          <w:szCs w:val="20"/>
          <w:lang w:val="en"/>
        </w:rPr>
        <w:t xml:space="preserve">. Boston: Harvard Business School Press. </w:t>
      </w:r>
    </w:p>
    <w:p w14:paraId="1F225BAB"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Ulrich, D. and </w:t>
      </w:r>
      <w:proofErr w:type="spellStart"/>
      <w:r>
        <w:rPr>
          <w:rFonts w:ascii="Merriweather" w:eastAsia="Times New Roman" w:hAnsi="Merriweather"/>
          <w:color w:val="222222"/>
          <w:sz w:val="20"/>
          <w:szCs w:val="20"/>
          <w:lang w:val="en"/>
        </w:rPr>
        <w:t>Dulebohn</w:t>
      </w:r>
      <w:proofErr w:type="spellEnd"/>
      <w:r>
        <w:rPr>
          <w:rFonts w:ascii="Merriweather" w:eastAsia="Times New Roman" w:hAnsi="Merriweather"/>
          <w:color w:val="222222"/>
          <w:sz w:val="20"/>
          <w:szCs w:val="20"/>
          <w:lang w:val="en"/>
        </w:rPr>
        <w:t xml:space="preserve">, J.H. (2015). 'Are we there yet? What's next for HR?'. </w:t>
      </w:r>
      <w:r>
        <w:rPr>
          <w:rStyle w:val="a5"/>
          <w:rFonts w:ascii="Merriweather" w:eastAsia="Times New Roman" w:hAnsi="Merriweather"/>
          <w:color w:val="222222"/>
          <w:sz w:val="20"/>
          <w:szCs w:val="20"/>
          <w:lang w:val="en"/>
        </w:rPr>
        <w:t>Human Resource Management Review</w:t>
      </w:r>
      <w:r>
        <w:rPr>
          <w:rFonts w:ascii="Merriweather" w:eastAsia="Times New Roman" w:hAnsi="Merriweather"/>
          <w:color w:val="222222"/>
          <w:sz w:val="20"/>
          <w:szCs w:val="20"/>
          <w:lang w:val="en"/>
        </w:rPr>
        <w:t xml:space="preserve">, 25(2), pp. 188-204. </w:t>
      </w:r>
    </w:p>
    <w:p w14:paraId="0423745C" w14:textId="77777777" w:rsidR="00450A69" w:rsidRDefault="00450A69">
      <w:pPr>
        <w:numPr>
          <w:ilvl w:val="0"/>
          <w:numId w:val="2"/>
        </w:numPr>
        <w:spacing w:before="100" w:beforeAutospacing="1" w:after="240"/>
        <w:ind w:hanging="480"/>
        <w:jc w:val="both"/>
        <w:rPr>
          <w:rFonts w:ascii="Merriweather" w:eastAsia="Times New Roman" w:hAnsi="Merriweather"/>
          <w:color w:val="222222"/>
          <w:sz w:val="20"/>
          <w:szCs w:val="20"/>
          <w:lang w:val="en"/>
        </w:rPr>
      </w:pPr>
      <w:r>
        <w:rPr>
          <w:rFonts w:ascii="Merriweather" w:eastAsia="Times New Roman" w:hAnsi="Merriweather"/>
          <w:color w:val="222222"/>
          <w:sz w:val="20"/>
          <w:szCs w:val="20"/>
          <w:lang w:val="en"/>
        </w:rPr>
        <w:t xml:space="preserve">Wright, P.M. and Nishii, L.H. (2013). 'Strategic HRM and organizational behavior: Integrating multiple levels of analysis'. </w:t>
      </w:r>
      <w:r>
        <w:rPr>
          <w:rStyle w:val="a5"/>
          <w:rFonts w:ascii="Merriweather" w:eastAsia="Times New Roman" w:hAnsi="Merriweather"/>
          <w:color w:val="222222"/>
          <w:sz w:val="20"/>
          <w:szCs w:val="20"/>
          <w:lang w:val="en"/>
        </w:rPr>
        <w:t>Journal of Management</w:t>
      </w:r>
      <w:r>
        <w:rPr>
          <w:rFonts w:ascii="Merriweather" w:eastAsia="Times New Roman" w:hAnsi="Merriweather"/>
          <w:color w:val="222222"/>
          <w:sz w:val="20"/>
          <w:szCs w:val="20"/>
          <w:lang w:val="en"/>
        </w:rPr>
        <w:t xml:space="preserve">, 39(6), pp. 1610-1641. </w:t>
      </w:r>
    </w:p>
    <w:p w14:paraId="5F339A9A" w14:textId="77777777" w:rsidR="00450A69" w:rsidRDefault="00450A69">
      <w:pPr>
        <w:rPr>
          <w:rFonts w:eastAsia="Times New Roman"/>
        </w:rPr>
      </w:pPr>
    </w:p>
    <w:sectPr w:rsidR="00450A69">
      <w:headerReference w:type="even" r:id="rId8"/>
      <w:headerReference w:type="default" r:id="rId9"/>
      <w:footerReference w:type="even" r:id="rId10"/>
      <w:footerReference w:type="default" r:id="rId11"/>
      <w:head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A9DC0" w14:textId="77777777" w:rsidR="00780AB5" w:rsidRDefault="00780AB5" w:rsidP="006D6CD1">
      <w:r>
        <w:separator/>
      </w:r>
    </w:p>
  </w:endnote>
  <w:endnote w:type="continuationSeparator" w:id="0">
    <w:p w14:paraId="47768B32" w14:textId="77777777" w:rsidR="00780AB5" w:rsidRDefault="00780AB5" w:rsidP="006D6C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erriweather">
    <w:panose1 w:val="00000500000000000000"/>
    <w:charset w:val="CC"/>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a"/>
      </w:rPr>
      <w:id w:val="1536002647"/>
      <w:docPartObj>
        <w:docPartGallery w:val="Page Numbers (Bottom of Page)"/>
        <w:docPartUnique/>
      </w:docPartObj>
    </w:sdtPr>
    <w:sdtContent>
      <w:p w14:paraId="292D5C7B" w14:textId="0B649C25" w:rsidR="00E7539B" w:rsidRDefault="00E7539B" w:rsidP="006A6AF5">
        <w:pPr>
          <w:pStyle w:val="a8"/>
          <w:framePr w:wrap="none" w:vAnchor="text" w:hAnchor="margin" w:xAlign="center" w:y="1"/>
          <w:jc w:val="center"/>
          <w:rPr>
            <w:rStyle w:val="aa"/>
          </w:rPr>
        </w:pPr>
        <w:r>
          <w:rPr>
            <w:rStyle w:val="aa"/>
          </w:rPr>
          <w:fldChar w:fldCharType="begin"/>
        </w:r>
        <w:r>
          <w:rPr>
            <w:rStyle w:val="aa"/>
          </w:rPr>
          <w:instrText xml:space="preserve"> PAGE </w:instrText>
        </w:r>
        <w:r>
          <w:rPr>
            <w:rStyle w:val="aa"/>
          </w:rPr>
          <w:fldChar w:fldCharType="end"/>
        </w:r>
      </w:p>
    </w:sdtContent>
  </w:sdt>
  <w:p w14:paraId="48CD6144" w14:textId="77777777" w:rsidR="006D6CD1" w:rsidRDefault="006D6CD1">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a"/>
      </w:rPr>
      <w:id w:val="1894537501"/>
      <w:docPartObj>
        <w:docPartGallery w:val="Page Numbers (Bottom of Page)"/>
        <w:docPartUnique/>
      </w:docPartObj>
    </w:sdtPr>
    <w:sdtContent>
      <w:p w14:paraId="3D76B509" w14:textId="758F1652" w:rsidR="00E7539B" w:rsidRDefault="00E7539B" w:rsidP="006A6AF5">
        <w:pPr>
          <w:pStyle w:val="a8"/>
          <w:framePr w:wrap="none" w:vAnchor="text" w:hAnchor="margin" w:xAlign="center" w:y="1"/>
          <w:jc w:val="center"/>
          <w:rPr>
            <w:rStyle w:val="aa"/>
          </w:rPr>
        </w:pPr>
        <w:r>
          <w:rPr>
            <w:rStyle w:val="aa"/>
          </w:rPr>
          <w:fldChar w:fldCharType="begin"/>
        </w:r>
        <w:r>
          <w:rPr>
            <w:rStyle w:val="aa"/>
          </w:rPr>
          <w:instrText xml:space="preserve"> PAGE </w:instrText>
        </w:r>
        <w:r>
          <w:rPr>
            <w:rStyle w:val="aa"/>
          </w:rPr>
          <w:fldChar w:fldCharType="separate"/>
        </w:r>
        <w:r>
          <w:rPr>
            <w:rStyle w:val="aa"/>
            <w:noProof/>
          </w:rPr>
          <w:t>6</w:t>
        </w:r>
        <w:r>
          <w:rPr>
            <w:rStyle w:val="aa"/>
          </w:rPr>
          <w:fldChar w:fldCharType="end"/>
        </w:r>
      </w:p>
    </w:sdtContent>
  </w:sdt>
  <w:p w14:paraId="08F3F8FD" w14:textId="77777777" w:rsidR="006D6CD1" w:rsidRDefault="006D6CD1">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6505D" w14:textId="77777777" w:rsidR="00780AB5" w:rsidRDefault="00780AB5" w:rsidP="006D6CD1">
      <w:r>
        <w:separator/>
      </w:r>
    </w:p>
  </w:footnote>
  <w:footnote w:type="continuationSeparator" w:id="0">
    <w:p w14:paraId="3BB75F81" w14:textId="77777777" w:rsidR="00780AB5" w:rsidRDefault="00780AB5" w:rsidP="006D6C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DB6DD" w14:textId="77777777" w:rsidR="006D6CD1" w:rsidRDefault="006D6CD1">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59E49" w14:textId="77777777" w:rsidR="006D6CD1" w:rsidRDefault="006D6CD1">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FCF3C" w14:textId="77777777" w:rsidR="006D6CD1" w:rsidRDefault="006D6CD1">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21CB2"/>
    <w:multiLevelType w:val="multilevel"/>
    <w:tmpl w:val="1E42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67396F"/>
    <w:multiLevelType w:val="multilevel"/>
    <w:tmpl w:val="0CD22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702778">
    <w:abstractNumId w:val="1"/>
  </w:num>
  <w:num w:numId="2" w16cid:durableId="373578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A69"/>
    <w:rsid w:val="00077FA4"/>
    <w:rsid w:val="00161B91"/>
    <w:rsid w:val="00194C04"/>
    <w:rsid w:val="001B1161"/>
    <w:rsid w:val="00216622"/>
    <w:rsid w:val="002640BB"/>
    <w:rsid w:val="00266E36"/>
    <w:rsid w:val="00281CEA"/>
    <w:rsid w:val="003373BD"/>
    <w:rsid w:val="003943A2"/>
    <w:rsid w:val="00450A69"/>
    <w:rsid w:val="004B2F5F"/>
    <w:rsid w:val="004E1F2E"/>
    <w:rsid w:val="00587723"/>
    <w:rsid w:val="005A6D48"/>
    <w:rsid w:val="005D29F0"/>
    <w:rsid w:val="0063534F"/>
    <w:rsid w:val="00642734"/>
    <w:rsid w:val="006D6CD1"/>
    <w:rsid w:val="00740A89"/>
    <w:rsid w:val="007800C5"/>
    <w:rsid w:val="00780AB5"/>
    <w:rsid w:val="007A7FEE"/>
    <w:rsid w:val="007F5137"/>
    <w:rsid w:val="00881E9C"/>
    <w:rsid w:val="009219DA"/>
    <w:rsid w:val="00985F84"/>
    <w:rsid w:val="00AC37A7"/>
    <w:rsid w:val="00B91A33"/>
    <w:rsid w:val="00BB22DE"/>
    <w:rsid w:val="00BE3CAF"/>
    <w:rsid w:val="00C23B75"/>
    <w:rsid w:val="00C31391"/>
    <w:rsid w:val="00C472F6"/>
    <w:rsid w:val="00C964B7"/>
    <w:rsid w:val="00DE0C08"/>
    <w:rsid w:val="00DE3790"/>
    <w:rsid w:val="00E33CC1"/>
    <w:rsid w:val="00E7539B"/>
    <w:rsid w:val="00E9078B"/>
    <w:rsid w:val="00EA0E44"/>
    <w:rsid w:val="00ED3953"/>
    <w:rsid w:val="00F11B8B"/>
    <w:rsid w:val="00FD6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4C9E7F"/>
  <w15:chartTrackingRefBased/>
  <w15:docId w15:val="{DE4EECAE-A4AC-4D1F-AB95-FBBDA7622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heme="minorEastAsia"/>
      <w:sz w:val="24"/>
      <w:szCs w:val="24"/>
    </w:rPr>
  </w:style>
  <w:style w:type="paragraph" w:styleId="1">
    <w:name w:val="heading 1"/>
    <w:basedOn w:val="a"/>
    <w:link w:val="10"/>
    <w:uiPriority w:val="9"/>
    <w:qFormat/>
    <w:pPr>
      <w:pBdr>
        <w:bottom w:val="single" w:sz="12" w:space="8" w:color="003366"/>
      </w:pBdr>
      <w:spacing w:before="360" w:after="450"/>
      <w:jc w:val="center"/>
      <w:outlineLvl w:val="0"/>
    </w:pPr>
    <w:rPr>
      <w:rFonts w:ascii="Open Sans" w:hAnsi="Open Sans" w:cs="Open Sans"/>
      <w:b/>
      <w:bCs/>
      <w:color w:val="003366"/>
      <w:kern w:val="36"/>
      <w:sz w:val="56"/>
      <w:szCs w:val="56"/>
    </w:rPr>
  </w:style>
  <w:style w:type="paragraph" w:styleId="2">
    <w:name w:val="heading 2"/>
    <w:basedOn w:val="a"/>
    <w:link w:val="20"/>
    <w:uiPriority w:val="9"/>
    <w:qFormat/>
    <w:pPr>
      <w:pBdr>
        <w:bottom w:val="single" w:sz="6" w:space="4" w:color="CCCCCC"/>
      </w:pBdr>
      <w:spacing w:before="600" w:after="120"/>
      <w:outlineLvl w:val="1"/>
    </w:pPr>
    <w:rPr>
      <w:rFonts w:ascii="Open Sans" w:hAnsi="Open Sans" w:cs="Open Sans"/>
      <w:b/>
      <w:bCs/>
      <w:color w:val="003366"/>
      <w:sz w:val="36"/>
      <w:szCs w:val="36"/>
    </w:rPr>
  </w:style>
  <w:style w:type="paragraph" w:styleId="3">
    <w:name w:val="heading 3"/>
    <w:basedOn w:val="a"/>
    <w:link w:val="30"/>
    <w:uiPriority w:val="9"/>
    <w:qFormat/>
    <w:pPr>
      <w:spacing w:before="360" w:after="120"/>
      <w:outlineLvl w:val="2"/>
    </w:pPr>
    <w:rPr>
      <w:rFonts w:ascii="Open Sans" w:hAnsi="Open Sans" w:cs="Open Sans"/>
      <w:b/>
      <w:bCs/>
      <w:color w:val="004080"/>
      <w:sz w:val="28"/>
      <w:szCs w:val="28"/>
    </w:rPr>
  </w:style>
  <w:style w:type="paragraph" w:styleId="4">
    <w:name w:val="heading 4"/>
    <w:basedOn w:val="a"/>
    <w:link w:val="40"/>
    <w:uiPriority w:val="9"/>
    <w:qFormat/>
    <w:pPr>
      <w:spacing w:before="360" w:after="120"/>
      <w:outlineLvl w:val="3"/>
    </w:pPr>
    <w:rPr>
      <w:rFonts w:ascii="Open Sans" w:hAnsi="Open Sans" w:cs="Open Sans"/>
      <w:b/>
      <w:bCs/>
      <w:i/>
      <w:iCs/>
      <w:color w:val="33333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40"/>
      <w:szCs w:val="40"/>
    </w:rPr>
  </w:style>
  <w:style w:type="character" w:customStyle="1" w:styleId="20">
    <w:name w:val="Заглавие 2 Знак"/>
    <w:basedOn w:val="a0"/>
    <w:link w:val="2"/>
    <w:uiPriority w:val="9"/>
    <w:semiHidden/>
    <w:rPr>
      <w:rFonts w:asciiTheme="majorHAnsi" w:eastAsiaTheme="majorEastAsia" w:hAnsiTheme="majorHAnsi" w:cstheme="majorBidi"/>
      <w:color w:val="2F5496" w:themeColor="accent1" w:themeShade="BF"/>
      <w:sz w:val="32"/>
      <w:szCs w:val="32"/>
    </w:rPr>
  </w:style>
  <w:style w:type="character" w:customStyle="1" w:styleId="30">
    <w:name w:val="Заглавие 3 Знак"/>
    <w:basedOn w:val="a0"/>
    <w:link w:val="3"/>
    <w:uiPriority w:val="9"/>
    <w:semiHidden/>
    <w:rPr>
      <w:rFonts w:asciiTheme="minorHAnsi" w:eastAsiaTheme="majorEastAsia" w:hAnsiTheme="minorHAnsi" w:cstheme="majorBidi"/>
      <w:color w:val="2F5496" w:themeColor="accent1" w:themeShade="BF"/>
      <w:sz w:val="28"/>
      <w:szCs w:val="28"/>
    </w:rPr>
  </w:style>
  <w:style w:type="character" w:customStyle="1" w:styleId="40">
    <w:name w:val="Заглавие 4 Знак"/>
    <w:basedOn w:val="a0"/>
    <w:link w:val="4"/>
    <w:uiPriority w:val="9"/>
    <w:semiHidden/>
    <w:rPr>
      <w:rFonts w:asciiTheme="minorHAnsi" w:eastAsiaTheme="majorEastAsia" w:hAnsiTheme="minorHAnsi" w:cstheme="majorBidi"/>
      <w:i/>
      <w:iCs/>
      <w:color w:val="2F5496" w:themeColor="accent1" w:themeShade="BF"/>
      <w:sz w:val="24"/>
      <w:szCs w:val="24"/>
    </w:rPr>
  </w:style>
  <w:style w:type="paragraph" w:customStyle="1" w:styleId="msonormal0">
    <w:name w:val="msonormal"/>
    <w:basedOn w:val="a"/>
    <w:pPr>
      <w:spacing w:before="100" w:beforeAutospacing="1" w:after="240"/>
    </w:pPr>
    <w:rPr>
      <w:sz w:val="22"/>
      <w:szCs w:val="22"/>
    </w:rPr>
  </w:style>
  <w:style w:type="paragraph" w:styleId="a3">
    <w:name w:val="Normal (Web)"/>
    <w:basedOn w:val="a"/>
    <w:uiPriority w:val="99"/>
    <w:semiHidden/>
    <w:unhideWhenUsed/>
    <w:pPr>
      <w:spacing w:before="100" w:beforeAutospacing="1" w:after="240"/>
    </w:pPr>
    <w:rPr>
      <w:sz w:val="22"/>
      <w:szCs w:val="22"/>
    </w:rPr>
  </w:style>
  <w:style w:type="paragraph" w:customStyle="1" w:styleId="title-page">
    <w:name w:val="title-page"/>
    <w:basedOn w:val="a"/>
    <w:pPr>
      <w:spacing w:before="100" w:beforeAutospacing="1" w:after="1500"/>
      <w:jc w:val="center"/>
    </w:pPr>
    <w:rPr>
      <w:sz w:val="22"/>
      <w:szCs w:val="22"/>
    </w:rPr>
  </w:style>
  <w:style w:type="paragraph" w:customStyle="1" w:styleId="report-meta">
    <w:name w:val="report-meta"/>
    <w:basedOn w:val="a"/>
    <w:pPr>
      <w:spacing w:before="1500" w:after="120"/>
    </w:pPr>
    <w:rPr>
      <w:rFonts w:ascii="Open Sans" w:hAnsi="Open Sans" w:cs="Open Sans"/>
    </w:rPr>
  </w:style>
  <w:style w:type="paragraph" w:customStyle="1" w:styleId="toc">
    <w:name w:val="toc"/>
    <w:basedOn w:val="a"/>
    <w:pPr>
      <w:pBdr>
        <w:top w:val="single" w:sz="6" w:space="15" w:color="EEEEEE"/>
        <w:left w:val="single" w:sz="6" w:space="15" w:color="EEEEEE"/>
        <w:bottom w:val="single" w:sz="6" w:space="15" w:color="EEEEEE"/>
        <w:right w:val="single" w:sz="6" w:space="15" w:color="EEEEEE"/>
      </w:pBdr>
      <w:shd w:val="clear" w:color="auto" w:fill="FAFAFA"/>
      <w:spacing w:before="100" w:beforeAutospacing="1" w:after="750"/>
    </w:pPr>
    <w:rPr>
      <w:sz w:val="22"/>
      <w:szCs w:val="22"/>
    </w:rPr>
  </w:style>
  <w:style w:type="paragraph" w:customStyle="1" w:styleId="toc-item">
    <w:name w:val="toc-item"/>
    <w:basedOn w:val="a"/>
    <w:pPr>
      <w:pBdr>
        <w:bottom w:val="dotted" w:sz="6" w:space="0" w:color="CCCCCC"/>
      </w:pBdr>
      <w:spacing w:before="100" w:beforeAutospacing="1" w:after="120"/>
    </w:pPr>
    <w:rPr>
      <w:sz w:val="22"/>
      <w:szCs w:val="22"/>
    </w:rPr>
  </w:style>
  <w:style w:type="paragraph" w:customStyle="1" w:styleId="page-break">
    <w:name w:val="page-break"/>
    <w:basedOn w:val="a"/>
    <w:pPr>
      <w:pageBreakBefore/>
      <w:spacing w:before="600" w:after="120"/>
    </w:pPr>
    <w:rPr>
      <w:sz w:val="22"/>
      <w:szCs w:val="22"/>
    </w:rPr>
  </w:style>
  <w:style w:type="paragraph" w:customStyle="1" w:styleId="reference-list">
    <w:name w:val="reference-list"/>
    <w:basedOn w:val="a"/>
    <w:pPr>
      <w:spacing w:before="100" w:beforeAutospacing="1" w:after="120"/>
    </w:pPr>
    <w:rPr>
      <w:sz w:val="22"/>
      <w:szCs w:val="22"/>
    </w:rPr>
  </w:style>
  <w:style w:type="paragraph" w:customStyle="1" w:styleId="11">
    <w:name w:val="Подзаглавие1"/>
    <w:basedOn w:val="a"/>
    <w:pPr>
      <w:spacing w:before="100" w:beforeAutospacing="1" w:after="120"/>
    </w:pPr>
    <w:rPr>
      <w:sz w:val="22"/>
      <w:szCs w:val="22"/>
    </w:rPr>
  </w:style>
  <w:style w:type="paragraph" w:customStyle="1" w:styleId="subtitle1">
    <w:name w:val="subtitle1"/>
    <w:basedOn w:val="a"/>
    <w:pPr>
      <w:spacing w:before="100" w:beforeAutospacing="1" w:after="900"/>
    </w:pPr>
    <w:rPr>
      <w:rFonts w:ascii="Open Sans" w:hAnsi="Open Sans" w:cs="Open Sans"/>
      <w:color w:val="555555"/>
      <w:sz w:val="36"/>
      <w:szCs w:val="36"/>
    </w:rPr>
  </w:style>
  <w:style w:type="character" w:styleId="a4">
    <w:name w:val="Strong"/>
    <w:basedOn w:val="a0"/>
    <w:uiPriority w:val="22"/>
    <w:qFormat/>
    <w:rPr>
      <w:b/>
      <w:bCs/>
    </w:rPr>
  </w:style>
  <w:style w:type="character" w:styleId="a5">
    <w:name w:val="Emphasis"/>
    <w:basedOn w:val="a0"/>
    <w:uiPriority w:val="20"/>
    <w:qFormat/>
    <w:rPr>
      <w:i/>
      <w:iCs/>
    </w:rPr>
  </w:style>
  <w:style w:type="paragraph" w:styleId="a6">
    <w:name w:val="header"/>
    <w:basedOn w:val="a"/>
    <w:link w:val="a7"/>
    <w:uiPriority w:val="99"/>
    <w:unhideWhenUsed/>
    <w:rsid w:val="006D6CD1"/>
    <w:pPr>
      <w:tabs>
        <w:tab w:val="center" w:pos="4536"/>
        <w:tab w:val="right" w:pos="9072"/>
      </w:tabs>
    </w:pPr>
  </w:style>
  <w:style w:type="character" w:customStyle="1" w:styleId="a7">
    <w:name w:val="Горен колонтитул Знак"/>
    <w:basedOn w:val="a0"/>
    <w:link w:val="a6"/>
    <w:uiPriority w:val="99"/>
    <w:rsid w:val="006D6CD1"/>
    <w:rPr>
      <w:rFonts w:eastAsiaTheme="minorEastAsia"/>
      <w:sz w:val="24"/>
      <w:szCs w:val="24"/>
    </w:rPr>
  </w:style>
  <w:style w:type="paragraph" w:styleId="a8">
    <w:name w:val="footer"/>
    <w:basedOn w:val="a"/>
    <w:link w:val="a9"/>
    <w:uiPriority w:val="99"/>
    <w:unhideWhenUsed/>
    <w:rsid w:val="006D6CD1"/>
    <w:pPr>
      <w:tabs>
        <w:tab w:val="center" w:pos="4536"/>
        <w:tab w:val="right" w:pos="9072"/>
      </w:tabs>
    </w:pPr>
  </w:style>
  <w:style w:type="character" w:customStyle="1" w:styleId="a9">
    <w:name w:val="Долен колонтитул Знак"/>
    <w:basedOn w:val="a0"/>
    <w:link w:val="a8"/>
    <w:uiPriority w:val="99"/>
    <w:rsid w:val="006D6CD1"/>
    <w:rPr>
      <w:rFonts w:eastAsiaTheme="minorEastAsia"/>
      <w:sz w:val="24"/>
      <w:szCs w:val="24"/>
    </w:rPr>
  </w:style>
  <w:style w:type="character" w:styleId="aa">
    <w:name w:val="page number"/>
    <w:basedOn w:val="a0"/>
    <w:uiPriority w:val="99"/>
    <w:semiHidden/>
    <w:unhideWhenUsed/>
    <w:rsid w:val="00E75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234271">
      <w:marLeft w:val="0"/>
      <w:marRight w:val="0"/>
      <w:marTop w:val="0"/>
      <w:marBottom w:val="1500"/>
      <w:divBdr>
        <w:top w:val="none" w:sz="0" w:space="0" w:color="auto"/>
        <w:left w:val="none" w:sz="0" w:space="0" w:color="auto"/>
        <w:bottom w:val="none" w:sz="0" w:space="0" w:color="auto"/>
        <w:right w:val="none" w:sz="0" w:space="0" w:color="auto"/>
      </w:divBdr>
      <w:divsChild>
        <w:div w:id="2138331480">
          <w:marLeft w:val="0"/>
          <w:marRight w:val="0"/>
          <w:marTop w:val="0"/>
          <w:marBottom w:val="900"/>
          <w:divBdr>
            <w:top w:val="none" w:sz="0" w:space="0" w:color="auto"/>
            <w:left w:val="none" w:sz="0" w:space="0" w:color="auto"/>
            <w:bottom w:val="none" w:sz="0" w:space="0" w:color="auto"/>
            <w:right w:val="none" w:sz="0" w:space="0" w:color="auto"/>
          </w:divBdr>
        </w:div>
        <w:div w:id="762264490">
          <w:marLeft w:val="0"/>
          <w:marRight w:val="0"/>
          <w:marTop w:val="1500"/>
          <w:marBottom w:val="0"/>
          <w:divBdr>
            <w:top w:val="none" w:sz="0" w:space="0" w:color="auto"/>
            <w:left w:val="none" w:sz="0" w:space="0" w:color="auto"/>
            <w:bottom w:val="none" w:sz="0" w:space="0" w:color="auto"/>
            <w:right w:val="none" w:sz="0" w:space="0" w:color="auto"/>
          </w:divBdr>
        </w:div>
      </w:divsChild>
    </w:div>
    <w:div w:id="1289817043">
      <w:marLeft w:val="0"/>
      <w:marRight w:val="0"/>
      <w:marTop w:val="0"/>
      <w:marBottom w:val="750"/>
      <w:divBdr>
        <w:top w:val="none" w:sz="0" w:space="0" w:color="auto"/>
        <w:left w:val="none" w:sz="0" w:space="0" w:color="auto"/>
        <w:bottom w:val="none" w:sz="0" w:space="0" w:color="auto"/>
        <w:right w:val="none" w:sz="0" w:space="0" w:color="auto"/>
      </w:divBdr>
      <w:divsChild>
        <w:div w:id="1340617482">
          <w:marLeft w:val="0"/>
          <w:marRight w:val="0"/>
          <w:marTop w:val="0"/>
          <w:marBottom w:val="120"/>
          <w:divBdr>
            <w:top w:val="none" w:sz="0" w:space="0" w:color="auto"/>
            <w:left w:val="none" w:sz="0" w:space="0" w:color="auto"/>
            <w:bottom w:val="dotted" w:sz="6" w:space="0" w:color="CCCCCC"/>
            <w:right w:val="none" w:sz="0" w:space="0" w:color="auto"/>
          </w:divBdr>
        </w:div>
        <w:div w:id="315492758">
          <w:marLeft w:val="0"/>
          <w:marRight w:val="0"/>
          <w:marTop w:val="0"/>
          <w:marBottom w:val="120"/>
          <w:divBdr>
            <w:top w:val="none" w:sz="0" w:space="0" w:color="auto"/>
            <w:left w:val="none" w:sz="0" w:space="0" w:color="auto"/>
            <w:bottom w:val="dotted" w:sz="6" w:space="0" w:color="CCCCCC"/>
            <w:right w:val="none" w:sz="0" w:space="0" w:color="auto"/>
          </w:divBdr>
        </w:div>
        <w:div w:id="1147473610">
          <w:marLeft w:val="0"/>
          <w:marRight w:val="0"/>
          <w:marTop w:val="0"/>
          <w:marBottom w:val="120"/>
          <w:divBdr>
            <w:top w:val="none" w:sz="0" w:space="0" w:color="auto"/>
            <w:left w:val="none" w:sz="0" w:space="0" w:color="auto"/>
            <w:bottom w:val="dotted" w:sz="6" w:space="0" w:color="CCCCCC"/>
            <w:right w:val="none" w:sz="0" w:space="0" w:color="auto"/>
          </w:divBdr>
        </w:div>
        <w:div w:id="1471753558">
          <w:marLeft w:val="0"/>
          <w:marRight w:val="0"/>
          <w:marTop w:val="0"/>
          <w:marBottom w:val="120"/>
          <w:divBdr>
            <w:top w:val="none" w:sz="0" w:space="0" w:color="auto"/>
            <w:left w:val="none" w:sz="0" w:space="0" w:color="auto"/>
            <w:bottom w:val="dotted" w:sz="6" w:space="0" w:color="CCCCCC"/>
            <w:right w:val="none" w:sz="0" w:space="0" w:color="auto"/>
          </w:divBdr>
        </w:div>
        <w:div w:id="1364790749">
          <w:marLeft w:val="0"/>
          <w:marRight w:val="0"/>
          <w:marTop w:val="0"/>
          <w:marBottom w:val="120"/>
          <w:divBdr>
            <w:top w:val="none" w:sz="0" w:space="0" w:color="auto"/>
            <w:left w:val="none" w:sz="0" w:space="0" w:color="auto"/>
            <w:bottom w:val="dotted" w:sz="6" w:space="0" w:color="CCCCCC"/>
            <w:right w:val="none" w:sz="0" w:space="0" w:color="auto"/>
          </w:divBdr>
        </w:div>
        <w:div w:id="1558852610">
          <w:marLeft w:val="0"/>
          <w:marRight w:val="0"/>
          <w:marTop w:val="0"/>
          <w:marBottom w:val="120"/>
          <w:divBdr>
            <w:top w:val="none" w:sz="0" w:space="0" w:color="auto"/>
            <w:left w:val="none" w:sz="0" w:space="0" w:color="auto"/>
            <w:bottom w:val="dotted" w:sz="6" w:space="0" w:color="CCCCCC"/>
            <w:right w:val="none" w:sz="0" w:space="0" w:color="auto"/>
          </w:divBdr>
        </w:div>
        <w:div w:id="926160716">
          <w:marLeft w:val="0"/>
          <w:marRight w:val="0"/>
          <w:marTop w:val="0"/>
          <w:marBottom w:val="120"/>
          <w:divBdr>
            <w:top w:val="none" w:sz="0" w:space="0" w:color="auto"/>
            <w:left w:val="none" w:sz="0" w:space="0" w:color="auto"/>
            <w:bottom w:val="dotted" w:sz="6" w:space="0" w:color="CCCCCC"/>
            <w:right w:val="none" w:sz="0" w:space="0" w:color="auto"/>
          </w:divBdr>
        </w:div>
        <w:div w:id="1172573357">
          <w:marLeft w:val="0"/>
          <w:marRight w:val="0"/>
          <w:marTop w:val="0"/>
          <w:marBottom w:val="120"/>
          <w:divBdr>
            <w:top w:val="none" w:sz="0" w:space="0" w:color="auto"/>
            <w:left w:val="none" w:sz="0" w:space="0" w:color="auto"/>
            <w:bottom w:val="dotted" w:sz="6" w:space="0" w:color="CCCCCC"/>
            <w:right w:val="none" w:sz="0" w:space="0" w:color="auto"/>
          </w:divBdr>
        </w:div>
        <w:div w:id="1485975828">
          <w:marLeft w:val="0"/>
          <w:marRight w:val="0"/>
          <w:marTop w:val="0"/>
          <w:marBottom w:val="120"/>
          <w:divBdr>
            <w:top w:val="none" w:sz="0" w:space="0" w:color="auto"/>
            <w:left w:val="none" w:sz="0" w:space="0" w:color="auto"/>
            <w:bottom w:val="dotted" w:sz="6" w:space="0" w:color="CCCCCC"/>
            <w:right w:val="none" w:sz="0" w:space="0" w:color="auto"/>
          </w:divBdr>
        </w:div>
        <w:div w:id="1897626150">
          <w:marLeft w:val="0"/>
          <w:marRight w:val="0"/>
          <w:marTop w:val="0"/>
          <w:marBottom w:val="120"/>
          <w:divBdr>
            <w:top w:val="none" w:sz="0" w:space="0" w:color="auto"/>
            <w:left w:val="none" w:sz="0" w:space="0" w:color="auto"/>
            <w:bottom w:val="dotted" w:sz="6" w:space="0" w:color="CCCCCC"/>
            <w:right w:val="none" w:sz="0" w:space="0" w:color="auto"/>
          </w:divBdr>
        </w:div>
        <w:div w:id="1068650286">
          <w:marLeft w:val="0"/>
          <w:marRight w:val="0"/>
          <w:marTop w:val="0"/>
          <w:marBottom w:val="120"/>
          <w:divBdr>
            <w:top w:val="none" w:sz="0" w:space="0" w:color="auto"/>
            <w:left w:val="none" w:sz="0" w:space="0" w:color="auto"/>
            <w:bottom w:val="dotted" w:sz="6" w:space="0" w:color="CCCCCC"/>
            <w:right w:val="none" w:sz="0" w:space="0" w:color="auto"/>
          </w:divBdr>
        </w:div>
        <w:div w:id="870849496">
          <w:marLeft w:val="0"/>
          <w:marRight w:val="0"/>
          <w:marTop w:val="0"/>
          <w:marBottom w:val="120"/>
          <w:divBdr>
            <w:top w:val="none" w:sz="0" w:space="0" w:color="auto"/>
            <w:left w:val="none" w:sz="0" w:space="0" w:color="auto"/>
            <w:bottom w:val="dotted" w:sz="6" w:space="0" w:color="CCCCCC"/>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9</Pages>
  <Words>3228</Words>
  <Characters>18402</Characters>
  <Application>Microsoft Office Word</Application>
  <DocSecurity>0</DocSecurity>
  <Lines>153</Lines>
  <Paragraphs>43</Paragraphs>
  <ScaleCrop>false</ScaleCrop>
  <Company/>
  <LinksUpToDate>false</LinksUpToDate>
  <CharactersWithSpaces>21587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Strategic Report - Helping Hands</dc:title>
  <dc:subject/>
  <dc:creator>CARA-USER</dc:creator>
  <cp:keywords/>
  <dc:description/>
  <cp:lastModifiedBy>Plamena Petrowa</cp:lastModifiedBy>
  <cp:revision>42</cp:revision>
  <dcterms:created xsi:type="dcterms:W3CDTF">2026-03-29T13:10:00Z</dcterms:created>
  <dcterms:modified xsi:type="dcterms:W3CDTF">2026-03-29T14:07:00Z</dcterms:modified>
</cp:coreProperties>
</file>